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127EFDF" w:rsidR="00986B43" w:rsidRPr="0007577F"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07577F">
              <w:rPr>
                <w:rFonts w:ascii="Times New Roman" w:hAnsi="Times New Roman" w:cs="Times New Roman"/>
                <w:b/>
                <w:color w:val="auto"/>
                <w:sz w:val="44"/>
                <w:szCs w:val="44"/>
              </w:rPr>
              <w:t>Learner’s name:</w:t>
            </w:r>
            <w:r w:rsidR="00247265" w:rsidRPr="0007577F">
              <w:rPr>
                <w:rFonts w:ascii="Times New Roman" w:hAnsi="Times New Roman" w:cs="Times New Roman"/>
                <w:b/>
                <w:color w:val="auto"/>
                <w:sz w:val="44"/>
                <w:szCs w:val="44"/>
              </w:rPr>
              <w:t xml:space="preserve"> </w:t>
            </w:r>
            <w:r w:rsidR="0007577F" w:rsidRPr="0007577F">
              <w:rPr>
                <w:rFonts w:ascii="Times New Roman" w:hAnsi="Times New Roman" w:cs="Times New Roman"/>
                <w:b/>
                <w:color w:val="auto"/>
                <w:sz w:val="44"/>
                <w:szCs w:val="44"/>
              </w:rPr>
              <w:t>Shannon Thomas</w:t>
            </w:r>
          </w:p>
          <w:p w14:paraId="0B6CD0DB" w14:textId="689515B5" w:rsidR="009C337F" w:rsidRPr="0007577F"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0817ACED" w:rsidR="009C337F" w:rsidRPr="0007577F"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07577F">
              <w:rPr>
                <w:rFonts w:ascii="Times New Roman" w:hAnsi="Times New Roman" w:cs="Times New Roman"/>
                <w:b/>
                <w:color w:val="auto"/>
                <w:sz w:val="44"/>
                <w:szCs w:val="44"/>
              </w:rPr>
              <w:t>Email address:</w:t>
            </w:r>
            <w:r w:rsidR="0007577F" w:rsidRPr="0007577F">
              <w:rPr>
                <w:rFonts w:ascii="Times New Roman" w:hAnsi="Times New Roman" w:cs="Times New Roman"/>
                <w:b/>
                <w:color w:val="auto"/>
                <w:sz w:val="44"/>
                <w:szCs w:val="44"/>
              </w:rPr>
              <w:t xml:space="preserve"> </w:t>
            </w:r>
            <w:hyperlink r:id="rId11" w:history="1">
              <w:r w:rsidR="0007577F" w:rsidRPr="0007577F">
                <w:rPr>
                  <w:rStyle w:val="Hyperlink"/>
                  <w:rFonts w:ascii="Times New Roman" w:hAnsi="Times New Roman" w:cs="Times New Roman"/>
                  <w:b/>
                  <w:color w:val="auto"/>
                  <w:sz w:val="44"/>
                  <w:szCs w:val="44"/>
                  <w:u w:val="none"/>
                </w:rPr>
                <w:t>2126269@student.uwtsd.ac.uk</w:t>
              </w:r>
            </w:hyperlink>
            <w:r w:rsidR="0007577F" w:rsidRPr="0007577F">
              <w:rPr>
                <w:rFonts w:ascii="Times New Roman" w:hAnsi="Times New Roman" w:cs="Times New Roman"/>
                <w:b/>
                <w:color w:val="auto"/>
                <w:sz w:val="44"/>
                <w:szCs w:val="44"/>
              </w:rPr>
              <w:t> </w:t>
            </w:r>
          </w:p>
          <w:p w14:paraId="22E38809" w14:textId="77777777" w:rsidR="00986B43" w:rsidRPr="0007577F"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14C8794C" w:rsidR="00F927A1" w:rsidRPr="0007577F"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07577F">
              <w:rPr>
                <w:rFonts w:ascii="Times New Roman" w:hAnsi="Times New Roman" w:cs="Times New Roman"/>
                <w:b/>
                <w:color w:val="auto"/>
                <w:sz w:val="44"/>
                <w:szCs w:val="44"/>
              </w:rPr>
              <w:t>Learner’s University Registration</w:t>
            </w:r>
            <w:r w:rsidR="00F927A1" w:rsidRPr="0007577F">
              <w:rPr>
                <w:rFonts w:ascii="Times New Roman" w:hAnsi="Times New Roman" w:cs="Times New Roman"/>
                <w:b/>
                <w:color w:val="auto"/>
                <w:sz w:val="44"/>
                <w:szCs w:val="44"/>
              </w:rPr>
              <w:t xml:space="preserve"> Number:</w:t>
            </w:r>
            <w:r w:rsidR="0007577F" w:rsidRPr="0007577F">
              <w:rPr>
                <w:rFonts w:ascii="Times New Roman" w:hAnsi="Times New Roman" w:cs="Times New Roman"/>
                <w:b/>
                <w:color w:val="auto"/>
                <w:sz w:val="44"/>
                <w:szCs w:val="44"/>
              </w:rPr>
              <w:t xml:space="preserve"> </w:t>
            </w:r>
            <w:r w:rsidR="0007577F" w:rsidRPr="0007577F">
              <w:rPr>
                <w:rFonts w:ascii="Times New Roman" w:hAnsi="Times New Roman" w:cs="Times New Roman"/>
                <w:b/>
                <w:color w:val="auto"/>
                <w:sz w:val="44"/>
                <w:szCs w:val="44"/>
              </w:rPr>
              <w:t>2126269</w:t>
            </w:r>
          </w:p>
          <w:p w14:paraId="622FD17A" w14:textId="77777777" w:rsidR="0085230E" w:rsidRPr="0007577F"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7577F">
              <w:rPr>
                <w:rFonts w:ascii="Times New Roman" w:hAnsi="Times New Roman" w:cs="Times New Roman"/>
                <w:b/>
                <w:color w:val="auto"/>
                <w:sz w:val="44"/>
                <w:szCs w:val="44"/>
              </w:rPr>
              <w:t>Cohort: 1</w:t>
            </w:r>
            <w:r w:rsidR="000F1A97" w:rsidRPr="0007577F">
              <w:rPr>
                <w:rFonts w:ascii="Times New Roman" w:hAnsi="Times New Roman" w:cs="Times New Roman"/>
                <w:b/>
                <w:color w:val="auto"/>
                <w:sz w:val="44"/>
                <w:szCs w:val="44"/>
              </w:rPr>
              <w:t>8</w:t>
            </w:r>
            <w:r w:rsidR="00AE6231" w:rsidRPr="0007577F">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1D281E6A" w14:textId="77777777" w:rsidR="00691EAF" w:rsidRDefault="00691EAF" w:rsidP="00FF7EBB">
            <w:pPr>
              <w:jc w:val="both"/>
              <w:rPr>
                <w:sz w:val="24"/>
                <w:szCs w:val="24"/>
              </w:rPr>
            </w:pPr>
          </w:p>
          <w:p w14:paraId="1BF88EF0" w14:textId="77777777" w:rsidR="00691EAF" w:rsidRDefault="00691EAF" w:rsidP="00FF7EBB">
            <w:pPr>
              <w:jc w:val="both"/>
              <w:rPr>
                <w:sz w:val="24"/>
                <w:szCs w:val="24"/>
              </w:rPr>
            </w:pPr>
          </w:p>
          <w:p w14:paraId="23898776" w14:textId="77777777" w:rsidR="00691EAF" w:rsidRPr="0015575B" w:rsidRDefault="00691EAF" w:rsidP="00691EAF">
            <w:pPr>
              <w:spacing w:line="360" w:lineRule="auto"/>
              <w:rPr>
                <w:rStyle w:val="legds"/>
                <w:sz w:val="24"/>
                <w:szCs w:val="24"/>
              </w:rPr>
            </w:pPr>
            <w:r w:rsidRPr="0015575B">
              <w:rPr>
                <w:sz w:val="24"/>
                <w:szCs w:val="24"/>
              </w:rPr>
              <w:t xml:space="preserve">The safeguarding of adults is defined under part 7 of the Social Services and Well-being (Wales) Act 2014 (SSWBA 2014). Section 126 (1) of the Act defines an “adult at risk” as an adult who </w:t>
            </w:r>
            <w:r w:rsidRPr="0015575B">
              <w:rPr>
                <w:i/>
                <w:iCs/>
                <w:sz w:val="24"/>
                <w:szCs w:val="24"/>
              </w:rPr>
              <w:t xml:space="preserve">‘(a) is experiencing or is at risk of experiencing abuse or neglect, (b) has </w:t>
            </w:r>
            <w:r w:rsidRPr="0015575B">
              <w:rPr>
                <w:rStyle w:val="legds"/>
                <w:i/>
                <w:iCs/>
                <w:sz w:val="24"/>
                <w:szCs w:val="24"/>
              </w:rPr>
              <w:t>needs for care and support (whether or not the authority is meeting any of those needs) and (c) as a result of those needs is unable to protect himself or herself against the abuse or neglect or the risk of it’.</w:t>
            </w:r>
            <w:r w:rsidRPr="0015575B">
              <w:rPr>
                <w:rStyle w:val="legds"/>
                <w:sz w:val="24"/>
                <w:szCs w:val="24"/>
              </w:rPr>
              <w:t xml:space="preserve"> </w:t>
            </w:r>
          </w:p>
          <w:p w14:paraId="6E1E7AC1" w14:textId="77777777" w:rsidR="00691EAF" w:rsidRPr="0015575B" w:rsidRDefault="00691EAF" w:rsidP="00691EAF">
            <w:pPr>
              <w:spacing w:line="360" w:lineRule="auto"/>
              <w:rPr>
                <w:rStyle w:val="legds"/>
                <w:sz w:val="24"/>
                <w:szCs w:val="24"/>
              </w:rPr>
            </w:pPr>
          </w:p>
          <w:p w14:paraId="2258237E" w14:textId="77777777" w:rsidR="00691EAF" w:rsidRPr="0015575B" w:rsidRDefault="00691EAF" w:rsidP="00691EAF">
            <w:pPr>
              <w:spacing w:line="360" w:lineRule="auto"/>
              <w:rPr>
                <w:rStyle w:val="legds"/>
                <w:i/>
                <w:iCs/>
                <w:sz w:val="24"/>
                <w:szCs w:val="24"/>
              </w:rPr>
            </w:pPr>
            <w:r w:rsidRPr="0015575B">
              <w:rPr>
                <w:rStyle w:val="legds"/>
                <w:sz w:val="24"/>
                <w:szCs w:val="24"/>
              </w:rPr>
              <w:t xml:space="preserve">The Welsh Government (2018) statutory safeguarding guidance ‘Working Together to Safeguard People’ states that </w:t>
            </w:r>
            <w:r w:rsidRPr="0015575B">
              <w:rPr>
                <w:rStyle w:val="legds"/>
                <w:i/>
                <w:iCs/>
                <w:sz w:val="24"/>
                <w:szCs w:val="24"/>
              </w:rPr>
              <w:t>“s</w:t>
            </w:r>
            <w:r w:rsidRPr="0015575B">
              <w:rPr>
                <w:i/>
                <w:iCs/>
                <w:sz w:val="24"/>
                <w:szCs w:val="24"/>
              </w:rPr>
              <w:t>afeguarding is everybody’s responsibility”</w:t>
            </w:r>
            <w:r>
              <w:rPr>
                <w:i/>
                <w:iCs/>
                <w:sz w:val="24"/>
                <w:szCs w:val="24"/>
              </w:rPr>
              <w:t>.</w:t>
            </w:r>
            <w:r w:rsidRPr="0015575B">
              <w:rPr>
                <w:i/>
                <w:iCs/>
                <w:sz w:val="24"/>
                <w:szCs w:val="24"/>
              </w:rPr>
              <w:t xml:space="preserve"> </w:t>
            </w:r>
            <w:r w:rsidRPr="000403FC">
              <w:rPr>
                <w:sz w:val="24"/>
                <w:szCs w:val="24"/>
              </w:rPr>
              <w:t xml:space="preserve">If any person has </w:t>
            </w:r>
            <w:r w:rsidRPr="000403FC">
              <w:rPr>
                <w:rStyle w:val="legds"/>
                <w:sz w:val="24"/>
                <w:szCs w:val="24"/>
              </w:rPr>
              <w:t xml:space="preserve">knowledge, concerns, or suspicions that an adult is at risk it is their responsibility to ensure that their concerns are referred to Adult Services or the Police. </w:t>
            </w:r>
            <w:r w:rsidRPr="0015575B">
              <w:rPr>
                <w:rStyle w:val="legds"/>
                <w:sz w:val="24"/>
                <w:szCs w:val="24"/>
              </w:rPr>
              <w:t xml:space="preserve">Part 7 of the SSWBA 2014 then implements a duty on all </w:t>
            </w:r>
            <w:r w:rsidRPr="0015575B">
              <w:rPr>
                <w:sz w:val="24"/>
                <w:szCs w:val="24"/>
              </w:rPr>
              <w:t>Local Authorities to instigate enquiries if they have “</w:t>
            </w:r>
            <w:r w:rsidRPr="0015575B">
              <w:rPr>
                <w:i/>
                <w:iCs/>
                <w:sz w:val="24"/>
                <w:szCs w:val="24"/>
              </w:rPr>
              <w:t xml:space="preserve">reasonable cause </w:t>
            </w:r>
            <w:r w:rsidRPr="0015575B">
              <w:rPr>
                <w:rStyle w:val="legds"/>
                <w:i/>
                <w:iCs/>
                <w:sz w:val="24"/>
                <w:szCs w:val="24"/>
              </w:rPr>
              <w:t xml:space="preserve">to suspect that a person within its area (whether or not ordinarily resident there) is an adult at risk”. </w:t>
            </w:r>
          </w:p>
          <w:p w14:paraId="2A566979" w14:textId="77777777" w:rsidR="00691EAF" w:rsidRPr="0015575B" w:rsidRDefault="00691EAF" w:rsidP="00691EAF">
            <w:pPr>
              <w:spacing w:line="360" w:lineRule="auto"/>
              <w:rPr>
                <w:sz w:val="24"/>
                <w:szCs w:val="24"/>
              </w:rPr>
            </w:pPr>
          </w:p>
          <w:p w14:paraId="5019127C" w14:textId="77777777" w:rsidR="00691EAF" w:rsidRPr="0015575B" w:rsidRDefault="00691EAF" w:rsidP="00691EAF">
            <w:pPr>
              <w:spacing w:line="360" w:lineRule="auto"/>
              <w:rPr>
                <w:sz w:val="24"/>
                <w:szCs w:val="24"/>
              </w:rPr>
            </w:pPr>
            <w:r w:rsidRPr="0015575B">
              <w:rPr>
                <w:sz w:val="24"/>
                <w:szCs w:val="24"/>
              </w:rPr>
              <w:t xml:space="preserve">Section 134 of SSWBA 2014 introduced children and adults Safeguarding Boards across Wales. The two main purposes of the boards being protection and prevention. Within these </w:t>
            </w:r>
            <w:r w:rsidRPr="0015575B">
              <w:rPr>
                <w:sz w:val="24"/>
                <w:szCs w:val="24"/>
              </w:rPr>
              <w:lastRenderedPageBreak/>
              <w:t>boards there is a need for a statutory multiagency approach. An Adult Safeguarding Board has the responsibility of reviewing practice and sharing information on best practice (North Wales Safeguarding Board, 2023).</w:t>
            </w:r>
          </w:p>
          <w:p w14:paraId="6CE6FC7B" w14:textId="77777777" w:rsidR="00691EAF" w:rsidRPr="0015575B" w:rsidRDefault="00691EAF" w:rsidP="00691EAF">
            <w:pPr>
              <w:spacing w:line="360" w:lineRule="auto"/>
              <w:rPr>
                <w:sz w:val="24"/>
                <w:szCs w:val="24"/>
              </w:rPr>
            </w:pPr>
          </w:p>
          <w:p w14:paraId="7470E7ED" w14:textId="77777777" w:rsidR="00691EAF" w:rsidRPr="0015575B" w:rsidRDefault="00691EAF" w:rsidP="00691EAF">
            <w:pPr>
              <w:spacing w:line="360" w:lineRule="auto"/>
              <w:rPr>
                <w:color w:val="auto"/>
                <w:sz w:val="24"/>
                <w:szCs w:val="24"/>
              </w:rPr>
            </w:pPr>
            <w:r w:rsidRPr="0015575B">
              <w:rPr>
                <w:color w:val="auto"/>
                <w:sz w:val="24"/>
                <w:szCs w:val="24"/>
              </w:rPr>
              <w:t xml:space="preserve">Although confidentiality is fundamental, the </w:t>
            </w:r>
            <w:r w:rsidRPr="0015575B">
              <w:rPr>
                <w:rStyle w:val="legds"/>
                <w:color w:val="auto"/>
                <w:sz w:val="24"/>
                <w:szCs w:val="24"/>
              </w:rPr>
              <w:t xml:space="preserve">Wales Safeguarding Procedures (2019) state that practitioners must share information in accordance with the General Data Protection Regulations (GDPR) 2018 when there is evidence or reason to believe that there are safeguarding concerns. </w:t>
            </w:r>
          </w:p>
          <w:p w14:paraId="2A7E6902" w14:textId="77777777" w:rsidR="00691EAF" w:rsidRPr="0015575B" w:rsidRDefault="00691EAF" w:rsidP="00691EAF">
            <w:pPr>
              <w:spacing w:line="360" w:lineRule="auto"/>
              <w:rPr>
                <w:rStyle w:val="legds"/>
                <w:color w:val="auto"/>
                <w:sz w:val="24"/>
                <w:szCs w:val="24"/>
              </w:rPr>
            </w:pPr>
          </w:p>
          <w:p w14:paraId="4E8F3995" w14:textId="77777777" w:rsidR="00691EAF" w:rsidRPr="0015575B" w:rsidRDefault="00691EAF" w:rsidP="00691EAF">
            <w:pPr>
              <w:spacing w:line="360" w:lineRule="auto"/>
              <w:rPr>
                <w:rStyle w:val="legds"/>
                <w:color w:val="auto"/>
                <w:sz w:val="24"/>
                <w:szCs w:val="24"/>
              </w:rPr>
            </w:pPr>
            <w:r w:rsidRPr="0015575B">
              <w:rPr>
                <w:rStyle w:val="legds"/>
                <w:color w:val="auto"/>
                <w:sz w:val="24"/>
                <w:szCs w:val="24"/>
              </w:rPr>
              <w:t xml:space="preserve">The British Association of Social Work (2022) argues that the legislation and policy in which Social Workers practice is governed by </w:t>
            </w:r>
            <w:r w:rsidRPr="0015575B">
              <w:rPr>
                <w:color w:val="auto"/>
                <w:sz w:val="24"/>
                <w:szCs w:val="24"/>
              </w:rPr>
              <w:t xml:space="preserve">human rights legislation. </w:t>
            </w:r>
            <w:r w:rsidRPr="0015575B">
              <w:rPr>
                <w:rStyle w:val="legds"/>
                <w:color w:val="auto"/>
                <w:sz w:val="24"/>
                <w:szCs w:val="24"/>
              </w:rPr>
              <w:t>The European Convention on Human Rights and the Human Rights Act 1998 includes wider safeguarding legislation, this includes article 3 ‘</w:t>
            </w:r>
            <w:r w:rsidRPr="0015575B">
              <w:rPr>
                <w:rStyle w:val="legds"/>
                <w:i/>
                <w:iCs/>
                <w:color w:val="auto"/>
                <w:sz w:val="24"/>
                <w:szCs w:val="24"/>
              </w:rPr>
              <w:t xml:space="preserve">the right to freedom from torture and inhuman or degrading treatment’ </w:t>
            </w:r>
            <w:r w:rsidRPr="0015575B">
              <w:rPr>
                <w:rStyle w:val="legds"/>
                <w:color w:val="auto"/>
                <w:sz w:val="24"/>
                <w:szCs w:val="24"/>
              </w:rPr>
              <w:t>and article 8 ‘</w:t>
            </w:r>
            <w:r w:rsidRPr="0015575B">
              <w:rPr>
                <w:rStyle w:val="legds"/>
                <w:i/>
                <w:iCs/>
                <w:color w:val="auto"/>
                <w:sz w:val="24"/>
                <w:szCs w:val="24"/>
              </w:rPr>
              <w:t xml:space="preserve">the right to respect for your private and family life, home and correspondence’. </w:t>
            </w:r>
            <w:r w:rsidRPr="0015575B">
              <w:rPr>
                <w:rStyle w:val="legds"/>
                <w:i/>
                <w:iCs/>
                <w:color w:val="auto"/>
                <w:sz w:val="24"/>
                <w:szCs w:val="24"/>
              </w:rPr>
              <w:br/>
            </w:r>
            <w:r w:rsidRPr="0015575B">
              <w:rPr>
                <w:rStyle w:val="legds"/>
                <w:i/>
                <w:iCs/>
                <w:color w:val="auto"/>
                <w:sz w:val="24"/>
                <w:szCs w:val="24"/>
              </w:rPr>
              <w:br/>
            </w:r>
            <w:r w:rsidRPr="0015575B">
              <w:rPr>
                <w:rStyle w:val="legds"/>
                <w:color w:val="auto"/>
                <w:sz w:val="24"/>
                <w:szCs w:val="24"/>
              </w:rPr>
              <w:t>The Social Care Institute for Excellence (2020) identifies the Mental Capacity Act 2005 (MCA 2005) as another key legislation under the protection and care of adults within health and social care practice. The MCA 2005 applies to both England and Wales and applies to everyone involved in the care, treatment and support of individuals aged 16 or over who are unable to make some or all decisions independently (D</w:t>
            </w:r>
            <w:r w:rsidRPr="0015575B">
              <w:rPr>
                <w:rStyle w:val="legds"/>
                <w:sz w:val="24"/>
                <w:szCs w:val="24"/>
              </w:rPr>
              <w:t>epartment of Health, 2015).</w:t>
            </w:r>
            <w:r>
              <w:rPr>
                <w:rStyle w:val="legds"/>
                <w:sz w:val="24"/>
                <w:szCs w:val="24"/>
              </w:rPr>
              <w:t xml:space="preserve"> </w:t>
            </w:r>
          </w:p>
          <w:p w14:paraId="67A0EA62" w14:textId="77777777" w:rsidR="00691EAF" w:rsidRPr="0015575B" w:rsidRDefault="00691EAF" w:rsidP="00691EAF">
            <w:pPr>
              <w:spacing w:line="360" w:lineRule="auto"/>
              <w:rPr>
                <w:color w:val="auto"/>
                <w:sz w:val="24"/>
                <w:szCs w:val="24"/>
                <w:lang w:eastAsia="en-US"/>
              </w:rPr>
            </w:pPr>
          </w:p>
          <w:p w14:paraId="234CA8F7" w14:textId="77777777" w:rsidR="00691EAF" w:rsidRPr="0015575B" w:rsidRDefault="00691EAF" w:rsidP="00691EAF">
            <w:pPr>
              <w:spacing w:line="360" w:lineRule="auto"/>
              <w:rPr>
                <w:color w:val="auto"/>
                <w:sz w:val="24"/>
                <w:szCs w:val="24"/>
                <w:lang w:eastAsia="en-US"/>
              </w:rPr>
            </w:pPr>
            <w:r w:rsidRPr="0015575B">
              <w:rPr>
                <w:color w:val="auto"/>
                <w:sz w:val="24"/>
                <w:szCs w:val="24"/>
                <w:lang w:eastAsia="en-US"/>
              </w:rPr>
              <w:t xml:space="preserve">The Equality Act 2010 is another safeguarding legislation within the United Kingdom which legally protects individuals from discrimination in the workplace and wider society. </w:t>
            </w:r>
            <w:r>
              <w:rPr>
                <w:color w:val="auto"/>
                <w:sz w:val="24"/>
                <w:szCs w:val="24"/>
                <w:lang w:eastAsia="en-US"/>
              </w:rPr>
              <w:t xml:space="preserve">The Act protects all individuals against discrimination based on nine protected characteristics. </w:t>
            </w:r>
          </w:p>
          <w:p w14:paraId="4EFACCC5" w14:textId="77777777" w:rsidR="00691EAF" w:rsidRDefault="00691EAF" w:rsidP="00691EAF">
            <w:pPr>
              <w:spacing w:line="360" w:lineRule="auto"/>
              <w:rPr>
                <w:rStyle w:val="legds"/>
                <w:sz w:val="19"/>
                <w:szCs w:val="19"/>
              </w:rPr>
            </w:pPr>
          </w:p>
          <w:p w14:paraId="068E6E86" w14:textId="77777777" w:rsidR="00691EAF" w:rsidRPr="009C0153" w:rsidRDefault="00691EAF" w:rsidP="00691EAF">
            <w:pPr>
              <w:spacing w:line="360" w:lineRule="auto"/>
              <w:rPr>
                <w:rStyle w:val="legds"/>
                <w:sz w:val="24"/>
                <w:szCs w:val="24"/>
              </w:rPr>
            </w:pPr>
            <w:r w:rsidRPr="009C0153">
              <w:rPr>
                <w:rStyle w:val="legds"/>
                <w:sz w:val="24"/>
                <w:szCs w:val="24"/>
              </w:rPr>
              <w:t>Word Count: 4</w:t>
            </w:r>
            <w:r>
              <w:rPr>
                <w:rStyle w:val="legds"/>
                <w:sz w:val="24"/>
                <w:szCs w:val="24"/>
              </w:rPr>
              <w:t>54</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A898FCE" w14:textId="77777777" w:rsidR="00691EAF" w:rsidRDefault="00691EAF" w:rsidP="00FC0334">
            <w:pPr>
              <w:jc w:val="both"/>
              <w:rPr>
                <w:i/>
                <w:sz w:val="24"/>
                <w:szCs w:val="24"/>
              </w:rPr>
            </w:pPr>
          </w:p>
          <w:p w14:paraId="7C037939" w14:textId="77777777" w:rsidR="00691EAF" w:rsidRDefault="00691EAF" w:rsidP="00691EAF">
            <w:pPr>
              <w:spacing w:line="360" w:lineRule="auto"/>
              <w:rPr>
                <w:sz w:val="24"/>
                <w:szCs w:val="24"/>
              </w:rPr>
            </w:pPr>
            <w:r w:rsidRPr="006E66F6">
              <w:rPr>
                <w:color w:val="auto"/>
                <w:sz w:val="24"/>
                <w:szCs w:val="24"/>
              </w:rPr>
              <w:t>Upon reflection</w:t>
            </w:r>
            <w:r>
              <w:rPr>
                <w:color w:val="auto"/>
                <w:sz w:val="24"/>
                <w:szCs w:val="24"/>
              </w:rPr>
              <w:t xml:space="preserve"> and research</w:t>
            </w:r>
            <w:r w:rsidRPr="006E66F6">
              <w:rPr>
                <w:color w:val="auto"/>
                <w:sz w:val="24"/>
                <w:szCs w:val="24"/>
              </w:rPr>
              <w:t xml:space="preserve"> of the legislation</w:t>
            </w:r>
            <w:r>
              <w:rPr>
                <w:color w:val="auto"/>
                <w:sz w:val="24"/>
                <w:szCs w:val="24"/>
              </w:rPr>
              <w:t>,</w:t>
            </w:r>
            <w:r w:rsidRPr="006E66F6">
              <w:rPr>
                <w:color w:val="auto"/>
                <w:sz w:val="24"/>
                <w:szCs w:val="24"/>
              </w:rPr>
              <w:t xml:space="preserve"> policies, </w:t>
            </w:r>
            <w:r>
              <w:rPr>
                <w:color w:val="auto"/>
                <w:sz w:val="24"/>
                <w:szCs w:val="24"/>
              </w:rPr>
              <w:t xml:space="preserve">and procedures for </w:t>
            </w:r>
            <w:r w:rsidRPr="006E66F6">
              <w:rPr>
                <w:color w:val="auto"/>
                <w:sz w:val="24"/>
                <w:szCs w:val="24"/>
              </w:rPr>
              <w:t>adult safeguarding, w</w:t>
            </w:r>
            <w:r w:rsidRPr="006E66F6">
              <w:rPr>
                <w:sz w:val="24"/>
                <w:szCs w:val="24"/>
              </w:rPr>
              <w:t xml:space="preserve">hilst there are some similarities in the broad principles underpinning safeguarding practice with children and adults, there are </w:t>
            </w:r>
            <w:r>
              <w:rPr>
                <w:sz w:val="24"/>
                <w:szCs w:val="24"/>
              </w:rPr>
              <w:t xml:space="preserve">also </w:t>
            </w:r>
            <w:r w:rsidRPr="006E66F6">
              <w:rPr>
                <w:sz w:val="24"/>
                <w:szCs w:val="24"/>
              </w:rPr>
              <w:t>several differences.</w:t>
            </w:r>
          </w:p>
          <w:p w14:paraId="2C4E81EF" w14:textId="77777777" w:rsidR="00691EAF" w:rsidRDefault="00691EAF" w:rsidP="00691EAF">
            <w:pPr>
              <w:spacing w:line="360" w:lineRule="auto"/>
              <w:rPr>
                <w:sz w:val="24"/>
                <w:szCs w:val="24"/>
              </w:rPr>
            </w:pPr>
          </w:p>
          <w:p w14:paraId="5ADB7BF9" w14:textId="77777777" w:rsidR="00691EAF" w:rsidRPr="00590A15" w:rsidRDefault="00691EAF" w:rsidP="00691EAF">
            <w:pPr>
              <w:spacing w:line="360" w:lineRule="auto"/>
              <w:rPr>
                <w:color w:val="auto"/>
                <w:sz w:val="24"/>
                <w:szCs w:val="24"/>
              </w:rPr>
            </w:pPr>
            <w:r w:rsidRPr="006018E2">
              <w:rPr>
                <w:color w:val="auto"/>
                <w:sz w:val="24"/>
                <w:szCs w:val="24"/>
              </w:rPr>
              <w:t xml:space="preserve">One of the most noteworthy differences between adults and children safeguarding is the difference in legislation regarding the concept of capacity and consent. Principle 1 of the Mental Capacity Act 2005 (MCA 2005) states that </w:t>
            </w:r>
            <w:r w:rsidRPr="006018E2">
              <w:rPr>
                <w:i/>
                <w:iCs/>
                <w:color w:val="auto"/>
                <w:sz w:val="24"/>
                <w:szCs w:val="24"/>
              </w:rPr>
              <w:t>a person must be assumed to have capacity unless it is established that he lacks capacity.</w:t>
            </w:r>
            <w:r w:rsidRPr="006018E2">
              <w:rPr>
                <w:color w:val="auto"/>
                <w:sz w:val="24"/>
                <w:szCs w:val="24"/>
              </w:rPr>
              <w:t xml:space="preserve"> The Social Care Institute for Excellence (SCIE 2011) states how adults may choose to make unwise decisions, place themselves at risk of harm and have the right to not act to protect themselves. In most cases, a Local Authority can only intervene if an adult is assessed as lacking capacity under the MCA 2005, or under the Mental Health Act 1983 (MHA 1983) where safety, or the safety of others is deemed to be at risk. However, under Part 7 of the Social Services and Well-being (Wales) Act 2014, adult protection and support orders have been introduced under the new legislation, which allows a Local Authority to apply to the court for an order allowing them to speak in private with adults in which they suspect may be at risk.</w:t>
            </w:r>
            <w:r w:rsidRPr="006018E2">
              <w:rPr>
                <w:color w:val="auto"/>
                <w:sz w:val="24"/>
                <w:szCs w:val="24"/>
              </w:rPr>
              <w:br/>
            </w:r>
            <w:r w:rsidRPr="006018E2">
              <w:rPr>
                <w:color w:val="auto"/>
              </w:rPr>
              <w:br/>
            </w:r>
            <w:r w:rsidRPr="006018E2">
              <w:rPr>
                <w:color w:val="auto"/>
                <w:sz w:val="24"/>
                <w:szCs w:val="24"/>
              </w:rPr>
              <w:t xml:space="preserve">This is in comparison to Children’s Services, where the Local Authority, Police and Courts can intervene if it felt that a child is at risk of significant harm regardless of the children’s, or their parents’ wishes and feelings. For example, Section 46 of the Children Act 1989 states </w:t>
            </w:r>
            <w:r w:rsidRPr="006018E2">
              <w:rPr>
                <w:i/>
                <w:iCs/>
                <w:color w:val="auto"/>
                <w:sz w:val="24"/>
                <w:szCs w:val="24"/>
              </w:rPr>
              <w:t>that where a constable has reasonable cause to believe that a child is likely to suffer significant harm, the Police may immediately remove the child to suitable accommodation and keep him there.</w:t>
            </w:r>
            <w:r w:rsidRPr="006018E2">
              <w:rPr>
                <w:color w:val="auto"/>
                <w:sz w:val="24"/>
                <w:szCs w:val="24"/>
              </w:rPr>
              <w:t xml:space="preserve"> The Police do not require consent from a child’s parent even if they have Parental Responsibility for the child, nor do they require a court order.  A child cannot decide to stay in a situation of risk. However, children below the age of 16 years may be assessed as Gillick Competent to give consent. The NSPCC (2023) notes that Gillick Competency applies mainly to medical </w:t>
            </w:r>
            <w:proofErr w:type="gramStart"/>
            <w:r w:rsidRPr="006018E2">
              <w:rPr>
                <w:color w:val="auto"/>
                <w:sz w:val="24"/>
                <w:szCs w:val="24"/>
              </w:rPr>
              <w:t>advice</w:t>
            </w:r>
            <w:proofErr w:type="gramEnd"/>
            <w:r w:rsidRPr="006018E2">
              <w:rPr>
                <w:color w:val="auto"/>
                <w:sz w:val="24"/>
                <w:szCs w:val="24"/>
              </w:rPr>
              <w:t xml:space="preserve"> but it </w:t>
            </w:r>
            <w:r>
              <w:rPr>
                <w:color w:val="auto"/>
                <w:sz w:val="24"/>
                <w:szCs w:val="24"/>
              </w:rPr>
              <w:t xml:space="preserve">sometimes </w:t>
            </w:r>
            <w:r w:rsidRPr="006018E2">
              <w:rPr>
                <w:color w:val="auto"/>
                <w:sz w:val="24"/>
                <w:szCs w:val="24"/>
              </w:rPr>
              <w:t>used by professionals in other settings. For example, if a child would like to have therapeutic support but doesn't want their parents or carers to know about it.</w:t>
            </w:r>
            <w:r w:rsidRPr="006018E2">
              <w:rPr>
                <w:color w:val="auto"/>
                <w:sz w:val="24"/>
                <w:szCs w:val="24"/>
              </w:rPr>
              <w:br/>
            </w:r>
          </w:p>
          <w:p w14:paraId="5A9D275E" w14:textId="1A668F56" w:rsidR="00691EAF" w:rsidRPr="00691EAF" w:rsidRDefault="00691EAF" w:rsidP="00691EAF">
            <w:pPr>
              <w:spacing w:line="360" w:lineRule="auto"/>
              <w:rPr>
                <w:sz w:val="24"/>
                <w:szCs w:val="24"/>
              </w:rPr>
            </w:pPr>
            <w:r w:rsidRPr="009C0153">
              <w:rPr>
                <w:rStyle w:val="legds"/>
                <w:sz w:val="24"/>
                <w:szCs w:val="24"/>
              </w:rPr>
              <w:lastRenderedPageBreak/>
              <w:t>Word Count:</w:t>
            </w:r>
            <w:r>
              <w:rPr>
                <w:rStyle w:val="legds"/>
                <w:sz w:val="24"/>
                <w:szCs w:val="24"/>
              </w:rPr>
              <w:t xml:space="preserve"> 392</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CBC2F" w14:textId="77777777" w:rsidR="00917C4F" w:rsidRDefault="00917C4F">
      <w:r>
        <w:separator/>
      </w:r>
    </w:p>
  </w:endnote>
  <w:endnote w:type="continuationSeparator" w:id="0">
    <w:p w14:paraId="65FB92D3" w14:textId="77777777" w:rsidR="00917C4F" w:rsidRDefault="00917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7ACEB" w14:textId="77777777" w:rsidR="00917C4F" w:rsidRDefault="00917C4F">
      <w:r>
        <w:separator/>
      </w:r>
    </w:p>
  </w:footnote>
  <w:footnote w:type="continuationSeparator" w:id="0">
    <w:p w14:paraId="1415C1D9" w14:textId="77777777" w:rsidR="00917C4F" w:rsidRDefault="00917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77F"/>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EAF"/>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C4F"/>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legds">
    <w:name w:val="legds"/>
    <w:basedOn w:val="DefaultParagraphFont"/>
    <w:rsid w:val="00691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12%362%369@s%74%75%64%65%6e%74.%75wt%73d%2e%61%63%2e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Thomas</cp:lastModifiedBy>
  <cp:revision>5</cp:revision>
  <cp:lastPrinted>2020-02-11T19:20:00Z</cp:lastPrinted>
  <dcterms:created xsi:type="dcterms:W3CDTF">2022-09-29T11:35:00Z</dcterms:created>
  <dcterms:modified xsi:type="dcterms:W3CDTF">2023-10-05T14:00:00Z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