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A8546" w14:textId="77777777" w:rsidR="00373981" w:rsidRDefault="00373981" w:rsidP="001A4F45">
      <w:pPr>
        <w:spacing w:after="0"/>
        <w:contextualSpacing/>
        <w:jc w:val="center"/>
        <w:rPr>
          <w:b/>
        </w:rPr>
      </w:pPr>
    </w:p>
    <w:p w14:paraId="3F57BF59" w14:textId="77777777" w:rsidR="00373981" w:rsidRDefault="00373981" w:rsidP="001A4F45">
      <w:pPr>
        <w:spacing w:after="0"/>
        <w:contextualSpacing/>
        <w:jc w:val="center"/>
        <w:rPr>
          <w:b/>
        </w:rPr>
      </w:pPr>
    </w:p>
    <w:p w14:paraId="245488E8" w14:textId="77777777" w:rsidR="00373981" w:rsidRDefault="00373981" w:rsidP="001A4F45">
      <w:pPr>
        <w:spacing w:after="0"/>
        <w:contextualSpacing/>
        <w:jc w:val="center"/>
        <w:rPr>
          <w:b/>
        </w:rPr>
      </w:pPr>
    </w:p>
    <w:p w14:paraId="5A15025F" w14:textId="77777777" w:rsidR="00373981" w:rsidRDefault="00373981" w:rsidP="001A4F45">
      <w:pPr>
        <w:spacing w:after="0"/>
        <w:contextualSpacing/>
        <w:jc w:val="center"/>
        <w:rPr>
          <w:b/>
        </w:rPr>
      </w:pPr>
    </w:p>
    <w:p w14:paraId="7308EB66" w14:textId="77777777" w:rsidR="00373981" w:rsidRDefault="00373981" w:rsidP="001A4F45">
      <w:pPr>
        <w:spacing w:after="0"/>
        <w:contextualSpacing/>
        <w:jc w:val="center"/>
        <w:rPr>
          <w:b/>
        </w:rPr>
      </w:pPr>
    </w:p>
    <w:p w14:paraId="383B8FAE" w14:textId="77777777" w:rsidR="00373981" w:rsidRDefault="00373981" w:rsidP="001A4F45">
      <w:pPr>
        <w:spacing w:after="0"/>
        <w:contextualSpacing/>
        <w:jc w:val="center"/>
        <w:rPr>
          <w:b/>
        </w:rPr>
      </w:pPr>
    </w:p>
    <w:p w14:paraId="6003E824" w14:textId="77777777" w:rsidR="00373981" w:rsidRDefault="00373981" w:rsidP="001A4F45">
      <w:pPr>
        <w:spacing w:after="0"/>
        <w:contextualSpacing/>
        <w:jc w:val="center"/>
        <w:rPr>
          <w:b/>
        </w:rPr>
      </w:pPr>
    </w:p>
    <w:p w14:paraId="10ED966E" w14:textId="77777777" w:rsidR="00373981" w:rsidRDefault="00373981" w:rsidP="001A4F45">
      <w:pPr>
        <w:spacing w:after="0"/>
        <w:contextualSpacing/>
        <w:jc w:val="center"/>
        <w:rPr>
          <w:b/>
        </w:rPr>
      </w:pPr>
    </w:p>
    <w:p w14:paraId="05B0BC47" w14:textId="77777777" w:rsidR="00373981" w:rsidRDefault="00373981" w:rsidP="001A4F45">
      <w:pPr>
        <w:spacing w:after="0"/>
        <w:contextualSpacing/>
        <w:jc w:val="center"/>
        <w:rPr>
          <w:b/>
        </w:rPr>
      </w:pPr>
    </w:p>
    <w:p w14:paraId="683399C0" w14:textId="77777777" w:rsidR="00373981" w:rsidRDefault="00373981" w:rsidP="001A4F45">
      <w:pPr>
        <w:spacing w:after="0"/>
        <w:contextualSpacing/>
        <w:jc w:val="center"/>
        <w:rPr>
          <w:b/>
        </w:rPr>
      </w:pPr>
    </w:p>
    <w:p w14:paraId="1E9E502A" w14:textId="77777777" w:rsidR="00373981" w:rsidRDefault="00373981" w:rsidP="001A4F45">
      <w:pPr>
        <w:spacing w:after="0"/>
        <w:contextualSpacing/>
        <w:jc w:val="center"/>
        <w:rPr>
          <w:b/>
        </w:rPr>
      </w:pPr>
    </w:p>
    <w:p w14:paraId="3A7626F0" w14:textId="77777777" w:rsidR="00373981" w:rsidRDefault="00373981" w:rsidP="001A4F45">
      <w:pPr>
        <w:spacing w:after="0"/>
        <w:contextualSpacing/>
        <w:jc w:val="center"/>
        <w:rPr>
          <w:b/>
        </w:rPr>
      </w:pPr>
    </w:p>
    <w:p w14:paraId="61C08A32" w14:textId="77777777" w:rsidR="0019372E" w:rsidRPr="00373981" w:rsidRDefault="003F25F1" w:rsidP="001A4F45">
      <w:pPr>
        <w:spacing w:after="0"/>
        <w:contextualSpacing/>
        <w:jc w:val="center"/>
        <w:rPr>
          <w:b/>
        </w:rPr>
      </w:pPr>
      <w:r w:rsidRPr="00373981">
        <w:rPr>
          <w:b/>
        </w:rPr>
        <w:t xml:space="preserve">Topic: Explore </w:t>
      </w:r>
      <w:r w:rsidR="00373981">
        <w:rPr>
          <w:b/>
        </w:rPr>
        <w:t>and Evaluate the Use of body-worn cameras i</w:t>
      </w:r>
      <w:r w:rsidR="00373981" w:rsidRPr="00373981">
        <w:rPr>
          <w:b/>
        </w:rPr>
        <w:t>n Evidence-Based Policing</w:t>
      </w:r>
    </w:p>
    <w:p w14:paraId="3282852B" w14:textId="5F525CA2" w:rsidR="0019372E" w:rsidRPr="00373981" w:rsidRDefault="00C65A7A" w:rsidP="001A4F45">
      <w:pPr>
        <w:spacing w:after="0"/>
        <w:contextualSpacing/>
        <w:jc w:val="center"/>
        <w:rPr>
          <w:b/>
        </w:rPr>
      </w:pPr>
      <w:r>
        <w:rPr>
          <w:b/>
        </w:rPr>
        <w:t xml:space="preserve">Maryam </w:t>
      </w:r>
      <w:proofErr w:type="spellStart"/>
      <w:r>
        <w:rPr>
          <w:b/>
        </w:rPr>
        <w:t>rahouf</w:t>
      </w:r>
      <w:proofErr w:type="spellEnd"/>
    </w:p>
    <w:p w14:paraId="543B96C4" w14:textId="61BF4E6B" w:rsidR="00373981" w:rsidRDefault="00C65A7A" w:rsidP="001A4F45">
      <w:pPr>
        <w:spacing w:after="0"/>
        <w:contextualSpacing/>
        <w:jc w:val="center"/>
        <w:rPr>
          <w:b/>
        </w:rPr>
      </w:pPr>
      <w:r>
        <w:rPr>
          <w:b/>
        </w:rPr>
        <w:t>Laura Humphries</w:t>
      </w:r>
    </w:p>
    <w:p w14:paraId="2537AFA3" w14:textId="77777777" w:rsidR="00C65A7A" w:rsidRDefault="00C65A7A" w:rsidP="001A4F45">
      <w:pPr>
        <w:spacing w:after="0"/>
        <w:contextualSpacing/>
        <w:jc w:val="center"/>
        <w:rPr>
          <w:b/>
        </w:rPr>
      </w:pPr>
    </w:p>
    <w:p w14:paraId="0D13B65F" w14:textId="77777777" w:rsidR="00373981" w:rsidRDefault="003F25F1" w:rsidP="001A4F45">
      <w:pPr>
        <w:spacing w:after="0"/>
        <w:contextualSpacing/>
        <w:jc w:val="left"/>
        <w:rPr>
          <w:b/>
        </w:rPr>
      </w:pPr>
      <w:r>
        <w:rPr>
          <w:b/>
        </w:rPr>
        <w:br w:type="page"/>
      </w:r>
    </w:p>
    <w:sdt>
      <w:sdtPr>
        <w:rPr>
          <w:rFonts w:ascii="Times New Roman" w:eastAsiaTheme="minorHAnsi" w:hAnsi="Times New Roman" w:cstheme="minorBidi"/>
          <w:color w:val="auto"/>
          <w:sz w:val="24"/>
          <w:szCs w:val="22"/>
        </w:rPr>
        <w:id w:val="725264546"/>
        <w:docPartObj>
          <w:docPartGallery w:val="Table of Contents"/>
          <w:docPartUnique/>
        </w:docPartObj>
      </w:sdtPr>
      <w:sdtEndPr>
        <w:rPr>
          <w:b/>
          <w:bCs/>
          <w:noProof/>
        </w:rPr>
      </w:sdtEndPr>
      <w:sdtContent>
        <w:p w14:paraId="484813D5" w14:textId="77777777" w:rsidR="00373981" w:rsidRDefault="003F25F1" w:rsidP="001A4F45">
          <w:pPr>
            <w:pStyle w:val="TOCHeading"/>
            <w:spacing w:before="0" w:line="360" w:lineRule="auto"/>
            <w:contextualSpacing/>
          </w:pPr>
          <w:r>
            <w:t>Table of Contents</w:t>
          </w:r>
        </w:p>
        <w:p w14:paraId="102DAA7F" w14:textId="77777777" w:rsidR="001A4F45" w:rsidRDefault="003F25F1" w:rsidP="001A4F45">
          <w:pPr>
            <w:pStyle w:val="TOC1"/>
            <w:tabs>
              <w:tab w:val="right" w:leader="dot" w:pos="9350"/>
            </w:tabs>
            <w:spacing w:after="0"/>
            <w:contextualSpacing/>
            <w:rPr>
              <w:rFonts w:asciiTheme="minorHAnsi" w:eastAsiaTheme="minorEastAsia" w:hAnsiTheme="minorHAnsi"/>
              <w:noProof/>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45039107" w:history="1">
            <w:r w:rsidRPr="00100FF6">
              <w:rPr>
                <w:rStyle w:val="Hyperlink"/>
                <w:noProof/>
              </w:rPr>
              <w:t>Introduction</w:t>
            </w:r>
            <w:r>
              <w:rPr>
                <w:noProof/>
                <w:webHidden/>
              </w:rPr>
              <w:tab/>
            </w:r>
            <w:r>
              <w:rPr>
                <w:noProof/>
                <w:webHidden/>
              </w:rPr>
              <w:fldChar w:fldCharType="begin"/>
            </w:r>
            <w:r>
              <w:rPr>
                <w:noProof/>
                <w:webHidden/>
              </w:rPr>
              <w:instrText xml:space="preserve"> PAGEREF _Toc145039107 \h </w:instrText>
            </w:r>
            <w:r>
              <w:rPr>
                <w:noProof/>
                <w:webHidden/>
              </w:rPr>
            </w:r>
            <w:r>
              <w:rPr>
                <w:noProof/>
                <w:webHidden/>
              </w:rPr>
              <w:fldChar w:fldCharType="separate"/>
            </w:r>
            <w:r>
              <w:rPr>
                <w:noProof/>
                <w:webHidden/>
              </w:rPr>
              <w:t>3</w:t>
            </w:r>
            <w:r>
              <w:rPr>
                <w:noProof/>
                <w:webHidden/>
              </w:rPr>
              <w:fldChar w:fldCharType="end"/>
            </w:r>
          </w:hyperlink>
        </w:p>
        <w:p w14:paraId="42F294FD" w14:textId="77777777" w:rsidR="001A4F45" w:rsidRDefault="00D57422" w:rsidP="001A4F45">
          <w:pPr>
            <w:pStyle w:val="TOC1"/>
            <w:tabs>
              <w:tab w:val="right" w:leader="dot" w:pos="9350"/>
            </w:tabs>
            <w:spacing w:after="0"/>
            <w:contextualSpacing/>
            <w:rPr>
              <w:rFonts w:asciiTheme="minorHAnsi" w:eastAsiaTheme="minorEastAsia" w:hAnsiTheme="minorHAnsi"/>
              <w:noProof/>
              <w:sz w:val="22"/>
              <w:lang w:val="en-GB" w:eastAsia="en-GB"/>
            </w:rPr>
          </w:pPr>
          <w:hyperlink w:anchor="_Toc145039108" w:history="1">
            <w:r w:rsidR="003F25F1" w:rsidRPr="00100FF6">
              <w:rPr>
                <w:rStyle w:val="Hyperlink"/>
                <w:noProof/>
              </w:rPr>
              <w:t>Discussion</w:t>
            </w:r>
            <w:r w:rsidR="003F25F1">
              <w:rPr>
                <w:noProof/>
                <w:webHidden/>
              </w:rPr>
              <w:tab/>
            </w:r>
            <w:r w:rsidR="003F25F1">
              <w:rPr>
                <w:noProof/>
                <w:webHidden/>
              </w:rPr>
              <w:fldChar w:fldCharType="begin"/>
            </w:r>
            <w:r w:rsidR="003F25F1">
              <w:rPr>
                <w:noProof/>
                <w:webHidden/>
              </w:rPr>
              <w:instrText xml:space="preserve"> PAGEREF _Toc145039108 \h </w:instrText>
            </w:r>
            <w:r w:rsidR="003F25F1">
              <w:rPr>
                <w:noProof/>
                <w:webHidden/>
              </w:rPr>
            </w:r>
            <w:r w:rsidR="003F25F1">
              <w:rPr>
                <w:noProof/>
                <w:webHidden/>
              </w:rPr>
              <w:fldChar w:fldCharType="separate"/>
            </w:r>
            <w:r w:rsidR="003F25F1">
              <w:rPr>
                <w:noProof/>
                <w:webHidden/>
              </w:rPr>
              <w:t>3</w:t>
            </w:r>
            <w:r w:rsidR="003F25F1">
              <w:rPr>
                <w:noProof/>
                <w:webHidden/>
              </w:rPr>
              <w:fldChar w:fldCharType="end"/>
            </w:r>
          </w:hyperlink>
        </w:p>
        <w:p w14:paraId="6F4A995B" w14:textId="77777777" w:rsidR="001A4F45" w:rsidRDefault="00D57422" w:rsidP="001A4F45">
          <w:pPr>
            <w:pStyle w:val="TOC2"/>
            <w:tabs>
              <w:tab w:val="right" w:leader="dot" w:pos="9350"/>
            </w:tabs>
            <w:spacing w:after="0"/>
            <w:contextualSpacing/>
            <w:rPr>
              <w:rFonts w:asciiTheme="minorHAnsi" w:eastAsiaTheme="minorEastAsia" w:hAnsiTheme="minorHAnsi"/>
              <w:noProof/>
              <w:sz w:val="22"/>
              <w:lang w:val="en-GB" w:eastAsia="en-GB"/>
            </w:rPr>
          </w:pPr>
          <w:hyperlink w:anchor="_Toc145039109" w:history="1">
            <w:r w:rsidR="003F25F1" w:rsidRPr="00100FF6">
              <w:rPr>
                <w:rStyle w:val="Hyperlink"/>
                <w:noProof/>
              </w:rPr>
              <w:t>Core Ideas of Evidence-Based Policing</w:t>
            </w:r>
            <w:r w:rsidR="003F25F1">
              <w:rPr>
                <w:noProof/>
                <w:webHidden/>
              </w:rPr>
              <w:tab/>
            </w:r>
            <w:r w:rsidR="003F25F1">
              <w:rPr>
                <w:noProof/>
                <w:webHidden/>
              </w:rPr>
              <w:fldChar w:fldCharType="begin"/>
            </w:r>
            <w:r w:rsidR="003F25F1">
              <w:rPr>
                <w:noProof/>
                <w:webHidden/>
              </w:rPr>
              <w:instrText xml:space="preserve"> PAGEREF _Toc145039109 \h </w:instrText>
            </w:r>
            <w:r w:rsidR="003F25F1">
              <w:rPr>
                <w:noProof/>
                <w:webHidden/>
              </w:rPr>
            </w:r>
            <w:r w:rsidR="003F25F1">
              <w:rPr>
                <w:noProof/>
                <w:webHidden/>
              </w:rPr>
              <w:fldChar w:fldCharType="separate"/>
            </w:r>
            <w:r w:rsidR="003F25F1">
              <w:rPr>
                <w:noProof/>
                <w:webHidden/>
              </w:rPr>
              <w:t>3</w:t>
            </w:r>
            <w:r w:rsidR="003F25F1">
              <w:rPr>
                <w:noProof/>
                <w:webHidden/>
              </w:rPr>
              <w:fldChar w:fldCharType="end"/>
            </w:r>
          </w:hyperlink>
        </w:p>
        <w:p w14:paraId="1BEA2408" w14:textId="77777777" w:rsidR="001A4F45" w:rsidRDefault="00D57422" w:rsidP="001A4F45">
          <w:pPr>
            <w:pStyle w:val="TOC2"/>
            <w:tabs>
              <w:tab w:val="right" w:leader="dot" w:pos="9350"/>
            </w:tabs>
            <w:spacing w:after="0"/>
            <w:contextualSpacing/>
            <w:rPr>
              <w:rFonts w:asciiTheme="minorHAnsi" w:eastAsiaTheme="minorEastAsia" w:hAnsiTheme="minorHAnsi"/>
              <w:noProof/>
              <w:sz w:val="22"/>
              <w:lang w:val="en-GB" w:eastAsia="en-GB"/>
            </w:rPr>
          </w:pPr>
          <w:hyperlink w:anchor="_Toc145039110" w:history="1">
            <w:r w:rsidR="003F25F1" w:rsidRPr="00100FF6">
              <w:rPr>
                <w:rStyle w:val="Hyperlink"/>
                <w:noProof/>
              </w:rPr>
              <w:t>Use of Body-Worn Video Cameras and the Use of Evidence-Based Policing</w:t>
            </w:r>
            <w:r w:rsidR="003F25F1">
              <w:rPr>
                <w:noProof/>
                <w:webHidden/>
              </w:rPr>
              <w:tab/>
            </w:r>
            <w:r w:rsidR="003F25F1">
              <w:rPr>
                <w:noProof/>
                <w:webHidden/>
              </w:rPr>
              <w:fldChar w:fldCharType="begin"/>
            </w:r>
            <w:r w:rsidR="003F25F1">
              <w:rPr>
                <w:noProof/>
                <w:webHidden/>
              </w:rPr>
              <w:instrText xml:space="preserve"> PAGEREF _Toc145039110 \h </w:instrText>
            </w:r>
            <w:r w:rsidR="003F25F1">
              <w:rPr>
                <w:noProof/>
                <w:webHidden/>
              </w:rPr>
            </w:r>
            <w:r w:rsidR="003F25F1">
              <w:rPr>
                <w:noProof/>
                <w:webHidden/>
              </w:rPr>
              <w:fldChar w:fldCharType="separate"/>
            </w:r>
            <w:r w:rsidR="003F25F1">
              <w:rPr>
                <w:noProof/>
                <w:webHidden/>
              </w:rPr>
              <w:t>4</w:t>
            </w:r>
            <w:r w:rsidR="003F25F1">
              <w:rPr>
                <w:noProof/>
                <w:webHidden/>
              </w:rPr>
              <w:fldChar w:fldCharType="end"/>
            </w:r>
          </w:hyperlink>
        </w:p>
        <w:p w14:paraId="00751702" w14:textId="77777777" w:rsidR="001A4F45" w:rsidRDefault="00D57422" w:rsidP="001A4F45">
          <w:pPr>
            <w:pStyle w:val="TOC2"/>
            <w:tabs>
              <w:tab w:val="right" w:leader="dot" w:pos="9350"/>
            </w:tabs>
            <w:spacing w:after="0"/>
            <w:contextualSpacing/>
            <w:rPr>
              <w:rFonts w:asciiTheme="minorHAnsi" w:eastAsiaTheme="minorEastAsia" w:hAnsiTheme="minorHAnsi"/>
              <w:noProof/>
              <w:sz w:val="22"/>
              <w:lang w:val="en-GB" w:eastAsia="en-GB"/>
            </w:rPr>
          </w:pPr>
          <w:hyperlink w:anchor="_Toc145039111" w:history="1">
            <w:r w:rsidR="003F25F1" w:rsidRPr="00100FF6">
              <w:rPr>
                <w:rStyle w:val="Hyperlink"/>
                <w:noProof/>
              </w:rPr>
              <w:t>Strengths, Weaknesses and Ethical Limitations of Body Worn Cameras</w:t>
            </w:r>
            <w:r w:rsidR="003F25F1">
              <w:rPr>
                <w:noProof/>
                <w:webHidden/>
              </w:rPr>
              <w:tab/>
            </w:r>
            <w:r w:rsidR="003F25F1">
              <w:rPr>
                <w:noProof/>
                <w:webHidden/>
              </w:rPr>
              <w:fldChar w:fldCharType="begin"/>
            </w:r>
            <w:r w:rsidR="003F25F1">
              <w:rPr>
                <w:noProof/>
                <w:webHidden/>
              </w:rPr>
              <w:instrText xml:space="preserve"> PAGEREF _Toc145039111 \h </w:instrText>
            </w:r>
            <w:r w:rsidR="003F25F1">
              <w:rPr>
                <w:noProof/>
                <w:webHidden/>
              </w:rPr>
            </w:r>
            <w:r w:rsidR="003F25F1">
              <w:rPr>
                <w:noProof/>
                <w:webHidden/>
              </w:rPr>
              <w:fldChar w:fldCharType="separate"/>
            </w:r>
            <w:r w:rsidR="003F25F1">
              <w:rPr>
                <w:noProof/>
                <w:webHidden/>
              </w:rPr>
              <w:t>5</w:t>
            </w:r>
            <w:r w:rsidR="003F25F1">
              <w:rPr>
                <w:noProof/>
                <w:webHidden/>
              </w:rPr>
              <w:fldChar w:fldCharType="end"/>
            </w:r>
          </w:hyperlink>
        </w:p>
        <w:p w14:paraId="270061DF" w14:textId="77777777" w:rsidR="001A4F45" w:rsidRDefault="00D57422" w:rsidP="001A4F45">
          <w:pPr>
            <w:pStyle w:val="TOC1"/>
            <w:tabs>
              <w:tab w:val="right" w:leader="dot" w:pos="9350"/>
            </w:tabs>
            <w:spacing w:after="0"/>
            <w:contextualSpacing/>
            <w:rPr>
              <w:rFonts w:asciiTheme="minorHAnsi" w:eastAsiaTheme="minorEastAsia" w:hAnsiTheme="minorHAnsi"/>
              <w:noProof/>
              <w:sz w:val="22"/>
              <w:lang w:val="en-GB" w:eastAsia="en-GB"/>
            </w:rPr>
          </w:pPr>
          <w:hyperlink w:anchor="_Toc145039112" w:history="1">
            <w:r w:rsidR="003F25F1" w:rsidRPr="00100FF6">
              <w:rPr>
                <w:rStyle w:val="Hyperlink"/>
                <w:noProof/>
              </w:rPr>
              <w:t>Conclusion</w:t>
            </w:r>
            <w:r w:rsidR="003F25F1">
              <w:rPr>
                <w:noProof/>
                <w:webHidden/>
              </w:rPr>
              <w:tab/>
            </w:r>
            <w:r w:rsidR="003F25F1">
              <w:rPr>
                <w:noProof/>
                <w:webHidden/>
              </w:rPr>
              <w:fldChar w:fldCharType="begin"/>
            </w:r>
            <w:r w:rsidR="003F25F1">
              <w:rPr>
                <w:noProof/>
                <w:webHidden/>
              </w:rPr>
              <w:instrText xml:space="preserve"> PAGEREF _Toc145039112 \h </w:instrText>
            </w:r>
            <w:r w:rsidR="003F25F1">
              <w:rPr>
                <w:noProof/>
                <w:webHidden/>
              </w:rPr>
            </w:r>
            <w:r w:rsidR="003F25F1">
              <w:rPr>
                <w:noProof/>
                <w:webHidden/>
              </w:rPr>
              <w:fldChar w:fldCharType="separate"/>
            </w:r>
            <w:r w:rsidR="003F25F1">
              <w:rPr>
                <w:noProof/>
                <w:webHidden/>
              </w:rPr>
              <w:t>8</w:t>
            </w:r>
            <w:r w:rsidR="003F25F1">
              <w:rPr>
                <w:noProof/>
                <w:webHidden/>
              </w:rPr>
              <w:fldChar w:fldCharType="end"/>
            </w:r>
          </w:hyperlink>
        </w:p>
        <w:p w14:paraId="54B7800D" w14:textId="77777777" w:rsidR="001A4F45" w:rsidRDefault="00D57422" w:rsidP="001A4F45">
          <w:pPr>
            <w:pStyle w:val="TOC1"/>
            <w:tabs>
              <w:tab w:val="right" w:leader="dot" w:pos="9350"/>
            </w:tabs>
            <w:spacing w:after="0"/>
            <w:contextualSpacing/>
            <w:rPr>
              <w:rFonts w:asciiTheme="minorHAnsi" w:eastAsiaTheme="minorEastAsia" w:hAnsiTheme="minorHAnsi"/>
              <w:noProof/>
              <w:sz w:val="22"/>
              <w:lang w:val="en-GB" w:eastAsia="en-GB"/>
            </w:rPr>
          </w:pPr>
          <w:hyperlink w:anchor="_Toc145039113" w:history="1">
            <w:r w:rsidR="003F25F1" w:rsidRPr="00100FF6">
              <w:rPr>
                <w:rStyle w:val="Hyperlink"/>
                <w:noProof/>
              </w:rPr>
              <w:t>Reference</w:t>
            </w:r>
            <w:r w:rsidR="003F25F1">
              <w:rPr>
                <w:noProof/>
                <w:webHidden/>
              </w:rPr>
              <w:tab/>
            </w:r>
            <w:r w:rsidR="003F25F1">
              <w:rPr>
                <w:noProof/>
                <w:webHidden/>
              </w:rPr>
              <w:fldChar w:fldCharType="begin"/>
            </w:r>
            <w:r w:rsidR="003F25F1">
              <w:rPr>
                <w:noProof/>
                <w:webHidden/>
              </w:rPr>
              <w:instrText xml:space="preserve"> PAGEREF _Toc145039113 \h </w:instrText>
            </w:r>
            <w:r w:rsidR="003F25F1">
              <w:rPr>
                <w:noProof/>
                <w:webHidden/>
              </w:rPr>
            </w:r>
            <w:r w:rsidR="003F25F1">
              <w:rPr>
                <w:noProof/>
                <w:webHidden/>
              </w:rPr>
              <w:fldChar w:fldCharType="separate"/>
            </w:r>
            <w:r w:rsidR="003F25F1">
              <w:rPr>
                <w:noProof/>
                <w:webHidden/>
              </w:rPr>
              <w:t>9</w:t>
            </w:r>
            <w:r w:rsidR="003F25F1">
              <w:rPr>
                <w:noProof/>
                <w:webHidden/>
              </w:rPr>
              <w:fldChar w:fldCharType="end"/>
            </w:r>
          </w:hyperlink>
        </w:p>
        <w:p w14:paraId="1EB8687A" w14:textId="77777777" w:rsidR="00373981" w:rsidRDefault="003F25F1" w:rsidP="001A4F45">
          <w:pPr>
            <w:spacing w:after="0"/>
            <w:contextualSpacing/>
          </w:pPr>
          <w:r>
            <w:rPr>
              <w:b/>
              <w:bCs/>
              <w:noProof/>
            </w:rPr>
            <w:fldChar w:fldCharType="end"/>
          </w:r>
        </w:p>
      </w:sdtContent>
    </w:sdt>
    <w:p w14:paraId="238CC1C6" w14:textId="77777777" w:rsidR="0019372E" w:rsidRPr="00373981" w:rsidRDefault="0019372E" w:rsidP="001A4F45">
      <w:pPr>
        <w:spacing w:after="0"/>
        <w:contextualSpacing/>
        <w:rPr>
          <w:b/>
        </w:rPr>
      </w:pPr>
    </w:p>
    <w:p w14:paraId="69F29E45" w14:textId="77777777" w:rsidR="0019372E" w:rsidRDefault="003F25F1" w:rsidP="001A4F45">
      <w:pPr>
        <w:spacing w:after="0"/>
        <w:contextualSpacing/>
        <w:jc w:val="left"/>
        <w:rPr>
          <w:rFonts w:eastAsiaTheme="majorEastAsia" w:cs="Times New Roman"/>
          <w:b/>
          <w:sz w:val="32"/>
          <w:szCs w:val="32"/>
        </w:rPr>
      </w:pPr>
      <w:r>
        <w:br w:type="page"/>
      </w:r>
    </w:p>
    <w:p w14:paraId="1BAEB900" w14:textId="77777777" w:rsidR="00031FC6" w:rsidRDefault="003F25F1" w:rsidP="001A4F45">
      <w:pPr>
        <w:pStyle w:val="Heading1"/>
        <w:spacing w:before="0"/>
        <w:contextualSpacing/>
      </w:pPr>
      <w:bookmarkStart w:id="0" w:name="_Toc145039107"/>
      <w:r w:rsidRPr="00985434">
        <w:lastRenderedPageBreak/>
        <w:t>Introduction</w:t>
      </w:r>
      <w:bookmarkEnd w:id="0"/>
    </w:p>
    <w:p w14:paraId="18FBF91D" w14:textId="77777777" w:rsidR="00985434" w:rsidRPr="00985434" w:rsidRDefault="003F25F1" w:rsidP="001A4F45">
      <w:pPr>
        <w:spacing w:after="0"/>
        <w:ind w:firstLine="720"/>
        <w:contextualSpacing/>
      </w:pPr>
      <w:r w:rsidRPr="00985434">
        <w:t>In an age of extraordinary technological developments, law enforcement has innovated. The use of body-worn cameras (BWCs) in police has drawn attention and discussion. These tiny, portable devices, worn on police uniforms, may record audio and video, providing a complete, real-time account of police-citizen encounters</w:t>
      </w:r>
      <w:r w:rsidR="0019372E">
        <w:t xml:space="preserve"> (</w:t>
      </w:r>
      <w:r w:rsidR="0019372E">
        <w:rPr>
          <w:rFonts w:cs="Times New Roman"/>
          <w:szCs w:val="20"/>
          <w:shd w:val="clear" w:color="auto" w:fill="FFFFFF"/>
        </w:rPr>
        <w:t>Wright and Headley, 2021</w:t>
      </w:r>
      <w:r w:rsidR="0019372E">
        <w:t>)</w:t>
      </w:r>
      <w:r w:rsidRPr="00985434">
        <w:t xml:space="preserve">. Body-worn cameras are a major change in criminal justice evidence-gathering that might improve openness, accountability, and police. </w:t>
      </w:r>
      <w:r w:rsidR="00373981">
        <w:t>Modern law enforcement prioritis</w:t>
      </w:r>
      <w:r w:rsidRPr="00985434">
        <w:t xml:space="preserve">es empirical data and research to inform decision-making and operational operations. This </w:t>
      </w:r>
      <w:r>
        <w:t>essay</w:t>
      </w:r>
      <w:r w:rsidRPr="00985434">
        <w:t xml:space="preserve"> examines the many benefits of using body-worn cameras in evidence-based policing. This essay </w:t>
      </w:r>
      <w:r>
        <w:t>further evaluate</w:t>
      </w:r>
      <w:r w:rsidRPr="00985434">
        <w:t>s the pros, cons, and ethics of BWCs to determine if they improve police-community relations, evidence collection, and law enforcement accountability. Body-worn cameras have sparked debate, with proponents claiming they can increase trust between law enforcement and the communities they serve and critics citing privacy concerns and the challenges of managing massive data sets</w:t>
      </w:r>
      <w:r w:rsidR="0019372E">
        <w:t xml:space="preserve"> (</w:t>
      </w:r>
      <w:r w:rsidR="0019372E">
        <w:rPr>
          <w:rFonts w:cs="Times New Roman"/>
          <w:szCs w:val="20"/>
          <w:shd w:val="clear" w:color="auto" w:fill="FFFFFF"/>
        </w:rPr>
        <w:t>White, 2019</w:t>
      </w:r>
      <w:r w:rsidR="0019372E">
        <w:t>)</w:t>
      </w:r>
      <w:r w:rsidRPr="00985434">
        <w:t>. This study provides a balanced view of BWC deployment in evidence-based policing across this complicated landscape.</w:t>
      </w:r>
    </w:p>
    <w:p w14:paraId="15908549" w14:textId="77777777" w:rsidR="00985434" w:rsidRDefault="003F25F1" w:rsidP="001A4F45">
      <w:pPr>
        <w:pStyle w:val="Heading1"/>
        <w:spacing w:before="0"/>
        <w:contextualSpacing/>
      </w:pPr>
      <w:bookmarkStart w:id="1" w:name="_Toc145039108"/>
      <w:r w:rsidRPr="00985434">
        <w:t>Discussion</w:t>
      </w:r>
      <w:bookmarkEnd w:id="1"/>
    </w:p>
    <w:p w14:paraId="6455FA63" w14:textId="77777777" w:rsidR="00985434" w:rsidRDefault="003F25F1" w:rsidP="001A4F45">
      <w:pPr>
        <w:pStyle w:val="Heading2"/>
        <w:spacing w:before="0"/>
        <w:contextualSpacing/>
      </w:pPr>
      <w:bookmarkStart w:id="2" w:name="_Toc145039109"/>
      <w:r w:rsidRPr="00985434">
        <w:t>Core Ideas of Evidence-Based Policing</w:t>
      </w:r>
      <w:bookmarkEnd w:id="2"/>
    </w:p>
    <w:p w14:paraId="5173A2FF" w14:textId="77777777" w:rsidR="005860FF" w:rsidRDefault="003F25F1" w:rsidP="001A4F45">
      <w:pPr>
        <w:spacing w:after="0"/>
        <w:ind w:firstLine="720"/>
        <w:contextualSpacing/>
      </w:pPr>
      <w:r w:rsidRPr="005860FF">
        <w:t xml:space="preserve">Evidence-Based Policing </w:t>
      </w:r>
      <w:r>
        <w:t>(</w:t>
      </w:r>
      <w:r w:rsidR="00985434" w:rsidRPr="00985434">
        <w:t>EBP</w:t>
      </w:r>
      <w:r>
        <w:t>)</w:t>
      </w:r>
      <w:r w:rsidR="00985434" w:rsidRPr="00985434">
        <w:t xml:space="preserve"> stresses the systematic use of empirical data and research to support police department decision-making, policy creation, and operational initiatives. It bridges academic research with police activity to provide scientifically sound law enforcement tactics</w:t>
      </w:r>
      <w:r w:rsidR="0019372E">
        <w:t xml:space="preserve"> (</w:t>
      </w:r>
      <w:r w:rsidR="0019372E">
        <w:rPr>
          <w:rFonts w:cs="Times New Roman"/>
          <w:szCs w:val="20"/>
          <w:shd w:val="clear" w:color="auto" w:fill="FFFFFF"/>
        </w:rPr>
        <w:t>Lum et al., 2019</w:t>
      </w:r>
      <w:r w:rsidR="0019372E">
        <w:t>)</w:t>
      </w:r>
      <w:r w:rsidR="00985434" w:rsidRPr="00985434">
        <w:t xml:space="preserve">. </w:t>
      </w:r>
      <w:r w:rsidR="00C87C28">
        <w:t>The fundamental concept of e</w:t>
      </w:r>
      <w:r w:rsidR="00985434" w:rsidRPr="00985434">
        <w:t xml:space="preserve">vidence-based policing </w:t>
      </w:r>
      <w:r w:rsidR="00C87C28">
        <w:t xml:space="preserve">is that it </w:t>
      </w:r>
      <w:r w:rsidR="00985434" w:rsidRPr="00985434">
        <w:t xml:space="preserve">uses data and research to guide all law enforcement activities. Police agencies use crime patterns, community needs, and officer performance statistics to allocate resources, prevent crime, and deploy people. </w:t>
      </w:r>
      <w:r w:rsidR="00373981">
        <w:t>Evidence-based policing emphasis</w:t>
      </w:r>
      <w:r w:rsidR="00985434" w:rsidRPr="00985434">
        <w:t>es empirical res</w:t>
      </w:r>
      <w:r w:rsidR="00373981">
        <w:t>earch, which collects and analys</w:t>
      </w:r>
      <w:r w:rsidR="00985434" w:rsidRPr="00985434">
        <w:t>es data to test ideas and develop conclusions. Police agencies study and evaluate successful strategies alongside researchers and academics.</w:t>
      </w:r>
      <w:r w:rsidR="00985434">
        <w:t xml:space="preserve"> </w:t>
      </w:r>
      <w:r w:rsidR="00985434" w:rsidRPr="00985434">
        <w:t>Law enforcement seeks proof of what works and what doesn't rather than intuition or tradition</w:t>
      </w:r>
      <w:r w:rsidR="0019372E">
        <w:t xml:space="preserve"> (</w:t>
      </w:r>
      <w:r w:rsidR="0019372E">
        <w:rPr>
          <w:rFonts w:cs="Times New Roman"/>
          <w:szCs w:val="20"/>
          <w:shd w:val="clear" w:color="auto" w:fill="FFFFFF"/>
        </w:rPr>
        <w:t>Gaub and White, 2020</w:t>
      </w:r>
      <w:r w:rsidR="0019372E">
        <w:t>)</w:t>
      </w:r>
      <w:r w:rsidR="00985434" w:rsidRPr="00985434">
        <w:t xml:space="preserve">. This strategy helps them find and apply proven crime-reduction, community safety, and police-effectiveness initiatives. Police agencies become more transparent and accountable using EBP. </w:t>
      </w:r>
    </w:p>
    <w:p w14:paraId="5C40F437" w14:textId="77777777" w:rsidR="00985434" w:rsidRDefault="003F25F1" w:rsidP="001A4F45">
      <w:pPr>
        <w:spacing w:after="0"/>
        <w:ind w:firstLine="720"/>
        <w:contextualSpacing/>
      </w:pPr>
      <w:r w:rsidRPr="00985434">
        <w:lastRenderedPageBreak/>
        <w:t>Empirical evidence helps agencies justify their actions and show a commitment to accountable and responsible pol</w:t>
      </w:r>
      <w:r w:rsidR="005860FF">
        <w:t xml:space="preserve">icing. </w:t>
      </w:r>
      <w:r w:rsidRPr="00985434">
        <w:t>Body-worn cameras and other technology may boost transparency. E</w:t>
      </w:r>
      <w:r w:rsidR="0019372E">
        <w:t xml:space="preserve">vidence-based policing evolves which </w:t>
      </w:r>
      <w:r w:rsidRPr="00985434">
        <w:t>encourages police forces to periodically evaluate their procedures based on new studies and changing situations</w:t>
      </w:r>
      <w:r w:rsidR="0019372E">
        <w:t xml:space="preserve"> (</w:t>
      </w:r>
      <w:r w:rsidR="0019372E">
        <w:rPr>
          <w:rFonts w:cs="Times New Roman"/>
          <w:szCs w:val="20"/>
          <w:shd w:val="clear" w:color="auto" w:fill="FFFFFF"/>
        </w:rPr>
        <w:t>White and Malm, 2020</w:t>
      </w:r>
      <w:r w:rsidR="0019372E">
        <w:t>)</w:t>
      </w:r>
      <w:r w:rsidRPr="00985434">
        <w:t>. This dedication to ongoing developmen</w:t>
      </w:r>
      <w:r w:rsidR="00373981">
        <w:t>t helps organis</w:t>
      </w:r>
      <w:r w:rsidRPr="00985434">
        <w:t>ations adapt to new problems and community requirements. Community participation and cooperation are important to EBP. Police agencies include community people, stakeholders, and specialists in research and decision-making. This builds trust, aligns police with</w:t>
      </w:r>
      <w:r w:rsidR="00373981">
        <w:t xml:space="preserve"> community values, and legitimis</w:t>
      </w:r>
      <w:r w:rsidRPr="00985434">
        <w:t>es law enforcement.</w:t>
      </w:r>
      <w:r w:rsidR="005860FF">
        <w:t xml:space="preserve"> </w:t>
      </w:r>
      <w:r w:rsidR="005860FF" w:rsidRPr="005860FF">
        <w:t>EBP supports res</w:t>
      </w:r>
      <w:r w:rsidR="00373981">
        <w:t>earch and data but also recognis</w:t>
      </w:r>
      <w:r w:rsidR="005860FF" w:rsidRPr="005860FF">
        <w:t>es policing's practicalities. It balances academic research with law enforcement needs to develop evidence-based procedures</w:t>
      </w:r>
      <w:r w:rsidR="0019372E">
        <w:t xml:space="preserve"> (</w:t>
      </w:r>
      <w:r w:rsidR="0019372E">
        <w:rPr>
          <w:rFonts w:cs="Times New Roman"/>
          <w:szCs w:val="20"/>
          <w:shd w:val="clear" w:color="auto" w:fill="FFFFFF"/>
        </w:rPr>
        <w:t>Groff, Haberman and Wood, 2020</w:t>
      </w:r>
      <w:r w:rsidR="0019372E">
        <w:t>)</w:t>
      </w:r>
      <w:r w:rsidR="005860FF" w:rsidRPr="005860FF">
        <w:t>. Thus, evidence-based police strives to change law enforcement by incorporating research and statistics into every area of policing. It stresses empirical data to make educated choices, enhance results, and strengthen community ties for more effective and accountable police.</w:t>
      </w:r>
    </w:p>
    <w:p w14:paraId="42E5CB2E" w14:textId="77777777" w:rsidR="005860FF" w:rsidRDefault="003F25F1" w:rsidP="001A4F45">
      <w:pPr>
        <w:pStyle w:val="Heading2"/>
        <w:spacing w:before="0"/>
        <w:contextualSpacing/>
      </w:pPr>
      <w:bookmarkStart w:id="3" w:name="_Toc145039110"/>
      <w:r>
        <w:t>U</w:t>
      </w:r>
      <w:r w:rsidRPr="005860FF">
        <w:t xml:space="preserve">se </w:t>
      </w:r>
      <w:r>
        <w:t xml:space="preserve">of </w:t>
      </w:r>
      <w:r w:rsidRPr="005860FF">
        <w:t>Body-Worn Video Cameras and the Use of Evidence-Based Policing</w:t>
      </w:r>
      <w:bookmarkEnd w:id="3"/>
    </w:p>
    <w:p w14:paraId="04B07E74" w14:textId="77777777" w:rsidR="005860FF" w:rsidRDefault="003F25F1" w:rsidP="001A4F45">
      <w:pPr>
        <w:spacing w:after="0"/>
        <w:ind w:firstLine="720"/>
        <w:contextualSpacing/>
      </w:pPr>
      <w:r w:rsidRPr="005860FF">
        <w:t>The use of body-worn video cameras (BWCs) in evidence-based policing represents a significant advancement in law enforcement technology and methodology. These cameras are small, portable devices typically worn by police officers on their uniforms</w:t>
      </w:r>
      <w:r w:rsidR="0019372E">
        <w:t xml:space="preserve"> (</w:t>
      </w:r>
      <w:r w:rsidR="0019372E">
        <w:rPr>
          <w:rFonts w:cs="Times New Roman"/>
          <w:szCs w:val="20"/>
          <w:shd w:val="clear" w:color="auto" w:fill="FFFFFF"/>
        </w:rPr>
        <w:t>Christodoulou, Paterson and Kemp, 2019</w:t>
      </w:r>
      <w:r w:rsidR="0019372E">
        <w:t>)</w:t>
      </w:r>
      <w:r w:rsidRPr="005860FF">
        <w:t>. They are equipped to record audio and video, capturing real-time interactions between law enforcement officers and the public. BWCs serve as valuable tools for collecting real-time, objective, and high-quality data during law enforcement encounters. The video and audio recordings provide an accurate and unbiased account of events, enhancing the reliability of the evidence collected. This data can be used for various purposes, such as documenting incidents, investigating complaints, and preserving evidence for court proceedings. BWCs promote transparency and accountability within police departments</w:t>
      </w:r>
      <w:r w:rsidR="0019372E">
        <w:t xml:space="preserve"> (</w:t>
      </w:r>
      <w:r w:rsidR="0019372E">
        <w:rPr>
          <w:rFonts w:cs="Times New Roman"/>
          <w:szCs w:val="20"/>
          <w:shd w:val="clear" w:color="auto" w:fill="FFFFFF"/>
        </w:rPr>
        <w:t>Williams et al., 2021</w:t>
      </w:r>
      <w:r w:rsidR="0019372E">
        <w:t>)</w:t>
      </w:r>
      <w:r w:rsidRPr="005860FF">
        <w:t>. By recording interactions with the public, BWCs create a record of police conduct that can be reviewed by supervisors, oversight agencies, and the public. This transparency helps hold officers accountable for their actions and can build trust between law enforcement agencies and the communities they serve.</w:t>
      </w:r>
      <w:r>
        <w:t xml:space="preserve"> </w:t>
      </w:r>
    </w:p>
    <w:p w14:paraId="01EFDA59" w14:textId="77777777" w:rsidR="005860FF" w:rsidRDefault="003F25F1" w:rsidP="001A4F45">
      <w:pPr>
        <w:spacing w:after="0"/>
        <w:ind w:firstLine="720"/>
        <w:contextualSpacing/>
      </w:pPr>
      <w:r w:rsidRPr="005860FF">
        <w:t>BWCs are essential for crime scene and arrest evidence preservation. The recordings capture the early aftermath of occurrences, preservin</w:t>
      </w:r>
      <w:r>
        <w:t xml:space="preserve">g essential facts. </w:t>
      </w:r>
      <w:r w:rsidRPr="005860FF">
        <w:t>This evidence may bolster investigations, verify witness accounts, and g</w:t>
      </w:r>
      <w:r>
        <w:t xml:space="preserve">ive an impartial court account therefore, </w:t>
      </w:r>
      <w:r w:rsidRPr="005860FF">
        <w:t xml:space="preserve">BWC film </w:t>
      </w:r>
      <w:r w:rsidRPr="005860FF">
        <w:lastRenderedPageBreak/>
        <w:t>may help teach and evaluate police practices</w:t>
      </w:r>
      <w:r w:rsidR="0019372E">
        <w:t xml:space="preserve"> (</w:t>
      </w:r>
      <w:r w:rsidR="0019372E">
        <w:rPr>
          <w:rFonts w:cs="Times New Roman"/>
          <w:szCs w:val="20"/>
          <w:shd w:val="clear" w:color="auto" w:fill="FFFFFF"/>
        </w:rPr>
        <w:t>Boivin, 2020</w:t>
      </w:r>
      <w:r w:rsidR="0019372E">
        <w:t>)</w:t>
      </w:r>
      <w:r w:rsidR="00373981">
        <w:t>. Police agencies may utilis</w:t>
      </w:r>
      <w:r w:rsidRPr="005860FF">
        <w:t>e recordings for debriefings, performance evaluations, and improvement. BWC film helps agencies discover best practices and improve training. BWCs improve community involvement. Knowing their encounters with police are recorded may help officers and community people behave properly. Community members may also see the BWC film, which builds trust and accountability. Law enforcement authorities may use BWC data to make evidence-based judgments</w:t>
      </w:r>
      <w:r w:rsidR="0019372E">
        <w:t xml:space="preserve"> (</w:t>
      </w:r>
      <w:r w:rsidR="0019372E">
        <w:rPr>
          <w:rFonts w:cs="Times New Roman"/>
          <w:szCs w:val="20"/>
          <w:shd w:val="clear" w:color="auto" w:fill="FFFFFF"/>
        </w:rPr>
        <w:t>Wooditch et al., 2020</w:t>
      </w:r>
      <w:r w:rsidR="0019372E">
        <w:t>)</w:t>
      </w:r>
      <w:r w:rsidRPr="005860FF">
        <w:t>. Res</w:t>
      </w:r>
      <w:r w:rsidR="00373981">
        <w:t>earchers and analysts may analys</w:t>
      </w:r>
      <w:r w:rsidRPr="005860FF">
        <w:t xml:space="preserve">e recordings to find patterns, trends, and ways to enhance police. This data-driven strategy follows evidence-based policing concepts. BWCs present legal and ethical issues that are crucial to evidence-based policing. </w:t>
      </w:r>
    </w:p>
    <w:p w14:paraId="69983044" w14:textId="77777777" w:rsidR="005860FF" w:rsidRDefault="003F25F1" w:rsidP="001A4F45">
      <w:pPr>
        <w:spacing w:after="0"/>
        <w:ind w:firstLine="720"/>
        <w:contextualSpacing/>
      </w:pPr>
      <w:r w:rsidRPr="005860FF">
        <w:t>Privacy, data storage, recording access, and BWC usage regulations are among these factors. Evidence-based policing helps or</w:t>
      </w:r>
      <w:r w:rsidR="00373981">
        <w:t>ganis</w:t>
      </w:r>
      <w:r w:rsidRPr="005860FF">
        <w:t>ations to deliberately handle these concerns legally and ethically</w:t>
      </w:r>
      <w:r w:rsidR="0019372E">
        <w:t xml:space="preserve"> (</w:t>
      </w:r>
      <w:r w:rsidR="0019372E">
        <w:rPr>
          <w:rFonts w:cs="Times New Roman"/>
          <w:szCs w:val="20"/>
          <w:shd w:val="clear" w:color="auto" w:fill="FFFFFF"/>
        </w:rPr>
        <w:t>Lum et al., 2020</w:t>
      </w:r>
      <w:r w:rsidR="0019372E">
        <w:t>)</w:t>
      </w:r>
      <w:r w:rsidRPr="005860FF">
        <w:t>.</w:t>
      </w:r>
      <w:r>
        <w:t xml:space="preserve"> </w:t>
      </w:r>
      <w:r w:rsidRPr="005860FF">
        <w:t>Police used body-worn cameras to arrest and investigate Sarah Everard's murder in March 2021, attracting UK attention. The disappearance of 33-year-old Sarah Everard in South London sparked a nationwide hunt. A Metropolitan Police officer was arrested for kidnapping and murdering her when her remains were found. Body-worn cameras were crucial to the investigation and judicial actions. The cop was carrying a body-worn camera throughout his arrest and conversations with Sarah Everard. The officer's and victim's exchanges were captured on these body-worn cameras, which were vital evidence. This case showed the value of body-worn cameras in capturing police encounters and preserving evidence</w:t>
      </w:r>
      <w:r w:rsidR="0019372E">
        <w:t xml:space="preserve"> (</w:t>
      </w:r>
      <w:r w:rsidR="0019372E">
        <w:rPr>
          <w:rFonts w:cs="Times New Roman"/>
          <w:szCs w:val="20"/>
          <w:shd w:val="clear" w:color="auto" w:fill="FFFFFF"/>
        </w:rPr>
        <w:t>Pickering, 2020</w:t>
      </w:r>
      <w:r w:rsidR="0019372E">
        <w:t>)</w:t>
      </w:r>
      <w:r w:rsidRPr="005860FF">
        <w:t>. The recordings contributed to criminal justice openness and accountability throughout the</w:t>
      </w:r>
      <w:r>
        <w:t xml:space="preserve"> investigation and prosecution.</w:t>
      </w:r>
    </w:p>
    <w:p w14:paraId="0E8099CB" w14:textId="77777777" w:rsidR="005860FF" w:rsidRDefault="003F25F1" w:rsidP="001A4F45">
      <w:pPr>
        <w:pStyle w:val="Heading2"/>
        <w:spacing w:before="0"/>
        <w:contextualSpacing/>
      </w:pPr>
      <w:bookmarkStart w:id="4" w:name="_Toc145039111"/>
      <w:r w:rsidRPr="005860FF">
        <w:t>Strengths</w:t>
      </w:r>
      <w:r>
        <w:t>, Weaknesses a</w:t>
      </w:r>
      <w:r w:rsidRPr="005860FF">
        <w:t>nd Ethica</w:t>
      </w:r>
      <w:r>
        <w:t>l Limitations o</w:t>
      </w:r>
      <w:r w:rsidRPr="005860FF">
        <w:t>f Body Worn Cameras</w:t>
      </w:r>
      <w:bookmarkEnd w:id="4"/>
    </w:p>
    <w:p w14:paraId="7698B93D" w14:textId="77777777" w:rsidR="005860FF" w:rsidRDefault="0009793C" w:rsidP="001A4F45">
      <w:pPr>
        <w:spacing w:after="0"/>
        <w:ind w:firstLine="720"/>
        <w:contextualSpacing/>
      </w:pPr>
      <w:r>
        <w:t xml:space="preserve">Body-Worn </w:t>
      </w:r>
      <w:r w:rsidR="003F25F1" w:rsidRPr="00AF002C">
        <w:t xml:space="preserve">Cameras </w:t>
      </w:r>
      <w:r w:rsidR="003F25F1">
        <w:t>(BWC)</w:t>
      </w:r>
      <w:r w:rsidR="003F25F1" w:rsidRPr="005860FF">
        <w:t xml:space="preserve"> improve evidence by recording police encounters objectively and verifiably. This paperwork is vital for investigations, legal cases, and accountability. BWCs help cops remember situations</w:t>
      </w:r>
      <w:r w:rsidR="0019372E">
        <w:t xml:space="preserve"> (</w:t>
      </w:r>
      <w:r w:rsidR="0019372E">
        <w:rPr>
          <w:rFonts w:cs="Times New Roman"/>
          <w:szCs w:val="20"/>
          <w:shd w:val="clear" w:color="auto" w:fill="FFFFFF"/>
        </w:rPr>
        <w:t>Todak and Gaub, 2020</w:t>
      </w:r>
      <w:r w:rsidR="0019372E">
        <w:t>)</w:t>
      </w:r>
      <w:r w:rsidR="003F25F1" w:rsidRPr="005860FF">
        <w:t>. They are a "second set of eyes" and may help recreate events for testifying. BWC film may assist cops in evaluating their actions and decisions during training. This increases self-awareness and cognitive abilities. Transparency and accountability from BWCs may boost community trust. Officers may be more careful while recording their activities, improving community relations.</w:t>
      </w:r>
      <w:r w:rsidR="003F25F1">
        <w:t xml:space="preserve"> One of the main limitations of the study is that the </w:t>
      </w:r>
      <w:r w:rsidR="003F25F1" w:rsidRPr="005860FF">
        <w:t>BWCs may miss parts of an occurrence, leaving gaps in evidence. Officers may choose when to activate the cameras, missing crucial moments</w:t>
      </w:r>
      <w:r w:rsidR="0019372E">
        <w:t xml:space="preserve"> (</w:t>
      </w:r>
      <w:r w:rsidR="0019372E">
        <w:rPr>
          <w:rFonts w:cs="Times New Roman"/>
          <w:szCs w:val="20"/>
          <w:shd w:val="clear" w:color="auto" w:fill="FFFFFF"/>
        </w:rPr>
        <w:t>Ringrose, 2019</w:t>
      </w:r>
      <w:r w:rsidR="0019372E">
        <w:t>)</w:t>
      </w:r>
      <w:r w:rsidR="003F25F1" w:rsidRPr="005860FF">
        <w:t xml:space="preserve">. Privacy rights are raised </w:t>
      </w:r>
      <w:r w:rsidR="003F25F1" w:rsidRPr="005860FF">
        <w:lastRenderedPageBreak/>
        <w:t>by BWCs' recording of intimate situations. Indiscriminately recording individuals may violate their privacy. BWCs may malfunction, have limited battery life, and have poor low-light sight. Evidence may be unreliable due to these constraints. Officers may overthink the camera's presence, impairing their decision-making. This "hindsight bias" might impede their capacity to adapt to quickly changing settings.</w:t>
      </w:r>
      <w:r w:rsidR="003F25F1">
        <w:t xml:space="preserve"> </w:t>
      </w:r>
      <w:r w:rsidR="003F25F1" w:rsidRPr="00AF002C">
        <w:t>BWCs pose problems concerning informed permission from private or sensitive subjects</w:t>
      </w:r>
      <w:r w:rsidR="0019372E">
        <w:t xml:space="preserve"> (</w:t>
      </w:r>
      <w:r w:rsidR="0019372E">
        <w:rPr>
          <w:rFonts w:cs="Times New Roman"/>
          <w:szCs w:val="20"/>
          <w:shd w:val="clear" w:color="auto" w:fill="FFFFFF"/>
        </w:rPr>
        <w:t>Crow and Smykla, 2019</w:t>
      </w:r>
      <w:r w:rsidR="0019372E">
        <w:t>)</w:t>
      </w:r>
      <w:r w:rsidR="003F25F1" w:rsidRPr="00AF002C">
        <w:t>. Law enforcement may not be able to get consent. BWC data retention and access raise ethical problems</w:t>
      </w:r>
      <w:r w:rsidR="00373981">
        <w:t>. Recording misuse or unauthoris</w:t>
      </w:r>
      <w:r w:rsidR="003F25F1" w:rsidRPr="00AF002C">
        <w:t>ed access might violate privacy and civil liberties. Selective usage of BWC films may skew narratives. This compromises the evidence's neutrality and credibility. Mental health crisis and homeless populations may be disproportionately affected by BWCs. Cameras may dissuade people from seeking he</w:t>
      </w:r>
      <w:r w:rsidR="0019372E">
        <w:t>lp or collaborating with police (</w:t>
      </w:r>
      <w:r w:rsidR="0019372E">
        <w:rPr>
          <w:rFonts w:cs="Times New Roman"/>
          <w:szCs w:val="20"/>
          <w:shd w:val="clear" w:color="auto" w:fill="FFFFFF"/>
        </w:rPr>
        <w:t>Ariel, et al., 2020</w:t>
      </w:r>
      <w:r w:rsidR="0019372E">
        <w:t>)</w:t>
      </w:r>
    </w:p>
    <w:p w14:paraId="5C0757B6" w14:textId="77777777" w:rsidR="00AF002C" w:rsidRDefault="003F25F1" w:rsidP="001A4F45">
      <w:pPr>
        <w:spacing w:after="0"/>
        <w:ind w:firstLine="720"/>
        <w:contextualSpacing/>
      </w:pPr>
      <w:r w:rsidRPr="00AF002C">
        <w:t>BWCs may record victims' and offenders' demeanour, comments, and actions in domestic abuse cases. Since in-person interviews may be daunting, victims may feel safer and more comfortable giving comments on video</w:t>
      </w:r>
      <w:r w:rsidR="0019372E">
        <w:t xml:space="preserve"> (</w:t>
      </w:r>
      <w:r w:rsidR="0019372E">
        <w:rPr>
          <w:rFonts w:cs="Times New Roman"/>
          <w:szCs w:val="20"/>
          <w:shd w:val="clear" w:color="auto" w:fill="FFFFFF"/>
        </w:rPr>
        <w:t>Pickering, 2020</w:t>
      </w:r>
      <w:r w:rsidR="0019372E">
        <w:t>)</w:t>
      </w:r>
      <w:r w:rsidRPr="00AF002C">
        <w:t>. BWC film may support or dispute both sides' assertions, enabling investigators to identify the aggressor. Recording in private homes may violate the privacy rights of innocent family members and children. Officers arriving after the event may miss key context. BWC activation might vary, causing recording gaps. If the abuser finds the video, a camera may exacerbate emotions or lead to revenge.</w:t>
      </w:r>
      <w:r>
        <w:t xml:space="preserve"> </w:t>
      </w:r>
      <w:r w:rsidRPr="00AF002C">
        <w:t>BWCs may record street crime, giving evidence for prosecution</w:t>
      </w:r>
      <w:r w:rsidR="0019372E">
        <w:t xml:space="preserve"> (</w:t>
      </w:r>
      <w:r w:rsidR="0019372E">
        <w:rPr>
          <w:rFonts w:cs="Times New Roman"/>
          <w:szCs w:val="20"/>
          <w:shd w:val="clear" w:color="auto" w:fill="FFFFFF"/>
        </w:rPr>
        <w:t>Boivin et al., 2020</w:t>
      </w:r>
      <w:r w:rsidR="0019372E">
        <w:t>)</w:t>
      </w:r>
      <w:r w:rsidRPr="00AF002C">
        <w:t>. BWCs may also dissuade criminals, reducing street crime. BWCs may hold police and criminals responsible for street confrontations. Officers may select when to activate BWCs, missing crucial moments. Recording innocent people without their permission or knowledge is possible. To preserve BWC video as evidence, its chain of possession and storage must be controlled</w:t>
      </w:r>
      <w:r w:rsidR="0019372E">
        <w:t xml:space="preserve"> (</w:t>
      </w:r>
      <w:r w:rsidR="0019372E">
        <w:rPr>
          <w:rFonts w:cs="Times New Roman"/>
          <w:szCs w:val="20"/>
          <w:shd w:val="clear" w:color="auto" w:fill="FFFFFF"/>
        </w:rPr>
        <w:t>White and Malm, 2020</w:t>
      </w:r>
      <w:r w:rsidR="0019372E">
        <w:t>)</w:t>
      </w:r>
      <w:r w:rsidRPr="00AF002C">
        <w:t>.</w:t>
      </w:r>
    </w:p>
    <w:p w14:paraId="20BCD961" w14:textId="77777777" w:rsidR="00AF002C" w:rsidRDefault="003F25F1" w:rsidP="001A4F45">
      <w:pPr>
        <w:spacing w:after="0"/>
        <w:ind w:firstLine="720"/>
        <w:contextualSpacing/>
      </w:pPr>
      <w:r w:rsidRPr="00AF002C">
        <w:t>BWCs document stop-and-search procedures, including the grounds for the search and the officer's and stopped person's actions. BWCs may assist in preventing profiling and abuse by ensuring stops follow legal and procedural norms</w:t>
      </w:r>
      <w:r w:rsidR="0019372E">
        <w:t xml:space="preserve"> (</w:t>
      </w:r>
      <w:r w:rsidR="0019372E">
        <w:rPr>
          <w:rFonts w:cs="Times New Roman"/>
          <w:szCs w:val="20"/>
          <w:shd w:val="clear" w:color="auto" w:fill="FFFFFF"/>
        </w:rPr>
        <w:t>Wright and Headley, 2021</w:t>
      </w:r>
      <w:r w:rsidR="0019372E">
        <w:t>)</w:t>
      </w:r>
      <w:r w:rsidRPr="00AF002C">
        <w:t>. Recorded interactions may teach and evaluate cops during stop-and-search operations. Subjectivity in when and how officers activate BWCs might lead to biased or inadequate recordkeeping. If people are innocent or non-compliant, recording them during stops raises privacy problems. Recording may upset subjects, causing unnecessary conflicts.</w:t>
      </w:r>
      <w:r>
        <w:t xml:space="preserve"> </w:t>
      </w:r>
      <w:r w:rsidRPr="00AF002C">
        <w:t xml:space="preserve">BWCs may record public disturbances, vandalism, and harassment for investigations and prosecutions. BWCs may prevent public anti-social conduct. </w:t>
      </w:r>
      <w:r w:rsidRPr="00AF002C">
        <w:lastRenderedPageBreak/>
        <w:t>Law enforcement may show its commitment to community anti-social behaviour by using BWCs. Officers may not activate BWCs for all anti-social conduct incidents, overlooking critical evidence</w:t>
      </w:r>
      <w:r w:rsidR="0019372E">
        <w:t xml:space="preserve"> (</w:t>
      </w:r>
      <w:r w:rsidR="0019372E">
        <w:rPr>
          <w:rFonts w:cs="Times New Roman"/>
          <w:szCs w:val="20"/>
          <w:shd w:val="clear" w:color="auto" w:fill="FFFFFF"/>
        </w:rPr>
        <w:t>Williams et al., 2021</w:t>
      </w:r>
      <w:r w:rsidR="0019372E">
        <w:t>)</w:t>
      </w:r>
      <w:r w:rsidRPr="00AF002C">
        <w:t>. Even in public areas, filming anti-social conduct may result in privacy concerns. The broad deployment of BWCs to curb anti-social behaviour may demand large data management and storage resources.</w:t>
      </w:r>
      <w:r>
        <w:t xml:space="preserve"> </w:t>
      </w:r>
      <w:r w:rsidRPr="00AF002C">
        <w:t>BWCs can improve accountability, openness, and evidence collecting in all these criminal subjects. Their success relies on correct rules, privacy concerns, and law enforcement officials' discretion on when and how to activate them. Law enforcement must weigh the pros and c</w:t>
      </w:r>
      <w:r w:rsidR="00E21063">
        <w:t xml:space="preserve">ons and ethical issues to </w:t>
      </w:r>
      <w:proofErr w:type="spellStart"/>
      <w:r w:rsidR="00E21063">
        <w:t>utilis</w:t>
      </w:r>
      <w:r w:rsidRPr="00AF002C">
        <w:t>e</w:t>
      </w:r>
      <w:proofErr w:type="spellEnd"/>
      <w:r w:rsidRPr="00AF002C">
        <w:t xml:space="preserve"> them responsibly</w:t>
      </w:r>
      <w:r w:rsidR="0019372E">
        <w:t xml:space="preserve"> (</w:t>
      </w:r>
      <w:r w:rsidR="0019372E">
        <w:rPr>
          <w:rFonts w:cs="Times New Roman"/>
          <w:szCs w:val="20"/>
          <w:shd w:val="clear" w:color="auto" w:fill="FFFFFF"/>
        </w:rPr>
        <w:t>Ariel et al., 2020</w:t>
      </w:r>
      <w:r w:rsidR="0019372E">
        <w:t>)</w:t>
      </w:r>
      <w:r w:rsidRPr="00AF002C">
        <w:t>.</w:t>
      </w:r>
    </w:p>
    <w:p w14:paraId="07EC262C" w14:textId="77777777" w:rsidR="000466EA" w:rsidRDefault="003F25F1" w:rsidP="001A4F45">
      <w:pPr>
        <w:spacing w:after="0"/>
        <w:ind w:firstLine="720"/>
        <w:contextualSpacing/>
      </w:pPr>
      <w:r>
        <w:t xml:space="preserve">In light of the above analysis, </w:t>
      </w:r>
      <w:r w:rsidRPr="000466EA">
        <w:t>data-based policing stresses empirical data and research to inform and guide police practices. This idea states that data-driven decision-making may improve police enforcement efficacy, transparency, accountability, crime rates, and community relations</w:t>
      </w:r>
      <w:r w:rsidR="0019372E">
        <w:t xml:space="preserve"> (</w:t>
      </w:r>
      <w:r w:rsidR="0019372E">
        <w:rPr>
          <w:rFonts w:cs="Times New Roman"/>
          <w:szCs w:val="20"/>
          <w:shd w:val="clear" w:color="auto" w:fill="FFFFFF"/>
        </w:rPr>
        <w:t>Lum et al., 2020</w:t>
      </w:r>
      <w:r w:rsidR="0019372E">
        <w:t>)</w:t>
      </w:r>
      <w:r w:rsidRPr="000466EA">
        <w:t xml:space="preserve">. Body-worn cameras are popular here. They allow police contacts to capture real-time, objective data, supporting evidence-based policing. BWCs are thought to increase openness and accountability by documenting officers' public contacts. It concerns whether openness promotes confidence and accountability or if it may have unexpected effects like a "performance effect" where cops act differently when filmed. </w:t>
      </w:r>
      <w:r>
        <w:t xml:space="preserve"> This can be further explained by </w:t>
      </w:r>
      <w:r w:rsidRPr="0019372E">
        <w:rPr>
          <w:b/>
        </w:rPr>
        <w:t>the Surveillance Society Theory</w:t>
      </w:r>
      <w:r>
        <w:t>.</w:t>
      </w:r>
      <w:r w:rsidRPr="000466EA">
        <w:t xml:space="preserve"> The employment of BWCs concerns the evolution of a contemporary surveillance society. BWCs and other surveillance technologies undermine privacy, individual rights, and the balance between security and personal freedom</w:t>
      </w:r>
      <w:r w:rsidR="0019372E">
        <w:t xml:space="preserve"> (</w:t>
      </w:r>
      <w:r w:rsidR="0019372E">
        <w:rPr>
          <w:rFonts w:cs="Times New Roman"/>
          <w:szCs w:val="20"/>
          <w:shd w:val="clear" w:color="auto" w:fill="FFFFFF"/>
        </w:rPr>
        <w:t>Todak and Gaub, 2020</w:t>
      </w:r>
      <w:r w:rsidR="0019372E">
        <w:t>)</w:t>
      </w:r>
      <w:r w:rsidRPr="000466EA">
        <w:t>. The critical lens of surveillance theory asks whether BWCs are contributing to perpetual monitoring, compromising civil freedoms.</w:t>
      </w:r>
    </w:p>
    <w:p w14:paraId="098127DA" w14:textId="77777777" w:rsidR="000466EA" w:rsidRDefault="003F25F1" w:rsidP="001A4F45">
      <w:pPr>
        <w:spacing w:after="0"/>
        <w:ind w:firstLine="720"/>
        <w:contextualSpacing/>
      </w:pPr>
      <w:r>
        <w:t xml:space="preserve">Moreover, it is further explained by </w:t>
      </w:r>
      <w:r w:rsidRPr="000466EA">
        <w:rPr>
          <w:b/>
        </w:rPr>
        <w:t>Panopticism Theory</w:t>
      </w:r>
      <w:r>
        <w:t xml:space="preserve">, as </w:t>
      </w:r>
      <w:r w:rsidRPr="000466EA">
        <w:t>BWCs introduce continual surveillance and self-regulation, drawing upon Michel Foucault's panopticism philosophy. Knowing they are being monitored, police may change their conduct, changing public encounters. This self-regulation promotes responsibility, but it may lead to excessively cautious or performative policing rather than community-oriented activities</w:t>
      </w:r>
      <w:r w:rsidR="0019372E">
        <w:t xml:space="preserve"> (</w:t>
      </w:r>
      <w:r w:rsidR="0019372E">
        <w:rPr>
          <w:rFonts w:cs="Times New Roman"/>
          <w:szCs w:val="20"/>
          <w:shd w:val="clear" w:color="auto" w:fill="FFFFFF"/>
        </w:rPr>
        <w:t>Ringrose, 2019</w:t>
      </w:r>
      <w:r w:rsidR="0019372E">
        <w:t>)</w:t>
      </w:r>
      <w:r w:rsidRPr="000466EA">
        <w:t>.</w:t>
      </w:r>
      <w:r>
        <w:t xml:space="preserve"> </w:t>
      </w:r>
      <w:r w:rsidRPr="000466EA">
        <w:rPr>
          <w:b/>
        </w:rPr>
        <w:t xml:space="preserve">Public Trust and Accountability </w:t>
      </w:r>
      <w:r>
        <w:rPr>
          <w:b/>
        </w:rPr>
        <w:t>T</w:t>
      </w:r>
      <w:r w:rsidRPr="000466EA">
        <w:rPr>
          <w:b/>
        </w:rPr>
        <w:t>heory</w:t>
      </w:r>
      <w:r>
        <w:t xml:space="preserve"> also explains that </w:t>
      </w:r>
      <w:r w:rsidRPr="000466EA">
        <w:t xml:space="preserve">BWC advocates </w:t>
      </w:r>
      <w:r>
        <w:t>the</w:t>
      </w:r>
      <w:r w:rsidRPr="000466EA">
        <w:t xml:space="preserve"> increase</w:t>
      </w:r>
      <w:r>
        <w:t xml:space="preserve"> in</w:t>
      </w:r>
      <w:r w:rsidRPr="000466EA">
        <w:t xml:space="preserve"> public confidence and accountability by recording police encounters. This supports community-oriented policing models that</w:t>
      </w:r>
      <w:r w:rsidR="00E21063">
        <w:t xml:space="preserve"> </w:t>
      </w:r>
      <w:proofErr w:type="spellStart"/>
      <w:r w:rsidR="00E21063">
        <w:t>emphasis</w:t>
      </w:r>
      <w:r w:rsidRPr="000466EA">
        <w:t>e</w:t>
      </w:r>
      <w:proofErr w:type="spellEnd"/>
      <w:r w:rsidRPr="000466EA">
        <w:t xml:space="preserve"> trust between law enforcement and communities. A critical study is needed to determine whether BWCs are enough to rebuild and preserve confidence or if deeper structural changes are needed</w:t>
      </w:r>
      <w:r w:rsidR="0019372E">
        <w:t xml:space="preserve"> (</w:t>
      </w:r>
      <w:r w:rsidR="0019372E">
        <w:rPr>
          <w:rFonts w:cs="Times New Roman"/>
          <w:szCs w:val="20"/>
          <w:shd w:val="clear" w:color="auto" w:fill="FFFFFF"/>
        </w:rPr>
        <w:t>Pickering, 2020</w:t>
      </w:r>
      <w:r w:rsidR="0019372E">
        <w:t>)</w:t>
      </w:r>
      <w:r w:rsidRPr="000466EA">
        <w:t>.</w:t>
      </w:r>
    </w:p>
    <w:p w14:paraId="3AE27CB6" w14:textId="77777777" w:rsidR="00985434" w:rsidRDefault="003F25F1" w:rsidP="001A4F45">
      <w:pPr>
        <w:pStyle w:val="Heading1"/>
        <w:spacing w:before="0"/>
        <w:contextualSpacing/>
      </w:pPr>
      <w:bookmarkStart w:id="5" w:name="_Toc145039112"/>
      <w:r w:rsidRPr="00985434">
        <w:lastRenderedPageBreak/>
        <w:t>Conclusion</w:t>
      </w:r>
      <w:bookmarkEnd w:id="5"/>
    </w:p>
    <w:p w14:paraId="1DD71388" w14:textId="77777777" w:rsidR="000466EA" w:rsidRDefault="003F25F1" w:rsidP="001A4F45">
      <w:pPr>
        <w:spacing w:after="0"/>
        <w:ind w:firstLine="720"/>
        <w:contextualSpacing/>
      </w:pPr>
      <w:r>
        <w:t>This essay concludes the c</w:t>
      </w:r>
      <w:r w:rsidRPr="000466EA">
        <w:t>ritical analysis of "The Use of Body-Worn Cameras in Evidence-Based Policing" which exposes complex ethical, social, and technical issues. We investigated this topic via surveillance theory, panopticism theory, community-oriented policing, ethical frameworks, and technological determinism. First and foremost, body-worn cameras change law enforcement's relationship with the public. Proponents say these devices increase openness, accountability, and public confidence, whi</w:t>
      </w:r>
      <w:r w:rsidR="00E21063">
        <w:t>le a critical viewpoint emphasis</w:t>
      </w:r>
      <w:r w:rsidRPr="000466EA">
        <w:t>es caution. A surveillance culture, changing police conduct, and selective recording threaten the utopian concept of BWCs as impregnable evidence-based enforcement tools. Panopticism and self-regulation explain how continual monitoring affects police and people. The existence of BWCs may lead to excessively careful policing or staged interactions that mask true community involvement, according to these beliefs.</w:t>
      </w:r>
    </w:p>
    <w:p w14:paraId="5F1511D6" w14:textId="77777777" w:rsidR="000466EA" w:rsidRDefault="003F25F1" w:rsidP="001A4F45">
      <w:pPr>
        <w:spacing w:after="0"/>
        <w:ind w:firstLine="720"/>
        <w:contextualSpacing/>
      </w:pPr>
      <w:r w:rsidRPr="000466EA">
        <w:t>Privacy, permission, and the chilling impact on police callers must be considered. As we traverse the complicated landscape of BWC deployment, we must constantly examine whether improved evidence collecting and openness exceeds privacy and personal freedom costs.</w:t>
      </w:r>
      <w:r>
        <w:t xml:space="preserve"> </w:t>
      </w:r>
      <w:r w:rsidRPr="000466EA">
        <w:t xml:space="preserve">Critically, we must consider whether BWC adoption is motivated by technical determinism or a real commitment to evidence-based policing. BWCs may help law enforcement, but they need well-founded regulations and a clear knowledge of their ramifications. In conclusion, evidence-based policing and body-worn cameras transcend law enforcement and society. It demands a balanced strategy that considers this technology's pros and cons. </w:t>
      </w:r>
      <w:r w:rsidR="004C5781">
        <w:t>This report’s</w:t>
      </w:r>
      <w:r w:rsidRPr="000466EA">
        <w:t xml:space="preserve"> critical </w:t>
      </w:r>
      <w:r w:rsidR="004C5781">
        <w:t>evaluation</w:t>
      </w:r>
      <w:r w:rsidRPr="000466EA">
        <w:t xml:space="preserve"> reminds us that BWCs may increase openness and accountability, but they can complicate ethics, change officer behaviour, and threaten privacy. Any complete examination of their function in contemporary police must manage these issues with a discerning eye to avoid compromising justice for the sake of monitoring.</w:t>
      </w:r>
    </w:p>
    <w:p w14:paraId="465A18E2" w14:textId="77777777" w:rsidR="000466EA" w:rsidRDefault="000466EA" w:rsidP="001A4F45">
      <w:pPr>
        <w:spacing w:after="0"/>
        <w:contextualSpacing/>
      </w:pPr>
    </w:p>
    <w:p w14:paraId="09795D49" w14:textId="77777777" w:rsidR="000466EA" w:rsidRPr="000466EA" w:rsidRDefault="000466EA" w:rsidP="001A4F45">
      <w:pPr>
        <w:spacing w:after="0"/>
        <w:contextualSpacing/>
      </w:pPr>
    </w:p>
    <w:p w14:paraId="0FFC826E" w14:textId="77777777" w:rsidR="001A4F45" w:rsidRDefault="003F25F1" w:rsidP="001A4F45">
      <w:pPr>
        <w:spacing w:after="0"/>
        <w:contextualSpacing/>
        <w:jc w:val="left"/>
        <w:rPr>
          <w:rFonts w:eastAsiaTheme="majorEastAsia" w:cs="Times New Roman"/>
          <w:b/>
          <w:sz w:val="32"/>
          <w:szCs w:val="32"/>
        </w:rPr>
      </w:pPr>
      <w:r>
        <w:br w:type="page"/>
      </w:r>
    </w:p>
    <w:p w14:paraId="65245F52" w14:textId="77777777" w:rsidR="00985434" w:rsidRDefault="003F25F1" w:rsidP="001A4F45">
      <w:pPr>
        <w:pStyle w:val="Heading1"/>
        <w:spacing w:before="0"/>
        <w:contextualSpacing/>
      </w:pPr>
      <w:bookmarkStart w:id="6" w:name="_Toc145039113"/>
      <w:r w:rsidRPr="00985434">
        <w:lastRenderedPageBreak/>
        <w:t>Reference</w:t>
      </w:r>
      <w:bookmarkEnd w:id="6"/>
    </w:p>
    <w:p w14:paraId="3F69B0D2"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Ariel, B., Mitchell, R.J., Tankebe, J., Firpo, M.E., Fraiman, R. and Hyatt, J.M.,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Using wearable technology to increase police legitimacy in Uruguay</w:t>
      </w:r>
      <w:r w:rsidR="00A77EC5">
        <w:rPr>
          <w:rFonts w:cs="Times New Roman"/>
          <w:szCs w:val="20"/>
          <w:shd w:val="clear" w:color="auto" w:fill="FFFFFF"/>
        </w:rPr>
        <w:t>: the case of body-worn cameras’</w:t>
      </w:r>
      <w:r w:rsidRPr="0019372E">
        <w:rPr>
          <w:rFonts w:cs="Times New Roman"/>
          <w:szCs w:val="20"/>
          <w:shd w:val="clear" w:color="auto" w:fill="FFFFFF"/>
        </w:rPr>
        <w:t> </w:t>
      </w:r>
      <w:r w:rsidRPr="0019372E">
        <w:rPr>
          <w:rFonts w:cs="Times New Roman"/>
          <w:i/>
          <w:iCs/>
          <w:szCs w:val="20"/>
          <w:shd w:val="clear" w:color="auto" w:fill="FFFFFF"/>
        </w:rPr>
        <w:t>Law &amp; social inquiry</w:t>
      </w:r>
      <w:r w:rsidRPr="0019372E">
        <w:rPr>
          <w:rFonts w:cs="Times New Roman"/>
          <w:szCs w:val="20"/>
          <w:shd w:val="clear" w:color="auto" w:fill="FFFFFF"/>
        </w:rPr>
        <w:t>, </w:t>
      </w:r>
      <w:r w:rsidRPr="0019372E">
        <w:rPr>
          <w:rFonts w:cs="Times New Roman"/>
          <w:i/>
          <w:iCs/>
          <w:szCs w:val="20"/>
          <w:shd w:val="clear" w:color="auto" w:fill="FFFFFF"/>
        </w:rPr>
        <w:t>45</w:t>
      </w:r>
      <w:r w:rsidRPr="0019372E">
        <w:rPr>
          <w:rFonts w:cs="Times New Roman"/>
          <w:szCs w:val="20"/>
          <w:shd w:val="clear" w:color="auto" w:fill="FFFFFF"/>
        </w:rPr>
        <w:t>(1), pp.52-80.</w:t>
      </w:r>
    </w:p>
    <w:p w14:paraId="54B12E92"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Boivin, R., Faubert, C., Gendron, A. and Poulin, B.,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Explaining the bo</w:t>
      </w:r>
      <w:r w:rsidR="00A77EC5">
        <w:rPr>
          <w:rFonts w:cs="Times New Roman"/>
          <w:szCs w:val="20"/>
          <w:shd w:val="clear" w:color="auto" w:fill="FFFFFF"/>
        </w:rPr>
        <w:t xml:space="preserve">dy-worn camera perspective </w:t>
      </w:r>
      <w:proofErr w:type="spellStart"/>
      <w:r w:rsidR="00A77EC5">
        <w:rPr>
          <w:rFonts w:cs="Times New Roman"/>
          <w:szCs w:val="20"/>
          <w:shd w:val="clear" w:color="auto" w:fill="FFFFFF"/>
        </w:rPr>
        <w:t>bias’</w:t>
      </w:r>
      <w:proofErr w:type="spellEnd"/>
      <w:r w:rsidRPr="0019372E">
        <w:rPr>
          <w:rFonts w:cs="Times New Roman"/>
          <w:szCs w:val="20"/>
          <w:shd w:val="clear" w:color="auto" w:fill="FFFFFF"/>
        </w:rPr>
        <w:t> </w:t>
      </w:r>
      <w:r w:rsidRPr="0019372E">
        <w:rPr>
          <w:rFonts w:cs="Times New Roman"/>
          <w:i/>
          <w:iCs/>
          <w:szCs w:val="20"/>
          <w:shd w:val="clear" w:color="auto" w:fill="FFFFFF"/>
        </w:rPr>
        <w:t>Journal of Qualitative Criminal Justice &amp; Criminology</w:t>
      </w:r>
      <w:r w:rsidRPr="0019372E">
        <w:rPr>
          <w:rFonts w:cs="Times New Roman"/>
          <w:szCs w:val="20"/>
          <w:shd w:val="clear" w:color="auto" w:fill="FFFFFF"/>
        </w:rPr>
        <w:t>, </w:t>
      </w:r>
      <w:r w:rsidRPr="0019372E">
        <w:rPr>
          <w:rFonts w:cs="Times New Roman"/>
          <w:i/>
          <w:iCs/>
          <w:szCs w:val="20"/>
          <w:shd w:val="clear" w:color="auto" w:fill="FFFFFF"/>
        </w:rPr>
        <w:t>9</w:t>
      </w:r>
      <w:r w:rsidRPr="0019372E">
        <w:rPr>
          <w:rFonts w:cs="Times New Roman"/>
          <w:szCs w:val="20"/>
          <w:shd w:val="clear" w:color="auto" w:fill="FFFFFF"/>
        </w:rPr>
        <w:t>(1), pp.1-28.</w:t>
      </w:r>
    </w:p>
    <w:p w14:paraId="2C547F6A"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Christodoulou, C., Paterson, H. and Kemp, R., </w:t>
      </w:r>
      <w:r w:rsidR="00A77EC5">
        <w:rPr>
          <w:rFonts w:cs="Times New Roman"/>
          <w:szCs w:val="20"/>
          <w:shd w:val="clear" w:color="auto" w:fill="FFFFFF"/>
        </w:rPr>
        <w:t>(</w:t>
      </w:r>
      <w:r w:rsidRPr="0019372E">
        <w:rPr>
          <w:rFonts w:cs="Times New Roman"/>
          <w:szCs w:val="20"/>
          <w:shd w:val="clear" w:color="auto" w:fill="FFFFFF"/>
        </w:rPr>
        <w:t>2019</w:t>
      </w:r>
      <w:r w:rsidR="00A77EC5">
        <w:rPr>
          <w:rFonts w:cs="Times New Roman"/>
          <w:szCs w:val="20"/>
          <w:shd w:val="clear" w:color="auto" w:fill="FFFFFF"/>
        </w:rPr>
        <w:t>) ‘</w:t>
      </w:r>
      <w:r w:rsidRPr="0019372E">
        <w:rPr>
          <w:rFonts w:cs="Times New Roman"/>
          <w:szCs w:val="20"/>
          <w:shd w:val="clear" w:color="auto" w:fill="FFFFFF"/>
        </w:rPr>
        <w:t xml:space="preserve">Body-worn cameras: evidence-base and </w:t>
      </w:r>
      <w:r w:rsidR="00A77EC5">
        <w:rPr>
          <w:rFonts w:cs="Times New Roman"/>
          <w:szCs w:val="20"/>
          <w:shd w:val="clear" w:color="auto" w:fill="FFFFFF"/>
        </w:rPr>
        <w:t>implication’</w:t>
      </w:r>
      <w:r w:rsidRPr="0019372E">
        <w:rPr>
          <w:rFonts w:cs="Times New Roman"/>
          <w:szCs w:val="20"/>
          <w:shd w:val="clear" w:color="auto" w:fill="FFFFFF"/>
        </w:rPr>
        <w:t> </w:t>
      </w:r>
      <w:r w:rsidRPr="0019372E">
        <w:rPr>
          <w:rFonts w:cs="Times New Roman"/>
          <w:i/>
          <w:iCs/>
          <w:szCs w:val="20"/>
          <w:shd w:val="clear" w:color="auto" w:fill="FFFFFF"/>
        </w:rPr>
        <w:t>Current Issues in Criminal Justice</w:t>
      </w:r>
      <w:r w:rsidRPr="0019372E">
        <w:rPr>
          <w:rFonts w:cs="Times New Roman"/>
          <w:szCs w:val="20"/>
          <w:shd w:val="clear" w:color="auto" w:fill="FFFFFF"/>
        </w:rPr>
        <w:t>, </w:t>
      </w:r>
      <w:r w:rsidRPr="0019372E">
        <w:rPr>
          <w:rFonts w:cs="Times New Roman"/>
          <w:i/>
          <w:iCs/>
          <w:szCs w:val="20"/>
          <w:shd w:val="clear" w:color="auto" w:fill="FFFFFF"/>
        </w:rPr>
        <w:t>31</w:t>
      </w:r>
      <w:r w:rsidRPr="0019372E">
        <w:rPr>
          <w:rFonts w:cs="Times New Roman"/>
          <w:szCs w:val="20"/>
          <w:shd w:val="clear" w:color="auto" w:fill="FFFFFF"/>
        </w:rPr>
        <w:t>(4), pp.513-524.</w:t>
      </w:r>
    </w:p>
    <w:p w14:paraId="40A8E052"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Crow, M.S. and Smykla, J.O., </w:t>
      </w:r>
      <w:r w:rsidR="00A77EC5">
        <w:rPr>
          <w:rFonts w:cs="Times New Roman"/>
          <w:szCs w:val="20"/>
          <w:shd w:val="clear" w:color="auto" w:fill="FFFFFF"/>
        </w:rPr>
        <w:t>(</w:t>
      </w:r>
      <w:r w:rsidRPr="0019372E">
        <w:rPr>
          <w:rFonts w:cs="Times New Roman"/>
          <w:szCs w:val="20"/>
          <w:shd w:val="clear" w:color="auto" w:fill="FFFFFF"/>
        </w:rPr>
        <w:t>2019</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Police body-worn cameras: Research developments on an emerging technology.</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Criminal Justice Review</w:t>
      </w:r>
      <w:r w:rsidRPr="0019372E">
        <w:rPr>
          <w:rFonts w:cs="Times New Roman"/>
          <w:szCs w:val="20"/>
          <w:shd w:val="clear" w:color="auto" w:fill="FFFFFF"/>
        </w:rPr>
        <w:t>, </w:t>
      </w:r>
      <w:r w:rsidRPr="0019372E">
        <w:rPr>
          <w:rFonts w:cs="Times New Roman"/>
          <w:i/>
          <w:iCs/>
          <w:szCs w:val="20"/>
          <w:shd w:val="clear" w:color="auto" w:fill="FFFFFF"/>
        </w:rPr>
        <w:t>44</w:t>
      </w:r>
      <w:r w:rsidRPr="0019372E">
        <w:rPr>
          <w:rFonts w:cs="Times New Roman"/>
          <w:szCs w:val="20"/>
          <w:shd w:val="clear" w:color="auto" w:fill="FFFFFF"/>
        </w:rPr>
        <w:t>(3), pp.257-262.</w:t>
      </w:r>
    </w:p>
    <w:p w14:paraId="29B28953"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Gaub, J.E. and White, M.D.,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Open to interpretation: Confronting the challenges of understanding the current state of body-worn camera research.</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American Journal of criminal justice</w:t>
      </w:r>
      <w:r w:rsidRPr="0019372E">
        <w:rPr>
          <w:rFonts w:cs="Times New Roman"/>
          <w:szCs w:val="20"/>
          <w:shd w:val="clear" w:color="auto" w:fill="FFFFFF"/>
        </w:rPr>
        <w:t>, </w:t>
      </w:r>
      <w:r w:rsidRPr="0019372E">
        <w:rPr>
          <w:rFonts w:cs="Times New Roman"/>
          <w:i/>
          <w:iCs/>
          <w:szCs w:val="20"/>
          <w:shd w:val="clear" w:color="auto" w:fill="FFFFFF"/>
        </w:rPr>
        <w:t>45</w:t>
      </w:r>
      <w:r w:rsidRPr="0019372E">
        <w:rPr>
          <w:rFonts w:cs="Times New Roman"/>
          <w:szCs w:val="20"/>
          <w:shd w:val="clear" w:color="auto" w:fill="FFFFFF"/>
        </w:rPr>
        <w:t>(5), pp.899-913.</w:t>
      </w:r>
    </w:p>
    <w:p w14:paraId="414AFF55"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Groff, E.R., Haberman, C. and Wood, J.D.,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The effects of body-worn cameras on police-citizen encounters and police activity: Evaluation of a pilot implementation in Philadelphia, PA.</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Journal of Experimental Criminology</w:t>
      </w:r>
      <w:r w:rsidRPr="0019372E">
        <w:rPr>
          <w:rFonts w:cs="Times New Roman"/>
          <w:szCs w:val="20"/>
          <w:shd w:val="clear" w:color="auto" w:fill="FFFFFF"/>
        </w:rPr>
        <w:t>, </w:t>
      </w:r>
      <w:r w:rsidRPr="0019372E">
        <w:rPr>
          <w:rFonts w:cs="Times New Roman"/>
          <w:i/>
          <w:iCs/>
          <w:szCs w:val="20"/>
          <w:shd w:val="clear" w:color="auto" w:fill="FFFFFF"/>
        </w:rPr>
        <w:t>16</w:t>
      </w:r>
      <w:r w:rsidRPr="0019372E">
        <w:rPr>
          <w:rFonts w:cs="Times New Roman"/>
          <w:szCs w:val="20"/>
          <w:shd w:val="clear" w:color="auto" w:fill="FFFFFF"/>
        </w:rPr>
        <w:t>, pp.463-480.</w:t>
      </w:r>
    </w:p>
    <w:p w14:paraId="753232F9"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Lum, C., Koper, C.S., Wilson, D.B., Stoltz, M., Goodier, M., Eggins, E., Higginson, A. and Mazerolle, L.,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Body‐worn cameras' effects on police officers and citizen behaviour: A systematic review.</w:t>
      </w:r>
      <w:r w:rsidR="00A77EC5">
        <w:rPr>
          <w:rFonts w:cs="Times New Roman"/>
          <w:szCs w:val="20"/>
          <w:shd w:val="clear" w:color="auto" w:fill="FFFFFF"/>
        </w:rPr>
        <w:t>’</w:t>
      </w:r>
      <w:r w:rsidRPr="0019372E">
        <w:rPr>
          <w:rFonts w:cs="Times New Roman"/>
          <w:szCs w:val="20"/>
          <w:shd w:val="clear" w:color="auto" w:fill="FFFFFF"/>
        </w:rPr>
        <w:t xml:space="preserve"> </w:t>
      </w:r>
      <w:r w:rsidRPr="0019372E">
        <w:rPr>
          <w:rFonts w:cs="Times New Roman"/>
          <w:i/>
          <w:iCs/>
          <w:szCs w:val="20"/>
          <w:shd w:val="clear" w:color="auto" w:fill="FFFFFF"/>
        </w:rPr>
        <w:t>Campbell Systematic Reviews</w:t>
      </w:r>
      <w:r w:rsidRPr="0019372E">
        <w:rPr>
          <w:rFonts w:cs="Times New Roman"/>
          <w:szCs w:val="20"/>
          <w:shd w:val="clear" w:color="auto" w:fill="FFFFFF"/>
        </w:rPr>
        <w:t>, </w:t>
      </w:r>
      <w:r w:rsidRPr="0019372E">
        <w:rPr>
          <w:rFonts w:cs="Times New Roman"/>
          <w:i/>
          <w:iCs/>
          <w:szCs w:val="20"/>
          <w:shd w:val="clear" w:color="auto" w:fill="FFFFFF"/>
        </w:rPr>
        <w:t>16</w:t>
      </w:r>
      <w:r w:rsidRPr="0019372E">
        <w:rPr>
          <w:rFonts w:cs="Times New Roman"/>
          <w:szCs w:val="20"/>
          <w:shd w:val="clear" w:color="auto" w:fill="FFFFFF"/>
        </w:rPr>
        <w:t>(3).</w:t>
      </w:r>
    </w:p>
    <w:p w14:paraId="21DA6528"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Lum, C., Stoltz, M., Koper, C.S. and Scherer, J.A., </w:t>
      </w:r>
      <w:r w:rsidR="00A77EC5">
        <w:rPr>
          <w:rFonts w:cs="Times New Roman"/>
          <w:szCs w:val="20"/>
          <w:shd w:val="clear" w:color="auto" w:fill="FFFFFF"/>
        </w:rPr>
        <w:t>(</w:t>
      </w:r>
      <w:r w:rsidRPr="0019372E">
        <w:rPr>
          <w:rFonts w:cs="Times New Roman"/>
          <w:szCs w:val="20"/>
          <w:shd w:val="clear" w:color="auto" w:fill="FFFFFF"/>
        </w:rPr>
        <w:t>2019</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Research on body‐worn cameras: What we know, what we need to know.</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Criminology &amp; public policy</w:t>
      </w:r>
      <w:r w:rsidRPr="0019372E">
        <w:rPr>
          <w:rFonts w:cs="Times New Roman"/>
          <w:szCs w:val="20"/>
          <w:shd w:val="clear" w:color="auto" w:fill="FFFFFF"/>
        </w:rPr>
        <w:t>, </w:t>
      </w:r>
      <w:r w:rsidRPr="0019372E">
        <w:rPr>
          <w:rFonts w:cs="Times New Roman"/>
          <w:i/>
          <w:iCs/>
          <w:szCs w:val="20"/>
          <w:shd w:val="clear" w:color="auto" w:fill="FFFFFF"/>
        </w:rPr>
        <w:t>18</w:t>
      </w:r>
      <w:r w:rsidRPr="0019372E">
        <w:rPr>
          <w:rFonts w:cs="Times New Roman"/>
          <w:szCs w:val="20"/>
          <w:shd w:val="clear" w:color="auto" w:fill="FFFFFF"/>
        </w:rPr>
        <w:t>(1), pp.93-118.</w:t>
      </w:r>
    </w:p>
    <w:p w14:paraId="52677C2F"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Pickering, J.C.,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Officers' perceptions regarding the unexpected effects of body-worn cameras.</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Policing: An International Journal</w:t>
      </w:r>
      <w:r w:rsidRPr="0019372E">
        <w:rPr>
          <w:rFonts w:cs="Times New Roman"/>
          <w:szCs w:val="20"/>
          <w:shd w:val="clear" w:color="auto" w:fill="FFFFFF"/>
        </w:rPr>
        <w:t>, </w:t>
      </w:r>
      <w:r w:rsidRPr="0019372E">
        <w:rPr>
          <w:rFonts w:cs="Times New Roman"/>
          <w:i/>
          <w:iCs/>
          <w:szCs w:val="20"/>
          <w:shd w:val="clear" w:color="auto" w:fill="FFFFFF"/>
        </w:rPr>
        <w:t>43</w:t>
      </w:r>
      <w:r w:rsidRPr="0019372E">
        <w:rPr>
          <w:rFonts w:cs="Times New Roman"/>
          <w:szCs w:val="20"/>
          <w:shd w:val="clear" w:color="auto" w:fill="FFFFFF"/>
        </w:rPr>
        <w:t>(2), pp.390-402.</w:t>
      </w:r>
    </w:p>
    <w:p w14:paraId="6713E9F1"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Ringrose, K., </w:t>
      </w:r>
      <w:r w:rsidR="00A77EC5">
        <w:rPr>
          <w:rFonts w:cs="Times New Roman"/>
          <w:szCs w:val="20"/>
          <w:shd w:val="clear" w:color="auto" w:fill="FFFFFF"/>
        </w:rPr>
        <w:t>(</w:t>
      </w:r>
      <w:r w:rsidRPr="0019372E">
        <w:rPr>
          <w:rFonts w:cs="Times New Roman"/>
          <w:szCs w:val="20"/>
          <w:shd w:val="clear" w:color="auto" w:fill="FFFFFF"/>
        </w:rPr>
        <w:t>2019</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Law enforcement's pairing of facial recognition technology with body-worn cameras escalates privacy concerns.</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Va. L. Rev. Online</w:t>
      </w:r>
      <w:r w:rsidRPr="0019372E">
        <w:rPr>
          <w:rFonts w:cs="Times New Roman"/>
          <w:szCs w:val="20"/>
          <w:shd w:val="clear" w:color="auto" w:fill="FFFFFF"/>
        </w:rPr>
        <w:t>, </w:t>
      </w:r>
      <w:r w:rsidRPr="0019372E">
        <w:rPr>
          <w:rFonts w:cs="Times New Roman"/>
          <w:i/>
          <w:iCs/>
          <w:szCs w:val="20"/>
          <w:shd w:val="clear" w:color="auto" w:fill="FFFFFF"/>
        </w:rPr>
        <w:t>105</w:t>
      </w:r>
      <w:r w:rsidRPr="0019372E">
        <w:rPr>
          <w:rFonts w:cs="Times New Roman"/>
          <w:szCs w:val="20"/>
          <w:shd w:val="clear" w:color="auto" w:fill="FFFFFF"/>
        </w:rPr>
        <w:t>, p.57.</w:t>
      </w:r>
    </w:p>
    <w:p w14:paraId="0202BEB6"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Todak, N. and Gaub, J.E.,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Predictors of police body-worn camera acceptance: digging deeper into officers’ perceptions.</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Policing: An International Journal</w:t>
      </w:r>
      <w:r w:rsidRPr="0019372E">
        <w:rPr>
          <w:rFonts w:cs="Times New Roman"/>
          <w:szCs w:val="20"/>
          <w:shd w:val="clear" w:color="auto" w:fill="FFFFFF"/>
        </w:rPr>
        <w:t>, </w:t>
      </w:r>
      <w:r w:rsidRPr="0019372E">
        <w:rPr>
          <w:rFonts w:cs="Times New Roman"/>
          <w:i/>
          <w:iCs/>
          <w:szCs w:val="20"/>
          <w:shd w:val="clear" w:color="auto" w:fill="FFFFFF"/>
        </w:rPr>
        <w:t>43</w:t>
      </w:r>
      <w:r w:rsidRPr="0019372E">
        <w:rPr>
          <w:rFonts w:cs="Times New Roman"/>
          <w:szCs w:val="20"/>
          <w:shd w:val="clear" w:color="auto" w:fill="FFFFFF"/>
        </w:rPr>
        <w:t>(2), pp.299-313.</w:t>
      </w:r>
    </w:p>
    <w:p w14:paraId="3E5AFEC5"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White, M.D. and Malm, A.,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w:t>
      </w:r>
      <w:r w:rsidR="00A77EC5">
        <w:rPr>
          <w:rFonts w:cs="Times New Roman"/>
          <w:szCs w:val="20"/>
          <w:shd w:val="clear" w:color="auto" w:fill="FFFFFF"/>
        </w:rPr>
        <w:t>‘</w:t>
      </w:r>
      <w:r w:rsidRPr="0019372E">
        <w:rPr>
          <w:rFonts w:cs="Times New Roman"/>
          <w:i/>
          <w:iCs/>
          <w:szCs w:val="20"/>
          <w:shd w:val="clear" w:color="auto" w:fill="FFFFFF"/>
        </w:rPr>
        <w:t>Cops, cameras, and crisis: The potential and the perils of police body-worn cameras</w:t>
      </w:r>
      <w:r w:rsidRPr="0019372E">
        <w:rPr>
          <w:rFonts w:cs="Times New Roman"/>
          <w:szCs w:val="20"/>
          <w:shd w:val="clear" w:color="auto" w:fill="FFFFFF"/>
        </w:rPr>
        <w:t>.</w:t>
      </w:r>
      <w:r w:rsidR="00A77EC5">
        <w:rPr>
          <w:rFonts w:cs="Times New Roman"/>
          <w:szCs w:val="20"/>
          <w:shd w:val="clear" w:color="auto" w:fill="FFFFFF"/>
        </w:rPr>
        <w:t>’</w:t>
      </w:r>
      <w:r w:rsidRPr="0019372E">
        <w:rPr>
          <w:rFonts w:cs="Times New Roman"/>
          <w:szCs w:val="20"/>
          <w:shd w:val="clear" w:color="auto" w:fill="FFFFFF"/>
        </w:rPr>
        <w:t xml:space="preserve"> NYU Press.</w:t>
      </w:r>
    </w:p>
    <w:p w14:paraId="43EC9D51"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White, M.D., </w:t>
      </w:r>
      <w:r w:rsidR="00A77EC5">
        <w:rPr>
          <w:rFonts w:cs="Times New Roman"/>
          <w:szCs w:val="20"/>
          <w:shd w:val="clear" w:color="auto" w:fill="FFFFFF"/>
        </w:rPr>
        <w:t>(</w:t>
      </w:r>
      <w:r w:rsidRPr="0019372E">
        <w:rPr>
          <w:rFonts w:cs="Times New Roman"/>
          <w:szCs w:val="20"/>
          <w:shd w:val="clear" w:color="auto" w:fill="FFFFFF"/>
        </w:rPr>
        <w:t>2019</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Translating the story on body-worn cameras.</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Criminology &amp; Pub. Pol'y</w:t>
      </w:r>
      <w:r w:rsidRPr="0019372E">
        <w:rPr>
          <w:rFonts w:cs="Times New Roman"/>
          <w:szCs w:val="20"/>
          <w:shd w:val="clear" w:color="auto" w:fill="FFFFFF"/>
        </w:rPr>
        <w:t>, </w:t>
      </w:r>
      <w:r w:rsidRPr="0019372E">
        <w:rPr>
          <w:rFonts w:cs="Times New Roman"/>
          <w:i/>
          <w:iCs/>
          <w:szCs w:val="20"/>
          <w:shd w:val="clear" w:color="auto" w:fill="FFFFFF"/>
        </w:rPr>
        <w:t>18</w:t>
      </w:r>
      <w:r w:rsidRPr="0019372E">
        <w:rPr>
          <w:rFonts w:cs="Times New Roman"/>
          <w:szCs w:val="20"/>
          <w:shd w:val="clear" w:color="auto" w:fill="FFFFFF"/>
        </w:rPr>
        <w:t>, p.89.</w:t>
      </w:r>
    </w:p>
    <w:p w14:paraId="675BFD6C"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lastRenderedPageBreak/>
        <w:t xml:space="preserve">Williams Jr, M.C., Weil, N., Rasich, E.A., Ludwig, J., Chang, H. and Egrari, S., </w:t>
      </w:r>
      <w:r w:rsidR="00A77EC5">
        <w:rPr>
          <w:rFonts w:cs="Times New Roman"/>
          <w:szCs w:val="20"/>
          <w:shd w:val="clear" w:color="auto" w:fill="FFFFFF"/>
        </w:rPr>
        <w:t>(</w:t>
      </w:r>
      <w:r w:rsidRPr="0019372E">
        <w:rPr>
          <w:rFonts w:cs="Times New Roman"/>
          <w:szCs w:val="20"/>
          <w:shd w:val="clear" w:color="auto" w:fill="FFFFFF"/>
        </w:rPr>
        <w:t>2021</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 xml:space="preserve">Body-worn cameras </w:t>
      </w:r>
      <w:r w:rsidR="00A77EC5">
        <w:rPr>
          <w:rFonts w:cs="Times New Roman"/>
          <w:szCs w:val="20"/>
          <w:shd w:val="clear" w:color="auto" w:fill="FFFFFF"/>
        </w:rPr>
        <w:t>in policing: Benefits and costs’</w:t>
      </w:r>
    </w:p>
    <w:p w14:paraId="4F15FFA3" w14:textId="77777777" w:rsidR="0019372E" w:rsidRPr="0019372E" w:rsidRDefault="003F25F1" w:rsidP="001A4F45">
      <w:pPr>
        <w:spacing w:after="0"/>
        <w:ind w:left="720" w:hanging="720"/>
        <w:contextualSpacing/>
        <w:rPr>
          <w:rFonts w:cs="Times New Roman"/>
          <w:szCs w:val="20"/>
          <w:shd w:val="clear" w:color="auto" w:fill="FFFFFF"/>
        </w:rPr>
      </w:pPr>
      <w:r w:rsidRPr="0019372E">
        <w:rPr>
          <w:rFonts w:cs="Times New Roman"/>
          <w:szCs w:val="20"/>
          <w:shd w:val="clear" w:color="auto" w:fill="FFFFFF"/>
        </w:rPr>
        <w:t xml:space="preserve">Wooditch, A., Uchida, C.D., Solomon, S.E., Revier, L., Connor, C., Shutinya, M., McCluskey, J. and Swatt, M.L., </w:t>
      </w:r>
      <w:r w:rsidR="00A77EC5">
        <w:rPr>
          <w:rFonts w:cs="Times New Roman"/>
          <w:szCs w:val="20"/>
          <w:shd w:val="clear" w:color="auto" w:fill="FFFFFF"/>
        </w:rPr>
        <w:t>(</w:t>
      </w:r>
      <w:r w:rsidRPr="0019372E">
        <w:rPr>
          <w:rFonts w:cs="Times New Roman"/>
          <w:szCs w:val="20"/>
          <w:shd w:val="clear" w:color="auto" w:fill="FFFFFF"/>
        </w:rPr>
        <w:t>2020</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Perceptions of body-worn cameras: Findings from a pan</w:t>
      </w:r>
      <w:r w:rsidR="00A77EC5">
        <w:rPr>
          <w:rFonts w:cs="Times New Roman"/>
          <w:szCs w:val="20"/>
          <w:shd w:val="clear" w:color="auto" w:fill="FFFFFF"/>
        </w:rPr>
        <w:t>el survey of two LAPD divisions’</w:t>
      </w:r>
      <w:r w:rsidRPr="0019372E">
        <w:rPr>
          <w:rFonts w:cs="Times New Roman"/>
          <w:szCs w:val="20"/>
          <w:shd w:val="clear" w:color="auto" w:fill="FFFFFF"/>
        </w:rPr>
        <w:t> </w:t>
      </w:r>
      <w:r w:rsidRPr="0019372E">
        <w:rPr>
          <w:rFonts w:cs="Times New Roman"/>
          <w:i/>
          <w:iCs/>
          <w:szCs w:val="20"/>
          <w:shd w:val="clear" w:color="auto" w:fill="FFFFFF"/>
        </w:rPr>
        <w:t>American Journal of Criminal Justice</w:t>
      </w:r>
      <w:r w:rsidRPr="0019372E">
        <w:rPr>
          <w:rFonts w:cs="Times New Roman"/>
          <w:szCs w:val="20"/>
          <w:shd w:val="clear" w:color="auto" w:fill="FFFFFF"/>
        </w:rPr>
        <w:t>, </w:t>
      </w:r>
      <w:r w:rsidRPr="0019372E">
        <w:rPr>
          <w:rFonts w:cs="Times New Roman"/>
          <w:i/>
          <w:iCs/>
          <w:szCs w:val="20"/>
          <w:shd w:val="clear" w:color="auto" w:fill="FFFFFF"/>
        </w:rPr>
        <w:t>45</w:t>
      </w:r>
      <w:r w:rsidRPr="0019372E">
        <w:rPr>
          <w:rFonts w:cs="Times New Roman"/>
          <w:szCs w:val="20"/>
          <w:shd w:val="clear" w:color="auto" w:fill="FFFFFF"/>
        </w:rPr>
        <w:t>, pp.426-453.</w:t>
      </w:r>
    </w:p>
    <w:p w14:paraId="19FCDD2B" w14:textId="77777777" w:rsidR="0019372E" w:rsidRPr="0019372E" w:rsidRDefault="003F25F1" w:rsidP="001A4F45">
      <w:pPr>
        <w:spacing w:after="0"/>
        <w:ind w:left="720" w:hanging="720"/>
        <w:contextualSpacing/>
        <w:rPr>
          <w:rFonts w:cs="Times New Roman"/>
          <w:sz w:val="32"/>
        </w:rPr>
      </w:pPr>
      <w:r w:rsidRPr="0019372E">
        <w:rPr>
          <w:rFonts w:cs="Times New Roman"/>
          <w:szCs w:val="20"/>
          <w:shd w:val="clear" w:color="auto" w:fill="FFFFFF"/>
        </w:rPr>
        <w:t xml:space="preserve">Wright, J.E. and Headley, A.M., </w:t>
      </w:r>
      <w:r w:rsidR="00A77EC5">
        <w:rPr>
          <w:rFonts w:cs="Times New Roman"/>
          <w:szCs w:val="20"/>
          <w:shd w:val="clear" w:color="auto" w:fill="FFFFFF"/>
        </w:rPr>
        <w:t>(</w:t>
      </w:r>
      <w:r w:rsidRPr="0019372E">
        <w:rPr>
          <w:rFonts w:cs="Times New Roman"/>
          <w:szCs w:val="20"/>
          <w:shd w:val="clear" w:color="auto" w:fill="FFFFFF"/>
        </w:rPr>
        <w:t>2021</w:t>
      </w:r>
      <w:r w:rsidR="00A77EC5">
        <w:rPr>
          <w:rFonts w:cs="Times New Roman"/>
          <w:szCs w:val="20"/>
          <w:shd w:val="clear" w:color="auto" w:fill="FFFFFF"/>
        </w:rPr>
        <w:t>)</w:t>
      </w:r>
      <w:r w:rsidRPr="0019372E">
        <w:rPr>
          <w:rFonts w:cs="Times New Roman"/>
          <w:szCs w:val="20"/>
          <w:shd w:val="clear" w:color="auto" w:fill="FFFFFF"/>
        </w:rPr>
        <w:t xml:space="preserve"> </w:t>
      </w:r>
      <w:r w:rsidR="00A77EC5">
        <w:rPr>
          <w:rFonts w:cs="Times New Roman"/>
          <w:szCs w:val="20"/>
          <w:shd w:val="clear" w:color="auto" w:fill="FFFFFF"/>
        </w:rPr>
        <w:t>‘</w:t>
      </w:r>
      <w:r w:rsidRPr="0019372E">
        <w:rPr>
          <w:rFonts w:cs="Times New Roman"/>
          <w:szCs w:val="20"/>
          <w:shd w:val="clear" w:color="auto" w:fill="FFFFFF"/>
        </w:rPr>
        <w:t>Can technology work for policing? Citizen perceptions of police-body worn cameras.</w:t>
      </w:r>
      <w:r w:rsidR="00A77EC5">
        <w:rPr>
          <w:rFonts w:cs="Times New Roman"/>
          <w:szCs w:val="20"/>
          <w:shd w:val="clear" w:color="auto" w:fill="FFFFFF"/>
        </w:rPr>
        <w:t>’</w:t>
      </w:r>
      <w:r w:rsidRPr="0019372E">
        <w:rPr>
          <w:rFonts w:cs="Times New Roman"/>
          <w:szCs w:val="20"/>
          <w:shd w:val="clear" w:color="auto" w:fill="FFFFFF"/>
        </w:rPr>
        <w:t> </w:t>
      </w:r>
      <w:r w:rsidRPr="0019372E">
        <w:rPr>
          <w:rFonts w:cs="Times New Roman"/>
          <w:i/>
          <w:iCs/>
          <w:szCs w:val="20"/>
          <w:shd w:val="clear" w:color="auto" w:fill="FFFFFF"/>
        </w:rPr>
        <w:t>The American Review of Public Administration</w:t>
      </w:r>
      <w:r w:rsidRPr="0019372E">
        <w:rPr>
          <w:rFonts w:cs="Times New Roman"/>
          <w:szCs w:val="20"/>
          <w:shd w:val="clear" w:color="auto" w:fill="FFFFFF"/>
        </w:rPr>
        <w:t>, </w:t>
      </w:r>
      <w:r w:rsidRPr="0019372E">
        <w:rPr>
          <w:rFonts w:cs="Times New Roman"/>
          <w:i/>
          <w:iCs/>
          <w:szCs w:val="20"/>
          <w:shd w:val="clear" w:color="auto" w:fill="FFFFFF"/>
        </w:rPr>
        <w:t>51</w:t>
      </w:r>
      <w:r w:rsidRPr="0019372E">
        <w:rPr>
          <w:rFonts w:cs="Times New Roman"/>
          <w:szCs w:val="20"/>
          <w:shd w:val="clear" w:color="auto" w:fill="FFFFFF"/>
        </w:rPr>
        <w:t>(1), pp.17-27.</w:t>
      </w:r>
    </w:p>
    <w:sectPr w:rsidR="0019372E" w:rsidRPr="0019372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1F80F" w14:textId="77777777" w:rsidR="00C47F72" w:rsidRDefault="00C47F72">
      <w:pPr>
        <w:spacing w:after="0" w:line="240" w:lineRule="auto"/>
      </w:pPr>
      <w:r>
        <w:separator/>
      </w:r>
    </w:p>
  </w:endnote>
  <w:endnote w:type="continuationSeparator" w:id="0">
    <w:p w14:paraId="5E6183C7" w14:textId="77777777" w:rsidR="00C47F72" w:rsidRDefault="00C47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D8301" w14:textId="77777777" w:rsidR="00C47F72" w:rsidRDefault="00C47F72">
      <w:pPr>
        <w:spacing w:after="0" w:line="240" w:lineRule="auto"/>
      </w:pPr>
      <w:r>
        <w:separator/>
      </w:r>
    </w:p>
  </w:footnote>
  <w:footnote w:type="continuationSeparator" w:id="0">
    <w:p w14:paraId="493CDAFF" w14:textId="77777777" w:rsidR="00C47F72" w:rsidRDefault="00C47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675511"/>
      <w:docPartObj>
        <w:docPartGallery w:val="Page Numbers (Top of Page)"/>
        <w:docPartUnique/>
      </w:docPartObj>
    </w:sdtPr>
    <w:sdtEndPr>
      <w:rPr>
        <w:noProof/>
      </w:rPr>
    </w:sdtEndPr>
    <w:sdtContent>
      <w:p w14:paraId="29018BBE" w14:textId="77777777" w:rsidR="00373981" w:rsidRDefault="003F25F1">
        <w:pPr>
          <w:pStyle w:val="Header"/>
          <w:jc w:val="right"/>
        </w:pPr>
        <w:r>
          <w:fldChar w:fldCharType="begin"/>
        </w:r>
        <w:r>
          <w:instrText xml:space="preserve"> PAGE   \* MERGEFORMAT </w:instrText>
        </w:r>
        <w:r>
          <w:fldChar w:fldCharType="separate"/>
        </w:r>
        <w:r w:rsidR="004C5781">
          <w:rPr>
            <w:noProof/>
          </w:rPr>
          <w:t>10</w:t>
        </w:r>
        <w:r>
          <w:rPr>
            <w:noProof/>
          </w:rPr>
          <w:fldChar w:fldCharType="end"/>
        </w:r>
      </w:p>
    </w:sdtContent>
  </w:sdt>
  <w:p w14:paraId="3B5AC786" w14:textId="77777777" w:rsidR="00373981" w:rsidRDefault="003739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434"/>
    <w:rsid w:val="00031FC6"/>
    <w:rsid w:val="000466EA"/>
    <w:rsid w:val="0009793C"/>
    <w:rsid w:val="00100FF6"/>
    <w:rsid w:val="0019372E"/>
    <w:rsid w:val="001A4F45"/>
    <w:rsid w:val="0030692D"/>
    <w:rsid w:val="00373981"/>
    <w:rsid w:val="003F25F1"/>
    <w:rsid w:val="004C5781"/>
    <w:rsid w:val="005860FF"/>
    <w:rsid w:val="00775110"/>
    <w:rsid w:val="00985434"/>
    <w:rsid w:val="00A77EC5"/>
    <w:rsid w:val="00AF002C"/>
    <w:rsid w:val="00C47F72"/>
    <w:rsid w:val="00C65A7A"/>
    <w:rsid w:val="00C87C28"/>
    <w:rsid w:val="00D57422"/>
    <w:rsid w:val="00E21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7659"/>
  <w15:chartTrackingRefBased/>
  <w15:docId w15:val="{EE0ACB4A-4EB9-4AB2-BB76-B4CAD0B2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85434"/>
    <w:pPr>
      <w:keepNext/>
      <w:keepLines/>
      <w:spacing w:before="240" w:after="0"/>
      <w:outlineLvl w:val="0"/>
    </w:pPr>
    <w:rPr>
      <w:rFonts w:eastAsiaTheme="majorEastAsia" w:cs="Times New Roman"/>
      <w:b/>
      <w:sz w:val="32"/>
      <w:szCs w:val="32"/>
    </w:rPr>
  </w:style>
  <w:style w:type="paragraph" w:styleId="Heading2">
    <w:name w:val="heading 2"/>
    <w:basedOn w:val="Normal"/>
    <w:next w:val="Normal"/>
    <w:link w:val="Heading2Char"/>
    <w:uiPriority w:val="9"/>
    <w:unhideWhenUsed/>
    <w:qFormat/>
    <w:rsid w:val="00985434"/>
    <w:pPr>
      <w:keepNext/>
      <w:keepLines/>
      <w:spacing w:before="40" w:after="0"/>
      <w:outlineLvl w:val="1"/>
    </w:pPr>
    <w:rPr>
      <w:rFonts w:eastAsiaTheme="majorEastAsia" w:cs="Times New Roman"/>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434"/>
    <w:rPr>
      <w:rFonts w:ascii="Times New Roman" w:eastAsiaTheme="majorEastAsia" w:hAnsi="Times New Roman" w:cs="Times New Roman"/>
      <w:b/>
      <w:sz w:val="32"/>
      <w:szCs w:val="32"/>
    </w:rPr>
  </w:style>
  <w:style w:type="character" w:customStyle="1" w:styleId="Heading2Char">
    <w:name w:val="Heading 2 Char"/>
    <w:basedOn w:val="DefaultParagraphFont"/>
    <w:link w:val="Heading2"/>
    <w:uiPriority w:val="9"/>
    <w:rsid w:val="00985434"/>
    <w:rPr>
      <w:rFonts w:ascii="Times New Roman" w:eastAsiaTheme="majorEastAsia" w:hAnsi="Times New Roman" w:cs="Times New Roman"/>
      <w:b/>
      <w:sz w:val="28"/>
      <w:szCs w:val="26"/>
    </w:rPr>
  </w:style>
  <w:style w:type="paragraph" w:styleId="TOCHeading">
    <w:name w:val="TOC Heading"/>
    <w:basedOn w:val="Heading1"/>
    <w:next w:val="Normal"/>
    <w:uiPriority w:val="39"/>
    <w:unhideWhenUsed/>
    <w:qFormat/>
    <w:rsid w:val="00373981"/>
    <w:pPr>
      <w:spacing w:line="259" w:lineRule="auto"/>
      <w:jc w:val="left"/>
      <w:outlineLvl w:val="9"/>
    </w:pPr>
    <w:rPr>
      <w:rFonts w:asciiTheme="majorHAnsi" w:hAnsiTheme="majorHAnsi" w:cstheme="majorBidi"/>
      <w:b w:val="0"/>
      <w:color w:val="2E74B5" w:themeColor="accent1" w:themeShade="BF"/>
    </w:rPr>
  </w:style>
  <w:style w:type="paragraph" w:styleId="TOC1">
    <w:name w:val="toc 1"/>
    <w:basedOn w:val="Normal"/>
    <w:next w:val="Normal"/>
    <w:autoRedefine/>
    <w:uiPriority w:val="39"/>
    <w:unhideWhenUsed/>
    <w:rsid w:val="00373981"/>
    <w:pPr>
      <w:spacing w:after="100"/>
    </w:pPr>
  </w:style>
  <w:style w:type="paragraph" w:styleId="TOC2">
    <w:name w:val="toc 2"/>
    <w:basedOn w:val="Normal"/>
    <w:next w:val="Normal"/>
    <w:autoRedefine/>
    <w:uiPriority w:val="39"/>
    <w:unhideWhenUsed/>
    <w:rsid w:val="00373981"/>
    <w:pPr>
      <w:spacing w:after="100"/>
      <w:ind w:left="240"/>
    </w:pPr>
  </w:style>
  <w:style w:type="character" w:styleId="Hyperlink">
    <w:name w:val="Hyperlink"/>
    <w:basedOn w:val="DefaultParagraphFont"/>
    <w:uiPriority w:val="99"/>
    <w:unhideWhenUsed/>
    <w:rsid w:val="00373981"/>
    <w:rPr>
      <w:color w:val="0563C1" w:themeColor="hyperlink"/>
      <w:u w:val="single"/>
    </w:rPr>
  </w:style>
  <w:style w:type="paragraph" w:styleId="Header">
    <w:name w:val="header"/>
    <w:basedOn w:val="Normal"/>
    <w:link w:val="HeaderChar"/>
    <w:uiPriority w:val="99"/>
    <w:unhideWhenUsed/>
    <w:rsid w:val="00373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981"/>
    <w:rPr>
      <w:rFonts w:ascii="Times New Roman" w:hAnsi="Times New Roman"/>
      <w:sz w:val="24"/>
    </w:rPr>
  </w:style>
  <w:style w:type="paragraph" w:styleId="Footer">
    <w:name w:val="footer"/>
    <w:basedOn w:val="Normal"/>
    <w:link w:val="FooterChar"/>
    <w:uiPriority w:val="99"/>
    <w:unhideWhenUsed/>
    <w:rsid w:val="00373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98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02B7F-F2FB-4DF5-8A4F-4023FD08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2890</Words>
  <Characters>16478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CS-04</dc:creator>
  <cp:lastModifiedBy>19arahouf</cp:lastModifiedBy>
  <cp:revision>2</cp:revision>
  <dcterms:created xsi:type="dcterms:W3CDTF">2023-10-09T20:56:00Z</dcterms:created>
  <dcterms:modified xsi:type="dcterms:W3CDTF">2023-10-09T20:56:00Z</dcterms:modified>
</cp:coreProperties>
</file>