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F3A60" w14:textId="77777777" w:rsidR="008F6ED5" w:rsidRPr="008F6ED5" w:rsidRDefault="008F6ED5" w:rsidP="008F6ED5">
      <w:pPr>
        <w:spacing w:before="450" w:after="450" w:line="540" w:lineRule="atLeast"/>
        <w:textAlignment w:val="baseline"/>
        <w:outlineLvl w:val="0"/>
        <w:rPr>
          <w:rFonts w:ascii="Roboto" w:eastAsia="Times New Roman" w:hAnsi="Roboto" w:cs="Times New Roman"/>
          <w:b/>
          <w:bCs/>
          <w:kern w:val="36"/>
          <w:sz w:val="48"/>
          <w:szCs w:val="48"/>
          <w14:ligatures w14:val="none"/>
        </w:rPr>
      </w:pPr>
      <w:r w:rsidRPr="008F6ED5">
        <w:rPr>
          <w:rFonts w:ascii="Roboto" w:eastAsia="Times New Roman" w:hAnsi="Roboto" w:cs="Times New Roman"/>
          <w:b/>
          <w:bCs/>
          <w:kern w:val="36"/>
          <w:sz w:val="48"/>
          <w:szCs w:val="48"/>
          <w14:ligatures w14:val="none"/>
        </w:rPr>
        <w:t>Governance, patient safety and quality</w:t>
      </w:r>
    </w:p>
    <w:p w14:paraId="520F3636"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Governance in healthcare is referred to as </w:t>
      </w:r>
      <w:hyperlink r:id="rId5" w:history="1">
        <w:r w:rsidRPr="008F6ED5">
          <w:rPr>
            <w:rFonts w:ascii="Times New Roman" w:eastAsia="Times New Roman" w:hAnsi="Times New Roman" w:cs="Times New Roman"/>
            <w:color w:val="005EB8"/>
            <w:kern w:val="0"/>
            <w:u w:val="single"/>
            <w:bdr w:val="none" w:sz="0" w:space="0" w:color="auto" w:frame="1"/>
            <w14:ligatures w14:val="none"/>
          </w:rPr>
          <w:t>clinical governance</w:t>
        </w:r>
      </w:hyperlink>
      <w:r w:rsidRPr="008F6ED5">
        <w:rPr>
          <w:rFonts w:ascii="Times New Roman" w:eastAsia="Times New Roman" w:hAnsi="Times New Roman" w:cs="Times New Roman"/>
          <w:kern w:val="0"/>
          <w14:ligatures w14:val="none"/>
        </w:rPr>
        <w:t>, “a system through which NHS organisations are accountable for continuously improving the quality of their services and safeguarding high standards of care by creating an environment in which excellence in clinical care will flourish”. It involves monitoring systems and processes to provide assurance of patient safety and quality of care across the organisation.</w:t>
      </w:r>
    </w:p>
    <w:p w14:paraId="2C9F9E72"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Audit and monitoring</w:t>
      </w:r>
    </w:p>
    <w:p w14:paraId="028E3351"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Matrons provide assurance that wards, departments and services are delivering safe, </w:t>
      </w:r>
      <w:proofErr w:type="gramStart"/>
      <w:r w:rsidRPr="008F6ED5">
        <w:rPr>
          <w:rFonts w:ascii="Times New Roman" w:eastAsia="Times New Roman" w:hAnsi="Times New Roman" w:cs="Times New Roman"/>
          <w:kern w:val="0"/>
          <w14:ligatures w14:val="none"/>
        </w:rPr>
        <w:t>high quality</w:t>
      </w:r>
      <w:proofErr w:type="gramEnd"/>
      <w:r w:rsidRPr="008F6ED5">
        <w:rPr>
          <w:rFonts w:ascii="Times New Roman" w:eastAsia="Times New Roman" w:hAnsi="Times New Roman" w:cs="Times New Roman"/>
          <w:kern w:val="0"/>
          <w14:ligatures w14:val="none"/>
        </w:rPr>
        <w:t xml:space="preserve"> care. They do this through audits and by monitoring patient and staff experience and satisfaction. These audits include the ward environment, patient experience, quality improvement, assurance, infection prevention and control and other metrics. Matrons provide real-time feedback, share learning from incidents and develop, maintain and monitor action plans following investigations. Themes and findings from audits can be used for trust-wide improvement. </w:t>
      </w:r>
      <w:hyperlink r:id="rId6" w:history="1">
        <w:r w:rsidRPr="008F6ED5">
          <w:rPr>
            <w:rFonts w:ascii="Times New Roman" w:eastAsia="Times New Roman" w:hAnsi="Times New Roman" w:cs="Times New Roman"/>
            <w:color w:val="005EB8"/>
            <w:kern w:val="0"/>
            <w:u w:val="single"/>
            <w:bdr w:val="none" w:sz="0" w:space="0" w:color="auto" w:frame="1"/>
            <w14:ligatures w14:val="none"/>
          </w:rPr>
          <w:t>NHS Improvement recently published a guide</w:t>
        </w:r>
      </w:hyperlink>
      <w:r w:rsidRPr="008F6ED5">
        <w:rPr>
          <w:rFonts w:ascii="Times New Roman" w:eastAsia="Times New Roman" w:hAnsi="Times New Roman" w:cs="Times New Roman"/>
          <w:kern w:val="0"/>
          <w14:ligatures w14:val="none"/>
        </w:rPr>
        <w:t> to ward and unit accreditation tools that can be adopted and used locally.</w:t>
      </w:r>
    </w:p>
    <w:p w14:paraId="24534ADF"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Other audits that matrons may participate in include the Patient-Led Assessment of the Care Environment (PLACE) and the </w:t>
      </w:r>
      <w:hyperlink r:id="rId7" w:history="1">
        <w:r w:rsidRPr="008F6ED5">
          <w:rPr>
            <w:rFonts w:ascii="Times New Roman" w:eastAsia="Times New Roman" w:hAnsi="Times New Roman" w:cs="Times New Roman"/>
            <w:color w:val="005EB8"/>
            <w:kern w:val="0"/>
            <w:u w:val="single"/>
            <w:bdr w:val="none" w:sz="0" w:space="0" w:color="auto" w:frame="1"/>
            <w14:ligatures w14:val="none"/>
          </w:rPr>
          <w:t>15 Steps Challenge</w:t>
        </w:r>
      </w:hyperlink>
      <w:r w:rsidRPr="008F6ED5">
        <w:rPr>
          <w:rFonts w:ascii="Times New Roman" w:eastAsia="Times New Roman" w:hAnsi="Times New Roman" w:cs="Times New Roman"/>
          <w:kern w:val="0"/>
          <w14:ligatures w14:val="none"/>
        </w:rPr>
        <w:t>, as well as local safety and quality audits that feed into the patient safety forum or clinical audit committee. Data from the </w:t>
      </w:r>
      <w:hyperlink r:id="rId8" w:history="1">
        <w:r w:rsidRPr="008F6ED5">
          <w:rPr>
            <w:rFonts w:ascii="Times New Roman" w:eastAsia="Times New Roman" w:hAnsi="Times New Roman" w:cs="Times New Roman"/>
            <w:color w:val="005EB8"/>
            <w:kern w:val="0"/>
            <w:u w:val="single"/>
            <w:bdr w:val="none" w:sz="0" w:space="0" w:color="auto" w:frame="1"/>
            <w14:ligatures w14:val="none"/>
          </w:rPr>
          <w:t>Model Hospital</w:t>
        </w:r>
      </w:hyperlink>
      <w:r w:rsidRPr="008F6ED5">
        <w:rPr>
          <w:rFonts w:ascii="Times New Roman" w:eastAsia="Times New Roman" w:hAnsi="Times New Roman" w:cs="Times New Roman"/>
          <w:kern w:val="0"/>
          <w14:ligatures w14:val="none"/>
        </w:rPr>
        <w:t> can be used to benchmark findings from nursing metrics to improve productivity in clinical care delivery.</w:t>
      </w:r>
    </w:p>
    <w:p w14:paraId="2A6C1971"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Quality and safety performance</w:t>
      </w:r>
    </w:p>
    <w:p w14:paraId="1018D906"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Quality includes patient experience, safety and clinical effectiveness and is a key marker of operational performance. The matron should monitor quality using a quality scorecard and develop plans to address any area needing improvement. Outcomes of interventions should be monitored and reported – based on the CQC domains – to the quality committee or groups.</w:t>
      </w:r>
    </w:p>
    <w:p w14:paraId="244A6DE8"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Matrons can use performance improvement measures such as a clear process for assessing risk, daily reviews of learning from risk, incidents and complaints and a process for escalating care. Here the matron should use local quality improvement (QI) strategies – refer to the QI section – to drive local improvements.</w:t>
      </w:r>
    </w:p>
    <w:p w14:paraId="566735FF"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Patient safety</w:t>
      </w:r>
    </w:p>
    <w:p w14:paraId="508F53DF"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Safety in healthcare is everyone’s business. Even with the very best intentions, people make mistakes. Improving safety is about reducing risk and minimising mistakes to reduce avoidable harm. The NHS’s ambition is to become the </w:t>
      </w:r>
      <w:hyperlink r:id="rId9" w:history="1">
        <w:r w:rsidRPr="008F6ED5">
          <w:rPr>
            <w:rFonts w:ascii="Times New Roman" w:eastAsia="Times New Roman" w:hAnsi="Times New Roman" w:cs="Times New Roman"/>
            <w:color w:val="005EB8"/>
            <w:kern w:val="0"/>
            <w:u w:val="single"/>
            <w:bdr w:val="none" w:sz="0" w:space="0" w:color="auto" w:frame="1"/>
            <w14:ligatures w14:val="none"/>
          </w:rPr>
          <w:t>safest healthcare system in the world</w:t>
        </w:r>
      </w:hyperlink>
      <w:r w:rsidRPr="008F6ED5">
        <w:rPr>
          <w:rFonts w:ascii="Times New Roman" w:eastAsia="Times New Roman" w:hAnsi="Times New Roman" w:cs="Times New Roman"/>
          <w:kern w:val="0"/>
          <w14:ligatures w14:val="none"/>
        </w:rPr>
        <w:t>.</w:t>
      </w:r>
    </w:p>
    <w:p w14:paraId="259182DB"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The national priorities for patient safety that matrons should contribute to include:</w:t>
      </w:r>
    </w:p>
    <w:p w14:paraId="5A55D42A" w14:textId="77777777" w:rsidR="008F6ED5" w:rsidRPr="008F6ED5" w:rsidRDefault="008F6ED5" w:rsidP="008F6ED5">
      <w:pPr>
        <w:numPr>
          <w:ilvl w:val="0"/>
          <w:numId w:val="1"/>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ensuring good understanding of patient safety and the incident management system</w:t>
      </w:r>
    </w:p>
    <w:p w14:paraId="29B92979" w14:textId="77777777" w:rsidR="008F6ED5" w:rsidRPr="008F6ED5" w:rsidRDefault="008F6ED5" w:rsidP="008F6ED5">
      <w:pPr>
        <w:numPr>
          <w:ilvl w:val="0"/>
          <w:numId w:val="1"/>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implementing the </w:t>
      </w:r>
      <w:hyperlink r:id="rId10" w:history="1">
        <w:r w:rsidRPr="008F6ED5">
          <w:rPr>
            <w:rFonts w:ascii="Times New Roman" w:eastAsia="Times New Roman" w:hAnsi="Times New Roman" w:cs="Times New Roman"/>
            <w:color w:val="005EB8"/>
            <w:kern w:val="0"/>
            <w:u w:val="single"/>
            <w:bdr w:val="none" w:sz="0" w:space="0" w:color="auto" w:frame="1"/>
            <w14:ligatures w14:val="none"/>
          </w:rPr>
          <w:t>NHS patient safety strategy</w:t>
        </w:r>
      </w:hyperlink>
      <w:r w:rsidRPr="008F6ED5">
        <w:rPr>
          <w:rFonts w:ascii="Times New Roman" w:eastAsia="Times New Roman" w:hAnsi="Times New Roman" w:cs="Times New Roman"/>
          <w:kern w:val="0"/>
          <w14:ligatures w14:val="none"/>
        </w:rPr>
        <w:t> and supporting </w:t>
      </w:r>
      <w:hyperlink r:id="rId11" w:history="1">
        <w:r w:rsidRPr="008F6ED5">
          <w:rPr>
            <w:rFonts w:ascii="Times New Roman" w:eastAsia="Times New Roman" w:hAnsi="Times New Roman" w:cs="Times New Roman"/>
            <w:color w:val="005EB8"/>
            <w:kern w:val="0"/>
            <w:u w:val="single"/>
            <w:bdr w:val="none" w:sz="0" w:space="0" w:color="auto" w:frame="1"/>
            <w14:ligatures w14:val="none"/>
          </w:rPr>
          <w:t>World Patient Safety Day</w:t>
        </w:r>
      </w:hyperlink>
    </w:p>
    <w:p w14:paraId="3F78D51C" w14:textId="77777777" w:rsidR="008F6ED5" w:rsidRPr="008F6ED5" w:rsidRDefault="008F6ED5" w:rsidP="008F6ED5">
      <w:pPr>
        <w:numPr>
          <w:ilvl w:val="0"/>
          <w:numId w:val="1"/>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lastRenderedPageBreak/>
        <w:t xml:space="preserve">attending the patient safety collaborative programme, responding to the patient safety agenda, the Francis Inquiry, developing new patient safety measurements, using the serious incidents policy, NHS Safety Thermometers, using clinical commissioning group (CCG) and regulatory levers to support patient safety </w:t>
      </w:r>
      <w:proofErr w:type="gramStart"/>
      <w:r w:rsidRPr="008F6ED5">
        <w:rPr>
          <w:rFonts w:ascii="Times New Roman" w:eastAsia="Times New Roman" w:hAnsi="Times New Roman" w:cs="Times New Roman"/>
          <w:kern w:val="0"/>
          <w14:ligatures w14:val="none"/>
        </w:rPr>
        <w:t>improvement</w:t>
      </w:r>
      <w:proofErr w:type="gramEnd"/>
    </w:p>
    <w:p w14:paraId="199457F5" w14:textId="77777777" w:rsidR="008F6ED5" w:rsidRPr="008F6ED5" w:rsidRDefault="008F6ED5" w:rsidP="008F6ED5">
      <w:pPr>
        <w:numPr>
          <w:ilvl w:val="0"/>
          <w:numId w:val="1"/>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working with the risk management team, collaborating with other national NHS and provider organisations such as NHS Resolution (formerly the NHS Litigation Authority), Medicines and Healthcare products Regulatory Agency, NHS Digital, Health Education England (HEE), independent sector, royal colleges and CQC.</w:t>
      </w:r>
    </w:p>
    <w:p w14:paraId="6AFF221A" w14:textId="77777777" w:rsidR="008F6ED5" w:rsidRPr="008F6ED5" w:rsidRDefault="008F6ED5" w:rsidP="008F6ED5">
      <w:pPr>
        <w:spacing w:before="120" w:after="120" w:line="240" w:lineRule="auto"/>
        <w:textAlignment w:val="baseline"/>
        <w:outlineLvl w:val="2"/>
        <w:rPr>
          <w:rFonts w:ascii="Roboto" w:eastAsia="Times New Roman" w:hAnsi="Roboto" w:cs="Times New Roman"/>
          <w:b/>
          <w:bCs/>
          <w:color w:val="003087"/>
          <w:kern w:val="0"/>
          <w:sz w:val="34"/>
          <w:szCs w:val="34"/>
          <w14:ligatures w14:val="none"/>
        </w:rPr>
      </w:pPr>
      <w:r w:rsidRPr="008F6ED5">
        <w:rPr>
          <w:rFonts w:ascii="Roboto" w:eastAsia="Times New Roman" w:hAnsi="Roboto" w:cs="Times New Roman"/>
          <w:b/>
          <w:bCs/>
          <w:color w:val="003087"/>
          <w:kern w:val="0"/>
          <w:sz w:val="34"/>
          <w:szCs w:val="34"/>
          <w14:ligatures w14:val="none"/>
        </w:rPr>
        <w:t>Further information</w:t>
      </w:r>
    </w:p>
    <w:p w14:paraId="58CC1FF4" w14:textId="77777777" w:rsidR="008F6ED5" w:rsidRPr="008F6ED5" w:rsidRDefault="008F6ED5" w:rsidP="008F6ED5">
      <w:pPr>
        <w:numPr>
          <w:ilvl w:val="0"/>
          <w:numId w:val="2"/>
        </w:numPr>
        <w:spacing w:after="0" w:line="240" w:lineRule="auto"/>
        <w:ind w:left="1005"/>
        <w:textAlignment w:val="baseline"/>
        <w:rPr>
          <w:rFonts w:ascii="Times New Roman" w:eastAsia="Times New Roman" w:hAnsi="Times New Roman" w:cs="Times New Roman"/>
          <w:kern w:val="0"/>
          <w14:ligatures w14:val="none"/>
        </w:rPr>
      </w:pPr>
      <w:hyperlink r:id="rId12" w:history="1">
        <w:r w:rsidRPr="008F6ED5">
          <w:rPr>
            <w:rFonts w:ascii="Times New Roman" w:eastAsia="Times New Roman" w:hAnsi="Times New Roman" w:cs="Times New Roman"/>
            <w:color w:val="005EB8"/>
            <w:kern w:val="0"/>
            <w:u w:val="single"/>
            <w:bdr w:val="none" w:sz="0" w:space="0" w:color="auto" w:frame="1"/>
            <w14:ligatures w14:val="none"/>
          </w:rPr>
          <w:t>Patient Safety Incident Management System</w:t>
        </w:r>
      </w:hyperlink>
    </w:p>
    <w:p w14:paraId="29F2ABAF"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 xml:space="preserve">Debriefing and learning from </w:t>
      </w:r>
      <w:proofErr w:type="gramStart"/>
      <w:r w:rsidRPr="008F6ED5">
        <w:rPr>
          <w:rFonts w:ascii="Roboto" w:eastAsia="Times New Roman" w:hAnsi="Roboto" w:cs="Times New Roman"/>
          <w:b/>
          <w:bCs/>
          <w:color w:val="003087"/>
          <w:kern w:val="0"/>
          <w:sz w:val="41"/>
          <w:szCs w:val="41"/>
          <w14:ligatures w14:val="none"/>
        </w:rPr>
        <w:t>practice</w:t>
      </w:r>
      <w:proofErr w:type="gramEnd"/>
    </w:p>
    <w:p w14:paraId="5DB11C75"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Matrons should lead staff in using debriefing to stop and reflect after challenging situations. Debriefing can be undertaken in organised sessions in wards, departments or services – for example, after dealing with patients at the front line of care who have challenging mental health issues, more of whom are now admitted to settings for patients with physical conditions.</w:t>
      </w:r>
    </w:p>
    <w:p w14:paraId="6E9DA412"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Safeguarding all people</w:t>
      </w:r>
    </w:p>
    <w:p w14:paraId="30AC3223"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NHS England has developed </w:t>
      </w:r>
      <w:hyperlink r:id="rId13" w:history="1">
        <w:r w:rsidRPr="008F6ED5">
          <w:rPr>
            <w:rFonts w:ascii="Times New Roman" w:eastAsia="Times New Roman" w:hAnsi="Times New Roman" w:cs="Times New Roman"/>
            <w:color w:val="005EB8"/>
            <w:kern w:val="0"/>
            <w:u w:val="single"/>
            <w:bdr w:val="none" w:sz="0" w:space="0" w:color="auto" w:frame="1"/>
            <w14:ligatures w14:val="none"/>
          </w:rPr>
          <w:t>12 safeguarding programmes</w:t>
        </w:r>
      </w:hyperlink>
      <w:r w:rsidRPr="008F6ED5">
        <w:rPr>
          <w:rFonts w:ascii="Times New Roman" w:eastAsia="Times New Roman" w:hAnsi="Times New Roman" w:cs="Times New Roman"/>
          <w:kern w:val="0"/>
          <w14:ligatures w14:val="none"/>
        </w:rPr>
        <w:t> based on national legislation covering adults and children, which every NHS organisation, system leader and practitioner must implement. The matron has an essential role here, so must fully understand their duty to report safeguarding incidents to protect their patients, colleagues and community.</w:t>
      </w:r>
    </w:p>
    <w:p w14:paraId="590C3C42"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Matrons should also hold safeguarding advice and supervisory sessions in wards, departments and services, in accordance with NMC professional practice guidance, to help staff through challenging situations.</w:t>
      </w:r>
    </w:p>
    <w:p w14:paraId="45709E1F" w14:textId="77777777" w:rsidR="008F6ED5" w:rsidRPr="008F6ED5" w:rsidRDefault="008F6ED5" w:rsidP="008F6ED5">
      <w:pPr>
        <w:spacing w:after="225"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Safeguarding incidents that must be reported include:</w:t>
      </w:r>
    </w:p>
    <w:p w14:paraId="0C6EE58E" w14:textId="77777777" w:rsidR="008F6ED5" w:rsidRPr="008F6ED5" w:rsidRDefault="008F6ED5" w:rsidP="008F6ED5">
      <w:pPr>
        <w:numPr>
          <w:ilvl w:val="0"/>
          <w:numId w:val="3"/>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domestic abuse and violence against pregnant women</w:t>
      </w:r>
    </w:p>
    <w:p w14:paraId="15692758" w14:textId="77777777" w:rsidR="008F6ED5" w:rsidRPr="008F6ED5" w:rsidRDefault="008F6ED5" w:rsidP="008F6ED5">
      <w:pPr>
        <w:numPr>
          <w:ilvl w:val="0"/>
          <w:numId w:val="3"/>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serious violence and sexual exploitation of schoolchildren</w:t>
      </w:r>
    </w:p>
    <w:p w14:paraId="7E171BA1" w14:textId="77777777" w:rsidR="008F6ED5" w:rsidRPr="008F6ED5" w:rsidRDefault="008F6ED5" w:rsidP="008F6ED5">
      <w:pPr>
        <w:numPr>
          <w:ilvl w:val="0"/>
          <w:numId w:val="3"/>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illegal drug dealing through ‘county </w:t>
      </w:r>
      <w:proofErr w:type="gramStart"/>
      <w:r w:rsidRPr="008F6ED5">
        <w:rPr>
          <w:rFonts w:ascii="Times New Roman" w:eastAsia="Times New Roman" w:hAnsi="Times New Roman" w:cs="Times New Roman"/>
          <w:kern w:val="0"/>
          <w14:ligatures w14:val="none"/>
        </w:rPr>
        <w:t>lines’</w:t>
      </w:r>
      <w:proofErr w:type="gramEnd"/>
    </w:p>
    <w:p w14:paraId="578BE653" w14:textId="77777777" w:rsidR="008F6ED5" w:rsidRPr="008F6ED5" w:rsidRDefault="008F6ED5" w:rsidP="008F6ED5">
      <w:pPr>
        <w:numPr>
          <w:ilvl w:val="0"/>
          <w:numId w:val="3"/>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human trafficking and other incidents, according to the NHS safeguarding policy and procedures.</w:t>
      </w:r>
    </w:p>
    <w:p w14:paraId="2D0FDB4A" w14:textId="77777777" w:rsidR="008F6ED5" w:rsidRPr="008F6ED5" w:rsidRDefault="008F6ED5" w:rsidP="008F6ED5">
      <w:pPr>
        <w:spacing w:before="120" w:after="180" w:line="240" w:lineRule="auto"/>
        <w:textAlignment w:val="baseline"/>
        <w:outlineLvl w:val="1"/>
        <w:rPr>
          <w:rFonts w:ascii="Roboto" w:eastAsia="Times New Roman" w:hAnsi="Roboto" w:cs="Times New Roman"/>
          <w:b/>
          <w:bCs/>
          <w:color w:val="003087"/>
          <w:kern w:val="0"/>
          <w:sz w:val="41"/>
          <w:szCs w:val="41"/>
          <w14:ligatures w14:val="none"/>
        </w:rPr>
      </w:pPr>
      <w:r w:rsidRPr="008F6ED5">
        <w:rPr>
          <w:rFonts w:ascii="Roboto" w:eastAsia="Times New Roman" w:hAnsi="Roboto" w:cs="Times New Roman"/>
          <w:b/>
          <w:bCs/>
          <w:color w:val="003087"/>
          <w:kern w:val="0"/>
          <w:sz w:val="41"/>
          <w:szCs w:val="41"/>
          <w14:ligatures w14:val="none"/>
        </w:rPr>
        <w:t>Environmental cleanliness and IPC</w:t>
      </w:r>
    </w:p>
    <w:p w14:paraId="545C7741" w14:textId="77777777" w:rsidR="008F6ED5" w:rsidRPr="008F6ED5" w:rsidRDefault="008F6ED5" w:rsidP="008F6ED5">
      <w:pPr>
        <w:spacing w:after="0" w:line="240" w:lineRule="auto"/>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Matrons have a pivotal role in applying the hygiene code and the </w:t>
      </w:r>
      <w:hyperlink r:id="rId14" w:history="1">
        <w:r w:rsidRPr="008F6ED5">
          <w:rPr>
            <w:rFonts w:ascii="Times New Roman" w:eastAsia="Times New Roman" w:hAnsi="Times New Roman" w:cs="Times New Roman"/>
            <w:color w:val="005EB8"/>
            <w:kern w:val="0"/>
            <w:u w:val="single"/>
            <w:bdr w:val="none" w:sz="0" w:space="0" w:color="auto" w:frame="1"/>
            <w14:ligatures w14:val="none"/>
          </w:rPr>
          <w:t>Health and Social Care Act</w:t>
        </w:r>
      </w:hyperlink>
      <w:r w:rsidRPr="008F6ED5">
        <w:rPr>
          <w:rFonts w:ascii="Times New Roman" w:eastAsia="Times New Roman" w:hAnsi="Times New Roman" w:cs="Times New Roman"/>
          <w:kern w:val="0"/>
          <w14:ligatures w14:val="none"/>
        </w:rPr>
        <w:t> to ensure a clean and safe environment, liaising with the estates team in reviewing and improving the environmental infrastructure. Infection prevention and control (IPC) and improving cleanliness in the healthcare setting are part of the patient safety portfolio and reduce healthcare-associated infections. Matrons should lead their staff in improving the clinical environment to meet the requirements of the hygiene code and the Health and Social Care Act to ensure safety of patients, families and carers through:</w:t>
      </w:r>
    </w:p>
    <w:p w14:paraId="7A57DC7D"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overseeing the domestic, clinical and non-clinical cleaning responsibilities in the area covered</w:t>
      </w:r>
    </w:p>
    <w:p w14:paraId="17B2AC7C"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lastRenderedPageBreak/>
        <w:t xml:space="preserve">leading monthly hand hygiene audits, as well as formative rounds and peer review audits, checking and challenging </w:t>
      </w:r>
      <w:proofErr w:type="gramStart"/>
      <w:r w:rsidRPr="008F6ED5">
        <w:rPr>
          <w:rFonts w:ascii="Times New Roman" w:eastAsia="Times New Roman" w:hAnsi="Times New Roman" w:cs="Times New Roman"/>
          <w:kern w:val="0"/>
          <w14:ligatures w14:val="none"/>
        </w:rPr>
        <w:t>practice</w:t>
      </w:r>
      <w:proofErr w:type="gramEnd"/>
    </w:p>
    <w:p w14:paraId="3C8FDB4D"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leading monitoring of local compliance, with the estates, facilities and IPC teams, through clinical environmental spot checks and audit, followed by updating the risk register with mitigatory </w:t>
      </w:r>
      <w:proofErr w:type="gramStart"/>
      <w:r w:rsidRPr="008F6ED5">
        <w:rPr>
          <w:rFonts w:ascii="Times New Roman" w:eastAsia="Times New Roman" w:hAnsi="Times New Roman" w:cs="Times New Roman"/>
          <w:kern w:val="0"/>
          <w14:ligatures w14:val="none"/>
        </w:rPr>
        <w:t>actions</w:t>
      </w:r>
      <w:proofErr w:type="gramEnd"/>
    </w:p>
    <w:p w14:paraId="75DCF309"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using quality dashboards and league tables for benchmarking and monitoring cleaning practices</w:t>
      </w:r>
    </w:p>
    <w:p w14:paraId="386486D9"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participating in the 15 Steps process ensuring corridors, walkways and visual display areas are clear, clean and tidy, so that the organisation’s infrastructure is </w:t>
      </w:r>
      <w:proofErr w:type="gramStart"/>
      <w:r w:rsidRPr="008F6ED5">
        <w:rPr>
          <w:rFonts w:ascii="Times New Roman" w:eastAsia="Times New Roman" w:hAnsi="Times New Roman" w:cs="Times New Roman"/>
          <w:kern w:val="0"/>
          <w14:ligatures w14:val="none"/>
        </w:rPr>
        <w:t>safe</w:t>
      </w:r>
      <w:proofErr w:type="gramEnd"/>
    </w:p>
    <w:p w14:paraId="0395FFF0"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contributing to the environmental cleaning service-level agreement and cleaning schedules</w:t>
      </w:r>
    </w:p>
    <w:p w14:paraId="2C884A25"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leading the implementation of standards in the area they cover to meet </w:t>
      </w:r>
      <w:proofErr w:type="spellStart"/>
      <w:r w:rsidRPr="008F6ED5">
        <w:rPr>
          <w:rFonts w:ascii="Times New Roman" w:eastAsia="Times New Roman" w:hAnsi="Times New Roman" w:cs="Times New Roman"/>
          <w:i/>
          <w:iCs/>
          <w:kern w:val="0"/>
          <w:bdr w:val="none" w:sz="0" w:space="0" w:color="auto" w:frame="1"/>
          <w14:ligatures w14:val="none"/>
        </w:rPr>
        <w:t>Clostridioides</w:t>
      </w:r>
      <w:proofErr w:type="spellEnd"/>
      <w:r w:rsidRPr="008F6ED5">
        <w:rPr>
          <w:rFonts w:ascii="Times New Roman" w:eastAsia="Times New Roman" w:hAnsi="Times New Roman" w:cs="Times New Roman"/>
          <w:i/>
          <w:iCs/>
          <w:kern w:val="0"/>
          <w:bdr w:val="none" w:sz="0" w:space="0" w:color="auto" w:frame="1"/>
          <w14:ligatures w14:val="none"/>
        </w:rPr>
        <w:t> </w:t>
      </w:r>
      <w:r w:rsidRPr="008F6ED5">
        <w:rPr>
          <w:rFonts w:ascii="Times New Roman" w:eastAsia="Times New Roman" w:hAnsi="Times New Roman" w:cs="Times New Roman"/>
          <w:kern w:val="0"/>
          <w14:ligatures w14:val="none"/>
        </w:rPr>
        <w:t>(formerly known as </w:t>
      </w:r>
      <w:r w:rsidRPr="008F6ED5">
        <w:rPr>
          <w:rFonts w:ascii="Times New Roman" w:eastAsia="Times New Roman" w:hAnsi="Times New Roman" w:cs="Times New Roman"/>
          <w:i/>
          <w:iCs/>
          <w:kern w:val="0"/>
          <w:bdr w:val="none" w:sz="0" w:space="0" w:color="auto" w:frame="1"/>
          <w14:ligatures w14:val="none"/>
        </w:rPr>
        <w:t>Clostridium</w:t>
      </w:r>
      <w:r w:rsidRPr="008F6ED5">
        <w:rPr>
          <w:rFonts w:ascii="Times New Roman" w:eastAsia="Times New Roman" w:hAnsi="Times New Roman" w:cs="Times New Roman"/>
          <w:kern w:val="0"/>
          <w14:ligatures w14:val="none"/>
        </w:rPr>
        <w:t>) </w:t>
      </w:r>
      <w:r w:rsidRPr="008F6ED5">
        <w:rPr>
          <w:rFonts w:ascii="Times New Roman" w:eastAsia="Times New Roman" w:hAnsi="Times New Roman" w:cs="Times New Roman"/>
          <w:i/>
          <w:iCs/>
          <w:kern w:val="0"/>
          <w:bdr w:val="none" w:sz="0" w:space="0" w:color="auto" w:frame="1"/>
          <w14:ligatures w14:val="none"/>
        </w:rPr>
        <w:t>difficile </w:t>
      </w:r>
      <w:r w:rsidRPr="008F6ED5">
        <w:rPr>
          <w:rFonts w:ascii="Times New Roman" w:eastAsia="Times New Roman" w:hAnsi="Times New Roman" w:cs="Times New Roman"/>
          <w:kern w:val="0"/>
          <w14:ligatures w14:val="none"/>
        </w:rPr>
        <w:t>objectives,16 as well as maintaining zero tolerance of methicillin resistant </w:t>
      </w:r>
      <w:r w:rsidRPr="008F6ED5">
        <w:rPr>
          <w:rFonts w:ascii="Times New Roman" w:eastAsia="Times New Roman" w:hAnsi="Times New Roman" w:cs="Times New Roman"/>
          <w:i/>
          <w:iCs/>
          <w:kern w:val="0"/>
          <w:bdr w:val="none" w:sz="0" w:space="0" w:color="auto" w:frame="1"/>
          <w14:ligatures w14:val="none"/>
        </w:rPr>
        <w:t>Staphylococcus aureus </w:t>
      </w:r>
      <w:r w:rsidRPr="008F6ED5">
        <w:rPr>
          <w:rFonts w:ascii="Times New Roman" w:eastAsia="Times New Roman" w:hAnsi="Times New Roman" w:cs="Times New Roman"/>
          <w:kern w:val="0"/>
          <w14:ligatures w14:val="none"/>
        </w:rPr>
        <w:t xml:space="preserve">(MRSA) bloodstream </w:t>
      </w:r>
      <w:proofErr w:type="gramStart"/>
      <w:r w:rsidRPr="008F6ED5">
        <w:rPr>
          <w:rFonts w:ascii="Times New Roman" w:eastAsia="Times New Roman" w:hAnsi="Times New Roman" w:cs="Times New Roman"/>
          <w:kern w:val="0"/>
          <w14:ligatures w14:val="none"/>
        </w:rPr>
        <w:t>infection</w:t>
      </w:r>
      <w:proofErr w:type="gramEnd"/>
    </w:p>
    <w:p w14:paraId="03912A83"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supporting ward, department and service leaders and IPC in local outbreak management and action planning</w:t>
      </w:r>
    </w:p>
    <w:p w14:paraId="7318987D"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contributing to embedding antibiotic prescribing review and stewardship, according to the </w:t>
      </w:r>
      <w:hyperlink r:id="rId15" w:history="1">
        <w:r w:rsidRPr="008F6ED5">
          <w:rPr>
            <w:rFonts w:ascii="Times New Roman" w:eastAsia="Times New Roman" w:hAnsi="Times New Roman" w:cs="Times New Roman"/>
            <w:i/>
            <w:iCs/>
            <w:color w:val="005EB8"/>
            <w:kern w:val="0"/>
            <w:u w:val="single"/>
            <w:bdr w:val="none" w:sz="0" w:space="0" w:color="auto" w:frame="1"/>
            <w14:ligatures w14:val="none"/>
          </w:rPr>
          <w:t>Escherichia coli </w:t>
        </w:r>
        <w:r w:rsidRPr="008F6ED5">
          <w:rPr>
            <w:rFonts w:ascii="Times New Roman" w:eastAsia="Times New Roman" w:hAnsi="Times New Roman" w:cs="Times New Roman"/>
            <w:color w:val="005EB8"/>
            <w:kern w:val="0"/>
            <w:u w:val="single"/>
            <w:bdr w:val="none" w:sz="0" w:space="0" w:color="auto" w:frame="1"/>
            <w14:ligatures w14:val="none"/>
          </w:rPr>
          <w:t>bloodstream infection and antimicrobial resistance strategy</w:t>
        </w:r>
      </w:hyperlink>
    </w:p>
    <w:p w14:paraId="119ED665"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contributing to embedding local compliance with IPC-related policy, such as the hand hygiene and uniform policies, which includes ensuring staff are bare below the elbow and hair is tied back when in the clinical </w:t>
      </w:r>
      <w:proofErr w:type="gramStart"/>
      <w:r w:rsidRPr="008F6ED5">
        <w:rPr>
          <w:rFonts w:ascii="Times New Roman" w:eastAsia="Times New Roman" w:hAnsi="Times New Roman" w:cs="Times New Roman"/>
          <w:kern w:val="0"/>
          <w14:ligatures w14:val="none"/>
        </w:rPr>
        <w:t>area</w:t>
      </w:r>
      <w:proofErr w:type="gramEnd"/>
    </w:p>
    <w:p w14:paraId="15939239"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ensuring early identification and appropriate isolation of patients with infection risks</w:t>
      </w:r>
    </w:p>
    <w:p w14:paraId="595D4AA7"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embedding compliance with the aseptic non-touch technique for surgical and invasive procedures</w:t>
      </w:r>
    </w:p>
    <w:p w14:paraId="6B05E07A"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 xml:space="preserve">promoting education and development on all elements of IPC for staff and patients locally, including dedicated campaigns where there is an increased incidence of </w:t>
      </w:r>
      <w:proofErr w:type="gramStart"/>
      <w:r w:rsidRPr="008F6ED5">
        <w:rPr>
          <w:rFonts w:ascii="Times New Roman" w:eastAsia="Times New Roman" w:hAnsi="Times New Roman" w:cs="Times New Roman"/>
          <w:kern w:val="0"/>
          <w14:ligatures w14:val="none"/>
        </w:rPr>
        <w:t>infections</w:t>
      </w:r>
      <w:proofErr w:type="gramEnd"/>
    </w:p>
    <w:p w14:paraId="5B81932B" w14:textId="77777777" w:rsidR="008F6ED5" w:rsidRPr="008F6ED5" w:rsidRDefault="008F6ED5" w:rsidP="008F6ED5">
      <w:pPr>
        <w:numPr>
          <w:ilvl w:val="0"/>
          <w:numId w:val="4"/>
        </w:numPr>
        <w:spacing w:after="0" w:line="240" w:lineRule="auto"/>
        <w:ind w:left="1005"/>
        <w:textAlignment w:val="baseline"/>
        <w:rPr>
          <w:rFonts w:ascii="Times New Roman" w:eastAsia="Times New Roman" w:hAnsi="Times New Roman" w:cs="Times New Roman"/>
          <w:kern w:val="0"/>
          <w14:ligatures w14:val="none"/>
        </w:rPr>
      </w:pPr>
      <w:r w:rsidRPr="008F6ED5">
        <w:rPr>
          <w:rFonts w:ascii="Times New Roman" w:eastAsia="Times New Roman" w:hAnsi="Times New Roman" w:cs="Times New Roman"/>
          <w:kern w:val="0"/>
          <w14:ligatures w14:val="none"/>
        </w:rPr>
        <w:t>leading staff in monitoring compliance with sharps and waste management, ensuring safe practices across the organisation.</w:t>
      </w:r>
    </w:p>
    <w:p w14:paraId="14F7B35D" w14:textId="77777777" w:rsidR="008F6ED5" w:rsidRPr="008F6ED5" w:rsidRDefault="008F6ED5" w:rsidP="008F6ED5">
      <w:pPr>
        <w:shd w:val="clear" w:color="auto" w:fill="E8EDEE"/>
        <w:spacing w:before="120" w:after="120" w:line="240" w:lineRule="auto"/>
        <w:textAlignment w:val="baseline"/>
        <w:outlineLvl w:val="2"/>
        <w:rPr>
          <w:rFonts w:ascii="Roboto" w:eastAsia="Times New Roman" w:hAnsi="Roboto" w:cs="Times New Roman"/>
          <w:b/>
          <w:bCs/>
          <w:color w:val="003087"/>
          <w:kern w:val="0"/>
          <w:sz w:val="34"/>
          <w:szCs w:val="34"/>
          <w14:ligatures w14:val="none"/>
        </w:rPr>
      </w:pPr>
      <w:r w:rsidRPr="008F6ED5">
        <w:rPr>
          <w:rFonts w:ascii="Roboto" w:eastAsia="Times New Roman" w:hAnsi="Roboto" w:cs="Times New Roman"/>
          <w:b/>
          <w:bCs/>
          <w:color w:val="003087"/>
          <w:kern w:val="0"/>
          <w:sz w:val="34"/>
          <w:szCs w:val="34"/>
          <w14:ligatures w14:val="none"/>
        </w:rPr>
        <w:t>Matron’s Handbook – next sections</w:t>
      </w:r>
    </w:p>
    <w:p w14:paraId="7DA8A8FC"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16" w:history="1">
        <w:r w:rsidRPr="008F6ED5">
          <w:rPr>
            <w:rFonts w:ascii="Times New Roman" w:eastAsia="Times New Roman" w:hAnsi="Times New Roman" w:cs="Times New Roman"/>
            <w:color w:val="005EB8"/>
            <w:kern w:val="0"/>
            <w:u w:val="single"/>
            <w:bdr w:val="none" w:sz="0" w:space="0" w:color="auto" w:frame="1"/>
            <w14:ligatures w14:val="none"/>
          </w:rPr>
          <w:t>Workforce planning and resource management</w:t>
        </w:r>
      </w:hyperlink>
    </w:p>
    <w:p w14:paraId="4A67C036"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17" w:history="1">
        <w:r w:rsidRPr="008F6ED5">
          <w:rPr>
            <w:rFonts w:ascii="Times New Roman" w:eastAsia="Times New Roman" w:hAnsi="Times New Roman" w:cs="Times New Roman"/>
            <w:color w:val="005EB8"/>
            <w:kern w:val="0"/>
            <w:u w:val="single"/>
            <w:bdr w:val="none" w:sz="0" w:space="0" w:color="auto" w:frame="1"/>
            <w14:ligatures w14:val="none"/>
          </w:rPr>
          <w:t>Patient experience and reducing health inequalities</w:t>
        </w:r>
      </w:hyperlink>
    </w:p>
    <w:p w14:paraId="0945AA6B"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18" w:history="1">
        <w:r w:rsidRPr="008F6ED5">
          <w:rPr>
            <w:rFonts w:ascii="Times New Roman" w:eastAsia="Times New Roman" w:hAnsi="Times New Roman" w:cs="Times New Roman"/>
            <w:color w:val="005EB8"/>
            <w:kern w:val="0"/>
            <w:u w:val="single"/>
            <w:bdr w:val="none" w:sz="0" w:space="0" w:color="auto" w:frame="1"/>
            <w14:ligatures w14:val="none"/>
          </w:rPr>
          <w:t>Performance and operational oversight</w:t>
        </w:r>
      </w:hyperlink>
    </w:p>
    <w:p w14:paraId="50A77355"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19" w:history="1">
        <w:r w:rsidRPr="008F6ED5">
          <w:rPr>
            <w:rFonts w:ascii="Times New Roman" w:eastAsia="Times New Roman" w:hAnsi="Times New Roman" w:cs="Times New Roman"/>
            <w:color w:val="005EB8"/>
            <w:kern w:val="0"/>
            <w:u w:val="single"/>
            <w:bdr w:val="none" w:sz="0" w:space="0" w:color="auto" w:frame="1"/>
            <w14:ligatures w14:val="none"/>
          </w:rPr>
          <w:t>Digital and technology</w:t>
        </w:r>
      </w:hyperlink>
    </w:p>
    <w:p w14:paraId="43006104"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20" w:history="1">
        <w:r w:rsidRPr="008F6ED5">
          <w:rPr>
            <w:rFonts w:ascii="Times New Roman" w:eastAsia="Times New Roman" w:hAnsi="Times New Roman" w:cs="Times New Roman"/>
            <w:color w:val="005EB8"/>
            <w:kern w:val="0"/>
            <w:u w:val="single"/>
            <w:bdr w:val="none" w:sz="0" w:space="0" w:color="auto" w:frame="1"/>
            <w14:ligatures w14:val="none"/>
          </w:rPr>
          <w:t>Education, training and development</w:t>
        </w:r>
      </w:hyperlink>
    </w:p>
    <w:p w14:paraId="0096A7D4"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21" w:history="1">
        <w:r w:rsidRPr="008F6ED5">
          <w:rPr>
            <w:rFonts w:ascii="Times New Roman" w:eastAsia="Times New Roman" w:hAnsi="Times New Roman" w:cs="Times New Roman"/>
            <w:color w:val="005EB8"/>
            <w:kern w:val="0"/>
            <w:u w:val="single"/>
            <w:bdr w:val="none" w:sz="0" w:space="0" w:color="auto" w:frame="1"/>
            <w14:ligatures w14:val="none"/>
          </w:rPr>
          <w:t>Research and development</w:t>
        </w:r>
      </w:hyperlink>
    </w:p>
    <w:p w14:paraId="2EB12D88"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22" w:history="1">
        <w:r w:rsidRPr="008F6ED5">
          <w:rPr>
            <w:rFonts w:ascii="Times New Roman" w:eastAsia="Times New Roman" w:hAnsi="Times New Roman" w:cs="Times New Roman"/>
            <w:color w:val="005EB8"/>
            <w:kern w:val="0"/>
            <w:u w:val="single"/>
            <w:bdr w:val="none" w:sz="0" w:space="0" w:color="auto" w:frame="1"/>
            <w14:ligatures w14:val="none"/>
          </w:rPr>
          <w:t>Collaborative working and clinical effectiveness</w:t>
        </w:r>
      </w:hyperlink>
    </w:p>
    <w:p w14:paraId="5E2C991E"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23" w:history="1">
        <w:r w:rsidRPr="008F6ED5">
          <w:rPr>
            <w:rFonts w:ascii="Times New Roman" w:eastAsia="Times New Roman" w:hAnsi="Times New Roman" w:cs="Times New Roman"/>
            <w:color w:val="005EB8"/>
            <w:kern w:val="0"/>
            <w:u w:val="single"/>
            <w:bdr w:val="none" w:sz="0" w:space="0" w:color="auto" w:frame="1"/>
            <w14:ligatures w14:val="none"/>
          </w:rPr>
          <w:t>Service improvement and transformation</w:t>
        </w:r>
      </w:hyperlink>
    </w:p>
    <w:p w14:paraId="6FFAE9A7" w14:textId="77777777" w:rsidR="008F6ED5" w:rsidRPr="008F6ED5" w:rsidRDefault="008F6ED5" w:rsidP="008F6ED5">
      <w:pPr>
        <w:numPr>
          <w:ilvl w:val="0"/>
          <w:numId w:val="5"/>
        </w:numPr>
        <w:shd w:val="clear" w:color="auto" w:fill="E8EDEE"/>
        <w:spacing w:after="0" w:line="240" w:lineRule="auto"/>
        <w:ind w:left="1005"/>
        <w:textAlignment w:val="baseline"/>
        <w:rPr>
          <w:rFonts w:ascii="Times New Roman" w:eastAsia="Times New Roman" w:hAnsi="Times New Roman" w:cs="Times New Roman"/>
          <w:kern w:val="0"/>
          <w14:ligatures w14:val="none"/>
        </w:rPr>
      </w:pPr>
      <w:hyperlink r:id="rId24" w:history="1">
        <w:r w:rsidRPr="008F6ED5">
          <w:rPr>
            <w:rFonts w:ascii="Times New Roman" w:eastAsia="Times New Roman" w:hAnsi="Times New Roman" w:cs="Times New Roman"/>
            <w:color w:val="005EB8"/>
            <w:kern w:val="0"/>
            <w:u w:val="single"/>
            <w:bdr w:val="none" w:sz="0" w:space="0" w:color="auto" w:frame="1"/>
            <w14:ligatures w14:val="none"/>
          </w:rPr>
          <w:t>Appendix: The matron’s developmental framework and competencies</w:t>
        </w:r>
      </w:hyperlink>
    </w:p>
    <w:p w14:paraId="07E2946C" w14:textId="77777777" w:rsidR="008F6ED5" w:rsidRPr="008F6ED5" w:rsidRDefault="008F6ED5" w:rsidP="008F6ED5">
      <w:pPr>
        <w:numPr>
          <w:ilvl w:val="0"/>
          <w:numId w:val="5"/>
        </w:numPr>
        <w:shd w:val="clear" w:color="auto" w:fill="E8EDEE"/>
        <w:spacing w:line="240" w:lineRule="auto"/>
        <w:ind w:left="1005"/>
        <w:textAlignment w:val="baseline"/>
        <w:rPr>
          <w:rFonts w:ascii="Times New Roman" w:eastAsia="Times New Roman" w:hAnsi="Times New Roman" w:cs="Times New Roman"/>
          <w:kern w:val="0"/>
          <w14:ligatures w14:val="none"/>
        </w:rPr>
      </w:pPr>
      <w:hyperlink r:id="rId25" w:history="1">
        <w:r w:rsidRPr="008F6ED5">
          <w:rPr>
            <w:rFonts w:ascii="Times New Roman" w:eastAsia="Times New Roman" w:hAnsi="Times New Roman" w:cs="Times New Roman"/>
            <w:color w:val="003087"/>
            <w:kern w:val="0"/>
            <w:u w:val="single"/>
            <w:bdr w:val="none" w:sz="0" w:space="0" w:color="auto" w:frame="1"/>
            <w14:ligatures w14:val="none"/>
          </w:rPr>
          <w:t>Acknowledgements</w:t>
        </w:r>
      </w:hyperlink>
    </w:p>
    <w:p w14:paraId="1A64A451"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26" w:tooltip="Terms and conditions" w:history="1">
        <w:r w:rsidRPr="008F6ED5">
          <w:rPr>
            <w:rFonts w:ascii="Roboto" w:eastAsia="Times New Roman" w:hAnsi="Roboto" w:cs="Times New Roman"/>
            <w:color w:val="425563"/>
            <w:kern w:val="0"/>
            <w:u w:val="single"/>
            <w:bdr w:val="none" w:sz="0" w:space="0" w:color="auto" w:frame="1"/>
            <w14:ligatures w14:val="none"/>
          </w:rPr>
          <w:t>Terms and conditions</w:t>
        </w:r>
      </w:hyperlink>
    </w:p>
    <w:p w14:paraId="220069EE"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27" w:tooltip="Privacy and cookies" w:history="1">
        <w:r w:rsidRPr="008F6ED5">
          <w:rPr>
            <w:rFonts w:ascii="Roboto" w:eastAsia="Times New Roman" w:hAnsi="Roboto" w:cs="Times New Roman"/>
            <w:color w:val="425563"/>
            <w:kern w:val="0"/>
            <w:u w:val="single"/>
            <w:bdr w:val="none" w:sz="0" w:space="0" w:color="auto" w:frame="1"/>
            <w14:ligatures w14:val="none"/>
          </w:rPr>
          <w:t>Privacy and cookies</w:t>
        </w:r>
      </w:hyperlink>
    </w:p>
    <w:p w14:paraId="04EC9346"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28" w:tooltip="Social media and comment moderation" w:history="1">
        <w:r w:rsidRPr="008F6ED5">
          <w:rPr>
            <w:rFonts w:ascii="Roboto" w:eastAsia="Times New Roman" w:hAnsi="Roboto" w:cs="Times New Roman"/>
            <w:color w:val="425563"/>
            <w:kern w:val="0"/>
            <w:u w:val="single"/>
            <w:bdr w:val="none" w:sz="0" w:space="0" w:color="auto" w:frame="1"/>
            <w14:ligatures w14:val="none"/>
          </w:rPr>
          <w:t>Social media and comment moderation</w:t>
        </w:r>
      </w:hyperlink>
    </w:p>
    <w:p w14:paraId="02DAA6AC"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29" w:history="1">
        <w:r w:rsidRPr="008F6ED5">
          <w:rPr>
            <w:rFonts w:ascii="Roboto" w:eastAsia="Times New Roman" w:hAnsi="Roboto" w:cs="Times New Roman"/>
            <w:color w:val="425563"/>
            <w:kern w:val="0"/>
            <w:u w:val="single"/>
            <w:bdr w:val="none" w:sz="0" w:space="0" w:color="auto" w:frame="1"/>
            <w14:ligatures w14:val="none"/>
          </w:rPr>
          <w:t>Website feedback</w:t>
        </w:r>
      </w:hyperlink>
    </w:p>
    <w:p w14:paraId="1938B77B"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30" w:tooltip="Accessibility statement" w:history="1">
        <w:r w:rsidRPr="008F6ED5">
          <w:rPr>
            <w:rFonts w:ascii="Roboto" w:eastAsia="Times New Roman" w:hAnsi="Roboto" w:cs="Times New Roman"/>
            <w:color w:val="425563"/>
            <w:kern w:val="0"/>
            <w:u w:val="single"/>
            <w:bdr w:val="none" w:sz="0" w:space="0" w:color="auto" w:frame="1"/>
            <w14:ligatures w14:val="none"/>
          </w:rPr>
          <w:t>Accessibility statement</w:t>
        </w:r>
      </w:hyperlink>
    </w:p>
    <w:p w14:paraId="2FE3967F" w14:textId="77777777" w:rsidR="008F6ED5" w:rsidRPr="008F6ED5" w:rsidRDefault="008F6ED5" w:rsidP="008F6ED5">
      <w:pPr>
        <w:numPr>
          <w:ilvl w:val="0"/>
          <w:numId w:val="6"/>
        </w:numPr>
        <w:shd w:val="clear" w:color="auto" w:fill="E8EDEE"/>
        <w:spacing w:after="0" w:line="240" w:lineRule="auto"/>
        <w:textAlignment w:val="baseline"/>
        <w:rPr>
          <w:rFonts w:ascii="Roboto" w:eastAsia="Times New Roman" w:hAnsi="Roboto" w:cs="Times New Roman"/>
          <w:color w:val="202A30"/>
          <w:kern w:val="0"/>
          <w14:ligatures w14:val="none"/>
        </w:rPr>
      </w:pPr>
      <w:hyperlink r:id="rId31" w:tooltip="Open Government Licence v3.0" w:history="1">
        <w:r w:rsidRPr="008F6ED5">
          <w:rPr>
            <w:rFonts w:ascii="Roboto" w:eastAsia="Times New Roman" w:hAnsi="Roboto" w:cs="Times New Roman"/>
            <w:color w:val="425563"/>
            <w:kern w:val="0"/>
            <w:u w:val="single"/>
            <w:bdr w:val="none" w:sz="0" w:space="0" w:color="auto" w:frame="1"/>
            <w14:ligatures w14:val="none"/>
          </w:rPr>
          <w:t>Open Government Licence v3.0</w:t>
        </w:r>
      </w:hyperlink>
    </w:p>
    <w:p w14:paraId="49114214"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2" w:tgtFrame="_blank" w:tooltip="Sign up to our email bulletins" w:history="1">
        <w:r w:rsidRPr="008F6ED5">
          <w:rPr>
            <w:rFonts w:ascii="Roboto" w:eastAsia="Times New Roman" w:hAnsi="Roboto" w:cs="Times New Roman"/>
            <w:color w:val="425563"/>
            <w:kern w:val="0"/>
            <w:bdr w:val="none" w:sz="0" w:space="0" w:color="auto" w:frame="1"/>
            <w14:ligatures w14:val="none"/>
          </w:rPr>
          <w:t>Sign up to our email bulletins</w:t>
        </w:r>
      </w:hyperlink>
    </w:p>
    <w:p w14:paraId="3620DF18"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261B6FCA"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3" w:tgtFrame="_blank" w:tooltip="Follow us on Twitter" w:history="1">
        <w:r w:rsidRPr="008F6ED5">
          <w:rPr>
            <w:rFonts w:ascii="Roboto" w:eastAsia="Times New Roman" w:hAnsi="Roboto" w:cs="Times New Roman"/>
            <w:color w:val="425563"/>
            <w:kern w:val="0"/>
            <w:bdr w:val="none" w:sz="0" w:space="0" w:color="auto" w:frame="1"/>
            <w14:ligatures w14:val="none"/>
          </w:rPr>
          <w:t>Follow us on Twitter</w:t>
        </w:r>
      </w:hyperlink>
    </w:p>
    <w:p w14:paraId="059C6A95"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5CB19392"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4" w:tgtFrame="_blank" w:tooltip="Follow us on Facebook" w:history="1">
        <w:r w:rsidRPr="008F6ED5">
          <w:rPr>
            <w:rFonts w:ascii="Roboto" w:eastAsia="Times New Roman" w:hAnsi="Roboto" w:cs="Times New Roman"/>
            <w:color w:val="425563"/>
            <w:kern w:val="0"/>
            <w:bdr w:val="none" w:sz="0" w:space="0" w:color="auto" w:frame="1"/>
            <w14:ligatures w14:val="none"/>
          </w:rPr>
          <w:t>Follow us on Facebook</w:t>
        </w:r>
      </w:hyperlink>
    </w:p>
    <w:p w14:paraId="23771FC8"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2C0B0A08"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5" w:tgtFrame="_blank" w:tooltip="Find us on Instagram" w:history="1">
        <w:r w:rsidRPr="008F6ED5">
          <w:rPr>
            <w:rFonts w:ascii="Roboto" w:eastAsia="Times New Roman" w:hAnsi="Roboto" w:cs="Times New Roman"/>
            <w:color w:val="425563"/>
            <w:kern w:val="0"/>
            <w:bdr w:val="none" w:sz="0" w:space="0" w:color="auto" w:frame="1"/>
            <w14:ligatures w14:val="none"/>
          </w:rPr>
          <w:t>Find us on Instagram</w:t>
        </w:r>
      </w:hyperlink>
    </w:p>
    <w:p w14:paraId="3E8CAE99"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3612E751"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6" w:tgtFrame="_blank" w:tooltip="Visit us on LinkedIn" w:history="1">
        <w:r w:rsidRPr="008F6ED5">
          <w:rPr>
            <w:rFonts w:ascii="Roboto" w:eastAsia="Times New Roman" w:hAnsi="Roboto" w:cs="Times New Roman"/>
            <w:color w:val="425563"/>
            <w:kern w:val="0"/>
            <w:bdr w:val="none" w:sz="0" w:space="0" w:color="auto" w:frame="1"/>
            <w14:ligatures w14:val="none"/>
          </w:rPr>
          <w:t>Visit us on LinkedIn</w:t>
        </w:r>
      </w:hyperlink>
    </w:p>
    <w:p w14:paraId="0E40F010"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6C463CEC"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7" w:tgtFrame="_blank" w:tooltip="Watch videos on YouTube" w:history="1">
        <w:r w:rsidRPr="008F6ED5">
          <w:rPr>
            <w:rFonts w:ascii="Roboto" w:eastAsia="Times New Roman" w:hAnsi="Roboto" w:cs="Times New Roman"/>
            <w:color w:val="425563"/>
            <w:kern w:val="0"/>
            <w:bdr w:val="none" w:sz="0" w:space="0" w:color="auto" w:frame="1"/>
            <w14:ligatures w14:val="none"/>
          </w:rPr>
          <w:t>Watch videos on YouTube</w:t>
        </w:r>
      </w:hyperlink>
    </w:p>
    <w:p w14:paraId="5D9C22E4" w14:textId="77777777" w:rsidR="008F6ED5" w:rsidRPr="008F6ED5" w:rsidRDefault="008F6ED5" w:rsidP="008F6ED5">
      <w:pPr>
        <w:shd w:val="clear" w:color="auto" w:fill="E8EDEE"/>
        <w:spacing w:after="0" w:line="240" w:lineRule="auto"/>
        <w:ind w:left="720"/>
        <w:textAlignment w:val="baseline"/>
        <w:rPr>
          <w:rFonts w:ascii="Roboto" w:eastAsia="Times New Roman" w:hAnsi="Roboto" w:cs="Times New Roman"/>
          <w:color w:val="202A30"/>
          <w:kern w:val="0"/>
          <w14:ligatures w14:val="none"/>
        </w:rPr>
      </w:pPr>
      <w:r w:rsidRPr="008F6ED5">
        <w:rPr>
          <w:rFonts w:ascii="Roboto" w:eastAsia="Times New Roman" w:hAnsi="Roboto" w:cs="Times New Roman"/>
          <w:color w:val="202A30"/>
          <w:kern w:val="0"/>
          <w14:ligatures w14:val="none"/>
        </w:rPr>
        <w:t> </w:t>
      </w:r>
    </w:p>
    <w:p w14:paraId="49F37A17" w14:textId="77777777" w:rsidR="008F6ED5" w:rsidRPr="008F6ED5" w:rsidRDefault="008F6ED5" w:rsidP="008F6ED5">
      <w:pPr>
        <w:numPr>
          <w:ilvl w:val="0"/>
          <w:numId w:val="7"/>
        </w:numPr>
        <w:shd w:val="clear" w:color="auto" w:fill="E8EDEE"/>
        <w:spacing w:after="0" w:line="240" w:lineRule="auto"/>
        <w:textAlignment w:val="baseline"/>
        <w:rPr>
          <w:rFonts w:ascii="Roboto" w:eastAsia="Times New Roman" w:hAnsi="Roboto" w:cs="Times New Roman"/>
          <w:color w:val="202A30"/>
          <w:kern w:val="0"/>
          <w14:ligatures w14:val="none"/>
        </w:rPr>
      </w:pPr>
      <w:hyperlink r:id="rId38" w:tgtFrame="_blank" w:tooltip="All RSS" w:history="1">
        <w:r w:rsidRPr="008F6ED5">
          <w:rPr>
            <w:rFonts w:ascii="Roboto" w:eastAsia="Times New Roman" w:hAnsi="Roboto" w:cs="Times New Roman"/>
            <w:color w:val="425563"/>
            <w:kern w:val="0"/>
            <w:bdr w:val="none" w:sz="0" w:space="0" w:color="auto" w:frame="1"/>
            <w14:ligatures w14:val="none"/>
          </w:rPr>
          <w:t>All RSS</w:t>
        </w:r>
      </w:hyperlink>
    </w:p>
    <w:p w14:paraId="3F11B3A2" w14:textId="77777777" w:rsidR="00041F9B" w:rsidRDefault="00041F9B"/>
    <w:sectPr w:rsidR="00041F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E0D1A"/>
    <w:multiLevelType w:val="multilevel"/>
    <w:tmpl w:val="90C4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342E70"/>
    <w:multiLevelType w:val="multilevel"/>
    <w:tmpl w:val="89F6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0B37D9"/>
    <w:multiLevelType w:val="multilevel"/>
    <w:tmpl w:val="A25E6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7674C6"/>
    <w:multiLevelType w:val="multilevel"/>
    <w:tmpl w:val="5ADC3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990219"/>
    <w:multiLevelType w:val="multilevel"/>
    <w:tmpl w:val="6E5A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751125"/>
    <w:multiLevelType w:val="multilevel"/>
    <w:tmpl w:val="C0B2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C80403"/>
    <w:multiLevelType w:val="multilevel"/>
    <w:tmpl w:val="2498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112532">
    <w:abstractNumId w:val="6"/>
  </w:num>
  <w:num w:numId="2" w16cid:durableId="645478404">
    <w:abstractNumId w:val="0"/>
  </w:num>
  <w:num w:numId="3" w16cid:durableId="1271663505">
    <w:abstractNumId w:val="3"/>
  </w:num>
  <w:num w:numId="4" w16cid:durableId="1778132280">
    <w:abstractNumId w:val="5"/>
  </w:num>
  <w:num w:numId="5" w16cid:durableId="369958045">
    <w:abstractNumId w:val="1"/>
  </w:num>
  <w:num w:numId="6" w16cid:durableId="188028720">
    <w:abstractNumId w:val="2"/>
  </w:num>
  <w:num w:numId="7" w16cid:durableId="747460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ED5"/>
    <w:rsid w:val="00041F9B"/>
    <w:rsid w:val="008F6ED5"/>
    <w:rsid w:val="00A463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7679"/>
  <w15:chartTrackingRefBased/>
  <w15:docId w15:val="{380C0D1E-073E-4132-AF4C-B529C1BB3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E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6E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6E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6E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6E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6E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E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E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E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E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6E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6E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6E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6E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6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ED5"/>
    <w:rPr>
      <w:rFonts w:eastAsiaTheme="majorEastAsia" w:cstheme="majorBidi"/>
      <w:color w:val="272727" w:themeColor="text1" w:themeTint="D8"/>
    </w:rPr>
  </w:style>
  <w:style w:type="paragraph" w:styleId="Title">
    <w:name w:val="Title"/>
    <w:basedOn w:val="Normal"/>
    <w:next w:val="Normal"/>
    <w:link w:val="TitleChar"/>
    <w:uiPriority w:val="10"/>
    <w:qFormat/>
    <w:rsid w:val="008F6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E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E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ED5"/>
    <w:pPr>
      <w:spacing w:before="160"/>
      <w:jc w:val="center"/>
    </w:pPr>
    <w:rPr>
      <w:i/>
      <w:iCs/>
      <w:color w:val="404040" w:themeColor="text1" w:themeTint="BF"/>
    </w:rPr>
  </w:style>
  <w:style w:type="character" w:customStyle="1" w:styleId="QuoteChar">
    <w:name w:val="Quote Char"/>
    <w:basedOn w:val="DefaultParagraphFont"/>
    <w:link w:val="Quote"/>
    <w:uiPriority w:val="29"/>
    <w:rsid w:val="008F6ED5"/>
    <w:rPr>
      <w:i/>
      <w:iCs/>
      <w:color w:val="404040" w:themeColor="text1" w:themeTint="BF"/>
    </w:rPr>
  </w:style>
  <w:style w:type="paragraph" w:styleId="ListParagraph">
    <w:name w:val="List Paragraph"/>
    <w:basedOn w:val="Normal"/>
    <w:uiPriority w:val="34"/>
    <w:qFormat/>
    <w:rsid w:val="008F6ED5"/>
    <w:pPr>
      <w:ind w:left="720"/>
      <w:contextualSpacing/>
    </w:pPr>
  </w:style>
  <w:style w:type="character" w:styleId="IntenseEmphasis">
    <w:name w:val="Intense Emphasis"/>
    <w:basedOn w:val="DefaultParagraphFont"/>
    <w:uiPriority w:val="21"/>
    <w:qFormat/>
    <w:rsid w:val="008F6ED5"/>
    <w:rPr>
      <w:i/>
      <w:iCs/>
      <w:color w:val="0F4761" w:themeColor="accent1" w:themeShade="BF"/>
    </w:rPr>
  </w:style>
  <w:style w:type="paragraph" w:styleId="IntenseQuote">
    <w:name w:val="Intense Quote"/>
    <w:basedOn w:val="Normal"/>
    <w:next w:val="Normal"/>
    <w:link w:val="IntenseQuoteChar"/>
    <w:uiPriority w:val="30"/>
    <w:qFormat/>
    <w:rsid w:val="008F6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ED5"/>
    <w:rPr>
      <w:i/>
      <w:iCs/>
      <w:color w:val="0F4761" w:themeColor="accent1" w:themeShade="BF"/>
    </w:rPr>
  </w:style>
  <w:style w:type="character" w:styleId="IntenseReference">
    <w:name w:val="Intense Reference"/>
    <w:basedOn w:val="DefaultParagraphFont"/>
    <w:uiPriority w:val="32"/>
    <w:qFormat/>
    <w:rsid w:val="008F6E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117461">
      <w:bodyDiv w:val="1"/>
      <w:marLeft w:val="0"/>
      <w:marRight w:val="0"/>
      <w:marTop w:val="0"/>
      <w:marBottom w:val="0"/>
      <w:divBdr>
        <w:top w:val="none" w:sz="0" w:space="0" w:color="auto"/>
        <w:left w:val="none" w:sz="0" w:space="0" w:color="auto"/>
        <w:bottom w:val="none" w:sz="0" w:space="0" w:color="auto"/>
        <w:right w:val="none" w:sz="0" w:space="0" w:color="auto"/>
      </w:divBdr>
      <w:divsChild>
        <w:div w:id="1579974275">
          <w:marLeft w:val="0"/>
          <w:marRight w:val="0"/>
          <w:marTop w:val="0"/>
          <w:marBottom w:val="0"/>
          <w:divBdr>
            <w:top w:val="none" w:sz="0" w:space="0" w:color="auto"/>
            <w:left w:val="none" w:sz="0" w:space="0" w:color="auto"/>
            <w:bottom w:val="none" w:sz="0" w:space="0" w:color="auto"/>
            <w:right w:val="none" w:sz="0" w:space="0" w:color="auto"/>
          </w:divBdr>
          <w:divsChild>
            <w:div w:id="642736361">
              <w:marLeft w:val="0"/>
              <w:marRight w:val="0"/>
              <w:marTop w:val="0"/>
              <w:marBottom w:val="0"/>
              <w:divBdr>
                <w:top w:val="none" w:sz="0" w:space="0" w:color="auto"/>
                <w:left w:val="none" w:sz="0" w:space="0" w:color="auto"/>
                <w:bottom w:val="none" w:sz="0" w:space="0" w:color="auto"/>
                <w:right w:val="none" w:sz="0" w:space="0" w:color="auto"/>
              </w:divBdr>
              <w:divsChild>
                <w:div w:id="156815337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17194693">
          <w:marLeft w:val="0"/>
          <w:marRight w:val="0"/>
          <w:marTop w:val="0"/>
          <w:marBottom w:val="0"/>
          <w:divBdr>
            <w:top w:val="none" w:sz="0" w:space="0" w:color="auto"/>
            <w:left w:val="none" w:sz="0" w:space="0" w:color="auto"/>
            <w:bottom w:val="none" w:sz="0" w:space="0" w:color="auto"/>
            <w:right w:val="none" w:sz="0" w:space="0" w:color="auto"/>
          </w:divBdr>
          <w:divsChild>
            <w:div w:id="744910307">
              <w:marLeft w:val="0"/>
              <w:marRight w:val="0"/>
              <w:marTop w:val="0"/>
              <w:marBottom w:val="0"/>
              <w:divBdr>
                <w:top w:val="none" w:sz="0" w:space="0" w:color="auto"/>
                <w:left w:val="none" w:sz="0" w:space="0" w:color="auto"/>
                <w:bottom w:val="none" w:sz="0" w:space="0" w:color="auto"/>
                <w:right w:val="none" w:sz="0" w:space="0" w:color="auto"/>
              </w:divBdr>
              <w:divsChild>
                <w:div w:id="65221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safeguarding/" TargetMode="External"/><Relationship Id="rId18" Type="http://schemas.openxmlformats.org/officeDocument/2006/relationships/hyperlink" Target="https://www.england.nhs.uk/mat-transformation/matrons-handbook/performance-and-operational-oversight/" TargetMode="External"/><Relationship Id="rId26" Type="http://schemas.openxmlformats.org/officeDocument/2006/relationships/hyperlink" Target="https://www.england.nhs.uk/terms-and-conditions-2/" TargetMode="External"/><Relationship Id="rId39" Type="http://schemas.openxmlformats.org/officeDocument/2006/relationships/fontTable" Target="fontTable.xml"/><Relationship Id="rId21" Type="http://schemas.openxmlformats.org/officeDocument/2006/relationships/hyperlink" Target="https://www.england.nhs.uk/mat-transformation/matrons-handbook/research-and-development/" TargetMode="External"/><Relationship Id="rId34" Type="http://schemas.openxmlformats.org/officeDocument/2006/relationships/hyperlink" Target="https://www.facebook.com/NHSEngland/" TargetMode="External"/><Relationship Id="rId7" Type="http://schemas.openxmlformats.org/officeDocument/2006/relationships/hyperlink" Target="https://www.england.nhs.uk/participation/resources/15-steps-challenge/" TargetMode="External"/><Relationship Id="rId12" Type="http://schemas.openxmlformats.org/officeDocument/2006/relationships/hyperlink" Target="https://www.england.nhs.uk/patient-safety/patient-safety-incident-management-system/" TargetMode="External"/><Relationship Id="rId17" Type="http://schemas.openxmlformats.org/officeDocument/2006/relationships/hyperlink" Target="https://www.england.nhs.uk/mat-transformation/matrons-handbook/patient-experience-and-reducing-healthinequalities/" TargetMode="External"/><Relationship Id="rId25" Type="http://schemas.openxmlformats.org/officeDocument/2006/relationships/hyperlink" Target="https://www.england.nhs.uk/mat-transformation/matrons-handbook/acknowledgements/" TargetMode="External"/><Relationship Id="rId33" Type="http://schemas.openxmlformats.org/officeDocument/2006/relationships/hyperlink" Target="http://www.twitter.com/NHSEngland" TargetMode="External"/><Relationship Id="rId38" Type="http://schemas.openxmlformats.org/officeDocument/2006/relationships/hyperlink" Target="http://feeds.feedburner.com/NHSCBoard" TargetMode="External"/><Relationship Id="rId2" Type="http://schemas.openxmlformats.org/officeDocument/2006/relationships/styles" Target="styles.xml"/><Relationship Id="rId16" Type="http://schemas.openxmlformats.org/officeDocument/2006/relationships/hyperlink" Target="https://www.england.nhs.uk/mat-transformation/matrons-handbook/workforce-planning-and-resource-management/" TargetMode="External"/><Relationship Id="rId20" Type="http://schemas.openxmlformats.org/officeDocument/2006/relationships/hyperlink" Target="https://www.england.nhs.uk/mat-transformation/matrons-handbook/education-training-and-development/" TargetMode="External"/><Relationship Id="rId29" Type="http://schemas.openxmlformats.org/officeDocument/2006/relationships/hyperlink" Target="https://www.england.nhs.uk/contact-us/feedback/" TargetMode="External"/><Relationship Id="rId1" Type="http://schemas.openxmlformats.org/officeDocument/2006/relationships/numbering" Target="numbering.xml"/><Relationship Id="rId6" Type="http://schemas.openxmlformats.org/officeDocument/2006/relationships/hyperlink" Target="https://webarchive.nationalarchives.gov.uk/20210318200316/https:/improvement.nhs.uk/resources/guide-developing-and-implementing-ward-and-unit-accreditation-programmes/" TargetMode="External"/><Relationship Id="rId11" Type="http://schemas.openxmlformats.org/officeDocument/2006/relationships/hyperlink" Target="https://www.who.int/campaigns/world-patient-safety-day/" TargetMode="External"/><Relationship Id="rId24" Type="http://schemas.openxmlformats.org/officeDocument/2006/relationships/hyperlink" Target="https://www.england.nhs.uk/mat-transformation/matrons-handbook/appendix-thematrons-developmental-framework-and-competencies/" TargetMode="External"/><Relationship Id="rId32" Type="http://schemas.openxmlformats.org/officeDocument/2006/relationships/hyperlink" Target="https://www.england.nhs.uk/email-bulletins/" TargetMode="External"/><Relationship Id="rId37" Type="http://schemas.openxmlformats.org/officeDocument/2006/relationships/hyperlink" Target="http://www.youtube.com/thenhsengland" TargetMode="External"/><Relationship Id="rId40" Type="http://schemas.openxmlformats.org/officeDocument/2006/relationships/theme" Target="theme/theme1.xml"/><Relationship Id="rId5" Type="http://schemas.openxmlformats.org/officeDocument/2006/relationships/hyperlink" Target="https://www.rcn.org.uk/clinical-topics/clinical-governance" TargetMode="External"/><Relationship Id="rId15" Type="http://schemas.openxmlformats.org/officeDocument/2006/relationships/hyperlink" Target="https://www.gov.uk/government/publications/uk-5-year-action-plan-for-antimicrobial-resistance-2019-to-2024" TargetMode="External"/><Relationship Id="rId23" Type="http://schemas.openxmlformats.org/officeDocument/2006/relationships/hyperlink" Target="https://www.england.nhs.uk/mat-transformation/matrons-handbook/service-improvement-and-transformation/" TargetMode="External"/><Relationship Id="rId28" Type="http://schemas.openxmlformats.org/officeDocument/2006/relationships/hyperlink" Target="https://www.england.nhs.uk/terms-and-conditions/comment-policy/" TargetMode="External"/><Relationship Id="rId36" Type="http://schemas.openxmlformats.org/officeDocument/2006/relationships/hyperlink" Target="https://www.linkedin.com/company/nhsengland" TargetMode="External"/><Relationship Id="rId10" Type="http://schemas.openxmlformats.org/officeDocument/2006/relationships/hyperlink" Target="https://www.england.nhs.uk/patient-safety/the-nhs-patient-safety-strategy/" TargetMode="External"/><Relationship Id="rId19" Type="http://schemas.openxmlformats.org/officeDocument/2006/relationships/hyperlink" Target="https://www.england.nhs.uk/mat-transformation/matrons-handbook/digital-and-technology/" TargetMode="External"/><Relationship Id="rId31" Type="http://schemas.openxmlformats.org/officeDocument/2006/relationships/hyperlink" Target="http://www.nationalarchives.gov.uk/doc/open-government-licence/version/3/" TargetMode="External"/><Relationship Id="rId4" Type="http://schemas.openxmlformats.org/officeDocument/2006/relationships/webSettings" Target="webSettings.xml"/><Relationship Id="rId9" Type="http://schemas.openxmlformats.org/officeDocument/2006/relationships/hyperlink" Target="https://www.england.nhs.uk/five-year-forward-view/next-steps-on-the-nhs-five-year-forward-view/patient-safety/" TargetMode="External"/><Relationship Id="rId14" Type="http://schemas.openxmlformats.org/officeDocument/2006/relationships/hyperlink" Target="https://www.gov.uk/government/publications/the-health-and-social-care-act-2008-code-of-practice-on-the-prevention-and-control-of-infections-and-related-guidance" TargetMode="External"/><Relationship Id="rId22" Type="http://schemas.openxmlformats.org/officeDocument/2006/relationships/hyperlink" Target="https://www.england.nhs.uk/mat-transformation/matrons-handbook/collaborative-working-and-clinical-effectiveness/" TargetMode="External"/><Relationship Id="rId27" Type="http://schemas.openxmlformats.org/officeDocument/2006/relationships/hyperlink" Target="https://www.england.nhs.uk/privacy-policy/" TargetMode="External"/><Relationship Id="rId30" Type="http://schemas.openxmlformats.org/officeDocument/2006/relationships/hyperlink" Target="https://www.england.nhs.uk/accessibility/" TargetMode="External"/><Relationship Id="rId35" Type="http://schemas.openxmlformats.org/officeDocument/2006/relationships/hyperlink" Target="https://www.instagram.com/nhsengland" TargetMode="External"/><Relationship Id="rId8" Type="http://schemas.openxmlformats.org/officeDocument/2006/relationships/hyperlink" Target="https://www.england.nhs.uk/insights-platform/model-hospita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1745</Words>
  <Characters>9950</Characters>
  <Application>Microsoft Office Word</Application>
  <DocSecurity>0</DocSecurity>
  <Lines>82</Lines>
  <Paragraphs>23</Paragraphs>
  <ScaleCrop>false</ScaleCrop>
  <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Howells-Johnson</dc:creator>
  <cp:keywords/>
  <dc:description/>
  <cp:lastModifiedBy>Janet Howells-Johnson</cp:lastModifiedBy>
  <cp:revision>1</cp:revision>
  <dcterms:created xsi:type="dcterms:W3CDTF">2023-12-13T12:19:00Z</dcterms:created>
  <dcterms:modified xsi:type="dcterms:W3CDTF">2023-12-13T12:19:00Z</dcterms:modified>
</cp:coreProperties>
</file>