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Normal (Web)"/>
        <w:spacing w:before="0" w:after="0"/>
      </w:pPr>
      <w: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pStyle w:val="Normal (Web)"/>
        <w:spacing w:before="0" w:after="0"/>
      </w:pPr>
    </w:p>
    <w:p>
      <w:pPr>
        <w:pStyle w:val="Normal (Web)"/>
        <w:spacing w:before="0" w:after="0"/>
      </w:pP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rPr>
        <w:t>Postgraduate/Distance LearningAssignment coversheet &amp; feedback form</w:t>
      </w:r>
    </w:p>
    <w:p>
      <w:pPr>
        <w:pStyle w:val="Normal.0"/>
        <w:rPr>
          <w:rFonts w:ascii="Arial" w:cs="Arial" w:hAnsi="Arial" w:eastAsia="Arial"/>
          <w:sz w:val="28"/>
          <w:szCs w:val="28"/>
        </w:rPr>
      </w:pPr>
    </w:p>
    <w:p>
      <w:pPr>
        <w:pStyle w:val="Heading 3"/>
        <w:jc w:val="center"/>
      </w:pPr>
      <w:r>
        <w:rPr>
          <w:rtl w:val="0"/>
        </w:rPr>
        <w:t>THIS SHEET MUST BE THE FIRST PAGE OF THE ASSIGNMENT YOU ARE SUBMITTING  (DO NOT SEND AS A SEPARATE FILE)</w:t>
      </w:r>
    </w:p>
    <w:p>
      <w:pPr>
        <w:pStyle w:val="Heading 3"/>
        <w:jc w:val="center"/>
        <w:rPr>
          <w:rFonts w:ascii="Trebuchet MS" w:cs="Trebuchet MS" w:hAnsi="Trebuchet MS" w:eastAsia="Trebuchet M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rtl w:val="0"/>
                <w:lang w:val="en-US"/>
              </w:rPr>
              <w:t>For completion by the student</w:t>
            </w:r>
            <w:r>
              <w:rPr>
                <w:rFonts w:ascii="Arial" w:hAnsi="Arial"/>
                <w:sz w:val="22"/>
                <w:szCs w:val="22"/>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Student Name:</w:t>
            </w:r>
            <w:r>
              <w:rPr>
                <w:rFonts w:ascii="Arial" w:hAnsi="Arial"/>
                <w:sz w:val="22"/>
                <w:szCs w:val="22"/>
                <w:rtl w:val="0"/>
                <w:lang w:val="en-US"/>
              </w:rPr>
              <w:t xml:space="preserve"> Helen Floyd</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tl w:val="0"/>
              </w:rPr>
            </w:pPr>
            <w:r>
              <w:rPr>
                <w:rFonts w:ascii="Arial" w:hAnsi="Arial"/>
                <w:sz w:val="22"/>
                <w:szCs w:val="22"/>
                <w:rtl w:val="0"/>
                <w:lang w:val="en-US"/>
              </w:rPr>
              <w:t xml:space="preserve">Student </w:t>
            </w:r>
            <w:r>
              <w:rPr>
                <w:rFonts w:ascii="Arial" w:hAnsi="Arial"/>
                <w:b w:val="1"/>
                <w:bCs w:val="1"/>
                <w:sz w:val="22"/>
                <w:szCs w:val="22"/>
                <w:u w:val="single"/>
                <w:rtl w:val="0"/>
                <w:lang w:val="en-US"/>
              </w:rPr>
              <w:t>University</w:t>
            </w:r>
            <w:r>
              <w:rPr>
                <w:rFonts w:ascii="Arial" w:hAnsi="Arial"/>
                <w:sz w:val="22"/>
                <w:szCs w:val="22"/>
                <w:u w:val="single"/>
                <w:rtl w:val="0"/>
                <w:lang w:val="en-US"/>
              </w:rPr>
              <w:t xml:space="preserve"> </w:t>
            </w:r>
            <w:r>
              <w:rPr>
                <w:rFonts w:ascii="Arial" w:hAnsi="Arial"/>
                <w:sz w:val="22"/>
                <w:szCs w:val="22"/>
                <w:rtl w:val="0"/>
                <w:lang w:val="en-US"/>
              </w:rPr>
              <w:t xml:space="preserve">Email: </w:t>
            </w:r>
            <w:r>
              <w:rPr>
                <w:rFonts w:ascii="Arial" w:hAnsi="Arial"/>
                <w:sz w:val="22"/>
                <w:szCs w:val="22"/>
                <w:rtl w:val="0"/>
                <w:lang w:val="en-US"/>
              </w:rPr>
              <w:t>1503354@student.uwtsd.ac.uk</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Module code:</w:t>
            </w:r>
            <w:r>
              <w:rPr>
                <w:rFonts w:ascii="Arial" w:hAnsi="Arial"/>
                <w:sz w:val="22"/>
                <w:szCs w:val="22"/>
                <w:rtl w:val="0"/>
                <w:lang w:val="en-US"/>
              </w:rPr>
              <w:t xml:space="preserve"> AHAN7003</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Fonts w:ascii="Arial" w:cs="Arial" w:hAnsi="Arial" w:eastAsia="Arial"/>
                <w:sz w:val="22"/>
                <w:szCs w:val="22"/>
                <w:rtl w:val="0"/>
              </w:rPr>
            </w:pPr>
            <w:r>
              <w:rPr>
                <w:rFonts w:ascii="Arial" w:hAnsi="Arial"/>
                <w:sz w:val="22"/>
                <w:szCs w:val="22"/>
                <w:rtl w:val="0"/>
                <w:lang w:val="en-US"/>
              </w:rPr>
              <w:t>Module title:</w:t>
            </w:r>
            <w:r>
              <w:rPr>
                <w:rFonts w:ascii="Arial" w:hAnsi="Arial"/>
                <w:sz w:val="22"/>
                <w:szCs w:val="22"/>
                <w:rtl w:val="0"/>
                <w:lang w:val="en-US"/>
              </w:rPr>
              <w:t xml:space="preserve"> History of Astrology</w:t>
            </w:r>
          </w:p>
          <w:p>
            <w:pPr>
              <w:pStyle w:val="Normal (Web)"/>
              <w:spacing w:before="0" w:after="0"/>
              <w:ind w:right="34"/>
            </w:pPr>
            <w:r>
              <w:rPr>
                <w:rFonts w:ascii="Arial" w:cs="Arial" w:hAnsi="Arial" w:eastAsia="Arial"/>
                <w:sz w:val="22"/>
                <w:szCs w:val="22"/>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rtl w:val="0"/>
                <w:lang w:val="en-US"/>
              </w:rPr>
              <w:t>Student ID number:</w:t>
            </w:r>
            <w:r>
              <w:rPr>
                <w:rFonts w:ascii="Arial" w:hAnsi="Arial"/>
                <w:sz w:val="22"/>
                <w:szCs w:val="22"/>
                <w:rtl w:val="0"/>
                <w:lang w:val="en-US"/>
              </w:rPr>
              <w:t xml:space="preserve"> 1503354</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Educational support needs:</w:t>
            </w:r>
          </w:p>
          <w:p>
            <w:pPr>
              <w:pStyle w:val="Normal (Web)"/>
              <w:bidi w:val="0"/>
              <w:spacing w:before="0" w:after="0"/>
              <w:ind w:left="0" w:right="34" w:firstLine="0"/>
              <w:jc w:val="left"/>
              <w:rPr>
                <w:rtl w:val="0"/>
              </w:rPr>
            </w:pPr>
            <w:r>
              <w:rPr>
                <w:rFonts w:ascii="Arial" w:hAnsi="Arial"/>
                <w:sz w:val="22"/>
                <w:szCs w:val="22"/>
                <w:rtl w:val="0"/>
                <w:lang w:val="en-US"/>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lang w:val="en-US"/>
              </w:rPr>
            </w:pPr>
            <w:r>
              <w:rPr>
                <w:rFonts w:ascii="Arial" w:hAnsi="Arial"/>
                <w:sz w:val="22"/>
                <w:szCs w:val="22"/>
                <w:rtl w:val="0"/>
                <w:lang w:val="en-US"/>
              </w:rPr>
              <w:t>Assignment title: Discuss the role of astrology in the European medieval world using at least two primary sources from either literature or art.</w:t>
            </w:r>
          </w:p>
          <w:p>
            <w:pPr>
              <w:pStyle w:val="Normal (Web)"/>
              <w:spacing w:before="0" w:after="0"/>
              <w:ind w:right="34"/>
              <w:rPr>
                <w:rFonts w:ascii="Arial" w:cs="Arial" w:hAnsi="Arial" w:eastAsia="Arial"/>
                <w:sz w:val="22"/>
                <w:szCs w:val="22"/>
                <w:lang w:val="en-US"/>
              </w:rPr>
            </w:pPr>
          </w:p>
          <w:p>
            <w:pPr>
              <w:pStyle w:val="Normal (Web)"/>
              <w:spacing w:before="0" w:after="0"/>
              <w:ind w:right="34"/>
            </w:pPr>
            <w:r>
              <w:rPr>
                <w:rFonts w:ascii="Arial" w:hAnsi="Arial"/>
                <w:sz w:val="22"/>
                <w:szCs w:val="22"/>
                <w:rtl w:val="0"/>
                <w:lang w:val="en-US"/>
              </w:rPr>
              <w:t>Assignment due date: 16/07/2018</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This assignment is for the 6th 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rtl w:val="0"/>
              </w:rPr>
            </w:pPr>
            <w:r>
              <w:rPr>
                <w:rFonts w:ascii="Arial" w:hAnsi="Arial"/>
                <w:sz w:val="22"/>
                <w:szCs w:val="22"/>
                <w:rtl w:val="0"/>
                <w:lang w:val="en-US"/>
              </w:rPr>
              <w:t xml:space="preserve">Signed </w:t>
            </w:r>
            <w:r>
              <w:rPr>
                <w:rFonts w:ascii="Arial" w:hAnsi="Arial" w:hint="default"/>
                <w:sz w:val="22"/>
                <w:szCs w:val="22"/>
                <w:rtl w:val="0"/>
                <w:lang w:val="en-US"/>
              </w:rPr>
              <w:t>……………………………………………………………</w:t>
            </w:r>
          </w:p>
          <w:p>
            <w:pPr>
              <w:pStyle w:val="Normal (Web)"/>
              <w:bidi w:val="0"/>
              <w:spacing w:before="0" w:after="0"/>
              <w:ind w:left="0" w:right="34" w:firstLine="0"/>
              <w:jc w:val="left"/>
              <w:rPr>
                <w:rFonts w:ascii="Calibri" w:cs="Calibri" w:hAnsi="Calibri" w:eastAsia="Calibri"/>
                <w:b w:val="1"/>
                <w:bCs w:val="1"/>
                <w:sz w:val="44"/>
                <w:szCs w:val="44"/>
                <w:rtl w:val="0"/>
              </w:rPr>
            </w:pPr>
            <w:r>
              <w:rPr>
                <w:rFonts w:ascii="Calibri" w:cs="Calibri" w:hAnsi="Calibri" w:eastAsia="Calibri"/>
                <w:b w:val="1"/>
                <w:bCs w:val="1"/>
                <w:sz w:val="24"/>
                <w:szCs w:val="24"/>
                <w:rtl w:val="0"/>
                <w:lang w:val="en-US"/>
              </w:rPr>
              <w:t xml:space="preserve">Email submission:if you are submitting this form via email, please tick this box </w:t>
            </w:r>
            <w:r>
              <w:rPr>
                <w:rFonts w:ascii="Calibri" w:cs="Calibri" w:hAnsi="Calibri" w:eastAsia="Calibri"/>
                <w:b w:val="1"/>
                <w:bCs w:val="1"/>
                <w:sz w:val="44"/>
                <w:szCs w:val="44"/>
                <w:rtl w:val="0"/>
                <w:lang w:val="en-US"/>
              </w:rPr>
              <w:t>□</w:t>
            </w:r>
            <w:r>
              <w:rPr>
                <w:rFonts w:ascii="Calibri" w:cs="Calibri" w:hAnsi="Calibri" w:eastAsia="Calibri"/>
                <w:b w:val="1"/>
                <w:bCs w:val="1"/>
                <w:sz w:val="44"/>
                <w:szCs w:val="44"/>
                <w:rtl w:val="0"/>
                <w:lang w:val="en-US"/>
              </w:rPr>
              <w:t>x</w:t>
            </w:r>
          </w:p>
          <w:p>
            <w:pPr>
              <w:pStyle w:val="Normal (Web)"/>
              <w:bidi w:val="0"/>
              <w:spacing w:before="0" w:after="0"/>
              <w:ind w:left="0" w:right="34" w:firstLine="0"/>
              <w:jc w:val="left"/>
              <w:rPr>
                <w:rtl w:val="0"/>
              </w:rPr>
            </w:pPr>
            <w:r>
              <w:rPr>
                <w:rFonts w:ascii="Calibri" w:cs="Calibri" w:hAnsi="Calibri" w:eastAsia="Calibri"/>
                <w:b w:val="1"/>
                <w:bCs w:val="1"/>
                <w:sz w:val="24"/>
                <w:szCs w:val="24"/>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lang w:val="en-US"/>
              </w:rPr>
            </w:pPr>
          </w:p>
          <w:p>
            <w:pPr>
              <w:pStyle w:val="Normal.0"/>
              <w:bidi w:val="0"/>
              <w:ind w:left="0" w:right="0" w:firstLine="0"/>
              <w:jc w:val="left"/>
              <w:rPr>
                <w:rFonts w:ascii="Arial" w:cs="Arial" w:hAnsi="Arial" w:eastAsia="Arial"/>
                <w:rtl w:val="0"/>
              </w:rPr>
            </w:pPr>
            <w:r>
              <w:rPr>
                <w:rFonts w:ascii="Arial" w:hAnsi="Arial"/>
                <w:b w:val="1"/>
                <w:bCs w:val="1"/>
                <w:rtl w:val="0"/>
                <w:lang w:val="en-US"/>
              </w:rPr>
              <w:t>Assignment Mark</w:t>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Normal.0"/>
              <w:rPr>
                <w:rFonts w:ascii="Arial" w:cs="Arial" w:hAnsi="Arial" w:eastAsia="Arial"/>
                <w:sz w:val="20"/>
                <w:szCs w:val="20"/>
                <w:lang w:val="en-US"/>
              </w:rPr>
            </w:pPr>
          </w:p>
          <w:p>
            <w:pPr>
              <w:pStyle w:val="Normal.0"/>
              <w:rPr>
                <w:rFonts w:ascii="Arial" w:cs="Arial" w:hAnsi="Arial" w:eastAsia="Arial"/>
                <w:b w:val="1"/>
                <w:bCs w:val="1"/>
                <w:sz w:val="20"/>
                <w:szCs w:val="20"/>
              </w:rPr>
            </w:pPr>
            <w:r>
              <w:rPr>
                <w:rFonts w:ascii="Arial" w:hAnsi="Arial"/>
                <w:b w:val="1"/>
                <w:bCs w:val="1"/>
                <w:sz w:val="20"/>
                <w:szCs w:val="20"/>
                <w:rtl w:val="0"/>
                <w:lang w:val="en-US"/>
              </w:rPr>
              <w:t>Final Mark</w:t>
            </w:r>
          </w:p>
          <w:p>
            <w:pPr>
              <w:pStyle w:val="Normal.0"/>
              <w:rPr>
                <w:rFonts w:ascii="Arial" w:cs="Arial" w:hAnsi="Arial" w:eastAsia="Arial"/>
                <w:b w:val="1"/>
                <w:bCs w:val="1"/>
                <w:sz w:val="20"/>
                <w:szCs w:val="20"/>
              </w:rPr>
            </w:pPr>
            <w:r>
              <w:rPr>
                <w:rFonts w:ascii="Arial" w:cs="Arial" w:hAnsi="Arial" w:eastAsia="Arial"/>
                <w:b w:val="1"/>
                <w:bCs w:val="1"/>
                <w:sz w:val="20"/>
                <w:szCs w:val="20"/>
              </w:rPr>
              <w:tab/>
            </w:r>
          </w:p>
          <w:p>
            <w:pPr>
              <w:pStyle w:val="Normal (Web)"/>
              <w:spacing w:before="0" w:after="0"/>
              <w:ind w:left="142" w:right="34" w:firstLine="0"/>
              <w:rPr>
                <w:rFonts w:ascii="Arial" w:cs="Arial" w:hAnsi="Arial" w:eastAsia="Arial"/>
                <w:b w:val="1"/>
                <w:bCs w:val="1"/>
                <w:sz w:val="22"/>
                <w:szCs w:val="22"/>
                <w:lang w:val="en-US"/>
              </w:rPr>
            </w:pPr>
          </w:p>
          <w:p>
            <w:pPr>
              <w:pStyle w:val="Normal (Web)"/>
              <w:bidi w:val="0"/>
              <w:spacing w:before="0" w:after="0"/>
              <w:ind w:left="142" w:right="34" w:firstLine="0"/>
              <w:jc w:val="left"/>
              <w:rPr>
                <w:rFonts w:ascii="Arial" w:cs="Arial" w:hAnsi="Arial" w:eastAsia="Arial"/>
                <w:sz w:val="22"/>
                <w:szCs w:val="22"/>
                <w:rtl w:val="0"/>
              </w:rPr>
            </w:pPr>
            <w:r>
              <w:rPr>
                <w:rFonts w:ascii="Arial" w:hAnsi="Arial"/>
                <w:b w:val="1"/>
                <w:bCs w:val="1"/>
                <w:sz w:val="22"/>
                <w:szCs w:val="22"/>
                <w:rtl w:val="0"/>
                <w:lang w:val="en-US"/>
              </w:rPr>
              <w:t>NB.</w:t>
            </w:r>
            <w:r>
              <w:rPr>
                <w:rFonts w:ascii="Arial" w:hAnsi="Arial"/>
                <w:sz w:val="22"/>
                <w:szCs w:val="22"/>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1 :</w:t>
            </w:r>
          </w:p>
          <w:p>
            <w:pPr>
              <w:pStyle w:val="Normal (Web)"/>
              <w:bidi w:val="0"/>
              <w:ind w:left="0" w:right="0" w:firstLine="0"/>
              <w:jc w:val="left"/>
              <w:rPr>
                <w:rtl w:val="0"/>
              </w:rPr>
            </w:pPr>
            <w:r>
              <w:rPr>
                <w:rFonts w:ascii="Arial" w:hAnsi="Arial"/>
                <w:sz w:val="22"/>
                <w:szCs w:val="22"/>
                <w:rtl w:val="0"/>
                <w:lang w:val="en-US"/>
              </w:rPr>
              <w:t>Comments:</w:t>
            </w:r>
            <w:r>
              <w:rPr>
                <w:rFonts w:ascii="Arial" w:cs="Arial" w:hAnsi="Arial" w:eastAsia="Arial"/>
                <w:sz w:val="22"/>
                <w:szCs w:val="22"/>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i w:val="1"/>
                <w:i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2/Moderator:</w:t>
            </w: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sz w:val="22"/>
                <w:szCs w:val="22"/>
              </w:rPr>
            </w:pPr>
            <w:r>
              <w:rPr>
                <w:rFonts w:ascii="Arial" w:hAnsi="Arial"/>
                <w:b w:val="1"/>
                <w:bCs w:val="1"/>
                <w:sz w:val="22"/>
                <w:szCs w:val="22"/>
                <w:rtl w:val="0"/>
                <w:lang w:val="en-US"/>
              </w:rPr>
              <w:t>External Examiner</w:t>
            </w:r>
            <w:r>
              <w:rPr>
                <w:rFonts w:ascii="Arial" w:hAnsi="Arial" w:hint="default"/>
                <w:b w:val="1"/>
                <w:bCs w:val="1"/>
                <w:sz w:val="22"/>
                <w:szCs w:val="22"/>
                <w:rtl w:val="0"/>
                <w:lang w:val="en-US"/>
              </w:rPr>
              <w:t>’</w:t>
            </w:r>
            <w:r>
              <w:rPr>
                <w:rFonts w:ascii="Arial" w:hAnsi="Arial"/>
                <w:b w:val="1"/>
                <w:bCs w:val="1"/>
                <w:sz w:val="22"/>
                <w:szCs w:val="22"/>
                <w:rtl w:val="0"/>
                <w:lang w:val="en-US"/>
              </w:rPr>
              <w:t>s comments (if relevant)</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External Examiner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Date:</w:t>
            </w:r>
          </w:p>
        </w:tc>
      </w:tr>
    </w:tbl>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rtl w:val="0"/>
                <w:lang w:val="en-US"/>
              </w:rPr>
              <w:t>For completion by the student</w:t>
            </w:r>
            <w:r>
              <w:rPr>
                <w:rFonts w:ascii="Arial" w:hAnsi="Arial"/>
                <w:sz w:val="22"/>
                <w:szCs w:val="22"/>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Student Name:</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tl w:val="0"/>
              </w:rPr>
            </w:pPr>
            <w:r>
              <w:rPr>
                <w:rFonts w:ascii="Arial" w:hAnsi="Arial"/>
                <w:sz w:val="22"/>
                <w:szCs w:val="22"/>
                <w:rtl w:val="0"/>
                <w:lang w:val="en-US"/>
              </w:rPr>
              <w:t xml:space="preserve">Student </w:t>
            </w:r>
            <w:r>
              <w:rPr>
                <w:rFonts w:ascii="Arial" w:hAnsi="Arial"/>
                <w:b w:val="1"/>
                <w:bCs w:val="1"/>
                <w:sz w:val="22"/>
                <w:szCs w:val="22"/>
                <w:u w:val="single"/>
                <w:rtl w:val="0"/>
                <w:lang w:val="en-US"/>
              </w:rPr>
              <w:t>University</w:t>
            </w:r>
            <w:r>
              <w:rPr>
                <w:rFonts w:ascii="Arial" w:hAnsi="Arial"/>
                <w:sz w:val="22"/>
                <w:szCs w:val="22"/>
                <w:u w:val="single"/>
                <w:rtl w:val="0"/>
                <w:lang w:val="en-US"/>
              </w:rPr>
              <w:t xml:space="preserve"> </w:t>
            </w:r>
            <w:r>
              <w:rPr>
                <w:rFonts w:ascii="Arial" w:hAnsi="Arial"/>
                <w:sz w:val="22"/>
                <w:szCs w:val="22"/>
                <w:rtl w:val="0"/>
                <w:lang w:val="en-US"/>
              </w:rPr>
              <w:t xml:space="preserve">Email: </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Module code:</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Fonts w:ascii="Arial" w:cs="Arial" w:hAnsi="Arial" w:eastAsia="Arial"/>
                <w:sz w:val="22"/>
                <w:szCs w:val="22"/>
                <w:rtl w:val="0"/>
              </w:rPr>
            </w:pPr>
            <w:r>
              <w:rPr>
                <w:rFonts w:ascii="Arial" w:hAnsi="Arial"/>
                <w:sz w:val="22"/>
                <w:szCs w:val="22"/>
                <w:rtl w:val="0"/>
                <w:lang w:val="en-US"/>
              </w:rPr>
              <w:t>Module title:</w:t>
            </w:r>
          </w:p>
          <w:p>
            <w:pPr>
              <w:pStyle w:val="Normal (Web)"/>
              <w:spacing w:before="0" w:after="0"/>
              <w:ind w:right="34"/>
            </w:pPr>
            <w:r>
              <w:rPr>
                <w:rFonts w:ascii="Arial" w:cs="Arial" w:hAnsi="Arial" w:eastAsia="Arial"/>
                <w:sz w:val="22"/>
                <w:szCs w:val="22"/>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rtl w:val="0"/>
                <w:lang w:val="en-US"/>
              </w:rPr>
              <w:t>Student ID number:</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Educational support needs:</w:t>
            </w:r>
          </w:p>
          <w:p>
            <w:pPr>
              <w:pStyle w:val="Normal (Web)"/>
              <w:bidi w:val="0"/>
              <w:spacing w:before="0" w:after="0"/>
              <w:ind w:left="0" w:right="34" w:firstLine="0"/>
              <w:jc w:val="left"/>
              <w:rPr>
                <w:rtl w:val="0"/>
              </w:rPr>
            </w:pPr>
            <w:r>
              <w:rPr>
                <w:rFonts w:ascii="Arial" w:hAnsi="Arial"/>
                <w:sz w:val="22"/>
                <w:szCs w:val="22"/>
                <w:rtl w:val="0"/>
                <w:lang w:val="en-US"/>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Assignment title:</w:t>
            </w:r>
          </w:p>
          <w:p>
            <w:pPr>
              <w:pStyle w:val="Normal (Web)"/>
              <w:spacing w:before="0" w:after="0"/>
              <w:ind w:right="34"/>
              <w:rPr>
                <w:rFonts w:ascii="Arial" w:cs="Arial" w:hAnsi="Arial" w:eastAsia="Arial"/>
                <w:sz w:val="22"/>
                <w:szCs w:val="22"/>
                <w:lang w:val="en-US"/>
              </w:rPr>
            </w:pP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tl w:val="0"/>
              </w:rPr>
            </w:pPr>
            <w:r>
              <w:rPr>
                <w:rFonts w:ascii="Arial" w:hAnsi="Arial"/>
                <w:sz w:val="22"/>
                <w:szCs w:val="22"/>
                <w:rtl w:val="0"/>
                <w:lang w:val="en-US"/>
              </w:rPr>
              <w:t>Assignment due date: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This assignment is for the       1</w:t>
            </w:r>
            <w:r>
              <w:rPr>
                <w:rFonts w:ascii="Arial" w:hAnsi="Arial"/>
                <w:sz w:val="22"/>
                <w:szCs w:val="22"/>
                <w:vertAlign w:val="superscript"/>
                <w:rtl w:val="0"/>
                <w:lang w:val="en-US"/>
              </w:rPr>
              <w:t xml:space="preserve">st </w:t>
            </w:r>
            <w:r>
              <w:rPr>
                <w:rFonts w:ascii="Arial" w:hAnsi="Arial"/>
                <w:sz w:val="22"/>
                <w:szCs w:val="22"/>
                <w:rtl w:val="0"/>
                <w:lang w:val="en-US"/>
              </w:rPr>
              <w:t xml:space="preserve">    2</w:t>
            </w:r>
            <w:r>
              <w:rPr>
                <w:rFonts w:ascii="Arial" w:hAnsi="Arial"/>
                <w:sz w:val="22"/>
                <w:szCs w:val="22"/>
                <w:vertAlign w:val="superscript"/>
                <w:rtl w:val="0"/>
                <w:lang w:val="en-US"/>
              </w:rPr>
              <w:t>nd</w:t>
            </w:r>
            <w:r>
              <w:rPr>
                <w:rFonts w:ascii="Arial" w:hAnsi="Arial"/>
                <w:sz w:val="22"/>
                <w:szCs w:val="22"/>
                <w:rtl w:val="0"/>
                <w:lang w:val="en-US"/>
              </w:rPr>
              <w:t xml:space="preserve">       3</w:t>
            </w:r>
            <w:r>
              <w:rPr>
                <w:rFonts w:ascii="Arial" w:hAnsi="Arial"/>
                <w:sz w:val="22"/>
                <w:szCs w:val="22"/>
                <w:vertAlign w:val="superscript"/>
                <w:rtl w:val="0"/>
                <w:lang w:val="en-US"/>
              </w:rPr>
              <w:t>rd</w:t>
            </w:r>
            <w:r>
              <w:rPr>
                <w:rFonts w:ascii="Arial" w:hAnsi="Arial"/>
                <w:sz w:val="22"/>
                <w:szCs w:val="22"/>
                <w:rtl w:val="0"/>
                <w:lang w:val="en-US"/>
              </w:rPr>
              <w:t xml:space="preserve">        4</w:t>
            </w:r>
            <w:r>
              <w:rPr>
                <w:rFonts w:ascii="Arial" w:hAnsi="Arial"/>
                <w:sz w:val="22"/>
                <w:szCs w:val="22"/>
                <w:vertAlign w:val="superscript"/>
                <w:rtl w:val="0"/>
                <w:lang w:val="en-US"/>
              </w:rPr>
              <w:t>th</w:t>
            </w:r>
            <w:r>
              <w:rPr>
                <w:rFonts w:ascii="Arial" w:hAnsi="Arial"/>
                <w:sz w:val="22"/>
                <w:szCs w:val="22"/>
                <w:rtl w:val="0"/>
                <w:lang w:val="en-US"/>
              </w:rPr>
              <w:t xml:space="preserve">       5</w:t>
            </w:r>
            <w:r>
              <w:rPr>
                <w:rFonts w:ascii="Arial" w:hAnsi="Arial"/>
                <w:sz w:val="22"/>
                <w:szCs w:val="22"/>
                <w:vertAlign w:val="superscript"/>
                <w:rtl w:val="0"/>
                <w:lang w:val="en-US"/>
              </w:rPr>
              <w:t>th</w:t>
            </w:r>
            <w:r>
              <w:rPr>
                <w:rFonts w:ascii="Arial" w:hAnsi="Arial"/>
                <w:sz w:val="22"/>
                <w:szCs w:val="22"/>
                <w:rtl w:val="0"/>
                <w:lang w:val="en-US"/>
              </w:rPr>
              <w:t xml:space="preserve">       6</w:t>
            </w:r>
            <w:r>
              <w:rPr>
                <w:rFonts w:ascii="Arial" w:hAnsi="Arial"/>
                <w:sz w:val="22"/>
                <w:szCs w:val="22"/>
                <w:vertAlign w:val="superscript"/>
                <w:rtl w:val="0"/>
                <w:lang w:val="en-US"/>
              </w:rPr>
              <w:t>th</w:t>
            </w:r>
            <w:r>
              <w:rPr>
                <w:rFonts w:ascii="Arial" w:hAnsi="Arial"/>
                <w:sz w:val="22"/>
                <w:szCs w:val="22"/>
                <w:rtl w:val="0"/>
                <w:lang w:val="en-US"/>
              </w:rPr>
              <w:t xml:space="preserve"> </w:t>
            </w:r>
            <w:r>
              <w:rPr>
                <w:rFonts w:ascii="Arial" w:hAnsi="Arial"/>
                <w:b w:val="1"/>
                <w:bCs w:val="1"/>
                <w:sz w:val="22"/>
                <w:szCs w:val="22"/>
                <w:rtl w:val="0"/>
                <w:lang w:val="en-US"/>
              </w:rPr>
              <w:t xml:space="preserve">   </w:t>
            </w:r>
            <w:r>
              <w:rPr>
                <w:rFonts w:ascii="Arial" w:hAnsi="Arial"/>
                <w:sz w:val="22"/>
                <w:szCs w:val="22"/>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I confirm that this is my original work and that I have adhered to the University policy on plagiarism.</w:t>
            </w:r>
          </w:p>
          <w:p>
            <w:pPr>
              <w:pStyle w:val="Normal (Web)"/>
              <w:bidi w:val="0"/>
              <w:spacing w:before="0" w:after="0"/>
              <w:ind w:left="0" w:right="34" w:firstLine="0"/>
              <w:jc w:val="left"/>
              <w:rPr>
                <w:rFonts w:ascii="Arial" w:cs="Arial" w:hAnsi="Arial" w:eastAsia="Arial"/>
                <w:sz w:val="22"/>
                <w:szCs w:val="22"/>
                <w:rtl w:val="0"/>
              </w:rPr>
            </w:pPr>
            <w:r>
              <w:rPr>
                <w:rFonts w:ascii="Arial" w:hAnsi="Arial"/>
                <w:sz w:val="22"/>
                <w:szCs w:val="22"/>
                <w:rtl w:val="0"/>
                <w:lang w:val="en-US"/>
              </w:rPr>
              <w:t xml:space="preserve">Signed </w:t>
            </w:r>
            <w:r>
              <w:rPr>
                <w:rFonts w:ascii="Arial" w:hAnsi="Arial" w:hint="default"/>
                <w:sz w:val="22"/>
                <w:szCs w:val="22"/>
                <w:rtl w:val="0"/>
                <w:lang w:val="en-US"/>
              </w:rPr>
              <w:t>……………………………………………………………</w:t>
            </w:r>
          </w:p>
          <w:p>
            <w:pPr>
              <w:pStyle w:val="Normal (Web)"/>
              <w:bidi w:val="0"/>
              <w:spacing w:before="0" w:after="0"/>
              <w:ind w:left="0" w:right="34" w:firstLine="0"/>
              <w:jc w:val="left"/>
              <w:rPr>
                <w:rFonts w:ascii="Calibri" w:cs="Calibri" w:hAnsi="Calibri" w:eastAsia="Calibri"/>
                <w:b w:val="1"/>
                <w:bCs w:val="1"/>
                <w:sz w:val="44"/>
                <w:szCs w:val="44"/>
                <w:rtl w:val="0"/>
              </w:rPr>
            </w:pPr>
            <w:r>
              <w:rPr>
                <w:rFonts w:ascii="Calibri" w:cs="Calibri" w:hAnsi="Calibri" w:eastAsia="Calibri"/>
                <w:b w:val="1"/>
                <w:bCs w:val="1"/>
                <w:sz w:val="24"/>
                <w:szCs w:val="24"/>
                <w:rtl w:val="0"/>
                <w:lang w:val="en-US"/>
              </w:rPr>
              <w:t xml:space="preserve">Email submission:if you are submitting this form via email, please tick this box </w:t>
            </w:r>
            <w:r>
              <w:rPr>
                <w:rFonts w:ascii="Calibri" w:cs="Calibri" w:hAnsi="Calibri" w:eastAsia="Calibri"/>
                <w:b w:val="1"/>
                <w:bCs w:val="1"/>
                <w:sz w:val="44"/>
                <w:szCs w:val="44"/>
                <w:rtl w:val="0"/>
                <w:lang w:val="en-US"/>
              </w:rPr>
              <w:t>□</w:t>
            </w:r>
          </w:p>
          <w:p>
            <w:pPr>
              <w:pStyle w:val="Normal (Web)"/>
              <w:bidi w:val="0"/>
              <w:spacing w:before="0" w:after="0"/>
              <w:ind w:left="0" w:right="34" w:firstLine="0"/>
              <w:jc w:val="left"/>
              <w:rPr>
                <w:rtl w:val="0"/>
              </w:rPr>
            </w:pPr>
            <w:r>
              <w:rPr>
                <w:rFonts w:ascii="Calibri" w:cs="Calibri" w:hAnsi="Calibri" w:eastAsia="Calibri"/>
                <w:b w:val="1"/>
                <w:bCs w:val="1"/>
                <w:sz w:val="24"/>
                <w:szCs w:val="24"/>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lang w:val="en-US"/>
              </w:rPr>
            </w:pPr>
          </w:p>
          <w:p>
            <w:pPr>
              <w:pStyle w:val="Normal.0"/>
              <w:bidi w:val="0"/>
              <w:ind w:left="0" w:right="0" w:firstLine="0"/>
              <w:jc w:val="left"/>
              <w:rPr>
                <w:rFonts w:ascii="Arial" w:cs="Arial" w:hAnsi="Arial" w:eastAsia="Arial"/>
                <w:rtl w:val="0"/>
              </w:rPr>
            </w:pPr>
            <w:r>
              <w:rPr>
                <w:rFonts w:ascii="Arial" w:hAnsi="Arial"/>
                <w:b w:val="1"/>
                <w:bCs w:val="1"/>
                <w:rtl w:val="0"/>
                <w:lang w:val="en-US"/>
              </w:rPr>
              <w:t>Assignment Mark</w:t>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Normal.0"/>
              <w:rPr>
                <w:rFonts w:ascii="Arial" w:cs="Arial" w:hAnsi="Arial" w:eastAsia="Arial"/>
                <w:sz w:val="20"/>
                <w:szCs w:val="20"/>
                <w:lang w:val="en-US"/>
              </w:rPr>
            </w:pPr>
          </w:p>
          <w:p>
            <w:pPr>
              <w:pStyle w:val="Normal.0"/>
              <w:rPr>
                <w:rFonts w:ascii="Arial" w:cs="Arial" w:hAnsi="Arial" w:eastAsia="Arial"/>
                <w:b w:val="1"/>
                <w:bCs w:val="1"/>
                <w:sz w:val="20"/>
                <w:szCs w:val="20"/>
              </w:rPr>
            </w:pPr>
            <w:r>
              <w:rPr>
                <w:rFonts w:ascii="Arial" w:hAnsi="Arial"/>
                <w:b w:val="1"/>
                <w:bCs w:val="1"/>
                <w:sz w:val="20"/>
                <w:szCs w:val="20"/>
                <w:rtl w:val="0"/>
                <w:lang w:val="en-US"/>
              </w:rPr>
              <w:t>Final Mark</w:t>
            </w:r>
          </w:p>
          <w:p>
            <w:pPr>
              <w:pStyle w:val="Normal.0"/>
              <w:rPr>
                <w:rFonts w:ascii="Arial" w:cs="Arial" w:hAnsi="Arial" w:eastAsia="Arial"/>
                <w:b w:val="1"/>
                <w:bCs w:val="1"/>
                <w:sz w:val="20"/>
                <w:szCs w:val="20"/>
              </w:rPr>
            </w:pPr>
            <w:r>
              <w:rPr>
                <w:rFonts w:ascii="Arial" w:cs="Arial" w:hAnsi="Arial" w:eastAsia="Arial"/>
                <w:b w:val="1"/>
                <w:bCs w:val="1"/>
                <w:sz w:val="20"/>
                <w:szCs w:val="20"/>
              </w:rPr>
              <w:tab/>
            </w:r>
          </w:p>
          <w:p>
            <w:pPr>
              <w:pStyle w:val="Normal (Web)"/>
              <w:spacing w:before="0" w:after="0"/>
              <w:ind w:left="142" w:right="34" w:firstLine="0"/>
              <w:rPr>
                <w:rFonts w:ascii="Arial" w:cs="Arial" w:hAnsi="Arial" w:eastAsia="Arial"/>
                <w:b w:val="1"/>
                <w:bCs w:val="1"/>
                <w:sz w:val="22"/>
                <w:szCs w:val="22"/>
                <w:lang w:val="en-US"/>
              </w:rPr>
            </w:pPr>
          </w:p>
          <w:p>
            <w:pPr>
              <w:pStyle w:val="Normal (Web)"/>
              <w:bidi w:val="0"/>
              <w:spacing w:before="0" w:after="0"/>
              <w:ind w:left="142" w:right="34" w:firstLine="0"/>
              <w:jc w:val="left"/>
              <w:rPr>
                <w:rFonts w:ascii="Arial" w:cs="Arial" w:hAnsi="Arial" w:eastAsia="Arial"/>
                <w:sz w:val="22"/>
                <w:szCs w:val="22"/>
                <w:rtl w:val="0"/>
              </w:rPr>
            </w:pPr>
            <w:r>
              <w:rPr>
                <w:rFonts w:ascii="Arial" w:hAnsi="Arial"/>
                <w:b w:val="1"/>
                <w:bCs w:val="1"/>
                <w:sz w:val="22"/>
                <w:szCs w:val="22"/>
                <w:rtl w:val="0"/>
                <w:lang w:val="en-US"/>
              </w:rPr>
              <w:t>NB.</w:t>
            </w:r>
            <w:r>
              <w:rPr>
                <w:rFonts w:ascii="Arial" w:hAnsi="Arial"/>
                <w:sz w:val="22"/>
                <w:szCs w:val="22"/>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1 :</w:t>
            </w:r>
          </w:p>
          <w:p>
            <w:pPr>
              <w:pStyle w:val="Normal (Web)"/>
              <w:bidi w:val="0"/>
              <w:ind w:left="0" w:right="0" w:firstLine="0"/>
              <w:jc w:val="left"/>
              <w:rPr>
                <w:rtl w:val="0"/>
              </w:rPr>
            </w:pPr>
            <w:r>
              <w:rPr>
                <w:rFonts w:ascii="Arial" w:hAnsi="Arial"/>
                <w:sz w:val="22"/>
                <w:szCs w:val="22"/>
                <w:rtl w:val="0"/>
                <w:lang w:val="en-US"/>
              </w:rPr>
              <w:t>Comments:</w:t>
            </w:r>
            <w:r>
              <w:rPr>
                <w:rFonts w:ascii="Arial" w:cs="Arial" w:hAnsi="Arial" w:eastAsia="Arial"/>
                <w:sz w:val="22"/>
                <w:szCs w:val="22"/>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i w:val="1"/>
                <w:i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2/Moderator:</w:t>
            </w: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sz w:val="22"/>
                <w:szCs w:val="22"/>
              </w:rPr>
            </w:pPr>
            <w:r>
              <w:rPr>
                <w:rFonts w:ascii="Arial" w:hAnsi="Arial"/>
                <w:b w:val="1"/>
                <w:bCs w:val="1"/>
                <w:sz w:val="22"/>
                <w:szCs w:val="22"/>
                <w:rtl w:val="0"/>
                <w:lang w:val="en-US"/>
              </w:rPr>
              <w:t>External Examiner</w:t>
            </w:r>
            <w:r>
              <w:rPr>
                <w:rFonts w:ascii="Arial" w:hAnsi="Arial" w:hint="default"/>
                <w:b w:val="1"/>
                <w:bCs w:val="1"/>
                <w:sz w:val="22"/>
                <w:szCs w:val="22"/>
                <w:rtl w:val="0"/>
                <w:lang w:val="en-US"/>
              </w:rPr>
              <w:t>’</w:t>
            </w:r>
            <w:r>
              <w:rPr>
                <w:rFonts w:ascii="Arial" w:hAnsi="Arial"/>
                <w:b w:val="1"/>
                <w:bCs w:val="1"/>
                <w:sz w:val="22"/>
                <w:szCs w:val="22"/>
                <w:rtl w:val="0"/>
                <w:lang w:val="en-US"/>
              </w:rPr>
              <w:t>s comments (if relevant)</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External Examiner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Date:</w:t>
            </w:r>
          </w:p>
        </w:tc>
      </w:tr>
    </w:tbl>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b w:val="0"/>
          <w:bCs w:val="0"/>
          <w:sz w:val="24"/>
          <w:szCs w:val="24"/>
          <w:u w:val="single"/>
        </w:rPr>
      </w:pPr>
      <w:r>
        <w:rPr>
          <w:rFonts w:ascii="Trebuchet MS" w:hAnsi="Trebuchet MS"/>
          <w:b w:val="0"/>
          <w:bCs w:val="0"/>
          <w:sz w:val="24"/>
          <w:szCs w:val="24"/>
          <w:u w:val="single"/>
          <w:rtl w:val="0"/>
          <w:lang w:val="en-US"/>
        </w:rPr>
        <w:t>Discuss the role of astrology in the European medieval world using at least two primary sources from either literature or art</w:t>
      </w:r>
    </w:p>
    <w:p>
      <w:pPr>
        <w:pStyle w:val="Heading 3"/>
        <w:widowControl w:val="0"/>
        <w:ind w:left="0" w:firstLine="0"/>
        <w:jc w:val="center"/>
        <w:rPr>
          <w:rFonts w:ascii="Trebuchet MS" w:cs="Trebuchet MS" w:hAnsi="Trebuchet MS" w:eastAsia="Trebuchet MS"/>
          <w:b w:val="0"/>
          <w:bCs w:val="0"/>
          <w:sz w:val="24"/>
          <w:szCs w:val="24"/>
          <w:u w:val="single"/>
        </w:rPr>
      </w:pPr>
    </w:p>
    <w:p>
      <w:pPr>
        <w:pStyle w:val="Heading 3"/>
        <w:widowControl w:val="0"/>
        <w:ind w:left="0" w:firstLine="0"/>
        <w:jc w:val="center"/>
        <w:rPr>
          <w:rFonts w:ascii="Trebuchet MS" w:cs="Trebuchet MS" w:hAnsi="Trebuchet MS" w:eastAsia="Trebuchet MS"/>
          <w:b w:val="0"/>
          <w:bCs w:val="0"/>
          <w:sz w:val="24"/>
          <w:szCs w:val="24"/>
        </w:rPr>
      </w:pPr>
      <w:r>
        <w:rPr>
          <w:rFonts w:ascii="Trebuchet MS" w:hAnsi="Trebuchet MS"/>
          <w:b w:val="0"/>
          <w:bCs w:val="0"/>
          <w:sz w:val="24"/>
          <w:szCs w:val="24"/>
          <w:rtl w:val="0"/>
          <w:lang w:val="en-US"/>
        </w:rPr>
        <w:t>3086 words</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 xml:space="preserve">Helen Floyd  1503354                                                                       Page 1 of 8 </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The intention of this essay is to discuss the role of astrology in the European medieval world by using two primary sources from either literature or art.  For the purpose of this paper, two pieces of art will be employed as the primary sources. The two works chosen to be explored will be</w:t>
      </w:r>
      <w:r>
        <w:rPr>
          <w:rFonts w:ascii="Trebuchet MS" w:hAnsi="Trebuchet MS"/>
          <w:b w:val="0"/>
          <w:bCs w:val="0"/>
          <w:sz w:val="24"/>
          <w:szCs w:val="24"/>
          <w:rtl w:val="0"/>
          <w:lang w:val="en-US"/>
        </w:rPr>
        <w:t xml:space="preserve"> </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The Creation of the World</w:t>
      </w:r>
      <w:r>
        <w:rPr>
          <w:rFonts w:ascii="Trebuchet MS" w:hAnsi="Trebuchet MS" w:hint="default"/>
          <w:b w:val="0"/>
          <w:bCs w:val="0"/>
          <w:i w:val="1"/>
          <w:iCs w:val="1"/>
          <w:sz w:val="24"/>
          <w:szCs w:val="24"/>
          <w:rtl w:val="0"/>
          <w:lang w:val="en-US"/>
        </w:rPr>
        <w:t xml:space="preserve">’ </w:t>
      </w:r>
      <w:r>
        <w:rPr>
          <w:rFonts w:ascii="Trebuchet MS" w:hAnsi="Trebuchet MS"/>
          <w:b w:val="0"/>
          <w:bCs w:val="0"/>
          <w:sz w:val="24"/>
          <w:szCs w:val="24"/>
          <w:rtl w:val="0"/>
          <w:lang w:val="en-US"/>
        </w:rPr>
        <w:t>by</w:t>
      </w:r>
      <w:r>
        <w:rPr>
          <w:rFonts w:ascii="Trebuchet MS" w:hAnsi="Trebuchet MS"/>
          <w:b w:val="0"/>
          <w:bCs w:val="0"/>
          <w:i w:val="1"/>
          <w:iCs w:val="1"/>
          <w:sz w:val="24"/>
          <w:szCs w:val="24"/>
          <w:rtl w:val="0"/>
          <w:lang w:val="en-US"/>
        </w:rPr>
        <w:t xml:space="preserve"> </w:t>
      </w:r>
      <w:r>
        <w:rPr>
          <w:rFonts w:ascii="Trebuchet MS" w:hAnsi="Trebuchet MS"/>
          <w:b w:val="0"/>
          <w:bCs w:val="0"/>
          <w:sz w:val="24"/>
          <w:szCs w:val="24"/>
          <w:rtl w:val="0"/>
          <w:lang w:val="en-US"/>
        </w:rPr>
        <w:t>Giusto De</w:t>
      </w:r>
      <w:r>
        <w:rPr>
          <w:rFonts w:ascii="Trebuchet MS" w:hAnsi="Trebuchet MS" w:hint="default"/>
          <w:b w:val="0"/>
          <w:bCs w:val="0"/>
          <w:sz w:val="24"/>
          <w:szCs w:val="24"/>
          <w:rtl w:val="0"/>
          <w:lang w:val="en-US"/>
        </w:rPr>
        <w:t xml:space="preserve">’ </w:t>
      </w:r>
      <w:r>
        <w:rPr>
          <w:rFonts w:ascii="Trebuchet MS" w:hAnsi="Trebuchet MS"/>
          <w:b w:val="0"/>
          <w:bCs w:val="0"/>
          <w:sz w:val="24"/>
          <w:szCs w:val="24"/>
          <w:rtl w:val="0"/>
          <w:lang w:val="en-US"/>
        </w:rPr>
        <w:t>Menabuoi an Italian artist who worked during the early Renaissance period in Italy and</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St Jerome in His Study</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 xml:space="preserve">, </w:t>
      </w:r>
      <w:r>
        <w:rPr>
          <w:rFonts w:ascii="Trebuchet MS" w:hAnsi="Trebuchet MS"/>
          <w:b w:val="0"/>
          <w:bCs w:val="0"/>
          <w:sz w:val="24"/>
          <w:szCs w:val="24"/>
          <w:rtl w:val="0"/>
          <w:lang w:val="en-US"/>
        </w:rPr>
        <w:t>a painting attributed to Jan Van Eyck a Dutch artist who was a prominent figure in Northern Renaissance art. Although De</w:t>
      </w:r>
      <w:r>
        <w:rPr>
          <w:rFonts w:ascii="Trebuchet MS" w:hAnsi="Trebuchet MS" w:hint="default"/>
          <w:b w:val="0"/>
          <w:bCs w:val="0"/>
          <w:sz w:val="24"/>
          <w:szCs w:val="24"/>
          <w:rtl w:val="0"/>
          <w:lang w:val="en-US"/>
        </w:rPr>
        <w:t xml:space="preserve">’ </w:t>
      </w:r>
      <w:r>
        <w:rPr>
          <w:rFonts w:ascii="Trebuchet MS" w:hAnsi="Trebuchet MS"/>
          <w:b w:val="0"/>
          <w:bCs w:val="0"/>
          <w:sz w:val="24"/>
          <w:szCs w:val="24"/>
          <w:rtl w:val="0"/>
          <w:lang w:val="en-US"/>
        </w:rPr>
        <w:t>Menabuoi preceded Van Eyck by at least seven decades, both were considered significant contributors to development of art during the Renaissance period.  Astrology was part of the culture of an educated and scientific sector of medieval society and was practiced by individuals who had attained a certain degree of education and were considered to be the more literate and academic members of the community;  despite the morality of its practice being questioned by the more orthodox sections of the European medieval populace.</w:t>
      </w:r>
      <w:r>
        <w:rPr>
          <w:rFonts w:ascii="Trebuchet MS" w:cs="Trebuchet MS" w:hAnsi="Trebuchet MS" w:eastAsia="Trebuchet MS"/>
          <w:b w:val="0"/>
          <w:bCs w:val="0"/>
          <w:sz w:val="24"/>
          <w:szCs w:val="24"/>
          <w:vertAlign w:val="superscript"/>
        </w:rPr>
        <w:footnoteReference w:id="1"/>
      </w:r>
      <w:r>
        <w:rPr>
          <w:rFonts w:ascii="Trebuchet MS" w:hAnsi="Trebuchet MS"/>
          <w:b w:val="0"/>
          <w:bCs w:val="0"/>
          <w:sz w:val="24"/>
          <w:szCs w:val="24"/>
          <w:rtl w:val="0"/>
          <w:lang w:val="en-US"/>
        </w:rPr>
        <w:t xml:space="preserve"> This will be demonstrated by examining and analysing both works of art in detail and discussing any relevant symbolism that may be observed within them.</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The Creation of the World</w:t>
      </w:r>
      <w:r>
        <w:rPr>
          <w:rFonts w:ascii="Trebuchet MS" w:hAnsi="Trebuchet MS" w:hint="default"/>
          <w:b w:val="0"/>
          <w:bCs w:val="0"/>
          <w:i w:val="1"/>
          <w:iCs w:val="1"/>
          <w:sz w:val="24"/>
          <w:szCs w:val="24"/>
          <w:rtl w:val="0"/>
          <w:lang w:val="en-US"/>
        </w:rPr>
        <w:t xml:space="preserve">’ </w:t>
      </w:r>
      <w:r>
        <w:rPr>
          <w:rFonts w:ascii="Trebuchet MS" w:hAnsi="Trebuchet MS"/>
          <w:b w:val="0"/>
          <w:bCs w:val="0"/>
          <w:i w:val="0"/>
          <w:iCs w:val="0"/>
          <w:sz w:val="24"/>
          <w:szCs w:val="24"/>
          <w:rtl w:val="0"/>
          <w:lang w:val="en-US"/>
        </w:rPr>
        <w:t>by Giusto De</w:t>
      </w:r>
      <w:r>
        <w:rPr>
          <w:rFonts w:ascii="Trebuchet MS" w:hAnsi="Trebuchet MS" w:hint="default"/>
          <w:b w:val="0"/>
          <w:bCs w:val="0"/>
          <w:i w:val="0"/>
          <w:iCs w:val="0"/>
          <w:sz w:val="24"/>
          <w:szCs w:val="24"/>
          <w:rtl w:val="0"/>
          <w:lang w:val="en-US"/>
        </w:rPr>
        <w:t xml:space="preserve">’ </w:t>
      </w:r>
      <w:r>
        <w:rPr>
          <w:rFonts w:ascii="Trebuchet MS" w:hAnsi="Trebuchet MS"/>
          <w:b w:val="0"/>
          <w:bCs w:val="0"/>
          <w:i w:val="0"/>
          <w:iCs w:val="0"/>
          <w:sz w:val="24"/>
          <w:szCs w:val="24"/>
          <w:rtl w:val="0"/>
          <w:lang w:val="en-US"/>
        </w:rPr>
        <w:t>Menabuoi is a fresco painted on a  section of the cupola of the Baptistery of Padua Duomo in Padua, Italy. There is no exact date known for its execution, but it is known to have been painted in the 14th century circa 1376. De</w:t>
      </w:r>
      <w:r>
        <w:rPr>
          <w:rFonts w:ascii="Trebuchet MS" w:hAnsi="Trebuchet MS" w:hint="default"/>
          <w:b w:val="0"/>
          <w:bCs w:val="0"/>
          <w:i w:val="0"/>
          <w:iCs w:val="0"/>
          <w:sz w:val="24"/>
          <w:szCs w:val="24"/>
          <w:rtl w:val="0"/>
          <w:lang w:val="en-US"/>
        </w:rPr>
        <w:t xml:space="preserve">’ </w:t>
      </w:r>
      <w:r>
        <w:rPr>
          <w:rFonts w:ascii="Trebuchet MS" w:hAnsi="Trebuchet MS"/>
          <w:b w:val="0"/>
          <w:bCs w:val="0"/>
          <w:i w:val="0"/>
          <w:iCs w:val="0"/>
          <w:sz w:val="24"/>
          <w:szCs w:val="24"/>
          <w:rtl w:val="0"/>
          <w:lang w:val="en-US"/>
        </w:rPr>
        <w:t>Menabuoi became a citizen of Padua in 1375 and it is believed he began the frescoes shortly after.</w:t>
      </w:r>
      <w:r>
        <w:rPr>
          <w:rFonts w:ascii="Trebuchet MS" w:cs="Trebuchet MS" w:hAnsi="Trebuchet MS" w:eastAsia="Trebuchet MS"/>
          <w:b w:val="0"/>
          <w:bCs w:val="0"/>
          <w:i w:val="0"/>
          <w:iCs w:val="0"/>
          <w:sz w:val="24"/>
          <w:szCs w:val="24"/>
          <w:vertAlign w:val="superscript"/>
        </w:rPr>
        <w:footnoteReference w:id="2"/>
      </w:r>
      <w:r>
        <w:rPr>
          <w:rFonts w:ascii="Trebuchet MS" w:hAnsi="Trebuchet MS"/>
          <w:b w:val="0"/>
          <w:bCs w:val="0"/>
          <w:i w:val="0"/>
          <w:iCs w:val="0"/>
          <w:sz w:val="24"/>
          <w:szCs w:val="24"/>
          <w:rtl w:val="0"/>
          <w:lang w:val="en-US"/>
        </w:rPr>
        <w:t xml:space="preserve"> It is one of a sequence of frescoes produced to decorate the lower part of the cupola and it perfectly compliments the other frescoes that also illustrate scenes from The Book of Genesis which is the section of the Bible concerned with creation. It was possibly painted in egg tempera as oil based paint had not yet been developed and it is known that he used this medium in another piece of work </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The Coronation of the Virgin, Scenes from the Lives of Joachim and Anna, and from the Life of the Virgin</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w:t>
      </w:r>
      <w:r>
        <w:rPr>
          <w:rFonts w:ascii="Trebuchet MS" w:cs="Trebuchet MS" w:hAnsi="Trebuchet MS" w:eastAsia="Trebuchet MS"/>
          <w:b w:val="0"/>
          <w:bCs w:val="0"/>
          <w:i w:val="1"/>
          <w:iCs w:val="1"/>
          <w:sz w:val="24"/>
          <w:szCs w:val="24"/>
          <w:vertAlign w:val="superscript"/>
        </w:rPr>
        <w:footnoteReference w:id="3"/>
      </w:r>
      <w:r>
        <w:rPr>
          <w:rFonts w:ascii="Trebuchet MS" w:hAnsi="Trebuchet MS"/>
          <w:b w:val="0"/>
          <w:bCs w:val="0"/>
          <w:i w:val="1"/>
          <w:iCs w:val="1"/>
          <w:sz w:val="24"/>
          <w:szCs w:val="24"/>
          <w:rtl w:val="0"/>
          <w:lang w:val="en-US"/>
        </w:rPr>
        <w:t xml:space="preserve"> </w:t>
      </w:r>
      <w:r>
        <w:rPr>
          <w:rFonts w:ascii="Trebuchet MS" w:hAnsi="Trebuchet MS"/>
          <w:b w:val="0"/>
          <w:bCs w:val="0"/>
          <w:i w:val="0"/>
          <w:iCs w:val="0"/>
          <w:sz w:val="24"/>
          <w:szCs w:val="24"/>
          <w:rtl w:val="0"/>
          <w:lang w:val="en-US"/>
        </w:rPr>
        <w:t>The frescos he created in the cathedral at Padua are probably his most notable works.  The Baptistery was intended to be the mausoleum for the Lord of Padua, Francesco I da Carrara and his wife Fina Buzzacarina and this was the reason De</w:t>
      </w:r>
      <w:r>
        <w:rPr>
          <w:rFonts w:ascii="Trebuchet MS" w:hAnsi="Trebuchet MS" w:hint="default"/>
          <w:b w:val="0"/>
          <w:bCs w:val="0"/>
          <w:i w:val="0"/>
          <w:iCs w:val="0"/>
          <w:sz w:val="24"/>
          <w:szCs w:val="24"/>
          <w:rtl w:val="0"/>
          <w:lang w:val="en-US"/>
        </w:rPr>
        <w:t xml:space="preserve">’ </w:t>
      </w:r>
      <w:r>
        <w:rPr>
          <w:rFonts w:ascii="Trebuchet MS" w:hAnsi="Trebuchet MS"/>
          <w:b w:val="0"/>
          <w:bCs w:val="0"/>
          <w:i w:val="0"/>
          <w:iCs w:val="0"/>
          <w:sz w:val="24"/>
          <w:szCs w:val="24"/>
          <w:rtl w:val="0"/>
          <w:lang w:val="en-US"/>
        </w:rPr>
        <w:t>Menabuoi was commissioned to create frescoes to decorate it.  Such a commission is suggestive of the reputation he held as an artist in the society of Padua at that time.</w:t>
      </w:r>
      <w:r>
        <w:rPr>
          <w:rFonts w:ascii="Trebuchet MS" w:cs="Trebuchet MS" w:hAnsi="Trebuchet MS" w:eastAsia="Trebuchet MS"/>
          <w:b w:val="0"/>
          <w:bCs w:val="0"/>
          <w:i w:val="0"/>
          <w:iCs w:val="0"/>
          <w:sz w:val="24"/>
          <w:szCs w:val="24"/>
          <w:vertAlign w:val="superscript"/>
        </w:rPr>
        <w:footnoteReference w:id="4"/>
      </w:r>
    </w:p>
    <w:p>
      <w:pPr>
        <w:pStyle w:val="Heading 3"/>
        <w:widowControl w:val="0"/>
        <w:ind w:left="0" w:firstLine="0"/>
        <w:jc w:val="left"/>
        <w:rPr>
          <w:rFonts w:ascii="Trebuchet MS" w:cs="Trebuchet MS" w:hAnsi="Trebuchet MS" w:eastAsia="Trebuchet MS"/>
          <w:b w:val="0"/>
          <w:bCs w:val="0"/>
          <w:i w:val="0"/>
          <w:i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r>
        <w:rPr>
          <w:rFonts w:ascii="Trebuchet MS" w:hAnsi="Trebuchet MS"/>
          <w:b w:val="0"/>
          <w:bCs w:val="0"/>
          <w:i w:val="0"/>
          <w:iCs w:val="0"/>
          <w:sz w:val="24"/>
          <w:szCs w:val="24"/>
          <w:rtl w:val="0"/>
          <w:lang w:val="en-US"/>
        </w:rPr>
        <w:t xml:space="preserve">The fresco appears to illustrate God creating the world.  God is depicted with an almost Christ like appearance and appears to be overseeing the world and the position of his hands and the gestures he seems to be making are very suggestive of the way a priest would give a blessing to a congregant during some sort of religious rite in church.  Giving his blessing to earth as it is developing would be commensurate with the religious supposition that the formation of the universe and life were caused by </w:t>
      </w:r>
      <w:r>
        <w:rPr>
          <w:rFonts w:ascii="Trebuchet MS" w:hAnsi="Trebuchet MS" w:hint="default"/>
          <w:b w:val="0"/>
          <w:bCs w:val="0"/>
          <w:i w:val="0"/>
          <w:iCs w:val="0"/>
          <w:sz w:val="24"/>
          <w:szCs w:val="24"/>
          <w:rtl w:val="0"/>
          <w:lang w:val="en-US"/>
        </w:rPr>
        <w:t>“</w:t>
      </w:r>
      <w:r>
        <w:rPr>
          <w:rFonts w:ascii="Trebuchet MS" w:hAnsi="Trebuchet MS"/>
          <w:b w:val="0"/>
          <w:bCs w:val="0"/>
          <w:i w:val="0"/>
          <w:iCs w:val="0"/>
          <w:sz w:val="24"/>
          <w:szCs w:val="24"/>
          <w:rtl w:val="0"/>
          <w:lang w:val="en-US"/>
        </w:rPr>
        <w:t>specific acts of divine creation</w:t>
      </w:r>
      <w:r>
        <w:rPr>
          <w:rFonts w:ascii="Trebuchet MS" w:hAnsi="Trebuchet MS" w:hint="default"/>
          <w:b w:val="0"/>
          <w:bCs w:val="0"/>
          <w:i w:val="0"/>
          <w:iCs w:val="0"/>
          <w:sz w:val="24"/>
          <w:szCs w:val="24"/>
          <w:rtl w:val="0"/>
          <w:lang w:val="en-US"/>
        </w:rPr>
        <w:t xml:space="preserve">” </w:t>
      </w:r>
      <w:r>
        <w:rPr>
          <w:rFonts w:ascii="Trebuchet MS" w:hAnsi="Trebuchet MS"/>
          <w:b w:val="0"/>
          <w:bCs w:val="0"/>
          <w:i w:val="0"/>
          <w:iCs w:val="0"/>
          <w:sz w:val="24"/>
          <w:szCs w:val="24"/>
          <w:rtl w:val="0"/>
          <w:lang w:val="en-US"/>
        </w:rPr>
        <w:t>as opposed to natural processes such as evolution.</w:t>
      </w:r>
      <w:r>
        <w:rPr>
          <w:rFonts w:ascii="Trebuchet MS" w:cs="Trebuchet MS" w:hAnsi="Trebuchet MS" w:eastAsia="Trebuchet MS"/>
          <w:b w:val="0"/>
          <w:bCs w:val="0"/>
          <w:i w:val="0"/>
          <w:iCs w:val="0"/>
          <w:sz w:val="24"/>
          <w:szCs w:val="24"/>
          <w:vertAlign w:val="superscript"/>
        </w:rPr>
        <w:footnoteReference w:id="5"/>
      </w:r>
      <w:r>
        <w:rPr>
          <w:rFonts w:ascii="Trebuchet MS" w:hAnsi="Trebuchet MS"/>
          <w:b w:val="0"/>
          <w:bCs w:val="0"/>
          <w:i w:val="0"/>
          <w:iCs w:val="0"/>
          <w:sz w:val="24"/>
          <w:szCs w:val="24"/>
          <w:rtl w:val="0"/>
          <w:lang w:val="en-US"/>
        </w:rPr>
        <w:t xml:space="preserve">  The world is centrally positioned within a series of concentric circles giving a layered appearance which delivers an almost metaphoric impression of the strata that the earth is made up of.  </w:t>
      </w:r>
    </w:p>
    <w:p>
      <w:pPr>
        <w:pStyle w:val="Heading 3"/>
        <w:widowControl w:val="0"/>
        <w:ind w:left="0" w:firstLine="0"/>
        <w:jc w:val="left"/>
        <w:rPr>
          <w:rFonts w:ascii="Trebuchet MS" w:cs="Trebuchet MS" w:hAnsi="Trebuchet MS" w:eastAsia="Trebuchet MS"/>
          <w:b w:val="0"/>
          <w:bCs w:val="0"/>
          <w:i w:val="0"/>
          <w:i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r>
        <w:rPr>
          <w:rFonts w:ascii="Trebuchet MS" w:hAnsi="Trebuchet MS"/>
          <w:b w:val="0"/>
          <w:bCs w:val="0"/>
          <w:i w:val="0"/>
          <w:iCs w:val="0"/>
          <w:sz w:val="24"/>
          <w:szCs w:val="24"/>
          <w:rtl w:val="0"/>
          <w:lang w:val="en-US"/>
        </w:rPr>
        <w:t>The image of God is placed outside of the smaller, inner circles of the fresco and in a much wider and deeper circle which proposes that God is outside all that is mortal and worldly. Despite this, as God</w:t>
      </w:r>
      <w:r>
        <w:rPr>
          <w:rFonts w:ascii="Trebuchet MS" w:hAnsi="Trebuchet MS" w:hint="default"/>
          <w:b w:val="0"/>
          <w:bCs w:val="0"/>
          <w:i w:val="0"/>
          <w:iCs w:val="0"/>
          <w:sz w:val="24"/>
          <w:szCs w:val="24"/>
          <w:rtl w:val="0"/>
          <w:lang w:val="en-US"/>
        </w:rPr>
        <w:t>’</w:t>
      </w:r>
      <w:r>
        <w:rPr>
          <w:rFonts w:ascii="Trebuchet MS" w:hAnsi="Trebuchet MS"/>
          <w:b w:val="0"/>
          <w:bCs w:val="0"/>
          <w:i w:val="0"/>
          <w:iCs w:val="0"/>
          <w:sz w:val="24"/>
          <w:szCs w:val="24"/>
          <w:rtl w:val="0"/>
          <w:lang w:val="en-US"/>
        </w:rPr>
        <w:t xml:space="preserve">s feet are not shown and the impression is that they are submerged within the circle containing the signs of the zodiac. This suggests that although God is outside of the mortal world He still retains an alliance to it, an almost ethereal connection.  He is shown being physically supported by a series of small angelic beings that look as if they are holding him up and is almost ironic in its concept as God is allegedly all powerful and has endless strength to support mankind. Still, here is God requiring the assistance of smaller, weaker beings to physically sustain Him. The cherubim and seraphim depicted appear to be almost carrying Him despite the fact that there is no indication that God should require that of them. The circle in which God is positioned is gold. It illuminates the whole fresco and mirrors the halos that surround not only God but also some if not all of the angels.  </w:t>
      </w:r>
    </w:p>
    <w:p>
      <w:pPr>
        <w:pStyle w:val="Heading 3"/>
        <w:widowControl w:val="0"/>
        <w:ind w:left="0" w:firstLine="0"/>
        <w:jc w:val="left"/>
        <w:rPr>
          <w:rFonts w:ascii="Trebuchet MS" w:cs="Trebuchet MS" w:hAnsi="Trebuchet MS" w:eastAsia="Trebuchet MS"/>
          <w:b w:val="0"/>
          <w:bCs w:val="0"/>
          <w:i w:val="0"/>
          <w:i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r>
        <w:rPr>
          <w:rFonts w:ascii="Trebuchet MS" w:hAnsi="Trebuchet MS"/>
          <w:b w:val="0"/>
          <w:bCs w:val="0"/>
          <w:i w:val="0"/>
          <w:iCs w:val="0"/>
          <w:sz w:val="24"/>
          <w:szCs w:val="24"/>
          <w:rtl w:val="0"/>
          <w:lang w:val="en-US"/>
        </w:rPr>
        <w:t xml:space="preserve">The figure of God is considerably larger than anything else portrayed within the fresco.  This is indicative of how God was considered to be The Almighty, an all powerful and superior being presiding over the world and all of its inhabitants.  The depiction of God as an individual is almost esoteric in the way it suggests He has the dynamism to not only create but to control the world, the entire universe and anything beyond that, a concept that is almost supernatural in origin.  In essence, God is shown to be eternally connected to the mortal world in a spiritual sense yet is not physically present within it. </w:t>
      </w:r>
    </w:p>
    <w:p>
      <w:pPr>
        <w:pStyle w:val="Heading 3"/>
        <w:widowControl w:val="0"/>
        <w:ind w:left="0" w:firstLine="0"/>
        <w:jc w:val="left"/>
        <w:rPr>
          <w:rFonts w:ascii="Trebuchet MS" w:cs="Trebuchet MS" w:hAnsi="Trebuchet MS" w:eastAsia="Trebuchet MS"/>
          <w:b w:val="0"/>
          <w:bCs w:val="0"/>
          <w:i w:val="0"/>
          <w:i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r>
        <w:rPr>
          <w:rFonts w:ascii="Trebuchet MS" w:hAnsi="Trebuchet MS"/>
          <w:b w:val="0"/>
          <w:bCs w:val="0"/>
          <w:i w:val="0"/>
          <w:iCs w:val="0"/>
          <w:sz w:val="24"/>
          <w:szCs w:val="24"/>
          <w:rtl w:val="0"/>
          <w:lang w:val="en-US"/>
        </w:rPr>
        <w:t>As the geography of the world was not wholly known at the time the fresco was painted it can be said that the depiction of the world is quite accurate for the time and although circular in shape it initially appears to have a two dimensional appearance.  On closer examination, a more three dimensional quality can be seen and almost like a t</w:t>
      </w:r>
      <w:r>
        <w:rPr>
          <w:rFonts w:ascii="Trebuchet MS" w:hAnsi="Trebuchet MS"/>
          <w:b w:val="0"/>
          <w:bCs w:val="0"/>
          <w:i w:val="1"/>
          <w:iCs w:val="1"/>
          <w:sz w:val="24"/>
          <w:szCs w:val="24"/>
          <w:rtl w:val="0"/>
          <w:lang w:val="en-US"/>
        </w:rPr>
        <w:t>rompe l</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 xml:space="preserve">oeil </w:t>
      </w:r>
      <w:r>
        <w:rPr>
          <w:rFonts w:ascii="Trebuchet MS" w:hAnsi="Trebuchet MS"/>
          <w:b w:val="0"/>
          <w:bCs w:val="0"/>
          <w:i w:val="0"/>
          <w:iCs w:val="0"/>
          <w:sz w:val="24"/>
          <w:szCs w:val="24"/>
          <w:rtl w:val="0"/>
          <w:lang w:val="en-US"/>
        </w:rPr>
        <w:t>it gives a sense of depth to the image of the concentric circles as if one is looking down a deep well with the world at the bottom.</w:t>
      </w:r>
      <w:r>
        <w:rPr>
          <w:rFonts w:ascii="Trebuchet MS" w:cs="Trebuchet MS" w:hAnsi="Trebuchet MS" w:eastAsia="Trebuchet MS"/>
          <w:b w:val="0"/>
          <w:bCs w:val="0"/>
          <w:i w:val="0"/>
          <w:iCs w:val="0"/>
          <w:sz w:val="24"/>
          <w:szCs w:val="24"/>
          <w:vertAlign w:val="superscript"/>
        </w:rPr>
        <w:footnoteReference w:id="6"/>
      </w:r>
      <w:r>
        <w:rPr>
          <w:rFonts w:ascii="Trebuchet MS" w:hAnsi="Trebuchet MS"/>
          <w:b w:val="0"/>
          <w:bCs w:val="0"/>
          <w:i w:val="0"/>
          <w:iCs w:val="0"/>
          <w:sz w:val="24"/>
          <w:szCs w:val="24"/>
          <w:rtl w:val="0"/>
          <w:lang w:val="en-US"/>
        </w:rPr>
        <w:t xml:space="preserve"> The geocentric model of the universe which is shown in the fresco is congruent to the Ptolomaic system which describes a universe where Earth is the central planet and the Sun, Moon, stars and all other planets orbit it.  This gives a very strong indication of the interest and knowledge of astronomy that was available in the 14th century which then develops into astrology. There is a very prominent circle, second only in size to that of the circle that God inhabits, containing very clear images of every sign of the zodiac.  All the zodiac signs are very distinctly depicted with the exception of Cancer which appears to be shown as some sort of crustacean similar in type to a lobster as opposed to an image of a crab.  In fact, there is very little difference in the design of Cancer to that of Scorpio apart from the fact that Scorpio has the typical tail of a scorpion.</w:t>
      </w:r>
    </w:p>
    <w:p>
      <w:pPr>
        <w:pStyle w:val="Heading 3"/>
        <w:widowControl w:val="0"/>
        <w:ind w:left="0" w:firstLine="0"/>
        <w:jc w:val="left"/>
        <w:rPr>
          <w:rFonts w:ascii="Trebuchet MS" w:cs="Trebuchet MS" w:hAnsi="Trebuchet MS" w:eastAsia="Trebuchet MS"/>
          <w:b w:val="0"/>
          <w:bCs w:val="0"/>
          <w:i w:val="0"/>
          <w:i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p>
    <w:p>
      <w:pPr>
        <w:pStyle w:val="Heading 3"/>
        <w:widowControl w:val="0"/>
        <w:ind w:left="0" w:firstLine="0"/>
        <w:jc w:val="left"/>
        <w:rPr>
          <w:rFonts w:ascii="Trebuchet MS" w:cs="Trebuchet MS" w:hAnsi="Trebuchet MS" w:eastAsia="Trebuchet MS"/>
          <w:b w:val="0"/>
          <w:bCs w:val="0"/>
          <w:i w:val="0"/>
          <w:iCs w:val="0"/>
          <w:sz w:val="24"/>
          <w:szCs w:val="24"/>
        </w:rPr>
      </w:pPr>
      <w:r>
        <w:rPr>
          <w:rFonts w:ascii="Trebuchet MS" w:hAnsi="Trebuchet MS"/>
          <w:b w:val="0"/>
          <w:bCs w:val="0"/>
          <w:i w:val="0"/>
          <w:iCs w:val="0"/>
          <w:sz w:val="24"/>
          <w:szCs w:val="24"/>
          <w:rtl w:val="0"/>
          <w:lang w:val="en-US"/>
        </w:rPr>
        <w:t>The painting of</w:t>
      </w:r>
      <w:r>
        <w:rPr>
          <w:rFonts w:ascii="Trebuchet MS" w:hAnsi="Trebuchet MS" w:hint="default"/>
          <w:b w:val="0"/>
          <w:bCs w:val="0"/>
          <w:i w:val="1"/>
          <w:iCs w:val="1"/>
          <w:sz w:val="24"/>
          <w:szCs w:val="24"/>
          <w:rtl w:val="0"/>
          <w:lang w:val="en-US"/>
        </w:rPr>
        <w:t xml:space="preserve"> ‘</w:t>
      </w:r>
      <w:r>
        <w:rPr>
          <w:rFonts w:ascii="Trebuchet MS" w:hAnsi="Trebuchet MS"/>
          <w:b w:val="0"/>
          <w:bCs w:val="0"/>
          <w:i w:val="1"/>
          <w:iCs w:val="1"/>
          <w:sz w:val="24"/>
          <w:szCs w:val="24"/>
          <w:rtl w:val="0"/>
          <w:lang w:val="en-US"/>
        </w:rPr>
        <w:t>St Jerome in His Study</w:t>
      </w:r>
      <w:r>
        <w:rPr>
          <w:rFonts w:ascii="Trebuchet MS" w:hAnsi="Trebuchet MS" w:hint="default"/>
          <w:b w:val="0"/>
          <w:bCs w:val="0"/>
          <w:i w:val="1"/>
          <w:iCs w:val="1"/>
          <w:sz w:val="24"/>
          <w:szCs w:val="24"/>
          <w:rtl w:val="0"/>
          <w:lang w:val="en-US"/>
        </w:rPr>
        <w:t xml:space="preserve">’ </w:t>
      </w:r>
      <w:r>
        <w:rPr>
          <w:rFonts w:ascii="Trebuchet MS" w:hAnsi="Trebuchet MS"/>
          <w:b w:val="0"/>
          <w:bCs w:val="0"/>
          <w:i w:val="0"/>
          <w:iCs w:val="0"/>
          <w:sz w:val="24"/>
          <w:szCs w:val="24"/>
          <w:rtl w:val="0"/>
          <w:lang w:val="en-US"/>
        </w:rPr>
        <w:t>by Jan van Eyck is an oil painting executed on linen paper on an oak panel.  It measures 20.6 x 13.3 cm unframed and was purchased by the City of Detroit for the Detroit Institute of Arts Museum where it is currently exhibited.  The Detroit Institute of Arts has dated this painting to having been produced around 1435, several years prior to the death of Van Eyck in 1441</w:t>
      </w:r>
      <w:r>
        <w:rPr>
          <w:rFonts w:ascii="Trebuchet MS" w:cs="Trebuchet MS" w:hAnsi="Trebuchet MS" w:eastAsia="Trebuchet MS"/>
          <w:b w:val="0"/>
          <w:bCs w:val="0"/>
          <w:i w:val="0"/>
          <w:iCs w:val="0"/>
          <w:sz w:val="24"/>
          <w:szCs w:val="24"/>
          <w:vertAlign w:val="superscript"/>
        </w:rPr>
        <w:footnoteReference w:id="7"/>
      </w:r>
      <w:r>
        <w:rPr>
          <w:rFonts w:ascii="Trebuchet MS" w:hAnsi="Trebuchet MS"/>
          <w:b w:val="0"/>
          <w:bCs w:val="0"/>
          <w:i w:val="0"/>
          <w:iCs w:val="0"/>
          <w:sz w:val="24"/>
          <w:szCs w:val="24"/>
          <w:rtl w:val="0"/>
          <w:lang w:val="en-US"/>
        </w:rPr>
        <w:t>.  There is academic argument that although the painting was started by Van Eyck during his lifetime it was not completed until 1442 which was a year after his death. In her book on the Flemish master Petrus Christus, who was known to paint very much in the style of Van Eyck, Maryan Wynn Ainsworth concludes that the painting was probably done by someone familiar with the workshop of Van Eyck and the techniques they used to create paintings and illuminations there.</w:t>
      </w:r>
      <w:r>
        <w:rPr>
          <w:rFonts w:ascii="Trebuchet MS" w:cs="Trebuchet MS" w:hAnsi="Trebuchet MS" w:eastAsia="Trebuchet MS"/>
          <w:b w:val="0"/>
          <w:bCs w:val="0"/>
          <w:i w:val="0"/>
          <w:iCs w:val="0"/>
          <w:sz w:val="24"/>
          <w:szCs w:val="24"/>
          <w:vertAlign w:val="superscript"/>
        </w:rPr>
        <w:footnoteReference w:id="8"/>
      </w:r>
      <w:r>
        <w:rPr>
          <w:rFonts w:ascii="Trebuchet MS" w:hAnsi="Trebuchet MS"/>
          <w:b w:val="0"/>
          <w:bCs w:val="0"/>
          <w:i w:val="0"/>
          <w:iCs w:val="0"/>
          <w:sz w:val="24"/>
          <w:szCs w:val="24"/>
          <w:rtl w:val="0"/>
          <w:lang w:val="en-US"/>
        </w:rPr>
        <w:t xml:space="preserve"> This opinion is in opposition to that of Albert Ch</w:t>
      </w:r>
      <w:r>
        <w:rPr>
          <w:rFonts w:ascii="Trebuchet MS" w:hAnsi="Trebuchet MS" w:hint="default"/>
          <w:b w:val="0"/>
          <w:bCs w:val="0"/>
          <w:i w:val="0"/>
          <w:iCs w:val="0"/>
          <w:sz w:val="24"/>
          <w:szCs w:val="24"/>
          <w:rtl w:val="0"/>
          <w:lang w:val="en-US"/>
        </w:rPr>
        <w:t>â</w:t>
      </w:r>
      <w:r>
        <w:rPr>
          <w:rFonts w:ascii="Trebuchet MS" w:hAnsi="Trebuchet MS"/>
          <w:b w:val="0"/>
          <w:bCs w:val="0"/>
          <w:i w:val="0"/>
          <w:iCs w:val="0"/>
          <w:sz w:val="24"/>
          <w:szCs w:val="24"/>
          <w:rtl w:val="0"/>
          <w:lang w:val="en-US"/>
        </w:rPr>
        <w:t>telet who attributed the painting to the illuminator Hand H. Although many of the manuscript illuminators of the time were also panel painters, there does not appear to be any obvious likeness to the painting of St Jerome in Detroit and the illuminations associated with Hand H which is what he suggests.</w:t>
      </w:r>
      <w:r>
        <w:rPr>
          <w:rFonts w:ascii="Trebuchet MS" w:cs="Trebuchet MS" w:hAnsi="Trebuchet MS" w:eastAsia="Trebuchet MS"/>
          <w:b w:val="0"/>
          <w:bCs w:val="0"/>
          <w:i w:val="0"/>
          <w:iCs w:val="0"/>
          <w:sz w:val="24"/>
          <w:szCs w:val="24"/>
          <w:vertAlign w:val="superscript"/>
        </w:rPr>
        <w:footnoteReference w:id="9"/>
      </w:r>
      <w:r>
        <w:rPr>
          <w:rFonts w:ascii="Trebuchet MS" w:hAnsi="Trebuchet MS"/>
          <w:b w:val="0"/>
          <w:bCs w:val="0"/>
          <w:i w:val="0"/>
          <w:iCs w:val="0"/>
          <w:sz w:val="24"/>
          <w:szCs w:val="24"/>
          <w:rtl w:val="0"/>
          <w:lang w:val="en-US"/>
        </w:rPr>
        <w:t xml:space="preserve">  Panofsky theorised that the painting had been created by Van Eyck himself but completed after his death by Petrus Christus  adding yet another angle to the question of attribution</w:t>
      </w:r>
      <w:r>
        <w:rPr>
          <w:rFonts w:ascii="Trebuchet MS" w:cs="Trebuchet MS" w:hAnsi="Trebuchet MS" w:eastAsia="Trebuchet MS"/>
          <w:b w:val="0"/>
          <w:bCs w:val="0"/>
          <w:i w:val="0"/>
          <w:iCs w:val="0"/>
          <w:sz w:val="24"/>
          <w:szCs w:val="24"/>
          <w:vertAlign w:val="superscript"/>
        </w:rPr>
        <w:footnoteReference w:id="10"/>
      </w:r>
      <w:r>
        <w:rPr>
          <w:rFonts w:ascii="Trebuchet MS" w:hAnsi="Trebuchet MS"/>
          <w:b w:val="0"/>
          <w:bCs w:val="0"/>
          <w:i w:val="0"/>
          <w:iCs w:val="0"/>
          <w:sz w:val="24"/>
          <w:szCs w:val="24"/>
          <w:rtl w:val="0"/>
          <w:lang w:val="en-US"/>
        </w:rPr>
        <w:t>.</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It is not only the attribution of this painting that academics cannot agree on but also the commission of the work.  A painting which bears a similar description to this is described in an inventory of the possessions of Lorenzo di de Medici compiled after his death in 1498.</w:t>
      </w:r>
      <w:r>
        <w:rPr>
          <w:rFonts w:ascii="Trebuchet MS" w:cs="Trebuchet MS" w:hAnsi="Trebuchet MS" w:eastAsia="Trebuchet MS"/>
          <w:b w:val="0"/>
          <w:bCs w:val="0"/>
          <w:sz w:val="24"/>
          <w:szCs w:val="24"/>
          <w:vertAlign w:val="superscript"/>
        </w:rPr>
        <w:footnoteReference w:id="11"/>
      </w:r>
      <w:r>
        <w:rPr>
          <w:rFonts w:ascii="Trebuchet MS" w:hAnsi="Trebuchet MS"/>
          <w:b w:val="0"/>
          <w:bCs w:val="0"/>
          <w:sz w:val="24"/>
          <w:szCs w:val="24"/>
          <w:rtl w:val="0"/>
          <w:lang w:val="en-US"/>
        </w:rPr>
        <w:t xml:space="preserve">  Panofsky proposed that Cardinal Niccol</w:t>
      </w:r>
      <w:r>
        <w:rPr>
          <w:rFonts w:ascii="Trebuchet MS" w:hAnsi="Trebuchet MS" w:hint="default"/>
          <w:b w:val="0"/>
          <w:bCs w:val="0"/>
          <w:sz w:val="24"/>
          <w:szCs w:val="24"/>
          <w:rtl w:val="0"/>
          <w:lang w:val="en-US"/>
        </w:rPr>
        <w:t xml:space="preserve">ò </w:t>
      </w:r>
      <w:r>
        <w:rPr>
          <w:rFonts w:ascii="Trebuchet MS" w:hAnsi="Trebuchet MS"/>
          <w:b w:val="0"/>
          <w:bCs w:val="0"/>
          <w:sz w:val="24"/>
          <w:szCs w:val="24"/>
          <w:rtl w:val="0"/>
          <w:lang w:val="en-US"/>
        </w:rPr>
        <w:t>Albergati commissioned the work owing to the face of St Jerome closely resembling a portrait of Cardinal Albergati.  Edwin Hall then takes Panofsky</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theory one step further and suggests that Philip the Good, Duke of Burgundy commissioned the painting as a gift for Albergati to acknowledge his work in achieving the Treaty of Arras.</w:t>
      </w:r>
      <w:r>
        <w:rPr>
          <w:rFonts w:ascii="Trebuchet MS" w:cs="Trebuchet MS" w:hAnsi="Trebuchet MS" w:eastAsia="Trebuchet MS"/>
          <w:b w:val="0"/>
          <w:bCs w:val="0"/>
          <w:sz w:val="24"/>
          <w:szCs w:val="24"/>
          <w:vertAlign w:val="superscript"/>
        </w:rPr>
        <w:footnoteReference w:id="12"/>
      </w:r>
      <w:r>
        <w:rPr>
          <w:rFonts w:ascii="Trebuchet MS" w:hAnsi="Trebuchet MS"/>
          <w:b w:val="0"/>
          <w:bCs w:val="0"/>
          <w:sz w:val="24"/>
          <w:szCs w:val="24"/>
          <w:rtl w:val="0"/>
          <w:lang w:val="en-US"/>
        </w:rPr>
        <w:t xml:space="preserve"> The questions that surround both the attribution and commissioning of this painting are speculative and despite the differing opinions of academics there is at this time no definitive proof that any of the  theories actually provide any conclusive answers and merely suggest possibilities. In this essay it could be considered irrelevant as to whether or not the painting was executed by Van Eyck or not and likewise the purpose of its creation in the first place.  In this paper the image of </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St Jerome in His Study</w:t>
      </w:r>
      <w:r>
        <w:rPr>
          <w:rFonts w:ascii="Trebuchet MS" w:hAnsi="Trebuchet MS" w:hint="default"/>
          <w:b w:val="0"/>
          <w:bCs w:val="0"/>
          <w:i w:val="1"/>
          <w:iCs w:val="1"/>
          <w:sz w:val="24"/>
          <w:szCs w:val="24"/>
          <w:rtl w:val="0"/>
          <w:lang w:val="en-US"/>
        </w:rPr>
        <w:t xml:space="preserve">’ </w:t>
      </w:r>
      <w:r>
        <w:rPr>
          <w:rFonts w:ascii="Trebuchet MS" w:hAnsi="Trebuchet MS"/>
          <w:b w:val="0"/>
          <w:bCs w:val="0"/>
          <w:sz w:val="24"/>
          <w:szCs w:val="24"/>
          <w:rtl w:val="0"/>
          <w:lang w:val="en-US"/>
        </w:rPr>
        <w:t xml:space="preserve">has been chosen for its symbolism which demonstrates the role of astrology in European medieval culture. It is perfectly in keeping with the period during which it was painted and the use of symbolism in art during the Renaissance is not uncommon. Van Eyck was particularly well known for his use of symbolism which is sometimes considered as </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disguised</w:t>
      </w:r>
      <w:r>
        <w:rPr>
          <w:rFonts w:ascii="Trebuchet MS" w:hAnsi="Trebuchet MS" w:hint="default"/>
          <w:b w:val="0"/>
          <w:bCs w:val="0"/>
          <w:sz w:val="24"/>
          <w:szCs w:val="24"/>
          <w:rtl w:val="0"/>
          <w:lang w:val="en-US"/>
        </w:rPr>
        <w:t xml:space="preserve">’ </w:t>
      </w:r>
      <w:r>
        <w:rPr>
          <w:rFonts w:ascii="Trebuchet MS" w:hAnsi="Trebuchet MS"/>
          <w:b w:val="0"/>
          <w:bCs w:val="0"/>
          <w:sz w:val="24"/>
          <w:szCs w:val="24"/>
          <w:rtl w:val="0"/>
          <w:lang w:val="en-US"/>
        </w:rPr>
        <w:t>symbolism. This is arguably a conscious decision by Van Eyck to create some sort of religious or spiritual epiphany for those observing the painting.  He accomplished this by configuring certain elements in a painting in such a way that when their relevance is determined, they seem to depict the meanings that they signify.</w:t>
      </w:r>
      <w:r>
        <w:rPr>
          <w:rFonts w:ascii="Trebuchet MS" w:cs="Trebuchet MS" w:hAnsi="Trebuchet MS" w:eastAsia="Trebuchet MS"/>
          <w:b w:val="0"/>
          <w:bCs w:val="0"/>
          <w:sz w:val="24"/>
          <w:szCs w:val="24"/>
          <w:vertAlign w:val="superscript"/>
        </w:rPr>
        <w:footnoteReference w:id="13"/>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 xml:space="preserve">The painting shows a tranquil scene of a solitary male figure in his study.  The study is small - almost claustrophobic and is possibly meant to reflect the dimensions of a monastic cell as St Jerome was known to be a monk.  What makes this room unlike a monastic cell is the sheer volume of material objects contained within such a small space.  It would not be expected that a monk would possess such a large amount of personal belongings even if they were educational.  Many books are shown in disarray upon the shelves and table, indicating that the person whose room this is has attained a higher level of education than would be usual for the time. </w:t>
      </w: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The light coming through the small window at the top right hand corner of the painting appears to subtly shine down illuminating both the male figure and his reading material as does the light that appears to originate in the foreground of the picture.  The reflection and refraction of light upon the carafe of water on the shelf only serves to enhance the luminescence of the scene.</w:t>
      </w:r>
      <w:r>
        <w:rPr>
          <w:rFonts w:ascii="Trebuchet MS" w:cs="Trebuchet MS" w:hAnsi="Trebuchet MS" w:eastAsia="Trebuchet MS"/>
          <w:b w:val="0"/>
          <w:bCs w:val="0"/>
          <w:sz w:val="24"/>
          <w:szCs w:val="24"/>
          <w:vertAlign w:val="superscript"/>
        </w:rPr>
        <w:footnoteReference w:id="14"/>
      </w:r>
      <w:r>
        <w:rPr>
          <w:rFonts w:ascii="Trebuchet MS" w:hAnsi="Trebuchet MS"/>
          <w:b w:val="0"/>
          <w:bCs w:val="0"/>
          <w:sz w:val="24"/>
          <w:szCs w:val="24"/>
          <w:rtl w:val="0"/>
          <w:lang w:val="en-US"/>
        </w:rPr>
        <w:t xml:space="preserve">  Such a sublime use of light is indicative of the Northern Renaissance artists, particularly those of the Dutch school, and so it is not surprising to see the utilisation of light in this way.</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The male figure of St Jerome is shown dressed in the red robes and hat of a cardinal which again leads to the supposition that the man in question may have been based upon Cardinal Abergati who at the time was not only a cardinal but served as papal legate and president of the Congress of Arras in 1435.</w:t>
      </w:r>
      <w:r>
        <w:rPr>
          <w:rFonts w:ascii="Trebuchet MS" w:cs="Trebuchet MS" w:hAnsi="Trebuchet MS" w:eastAsia="Trebuchet MS"/>
          <w:b w:val="0"/>
          <w:bCs w:val="0"/>
          <w:sz w:val="24"/>
          <w:szCs w:val="24"/>
          <w:vertAlign w:val="superscript"/>
        </w:rPr>
        <w:footnoteReference w:id="15"/>
      </w:r>
      <w:r>
        <w:rPr>
          <w:rFonts w:ascii="Trebuchet MS" w:hAnsi="Trebuchet MS"/>
          <w:b w:val="0"/>
          <w:bCs w:val="0"/>
          <w:sz w:val="24"/>
          <w:szCs w:val="24"/>
          <w:rtl w:val="0"/>
          <w:lang w:val="en-US"/>
        </w:rPr>
        <w:t xml:space="preserve"> A further indication of this is the letter on the table that although addressed to St Jerome, includes the Latin word for cardinal. There is a sense of gravitas surrounding this man yet taking into account the objects that surround him it hints at him being an almost mystical figure.</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The study itself is cluttered and not particularly tidy.  It is here that evidence of the role astrology played in European medieval society can be seen.  An astrolabe which was an astronomical calculating device that could be used to map the stars as well as tell the time, is prominently positioned just off centre yet level with the head of St Jerome.</w:t>
      </w:r>
      <w:r>
        <w:rPr>
          <w:rFonts w:ascii="Trebuchet MS" w:cs="Trebuchet MS" w:hAnsi="Trebuchet MS" w:eastAsia="Trebuchet MS"/>
          <w:b w:val="0"/>
          <w:bCs w:val="0"/>
          <w:sz w:val="24"/>
          <w:szCs w:val="24"/>
          <w:vertAlign w:val="superscript"/>
        </w:rPr>
        <w:footnoteReference w:id="16"/>
      </w:r>
      <w:r>
        <w:rPr>
          <w:rFonts w:ascii="Trebuchet MS" w:hAnsi="Trebuchet MS"/>
          <w:b w:val="0"/>
          <w:bCs w:val="0"/>
          <w:sz w:val="24"/>
          <w:szCs w:val="24"/>
          <w:rtl w:val="0"/>
          <w:lang w:val="en-US"/>
        </w:rPr>
        <w:t xml:space="preserve"> The astrolabe is of a considerable size,  possibly signifying the important role it played in the practice of astrology as well as astronomy.  An hourglass for measuring time can also be seen on the right side of the table.  Once more, this is in a prominent position and of significant size.  It is situated at the front of the table with no other object in front of it.  In front of the writing slope that St Jerome has his book resting on are what could be described as various mathematical instruments along with an inkwell, pen and ruler.  All tools that could  be utilised during the practice of astrology in medieval times. </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i w:val="1"/>
          <w:iCs w:val="1"/>
          <w:sz w:val="24"/>
          <w:szCs w:val="24"/>
        </w:rPr>
      </w:pPr>
      <w:r>
        <w:rPr>
          <w:rFonts w:ascii="Trebuchet MS" w:hAnsi="Trebuchet MS"/>
          <w:b w:val="0"/>
          <w:bCs w:val="0"/>
          <w:sz w:val="24"/>
          <w:szCs w:val="24"/>
          <w:rtl w:val="0"/>
          <w:lang w:val="en-US"/>
        </w:rPr>
        <w:t>The symbolism in this painting is such that there are several articles that may also indicate a reference towards astrology being a recognised practice in the culture of medieval Europe.  The three elements of fire, water, and earth are suggested in the image.  Water is shown in the bottle on the shelf below the astrolabe and to the left of it, the motif carved on the lower part of the table just above the lion</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 xml:space="preserve">s head could be representative of the sun and fire as could the lion himself symbolising the fire sign of Leo. In his painting </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The Annunciation</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 xml:space="preserve">, </w:t>
      </w:r>
      <w:r>
        <w:rPr>
          <w:rFonts w:ascii="Trebuchet MS" w:hAnsi="Trebuchet MS"/>
          <w:b w:val="0"/>
          <w:bCs w:val="0"/>
          <w:sz w:val="24"/>
          <w:szCs w:val="24"/>
          <w:rtl w:val="0"/>
          <w:lang w:val="en-US"/>
        </w:rPr>
        <w:t xml:space="preserve">Van Eyck has employed obvious astrological symbolism with clearly depicted zodiac signs shown on the floor.  So, it is not impossible that the image of the lion may have an astrological symbolism.  Legend also connects the lion to St Jerome as it is said that he was known to have removed a thorn from the paw of a lion who then remained loyal to him it is likely that its depiction in this particular painting is for that reason.  Van Eyck has also placed an image of a lion on his painting the </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Arnolifini Marriage Portrait</w:t>
      </w:r>
      <w:r>
        <w:rPr>
          <w:rFonts w:ascii="Trebuchet MS" w:hAnsi="Trebuchet MS" w:hint="default"/>
          <w:b w:val="0"/>
          <w:bCs w:val="0"/>
          <w:i w:val="1"/>
          <w:iCs w:val="1"/>
          <w:sz w:val="24"/>
          <w:szCs w:val="24"/>
          <w:rtl w:val="0"/>
          <w:lang w:val="en-US"/>
        </w:rPr>
        <w:t xml:space="preserve">’ </w:t>
      </w:r>
      <w:r>
        <w:rPr>
          <w:rFonts w:ascii="Trebuchet MS" w:hAnsi="Trebuchet MS"/>
          <w:b w:val="0"/>
          <w:bCs w:val="0"/>
          <w:sz w:val="24"/>
          <w:szCs w:val="24"/>
          <w:rtl w:val="0"/>
          <w:lang w:val="en-US"/>
        </w:rPr>
        <w:t>which may well suggest that there is yet another meaning behind the lion</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presence apart from the obvious link to St Jerome</w:t>
      </w:r>
      <w:r>
        <w:rPr>
          <w:rFonts w:ascii="Trebuchet MS" w:hAnsi="Trebuchet MS"/>
          <w:b w:val="0"/>
          <w:bCs w:val="0"/>
          <w:i w:val="1"/>
          <w:iCs w:val="1"/>
          <w:sz w:val="24"/>
          <w:szCs w:val="24"/>
          <w:rtl w:val="0"/>
          <w:lang w:val="en-US"/>
        </w:rPr>
        <w:t>.</w:t>
      </w:r>
      <w:r>
        <w:rPr>
          <w:rFonts w:ascii="Trebuchet MS" w:cs="Trebuchet MS" w:hAnsi="Trebuchet MS" w:eastAsia="Trebuchet MS"/>
          <w:b w:val="0"/>
          <w:bCs w:val="0"/>
          <w:i w:val="1"/>
          <w:iCs w:val="1"/>
          <w:sz w:val="24"/>
          <w:szCs w:val="24"/>
          <w:vertAlign w:val="superscript"/>
        </w:rPr>
        <w:footnoteReference w:id="17"/>
      </w:r>
      <w:r>
        <w:rPr>
          <w:rFonts w:ascii="Trebuchet MS" w:hAnsi="Trebuchet MS"/>
          <w:b w:val="0"/>
          <w:bCs w:val="0"/>
          <w:i w:val="1"/>
          <w:iCs w:val="1"/>
          <w:sz w:val="24"/>
          <w:szCs w:val="24"/>
          <w:rtl w:val="0"/>
          <w:lang w:val="en-US"/>
        </w:rPr>
        <w:t xml:space="preserve"> </w:t>
      </w:r>
      <w:r>
        <w:rPr>
          <w:rFonts w:ascii="Trebuchet MS" w:hAnsi="Trebuchet MS"/>
          <w:b w:val="0"/>
          <w:bCs w:val="0"/>
          <w:sz w:val="24"/>
          <w:szCs w:val="24"/>
          <w:rtl w:val="0"/>
          <w:lang w:val="en-US"/>
        </w:rPr>
        <w:t>The brass pounce pot on the desk used to store finely ground pumice or more usually cuttlefish bone and the small pile of the ground substance near the inkwell and pen could be symbolic of the earth.  It is questionable as to whether the fourth element air is symbolised in the painting.  The astrolabe so prominently positioned, indicating the sky and the planets could be seen as being symbolic of the air of the atmosphere but along with the possible symbolism of the other three elements this is purely a matter of personal conjecture and no academic proof of this has been found.  When discussing Van Eyck</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 xml:space="preserve">s disguised symbolism in the </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Arnolfini Marriage Portrait</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 Panofsky stated that it</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impresses the beholder with a kind of mystery and makes him inclined to suspect a hidden significance in all and every object.</w:t>
      </w:r>
      <w:r>
        <w:rPr>
          <w:rFonts w:ascii="Trebuchet MS" w:hAnsi="Trebuchet MS" w:hint="default"/>
          <w:b w:val="0"/>
          <w:bCs w:val="0"/>
          <w:sz w:val="24"/>
          <w:szCs w:val="24"/>
          <w:rtl w:val="0"/>
          <w:lang w:val="en-US"/>
        </w:rPr>
        <w:t>”</w:t>
      </w:r>
      <w:r>
        <w:rPr>
          <w:rFonts w:ascii="Trebuchet MS" w:cs="Trebuchet MS" w:hAnsi="Trebuchet MS" w:eastAsia="Trebuchet MS"/>
          <w:b w:val="0"/>
          <w:bCs w:val="0"/>
          <w:sz w:val="24"/>
          <w:szCs w:val="24"/>
          <w:vertAlign w:val="superscript"/>
        </w:rPr>
        <w:footnoteReference w:id="18"/>
      </w:r>
      <w:r>
        <w:rPr>
          <w:rFonts w:ascii="Trebuchet MS" w:hAnsi="Trebuchet MS"/>
          <w:b w:val="0"/>
          <w:bCs w:val="0"/>
          <w:sz w:val="24"/>
          <w:szCs w:val="24"/>
          <w:rtl w:val="0"/>
          <w:lang w:val="en-US"/>
        </w:rPr>
        <w:t xml:space="preserve">  This statement is also relevant when considering the symbolism in </w:t>
      </w:r>
      <w:r>
        <w:rPr>
          <w:rFonts w:ascii="Trebuchet MS" w:hAnsi="Trebuchet MS" w:hint="default"/>
          <w:b w:val="0"/>
          <w:bCs w:val="0"/>
          <w:i w:val="1"/>
          <w:iCs w:val="1"/>
          <w:sz w:val="24"/>
          <w:szCs w:val="24"/>
          <w:rtl w:val="0"/>
          <w:lang w:val="en-US"/>
        </w:rPr>
        <w:t>‘</w:t>
      </w:r>
      <w:r>
        <w:rPr>
          <w:rFonts w:ascii="Trebuchet MS" w:hAnsi="Trebuchet MS"/>
          <w:b w:val="0"/>
          <w:bCs w:val="0"/>
          <w:i w:val="1"/>
          <w:iCs w:val="1"/>
          <w:sz w:val="24"/>
          <w:szCs w:val="24"/>
          <w:rtl w:val="0"/>
          <w:lang w:val="en-US"/>
        </w:rPr>
        <w:t>St Jerome in His Study.</w:t>
      </w:r>
      <w:r>
        <w:rPr>
          <w:rFonts w:ascii="Trebuchet MS" w:hAnsi="Trebuchet MS" w:hint="default"/>
          <w:b w:val="0"/>
          <w:bCs w:val="0"/>
          <w:i w:val="1"/>
          <w:iCs w:val="1"/>
          <w:sz w:val="24"/>
          <w:szCs w:val="24"/>
          <w:rtl w:val="0"/>
          <w:lang w:val="en-US"/>
        </w:rPr>
        <w:t>’</w:t>
      </w:r>
    </w:p>
    <w:p>
      <w:pPr>
        <w:pStyle w:val="Heading 3"/>
        <w:widowControl w:val="0"/>
        <w:ind w:left="0" w:firstLine="0"/>
        <w:jc w:val="left"/>
        <w:rPr>
          <w:rFonts w:ascii="Trebuchet MS" w:cs="Trebuchet MS" w:hAnsi="Trebuchet MS" w:eastAsia="Trebuchet MS"/>
          <w:b w:val="0"/>
          <w:bCs w:val="0"/>
          <w:i w:val="1"/>
          <w:iCs w:val="1"/>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Comparing and contrasting both the painting attributed to Van Eyck and the fresco executed by De</w:t>
      </w:r>
      <w:r>
        <w:rPr>
          <w:rFonts w:ascii="Trebuchet MS" w:hAnsi="Trebuchet MS" w:hint="default"/>
          <w:b w:val="0"/>
          <w:bCs w:val="0"/>
          <w:sz w:val="24"/>
          <w:szCs w:val="24"/>
          <w:rtl w:val="0"/>
          <w:lang w:val="en-US"/>
        </w:rPr>
        <w:t xml:space="preserve">’ </w:t>
      </w:r>
      <w:r>
        <w:rPr>
          <w:rFonts w:ascii="Trebuchet MS" w:hAnsi="Trebuchet MS"/>
          <w:b w:val="0"/>
          <w:bCs w:val="0"/>
          <w:sz w:val="24"/>
          <w:szCs w:val="24"/>
          <w:rtl w:val="0"/>
          <w:lang w:val="en-US"/>
        </w:rPr>
        <w:t>Menabuoi it is possible to see some similarities such as how both central figures - St Jerome and God are both shown dressed in flowing robes in strong primary colours.  St Jerome</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clothing being a very vivid and solid red with no secondary tones or colours whereas the robes worn by God are in a less strong shade of blue but with other red items of clothing being worn beneath the toga like blue robe.  The fact that the hues of God</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clothing despite being strong primary colours appear far less vivid than the red cardinal</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robes of St Jerome is possibly due to the different mediums used to create the respective works with Van Eyck using oil based paint and De</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Menabuoi probably using egg tempera as oil based paint had yet to be developed.</w:t>
      </w: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In De</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Menabuoi</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fresco the astrological symbolism is overt.  All twelve signs of the zodiac are clearly illustrated and positioned in the order in which they appear in the calendar.  As the zodiac signs are placed within a circle of dark blue there is a strong symbolic suggestion of astral constellations in the night sky.  There can be no doubt what the images symbolise and on looking further into the inner circle where the world is depicted shapes suggestive of stars or planets can be seen.  The astrological symbolism used by Van Eyck can be deduced to be far more subtle in origin with the only really overt symbol being that of the prominently situated astrolabe which was fundamental to the practice of astrology in medieval society.  Any other symbolism is far more subtle and possibly disguised in order to make any viewer of his work contemplate each and every aspect of the painting in an effort to discover the hidden meanings of the disguised symbolism within the image.  This is could almost be seen to be a cerebral challenge to the limited perception of the human brain.</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i w:val="1"/>
          <w:iCs w:val="1"/>
          <w:sz w:val="24"/>
          <w:szCs w:val="24"/>
        </w:rPr>
      </w:pPr>
      <w:r>
        <w:rPr>
          <w:rFonts w:ascii="Trebuchet MS" w:hAnsi="Trebuchet MS"/>
          <w:b w:val="0"/>
          <w:bCs w:val="0"/>
          <w:sz w:val="24"/>
          <w:szCs w:val="24"/>
          <w:rtl w:val="0"/>
          <w:lang w:val="en-US"/>
        </w:rPr>
        <w:t>In conclusion, it is known that in medieval European society astrology was robustly discussed by academics, intellectuals and theologians alike.</w:t>
      </w:r>
      <w:r>
        <w:rPr>
          <w:rFonts w:ascii="Trebuchet MS" w:cs="Trebuchet MS" w:hAnsi="Trebuchet MS" w:eastAsia="Trebuchet MS"/>
          <w:b w:val="0"/>
          <w:bCs w:val="0"/>
          <w:sz w:val="24"/>
          <w:szCs w:val="24"/>
          <w:vertAlign w:val="superscript"/>
        </w:rPr>
        <w:footnoteReference w:id="19"/>
      </w:r>
      <w:r>
        <w:rPr>
          <w:rFonts w:ascii="Trebuchet MS" w:hAnsi="Trebuchet MS"/>
          <w:b w:val="0"/>
          <w:bCs w:val="0"/>
          <w:sz w:val="24"/>
          <w:szCs w:val="24"/>
          <w:rtl w:val="0"/>
          <w:lang w:val="en-US"/>
        </w:rPr>
        <w:t xml:space="preserve"> Though it played an important role in society, it did not easily assimilate into western Europe where the Catholic church with its complex hierarchy was the most prominent religion.</w:t>
      </w:r>
      <w:r>
        <w:rPr>
          <w:rFonts w:ascii="Trebuchet MS" w:cs="Trebuchet MS" w:hAnsi="Trebuchet MS" w:eastAsia="Trebuchet MS"/>
          <w:b w:val="0"/>
          <w:bCs w:val="0"/>
          <w:sz w:val="24"/>
          <w:szCs w:val="24"/>
          <w:vertAlign w:val="superscript"/>
        </w:rPr>
        <w:footnoteReference w:id="20"/>
      </w:r>
      <w:r>
        <w:rPr>
          <w:rFonts w:ascii="Trebuchet MS" w:hAnsi="Trebuchet MS"/>
          <w:b w:val="0"/>
          <w:bCs w:val="0"/>
          <w:sz w:val="24"/>
          <w:szCs w:val="24"/>
          <w:rtl w:val="0"/>
          <w:lang w:val="en-US"/>
        </w:rPr>
        <w:t xml:space="preserve"> The Catechism of the Catholic church held that divination, including predictive astrology, was incompatible with the Catholic faith and challenged the integrity of astrological forecasts. The two works of art examined in this paper can be seen to be the antithesis of this with one depicting God and the zodiac and the other St Jerome, a man of religious stature surrounded by astrological symbolism.  Despite this, astrologers were popular and much sought after particularly by the upper echelons of society including members of the royal houses of medieval Europe.  This provided astrology with an air of respectability and gravitas contrary to what the Catholic church advocated.  As Carey observed, astrology was an intrinsic element of the medieval and Renaissance perspective and it would not be possible to comprehend medieval culture in Europe or elsewhere without taking it into consideration.</w:t>
      </w:r>
      <w:r>
        <w:rPr>
          <w:rFonts w:ascii="Trebuchet MS" w:cs="Trebuchet MS" w:hAnsi="Trebuchet MS" w:eastAsia="Trebuchet MS"/>
          <w:b w:val="0"/>
          <w:bCs w:val="0"/>
          <w:sz w:val="24"/>
          <w:szCs w:val="24"/>
          <w:vertAlign w:val="superscript"/>
        </w:rPr>
        <w:footnoteReference w:id="21"/>
      </w: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sz w:val="24"/>
          <w:szCs w:val="24"/>
          <w:u w:val="single"/>
        </w:rPr>
      </w:pPr>
      <w:r>
        <w:rPr>
          <w:rFonts w:ascii="Trebuchet MS" w:hAnsi="Trebuchet MS"/>
          <w:sz w:val="24"/>
          <w:szCs w:val="24"/>
          <w:u w:val="single"/>
          <w:rtl w:val="0"/>
          <w:lang w:val="en-US"/>
        </w:rPr>
        <w:t>Bibliography</w:t>
      </w:r>
    </w:p>
    <w:p>
      <w:pPr>
        <w:pStyle w:val="Heading 3"/>
        <w:widowControl w:val="0"/>
        <w:ind w:left="0" w:firstLine="0"/>
        <w:jc w:val="left"/>
        <w:rPr>
          <w:rFonts w:ascii="Trebuchet MS" w:cs="Trebuchet MS" w:hAnsi="Trebuchet MS" w:eastAsia="Trebuchet MS"/>
          <w:sz w:val="24"/>
          <w:szCs w:val="24"/>
          <w:u w:val="single"/>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Astrology in the Middle Ages - Hilary M Carey</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Henry VII</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Book of Astrology and the Tudor Renaissance - Hilary M Carey</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Jan Van Eyck</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Arnolfini Portrait</w:t>
      </w:r>
      <w:r>
        <w:rPr>
          <w:rFonts w:ascii="Trebuchet MS" w:hAnsi="Trebuchet MS" w:hint="default"/>
          <w:b w:val="0"/>
          <w:bCs w:val="0"/>
          <w:sz w:val="24"/>
          <w:szCs w:val="24"/>
          <w:rtl w:val="0"/>
          <w:lang w:val="en-US"/>
        </w:rPr>
        <w:t xml:space="preserve">’ </w:t>
      </w:r>
      <w:r>
        <w:rPr>
          <w:rFonts w:ascii="Trebuchet MS" w:hAnsi="Trebuchet MS"/>
          <w:b w:val="0"/>
          <w:bCs w:val="0"/>
          <w:sz w:val="24"/>
          <w:szCs w:val="24"/>
          <w:rtl w:val="0"/>
          <w:lang w:val="en-US"/>
        </w:rPr>
        <w:t>- Erwin Panofsky</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Disguised Symbolism as Enactive Symbolism in Van Eyck</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Paintings - John L Ward</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The Congress of Arras, 1435 - Joycelyne G Dickinson</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Van Eyck</w:t>
      </w:r>
      <w:r>
        <w:rPr>
          <w:rFonts w:ascii="Trebuchet MS" w:hAnsi="Trebuchet MS" w:hint="default"/>
          <w:b w:val="0"/>
          <w:bCs w:val="0"/>
          <w:sz w:val="24"/>
          <w:szCs w:val="24"/>
          <w:rtl w:val="0"/>
          <w:lang w:val="en-US"/>
        </w:rPr>
        <w:t>’</w:t>
      </w:r>
      <w:r>
        <w:rPr>
          <w:rFonts w:ascii="Trebuchet MS" w:hAnsi="Trebuchet MS"/>
          <w:b w:val="0"/>
          <w:bCs w:val="0"/>
          <w:sz w:val="24"/>
          <w:szCs w:val="24"/>
          <w:rtl w:val="0"/>
          <w:lang w:val="en-US"/>
        </w:rPr>
        <w:t>s Illuminated Carafe - Brian Madigan</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Cardinal Albergati, St Jerome and the Detroit Van Eyck - Edwin Hall</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rPr>
          <w:rFonts w:ascii="Trebuchet MS" w:cs="Trebuchet MS" w:hAnsi="Trebuchet MS" w:eastAsia="Trebuchet MS"/>
          <w:b w:val="0"/>
          <w:bCs w:val="0"/>
          <w:sz w:val="24"/>
          <w:szCs w:val="24"/>
        </w:rPr>
      </w:pPr>
      <w:r>
        <w:rPr>
          <w:rFonts w:ascii="Trebuchet MS" w:hAnsi="Trebuchet MS"/>
          <w:b w:val="0"/>
          <w:bCs w:val="0"/>
          <w:sz w:val="24"/>
          <w:szCs w:val="24"/>
          <w:rtl w:val="0"/>
          <w:lang w:val="en-US"/>
        </w:rPr>
        <w:t>Lorenzo De Medici at Home: The Inventory of the Palazzo Medici in 1492 - Richard Stapleford</w:t>
      </w:r>
    </w:p>
    <w:p>
      <w:pPr>
        <w:pStyle w:val="Heading 3"/>
        <w:widowControl w:val="0"/>
        <w:ind w:left="0" w:firstLine="0"/>
        <w:jc w:val="left"/>
        <w:rPr>
          <w:rFonts w:ascii="Trebuchet MS" w:cs="Trebuchet MS" w:hAnsi="Trebuchet MS" w:eastAsia="Trebuchet MS"/>
          <w:b w:val="0"/>
          <w:bCs w:val="0"/>
          <w:sz w:val="24"/>
          <w:szCs w:val="24"/>
        </w:rPr>
      </w:pPr>
    </w:p>
    <w:p>
      <w:pPr>
        <w:pStyle w:val="Default"/>
        <w:bidi w:val="0"/>
        <w:ind w:left="0" w:right="0" w:firstLine="0"/>
        <w:jc w:val="left"/>
        <w:rPr>
          <w:rFonts w:ascii="Trebuchet MS" w:cs="Trebuchet MS" w:hAnsi="Trebuchet MS" w:eastAsia="Trebuchet MS"/>
          <w:color w:val="535353"/>
          <w:sz w:val="24"/>
          <w:szCs w:val="24"/>
          <w:rtl w:val="0"/>
        </w:rPr>
      </w:pPr>
      <w:r>
        <w:rPr>
          <w:rFonts w:ascii="Trebuchet MS" w:hAnsi="Trebuchet MS"/>
          <w:color w:val="535353"/>
          <w:sz w:val="24"/>
          <w:szCs w:val="24"/>
          <w:rtl w:val="0"/>
          <w:lang w:val="en-US"/>
        </w:rPr>
        <w:t>A Letter to St. Jerome; A Note on the Relationship between Petrus Christus and Jan van Eyck</w:t>
      </w:r>
      <w:r>
        <w:rPr>
          <w:rFonts w:ascii="Trebuchet MS" w:hAnsi="Trebuchet MS"/>
          <w:color w:val="535353"/>
          <w:sz w:val="24"/>
          <w:szCs w:val="24"/>
          <w:rtl w:val="0"/>
          <w:lang w:val="en-US"/>
        </w:rPr>
        <w:t xml:space="preserve"> - Erwin Panofsky</w:t>
      </w:r>
      <w:r>
        <w:rPr>
          <w:rFonts w:ascii="Trebuchet MS" w:hAnsi="Trebuchet MS"/>
          <w:color w:val="535353"/>
          <w:sz w:val="24"/>
          <w:szCs w:val="24"/>
          <w:rtl w:val="0"/>
        </w:rPr>
        <w:t xml:space="preserve"> </w:t>
      </w:r>
    </w:p>
    <w:p>
      <w:pPr>
        <w:pStyle w:val="Default"/>
        <w:bidi w:val="0"/>
        <w:ind w:left="0" w:right="0" w:firstLine="0"/>
        <w:jc w:val="left"/>
        <w:rPr>
          <w:rFonts w:ascii="Trebuchet MS" w:cs="Trebuchet MS" w:hAnsi="Trebuchet MS" w:eastAsia="Trebuchet MS"/>
          <w:color w:val="535353"/>
          <w:sz w:val="24"/>
          <w:szCs w:val="24"/>
          <w:rtl w:val="0"/>
        </w:rPr>
      </w:pPr>
    </w:p>
    <w:p>
      <w:pPr>
        <w:pStyle w:val="Default"/>
        <w:bidi w:val="0"/>
        <w:ind w:left="0" w:right="0" w:firstLine="0"/>
        <w:jc w:val="left"/>
        <w:rPr>
          <w:rFonts w:ascii="Trebuchet MS" w:cs="Trebuchet MS" w:hAnsi="Trebuchet MS" w:eastAsia="Trebuchet MS"/>
          <w:color w:val="535353"/>
          <w:sz w:val="24"/>
          <w:szCs w:val="24"/>
          <w:rtl w:val="0"/>
        </w:rPr>
      </w:pPr>
      <w:r>
        <w:rPr>
          <w:rFonts w:ascii="Trebuchet MS" w:hAnsi="Trebuchet MS"/>
          <w:color w:val="535353"/>
          <w:sz w:val="24"/>
          <w:szCs w:val="24"/>
          <w:rtl w:val="0"/>
          <w:lang w:val="fr-FR"/>
        </w:rPr>
        <w:t xml:space="preserve">Les </w:t>
      </w:r>
      <w:r>
        <w:rPr>
          <w:rFonts w:ascii="Trebuchet MS" w:hAnsi="Trebuchet MS"/>
          <w:color w:val="6a6a6a"/>
          <w:sz w:val="24"/>
          <w:szCs w:val="24"/>
          <w:rtl w:val="0"/>
        </w:rPr>
        <w:t>Enluminures eyckiennes</w:t>
      </w:r>
      <w:r>
        <w:rPr>
          <w:rFonts w:ascii="Trebuchet MS" w:hAnsi="Trebuchet MS"/>
          <w:color w:val="535353"/>
          <w:sz w:val="24"/>
          <w:szCs w:val="24"/>
          <w:rtl w:val="0"/>
          <w:lang w:val="fr-FR"/>
        </w:rPr>
        <w:t xml:space="preserve"> des manuscrits de Turin et de Milan- Turin</w:t>
      </w:r>
      <w:r>
        <w:rPr>
          <w:rFonts w:ascii="Trebuchet MS" w:hAnsi="Trebuchet MS"/>
          <w:color w:val="535353"/>
          <w:sz w:val="24"/>
          <w:szCs w:val="24"/>
          <w:rtl w:val="0"/>
          <w:lang w:val="en-US"/>
        </w:rPr>
        <w:t xml:space="preserve"> - Albert Ch</w:t>
      </w:r>
      <w:r>
        <w:rPr>
          <w:rFonts w:ascii="Trebuchet MS" w:hAnsi="Trebuchet MS" w:hint="default"/>
          <w:color w:val="535353"/>
          <w:sz w:val="24"/>
          <w:szCs w:val="24"/>
          <w:rtl w:val="0"/>
          <w:lang w:val="en-US"/>
        </w:rPr>
        <w:t>â</w:t>
      </w:r>
      <w:r>
        <w:rPr>
          <w:rFonts w:ascii="Trebuchet MS" w:hAnsi="Trebuchet MS"/>
          <w:color w:val="535353"/>
          <w:sz w:val="24"/>
          <w:szCs w:val="24"/>
          <w:rtl w:val="0"/>
          <w:lang w:val="en-US"/>
        </w:rPr>
        <w:t>telet</w:t>
      </w:r>
    </w:p>
    <w:p>
      <w:pPr>
        <w:pStyle w:val="Default"/>
        <w:bidi w:val="0"/>
        <w:ind w:left="0" w:right="0" w:firstLine="0"/>
        <w:jc w:val="left"/>
        <w:rPr>
          <w:rFonts w:ascii="Trebuchet MS" w:cs="Trebuchet MS" w:hAnsi="Trebuchet MS" w:eastAsia="Trebuchet MS"/>
          <w:color w:val="535353"/>
          <w:sz w:val="24"/>
          <w:szCs w:val="24"/>
          <w:rtl w:val="0"/>
        </w:rPr>
      </w:pPr>
    </w:p>
    <w:p>
      <w:pPr>
        <w:pStyle w:val="Default"/>
        <w:bidi w:val="0"/>
        <w:ind w:left="0" w:right="0" w:firstLine="0"/>
        <w:jc w:val="left"/>
        <w:rPr>
          <w:rFonts w:ascii="Trebuchet MS" w:cs="Trebuchet MS" w:hAnsi="Trebuchet MS" w:eastAsia="Trebuchet MS"/>
          <w:color w:val="535353"/>
          <w:sz w:val="24"/>
          <w:szCs w:val="24"/>
          <w:rtl w:val="0"/>
        </w:rPr>
      </w:pPr>
      <w:r>
        <w:rPr>
          <w:rFonts w:ascii="Trebuchet MS" w:hAnsi="Trebuchet MS"/>
          <w:color w:val="535353"/>
          <w:sz w:val="24"/>
          <w:szCs w:val="24"/>
          <w:rtl w:val="0"/>
          <w:lang w:val="en-US"/>
        </w:rPr>
        <w:t>Petrus Christus: Renaissance Master of Bruges - Maryann Wyn Ainsworth, Petrus Christus, Maximiliaan P Martens</w:t>
      </w:r>
    </w:p>
    <w:p>
      <w:pPr>
        <w:pStyle w:val="Default"/>
        <w:bidi w:val="0"/>
        <w:ind w:left="0" w:right="0" w:firstLine="0"/>
        <w:jc w:val="left"/>
        <w:rPr>
          <w:rFonts w:ascii="Trebuchet MS" w:cs="Trebuchet MS" w:hAnsi="Trebuchet MS" w:eastAsia="Trebuchet MS"/>
          <w:color w:val="535353"/>
          <w:sz w:val="24"/>
          <w:szCs w:val="24"/>
          <w:rtl w:val="0"/>
        </w:rPr>
      </w:pPr>
    </w:p>
    <w:p>
      <w:pPr>
        <w:pStyle w:val="Default"/>
        <w:bidi w:val="0"/>
        <w:ind w:left="0" w:right="0" w:firstLine="0"/>
        <w:jc w:val="left"/>
        <w:rPr>
          <w:rFonts w:ascii="Trebuchet MS" w:cs="Trebuchet MS" w:hAnsi="Trebuchet MS" w:eastAsia="Trebuchet MS"/>
          <w:color w:val="535353"/>
          <w:sz w:val="24"/>
          <w:szCs w:val="24"/>
          <w:rtl w:val="0"/>
        </w:rPr>
      </w:pPr>
      <w:r>
        <w:rPr>
          <w:rFonts w:ascii="Trebuchet MS" w:hAnsi="Trebuchet MS"/>
          <w:color w:val="535353"/>
          <w:sz w:val="24"/>
          <w:szCs w:val="24"/>
          <w:rtl w:val="0"/>
          <w:lang w:val="en-US"/>
        </w:rPr>
        <w:t>Handbook of Evolutionary Thinking in the Sciences - Thomas Heams, Philippe Huneman, Guillaume Lecointre, Marc Silberstein</w:t>
      </w:r>
    </w:p>
    <w:p>
      <w:pPr>
        <w:pStyle w:val="Default"/>
        <w:bidi w:val="0"/>
        <w:ind w:left="0" w:right="0" w:firstLine="0"/>
        <w:jc w:val="left"/>
        <w:rPr>
          <w:rFonts w:ascii="Trebuchet MS" w:cs="Trebuchet MS" w:hAnsi="Trebuchet MS" w:eastAsia="Trebuchet MS"/>
          <w:color w:val="535353"/>
          <w:sz w:val="24"/>
          <w:szCs w:val="24"/>
          <w:rtl w:val="0"/>
        </w:rPr>
      </w:pPr>
    </w:p>
    <w:p>
      <w:pPr>
        <w:pStyle w:val="Default"/>
        <w:bidi w:val="0"/>
        <w:ind w:left="0" w:right="0" w:firstLine="0"/>
        <w:jc w:val="left"/>
        <w:rPr>
          <w:rFonts w:ascii="Trebuchet MS" w:cs="Trebuchet MS" w:hAnsi="Trebuchet MS" w:eastAsia="Trebuchet MS"/>
          <w:color w:val="535353"/>
          <w:sz w:val="24"/>
          <w:szCs w:val="24"/>
          <w:rtl w:val="0"/>
        </w:rPr>
      </w:pPr>
      <w:r>
        <w:rPr>
          <w:rFonts w:ascii="Trebuchet MS" w:hAnsi="Trebuchet MS"/>
          <w:color w:val="535353"/>
          <w:sz w:val="24"/>
          <w:szCs w:val="24"/>
          <w:rtl w:val="0"/>
          <w:lang w:val="en-US"/>
        </w:rPr>
        <w:t>Giusto De</w:t>
      </w:r>
      <w:r>
        <w:rPr>
          <w:rFonts w:ascii="Trebuchet MS" w:hAnsi="Trebuchet MS" w:hint="default"/>
          <w:color w:val="535353"/>
          <w:sz w:val="24"/>
          <w:szCs w:val="24"/>
          <w:rtl w:val="0"/>
          <w:lang w:val="en-US"/>
        </w:rPr>
        <w:t xml:space="preserve">’ </w:t>
      </w:r>
      <w:r>
        <w:rPr>
          <w:rFonts w:ascii="Trebuchet MS" w:hAnsi="Trebuchet MS"/>
          <w:color w:val="535353"/>
          <w:sz w:val="24"/>
          <w:szCs w:val="24"/>
          <w:rtl w:val="0"/>
          <w:lang w:val="en-US"/>
        </w:rPr>
        <w:t>Menabuoi in Lombardy - Bradley J Delaney</w:t>
      </w:r>
    </w:p>
    <w:p>
      <w:pPr>
        <w:pStyle w:val="Heading 3"/>
        <w:widowControl w:val="0"/>
        <w:ind w:left="0" w:firstLine="0"/>
        <w:jc w:val="left"/>
        <w:rPr>
          <w:rFonts w:ascii="Trebuchet MS" w:cs="Trebuchet MS" w:hAnsi="Trebuchet MS" w:eastAsia="Trebuchet MS"/>
          <w:b w:val="0"/>
          <w:bCs w:val="0"/>
          <w:sz w:val="24"/>
          <w:szCs w:val="24"/>
        </w:rPr>
      </w:pPr>
    </w:p>
    <w:p>
      <w:pPr>
        <w:pStyle w:val="Heading 3"/>
        <w:widowControl w:val="0"/>
        <w:ind w:left="0" w:firstLine="0"/>
        <w:jc w:val="left"/>
      </w:pPr>
      <w:r>
        <w:rPr>
          <w:rFonts w:ascii="Trebuchet MS" w:hAnsi="Trebuchet MS"/>
          <w:b w:val="0"/>
          <w:bCs w:val="0"/>
          <w:sz w:val="24"/>
          <w:szCs w:val="24"/>
          <w:rtl w:val="0"/>
          <w:lang w:val="en-US"/>
        </w:rPr>
        <w:t>The Grove Encyclopaedia of Medieval Art and Architecture - Colum Hourihane</w:t>
      </w:r>
    </w:p>
    <w:sectPr>
      <w:headerReference w:type="default" r:id="rId5"/>
      <w:footerReference w:type="default" r:id="rId6"/>
      <w:pgSz w:w="12240" w:h="15840" w:orient="portrait"/>
      <w:pgMar w:top="567" w:right="1797" w:bottom="567" w:left="1797" w:header="567"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rebuchet MS">
    <w:charset w:val="00"/>
    <w:family w:val="roman"/>
    <w:pitch w:val="default"/>
  </w:font>
  <w:font w:name="Georgia">
    <w:charset w:val="00"/>
    <w:family w:val="roman"/>
    <w:pitch w:val="default"/>
  </w:font>
  <w:font w:name="Tahoma">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626"/>
        <w:tab w:val="clear" w:pos="9026"/>
      </w:tabs>
    </w:pPr>
    <w:r>
      <w:rPr>
        <w:rFonts w:ascii="Trebuchet MS" w:hAnsi="Trebuchet MS"/>
        <w:sz w:val="18"/>
        <w:szCs w:val="18"/>
        <w:rtl w:val="0"/>
      </w:rPr>
      <w:t xml:space="preserve"> </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Carey, Hilary M, </w:t>
      </w:r>
      <w:r>
        <w:rPr>
          <w:rFonts w:cs="Arial Unicode MS" w:eastAsia="Arial Unicode MS" w:hint="default"/>
          <w:i w:val="1"/>
          <w:iCs w:val="1"/>
          <w:rtl w:val="0"/>
          <w:lang w:val="en-US"/>
        </w:rPr>
        <w:t>‘</w:t>
      </w:r>
      <w:r>
        <w:rPr>
          <w:rFonts w:cs="Arial Unicode MS" w:eastAsia="Arial Unicode MS"/>
          <w:i w:val="1"/>
          <w:iCs w:val="1"/>
          <w:rtl w:val="0"/>
          <w:lang w:val="en-US"/>
        </w:rPr>
        <w:t>Henry VII</w:t>
      </w:r>
      <w:r>
        <w:rPr>
          <w:rFonts w:cs="Arial Unicode MS" w:eastAsia="Arial Unicode MS" w:hint="default"/>
          <w:i w:val="1"/>
          <w:iCs w:val="1"/>
          <w:rtl w:val="0"/>
          <w:lang w:val="en-US"/>
        </w:rPr>
        <w:t>’</w:t>
      </w:r>
      <w:r>
        <w:rPr>
          <w:rFonts w:cs="Arial Unicode MS" w:eastAsia="Arial Unicode MS"/>
          <w:i w:val="1"/>
          <w:iCs w:val="1"/>
          <w:rtl w:val="0"/>
          <w:lang w:val="en-US"/>
        </w:rPr>
        <w:t>s Book of Astrology and the Tudor Renaissance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Renaissance Quarterly, Vol. 65, No. 3, University of Chicago Press, Chicago, pp 661-710</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Hourihane, Colum,</w:t>
      </w:r>
      <w:r>
        <w:rPr>
          <w:rFonts w:cs="Arial Unicode MS" w:eastAsia="Arial Unicode MS" w:hint="default"/>
          <w:i w:val="1"/>
          <w:iCs w:val="1"/>
          <w:rtl w:val="0"/>
          <w:lang w:val="en-US"/>
        </w:rPr>
        <w:t xml:space="preserve"> ‘</w:t>
      </w:r>
      <w:r>
        <w:rPr>
          <w:rFonts w:cs="Arial Unicode MS" w:eastAsia="Arial Unicode MS"/>
          <w:i w:val="1"/>
          <w:iCs w:val="1"/>
          <w:rtl w:val="0"/>
          <w:lang w:val="en-US"/>
        </w:rPr>
        <w:t>The Grove Encyclopaedia of Medieval Art and Architecture, Volume 1</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OUP, Oxford, 2012, p 266</w:t>
      </w:r>
    </w:p>
  </w:footnote>
  <w:footnote w:id="3">
    <w:p>
      <w:pPr>
        <w:pStyle w:val="Footnote"/>
        <w:bidi w:val="0"/>
      </w:pPr>
      <w:r>
        <w:rPr>
          <w:vertAlign w:val="superscript"/>
        </w:rPr>
        <w:footnoteRef/>
      </w:r>
      <w:r>
        <w:rPr>
          <w:rFonts w:cs="Arial Unicode MS" w:eastAsia="Arial Unicode MS"/>
          <w:rtl w:val="0"/>
        </w:rPr>
        <w:t xml:space="preserve"> </w:t>
      </w:r>
      <w:r>
        <w:rPr>
          <w:rStyle w:val="Hyperlink.0"/>
        </w:rPr>
        <w:fldChar w:fldCharType="begin" w:fldLock="0"/>
      </w:r>
      <w:r>
        <w:rPr>
          <w:rStyle w:val="Hyperlink.0"/>
        </w:rPr>
        <w:instrText xml:space="preserve"> HYPERLINK "https://www.nationalgallery.org.uk/paintings/giusto-de-menabuoi-the-coronation-of-the-virgin-and-other-scenes"</w:instrText>
      </w:r>
      <w:r>
        <w:rPr>
          <w:rStyle w:val="Hyperlink.0"/>
        </w:rPr>
        <w:fldChar w:fldCharType="separate" w:fldLock="0"/>
      </w:r>
      <w:r>
        <w:rPr>
          <w:rStyle w:val="Hyperlink.0"/>
          <w:rFonts w:cs="Arial Unicode MS" w:eastAsia="Arial Unicode MS"/>
          <w:rtl w:val="0"/>
          <w:lang w:val="en-US"/>
        </w:rPr>
        <w:t>https://www.nationalgallery.org.uk/paintings/giusto-de-menabuoi-the-coronation-of-the-virgin-and-other-scenes</w:t>
      </w:r>
      <w:r>
        <w:rPr/>
        <w:fldChar w:fldCharType="end" w:fldLock="0"/>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Delaney, Bradley J, </w:t>
      </w:r>
      <w:r>
        <w:rPr>
          <w:rFonts w:cs="Arial Unicode MS" w:eastAsia="Arial Unicode MS" w:hint="default"/>
          <w:i w:val="1"/>
          <w:iCs w:val="1"/>
          <w:rtl w:val="0"/>
          <w:lang w:val="en-US"/>
        </w:rPr>
        <w:t>‘</w:t>
      </w:r>
      <w:r>
        <w:rPr>
          <w:rFonts w:cs="Arial Unicode MS" w:eastAsia="Arial Unicode MS"/>
          <w:i w:val="1"/>
          <w:iCs w:val="1"/>
          <w:rtl w:val="0"/>
          <w:lang w:val="en-US"/>
        </w:rPr>
        <w:t>Giusto De</w:t>
      </w:r>
      <w:r>
        <w:rPr>
          <w:rFonts w:cs="Arial Unicode MS" w:eastAsia="Arial Unicode MS" w:hint="default"/>
          <w:i w:val="1"/>
          <w:iCs w:val="1"/>
          <w:rtl w:val="0"/>
          <w:lang w:val="en-US"/>
        </w:rPr>
        <w:t xml:space="preserve">’ </w:t>
      </w:r>
      <w:r>
        <w:rPr>
          <w:rFonts w:cs="Arial Unicode MS" w:eastAsia="Arial Unicode MS"/>
          <w:i w:val="1"/>
          <w:iCs w:val="1"/>
          <w:rtl w:val="0"/>
          <w:lang w:val="en-US"/>
        </w:rPr>
        <w:t>Menabuoi in Lombardy</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The Art Bulletin, Vol. 58, No.1, 1976, CAA, New York, 1976, p 19                                                                                        </w:t>
      </w:r>
      <w:r>
        <w:rPr>
          <w:rStyle w:val="Hyperlink.0"/>
        </w:rPr>
        <w:fldChar w:fldCharType="begin" w:fldLock="0"/>
      </w:r>
      <w:r>
        <w:rPr>
          <w:rStyle w:val="Hyperlink.0"/>
        </w:rPr>
        <w:instrText xml:space="preserve"> HYPERLINK "https://www.jstor.org/stable/3049461"</w:instrText>
      </w:r>
      <w:r>
        <w:rPr>
          <w:rStyle w:val="Hyperlink.0"/>
        </w:rPr>
        <w:fldChar w:fldCharType="separate" w:fldLock="0"/>
      </w:r>
      <w:r>
        <w:rPr>
          <w:rStyle w:val="Hyperlink.0"/>
          <w:rFonts w:cs="Arial Unicode MS" w:eastAsia="Arial Unicode MS"/>
          <w:rtl w:val="0"/>
          <w:lang w:val="en-US"/>
        </w:rPr>
        <w:t>https://www.jstor.org/stable/3049461</w:t>
      </w:r>
      <w:r>
        <w:rPr/>
        <w:fldChar w:fldCharType="end" w:fldLock="0"/>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Heams, T, Huneman, P, Lecointre, G, Silberstein, M, </w:t>
      </w:r>
      <w:r>
        <w:rPr>
          <w:rFonts w:cs="Arial Unicode MS" w:eastAsia="Arial Unicode MS" w:hint="default"/>
          <w:i w:val="1"/>
          <w:iCs w:val="1"/>
          <w:rtl w:val="0"/>
          <w:lang w:val="en-US"/>
        </w:rPr>
        <w:t>‘</w:t>
      </w:r>
      <w:r>
        <w:rPr>
          <w:rFonts w:cs="Arial Unicode MS" w:eastAsia="Arial Unicode MS"/>
          <w:i w:val="1"/>
          <w:iCs w:val="1"/>
          <w:rtl w:val="0"/>
          <w:lang w:val="en-US"/>
        </w:rPr>
        <w:t>Handbook of Evolutionary Thinking in the Sciences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Springer, New York, 2015, pp 881-896</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hint="default"/>
          <w:i w:val="1"/>
          <w:iCs w:val="1"/>
          <w:rtl w:val="0"/>
          <w:lang w:val="en-US"/>
        </w:rPr>
        <w:t>‘</w:t>
      </w:r>
      <w:r>
        <w:rPr>
          <w:rFonts w:cs="Arial Unicode MS" w:eastAsia="Arial Unicode MS"/>
          <w:i w:val="1"/>
          <w:iCs w:val="1"/>
          <w:rtl w:val="0"/>
          <w:lang w:val="en-US"/>
        </w:rPr>
        <w:t>Trompe l</w:t>
      </w:r>
      <w:r>
        <w:rPr>
          <w:rFonts w:cs="Arial Unicode MS" w:eastAsia="Arial Unicode MS" w:hint="default"/>
          <w:i w:val="1"/>
          <w:iCs w:val="1"/>
          <w:rtl w:val="0"/>
          <w:lang w:val="en-US"/>
        </w:rPr>
        <w:t>’</w:t>
      </w:r>
      <w:r>
        <w:rPr>
          <w:rFonts w:cs="Arial Unicode MS" w:eastAsia="Arial Unicode MS"/>
          <w:i w:val="1"/>
          <w:iCs w:val="1"/>
          <w:rtl w:val="0"/>
          <w:lang w:val="en-US"/>
        </w:rPr>
        <w:t>oeil</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A French phrase meaning </w:t>
      </w:r>
      <w:r>
        <w:rPr>
          <w:rFonts w:cs="Arial Unicode MS" w:eastAsia="Arial Unicode MS" w:hint="default"/>
          <w:rtl w:val="0"/>
          <w:lang w:val="en-US"/>
        </w:rPr>
        <w:t>‘</w:t>
      </w:r>
      <w:r>
        <w:rPr>
          <w:rFonts w:cs="Arial Unicode MS" w:eastAsia="Arial Unicode MS"/>
          <w:rtl w:val="0"/>
          <w:lang w:val="en-US"/>
        </w:rPr>
        <w:t>deceives the eye</w:t>
      </w:r>
      <w:r>
        <w:rPr>
          <w:rFonts w:cs="Arial Unicode MS" w:eastAsia="Arial Unicode MS" w:hint="default"/>
          <w:rtl w:val="0"/>
          <w:lang w:val="en-US"/>
        </w:rPr>
        <w:t xml:space="preserve">’ </w:t>
      </w:r>
      <w:r>
        <w:rPr>
          <w:rFonts w:cs="Arial Unicode MS" w:eastAsia="Arial Unicode MS"/>
          <w:rtl w:val="0"/>
          <w:lang w:val="en-US"/>
        </w:rPr>
        <w:t xml:space="preserve">used to describe paintings that create the illusion of a real object or scene.                                                               </w:t>
      </w:r>
      <w:r>
        <w:rPr>
          <w:rStyle w:val="Hyperlink.0"/>
        </w:rPr>
        <w:fldChar w:fldCharType="begin" w:fldLock="0"/>
      </w:r>
      <w:r>
        <w:rPr>
          <w:rStyle w:val="Hyperlink.0"/>
        </w:rPr>
        <w:instrText xml:space="preserve"> HYPERLINK "https://www.tate.org.uk/art/art-terms/t/trompe-loeil"</w:instrText>
      </w:r>
      <w:r>
        <w:rPr>
          <w:rStyle w:val="Hyperlink.0"/>
        </w:rPr>
        <w:fldChar w:fldCharType="separate" w:fldLock="0"/>
      </w:r>
      <w:r>
        <w:rPr>
          <w:rStyle w:val="Hyperlink.0"/>
          <w:rFonts w:cs="Arial Unicode MS" w:eastAsia="Arial Unicode MS"/>
          <w:rtl w:val="0"/>
          <w:lang w:val="en-US"/>
        </w:rPr>
        <w:t>https://www.tate.org.uk/art/art-terms/t/trompe-loeil</w:t>
      </w:r>
      <w:r>
        <w:rPr/>
        <w:fldChar w:fldCharType="end" w:fldLock="0"/>
      </w:r>
    </w:p>
  </w:footnote>
  <w:footnote w:id="7">
    <w:p>
      <w:pPr>
        <w:pStyle w:val="Footnote"/>
        <w:bidi w:val="0"/>
      </w:pPr>
      <w:r>
        <w:rPr>
          <w:vertAlign w:val="superscript"/>
        </w:rPr>
        <w:footnoteRef/>
      </w:r>
      <w:r>
        <w:rPr>
          <w:rFonts w:cs="Arial Unicode MS" w:eastAsia="Arial Unicode MS"/>
          <w:rtl w:val="0"/>
        </w:rPr>
        <w:t xml:space="preserve"> </w:t>
      </w:r>
      <w:r>
        <w:rPr>
          <w:rStyle w:val="Hyperlink.0"/>
        </w:rPr>
        <w:fldChar w:fldCharType="begin" w:fldLock="0"/>
      </w:r>
      <w:r>
        <w:rPr>
          <w:rStyle w:val="Hyperlink.0"/>
        </w:rPr>
        <w:instrText xml:space="preserve"> HYPERLINK "https://www.dia.org/art/collection/object/saint-jerome-his-study-44739"</w:instrText>
      </w:r>
      <w:r>
        <w:rPr>
          <w:rStyle w:val="Hyperlink.0"/>
        </w:rPr>
        <w:fldChar w:fldCharType="separate" w:fldLock="0"/>
      </w:r>
      <w:r>
        <w:rPr>
          <w:rStyle w:val="Hyperlink.0"/>
          <w:rFonts w:cs="Arial Unicode MS" w:eastAsia="Arial Unicode MS"/>
          <w:rtl w:val="0"/>
          <w:lang w:val="en-US"/>
        </w:rPr>
        <w:t>https://www.dia.org/art/collection/object/saint-jerome-his-study-44739</w:t>
      </w:r>
      <w:r>
        <w:rPr/>
        <w:fldChar w:fldCharType="end" w:fldLock="0"/>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Ainsworth, Maryan Wynn, Christus, Petrus, Martens, Maximiliaan PJ,  </w:t>
      </w:r>
      <w:r>
        <w:rPr>
          <w:rFonts w:cs="Arial Unicode MS" w:eastAsia="Arial Unicode MS" w:hint="default"/>
          <w:i w:val="1"/>
          <w:iCs w:val="1"/>
          <w:rtl w:val="0"/>
          <w:lang w:val="en-US"/>
        </w:rPr>
        <w:t>‘</w:t>
      </w:r>
      <w:r>
        <w:rPr>
          <w:rFonts w:cs="Arial Unicode MS" w:eastAsia="Arial Unicode MS"/>
          <w:i w:val="1"/>
          <w:iCs w:val="1"/>
          <w:rtl w:val="0"/>
          <w:lang w:val="en-US"/>
        </w:rPr>
        <w:t>Petrus Christus :Renaissance Master of Bruges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Metropolitan Museum of Art, New York, 1994, p 71</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Ch</w:t>
      </w:r>
      <w:r>
        <w:rPr>
          <w:rFonts w:cs="Arial Unicode MS" w:eastAsia="Arial Unicode MS" w:hint="default"/>
          <w:rtl w:val="0"/>
          <w:lang w:val="en-US"/>
        </w:rPr>
        <w:t>â</w:t>
      </w:r>
      <w:r>
        <w:rPr>
          <w:rFonts w:cs="Arial Unicode MS" w:eastAsia="Arial Unicode MS"/>
          <w:rtl w:val="0"/>
          <w:lang w:val="en-US"/>
        </w:rPr>
        <w:t xml:space="preserve">telet, A, </w:t>
      </w:r>
      <w:r>
        <w:rPr>
          <w:rFonts w:cs="Arial Unicode MS" w:eastAsia="Arial Unicode MS" w:hint="default"/>
          <w:i w:val="1"/>
          <w:iCs w:val="1"/>
          <w:rtl w:val="0"/>
          <w:lang w:val="en-US"/>
        </w:rPr>
        <w:t>‘</w:t>
      </w:r>
      <w:r>
        <w:rPr>
          <w:rFonts w:cs="Arial Unicode MS" w:eastAsia="Arial Unicode MS"/>
          <w:i w:val="1"/>
          <w:iCs w:val="1"/>
          <w:rtl w:val="0"/>
          <w:lang w:val="en-US"/>
        </w:rPr>
        <w:t>Les Enluminures eyckiennes des manuscrits de Turin et de Milan-Turin</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La Revue des Arts, Conseil des Mus</w:t>
      </w:r>
      <w:r>
        <w:rPr>
          <w:rFonts w:cs="Arial Unicode MS" w:eastAsia="Arial Unicode MS" w:hint="default"/>
          <w:rtl w:val="0"/>
          <w:lang w:val="en-US"/>
        </w:rPr>
        <w:t>é</w:t>
      </w:r>
      <w:r>
        <w:rPr>
          <w:rFonts w:cs="Arial Unicode MS" w:eastAsia="Arial Unicode MS"/>
          <w:rtl w:val="0"/>
          <w:lang w:val="en-US"/>
        </w:rPr>
        <w:t>es Nationaux, Paris, (July-August) 1957, pp 155-164</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Panofsky, E, </w:t>
      </w:r>
      <w:r>
        <w:rPr>
          <w:rFonts w:cs="Arial Unicode MS" w:eastAsia="Arial Unicode MS" w:hint="default"/>
          <w:i w:val="1"/>
          <w:iCs w:val="1"/>
          <w:rtl w:val="0"/>
          <w:lang w:val="en-US"/>
        </w:rPr>
        <w:t>‘</w:t>
      </w:r>
      <w:r>
        <w:rPr>
          <w:rFonts w:cs="Arial Unicode MS" w:eastAsia="Arial Unicode MS"/>
          <w:i w:val="1"/>
          <w:iCs w:val="1"/>
          <w:rtl w:val="0"/>
          <w:lang w:val="en-US"/>
        </w:rPr>
        <w:t>A Letter to St Jerome: A note on the Relationship between Petrus Christus and Jan van Eyck,</w:t>
      </w:r>
      <w:r>
        <w:rPr>
          <w:rFonts w:cs="Arial Unicode MS" w:eastAsia="Arial Unicode MS" w:hint="default"/>
          <w:i w:val="1"/>
          <w:iCs w:val="1"/>
          <w:rtl w:val="0"/>
          <w:lang w:val="en-US"/>
        </w:rPr>
        <w:t xml:space="preserve">’ </w:t>
      </w:r>
      <w:r>
        <w:rPr>
          <w:rFonts w:cs="Arial Unicode MS" w:eastAsia="Arial Unicode MS"/>
          <w:rtl w:val="0"/>
          <w:lang w:val="en-US"/>
        </w:rPr>
        <w:t xml:space="preserve"> in D. Miner, ed., Studies in Art and Literature for Bella da Costa Greene, Princeton, 1954, pp 102-108</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Stapleford, Richard, </w:t>
      </w:r>
      <w:r>
        <w:rPr>
          <w:rFonts w:cs="Arial Unicode MS" w:eastAsia="Arial Unicode MS"/>
          <w:i w:val="1"/>
          <w:iCs w:val="1"/>
          <w:rtl w:val="0"/>
          <w:lang w:val="en-US"/>
        </w:rPr>
        <w:t>Lorenzo De</w:t>
      </w:r>
      <w:r>
        <w:rPr>
          <w:rFonts w:cs="Arial Unicode MS" w:eastAsia="Arial Unicode MS" w:hint="default"/>
          <w:i w:val="1"/>
          <w:iCs w:val="1"/>
          <w:rtl w:val="0"/>
          <w:lang w:val="en-US"/>
        </w:rPr>
        <w:t xml:space="preserve">’ </w:t>
      </w:r>
      <w:r>
        <w:rPr>
          <w:rFonts w:cs="Arial Unicode MS" w:eastAsia="Arial Unicode MS"/>
          <w:i w:val="1"/>
          <w:iCs w:val="1"/>
          <w:rtl w:val="0"/>
          <w:lang w:val="en-US"/>
        </w:rPr>
        <w:t>Medici at Home: The Inventory of  the Palazzo Medici in 1492</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Penn State Press, Pennsylvania, 2013, p 53</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Hall, E, </w:t>
      </w:r>
      <w:r>
        <w:rPr>
          <w:rFonts w:cs="Arial Unicode MS" w:eastAsia="Arial Unicode MS" w:hint="default"/>
          <w:i w:val="1"/>
          <w:iCs w:val="1"/>
          <w:rtl w:val="0"/>
          <w:lang w:val="en-US"/>
        </w:rPr>
        <w:t>‘</w:t>
      </w:r>
      <w:r>
        <w:rPr>
          <w:rFonts w:cs="Arial Unicode MS" w:eastAsia="Arial Unicode MS"/>
          <w:i w:val="1"/>
          <w:iCs w:val="1"/>
          <w:rtl w:val="0"/>
          <w:lang w:val="en-US"/>
        </w:rPr>
        <w:t>Cardinal Albergati, St Jerome and the Detroit Van Eyck</w:t>
      </w:r>
      <w:r>
        <w:rPr>
          <w:rFonts w:cs="Arial Unicode MS" w:eastAsia="Arial Unicode MS" w:hint="default"/>
          <w:i w:val="1"/>
          <w:iCs w:val="1"/>
          <w:rtl w:val="0"/>
          <w:lang w:val="en-US"/>
        </w:rPr>
        <w:t xml:space="preserve">’ </w:t>
      </w:r>
      <w:r>
        <w:rPr>
          <w:rFonts w:cs="Arial Unicode MS" w:eastAsia="Arial Unicode MS"/>
          <w:rtl w:val="0"/>
          <w:lang w:val="en-US"/>
        </w:rPr>
        <w:t>Art Quarterly, Vol. 31, Metropolitan Museum of Art, New York, Spring 1968, pp 3-34</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Ward, John L, </w:t>
      </w:r>
      <w:r>
        <w:rPr>
          <w:rFonts w:cs="Arial Unicode MS" w:eastAsia="Arial Unicode MS" w:hint="default"/>
          <w:i w:val="1"/>
          <w:iCs w:val="1"/>
          <w:rtl w:val="0"/>
          <w:lang w:val="en-US"/>
        </w:rPr>
        <w:t>‘</w:t>
      </w:r>
      <w:r>
        <w:rPr>
          <w:rFonts w:cs="Arial Unicode MS" w:eastAsia="Arial Unicode MS"/>
          <w:i w:val="1"/>
          <w:iCs w:val="1"/>
          <w:rtl w:val="0"/>
          <w:lang w:val="en-US"/>
        </w:rPr>
        <w:t>Disguised Symbolism as Enactive Symbolism in Van Eyck</w:t>
      </w:r>
      <w:r>
        <w:rPr>
          <w:rFonts w:cs="Arial Unicode MS" w:eastAsia="Arial Unicode MS" w:hint="default"/>
          <w:i w:val="1"/>
          <w:iCs w:val="1"/>
          <w:rtl w:val="0"/>
          <w:lang w:val="en-US"/>
        </w:rPr>
        <w:t>’</w:t>
      </w:r>
      <w:r>
        <w:rPr>
          <w:rFonts w:cs="Arial Unicode MS" w:eastAsia="Arial Unicode MS"/>
          <w:i w:val="1"/>
          <w:iCs w:val="1"/>
          <w:rtl w:val="0"/>
          <w:lang w:val="en-US"/>
        </w:rPr>
        <w:t>s Paintings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Artibus et Historiae, Vol.15 No.29, IRSA sc, Krakow, 1994, p 9                                         </w:t>
      </w:r>
      <w:r>
        <w:rPr>
          <w:rStyle w:val="Hyperlink.0"/>
        </w:rPr>
        <w:fldChar w:fldCharType="begin" w:fldLock="0"/>
      </w:r>
      <w:r>
        <w:rPr>
          <w:rStyle w:val="Hyperlink.0"/>
        </w:rPr>
        <w:instrText xml:space="preserve"> HYPERLINK "https://www.jstor.org/stable/1483484"</w:instrText>
      </w:r>
      <w:r>
        <w:rPr>
          <w:rStyle w:val="Hyperlink.0"/>
        </w:rPr>
        <w:fldChar w:fldCharType="separate" w:fldLock="0"/>
      </w:r>
      <w:r>
        <w:rPr>
          <w:rStyle w:val="Hyperlink.0"/>
          <w:rFonts w:cs="Arial Unicode MS" w:eastAsia="Arial Unicode MS"/>
          <w:rtl w:val="0"/>
          <w:lang w:val="en-US"/>
        </w:rPr>
        <w:t>https://www.jstor.org/stable/1483484</w:t>
      </w:r>
      <w:r>
        <w:rPr/>
        <w:fldChar w:fldCharType="end" w:fldLock="0"/>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Madigan, Brian, </w:t>
      </w:r>
      <w:r>
        <w:rPr>
          <w:rFonts w:cs="Arial Unicode MS" w:eastAsia="Arial Unicode MS" w:hint="default"/>
          <w:u w:val="single"/>
          <w:rtl w:val="0"/>
          <w:lang w:val="en-US"/>
        </w:rPr>
        <w:t>‘</w:t>
      </w:r>
      <w:r>
        <w:rPr>
          <w:rFonts w:cs="Arial Unicode MS" w:eastAsia="Arial Unicode MS"/>
          <w:u w:val="single"/>
          <w:rtl w:val="0"/>
          <w:lang w:val="en-US"/>
        </w:rPr>
        <w:t>Van Eyck</w:t>
      </w:r>
      <w:r>
        <w:rPr>
          <w:rFonts w:cs="Arial Unicode MS" w:eastAsia="Arial Unicode MS" w:hint="default"/>
          <w:u w:val="single"/>
          <w:rtl w:val="0"/>
          <w:lang w:val="en-US"/>
        </w:rPr>
        <w:t>’</w:t>
      </w:r>
      <w:r>
        <w:rPr>
          <w:rFonts w:cs="Arial Unicode MS" w:eastAsia="Arial Unicode MS"/>
          <w:u w:val="single"/>
          <w:rtl w:val="0"/>
          <w:lang w:val="en-US"/>
        </w:rPr>
        <w:t>s Illuminated Carafe</w:t>
      </w:r>
      <w:r>
        <w:rPr>
          <w:rFonts w:cs="Arial Unicode MS" w:eastAsia="Arial Unicode MS" w:hint="default"/>
          <w:u w:val="single"/>
          <w:rtl w:val="0"/>
          <w:lang w:val="en-US"/>
        </w:rPr>
        <w:t>’</w:t>
      </w:r>
      <w:r>
        <w:rPr>
          <w:rFonts w:cs="Arial Unicode MS" w:eastAsia="Arial Unicode MS"/>
          <w:u w:val="single"/>
          <w:rtl w:val="0"/>
          <w:lang w:val="en-US"/>
        </w:rPr>
        <w:t xml:space="preserve">, </w:t>
      </w:r>
      <w:r>
        <w:rPr>
          <w:rFonts w:cs="Arial Unicode MS" w:eastAsia="Arial Unicode MS"/>
          <w:rtl w:val="0"/>
          <w:lang w:val="en-US"/>
        </w:rPr>
        <w:t xml:space="preserve">Journal of the Warburg and Courtauld Institutes, Vol. 49, The Warburg Institute, London, 1986, p 227                                         </w:t>
      </w:r>
      <w:r>
        <w:rPr>
          <w:rStyle w:val="Hyperlink.0"/>
        </w:rPr>
        <w:fldChar w:fldCharType="begin" w:fldLock="0"/>
      </w:r>
      <w:r>
        <w:rPr>
          <w:rStyle w:val="Hyperlink.0"/>
        </w:rPr>
        <w:instrText xml:space="preserve"> HYPERLINK "https://www.jstor.org/stable/751299"</w:instrText>
      </w:r>
      <w:r>
        <w:rPr>
          <w:rStyle w:val="Hyperlink.0"/>
        </w:rPr>
        <w:fldChar w:fldCharType="separate" w:fldLock="0"/>
      </w:r>
      <w:r>
        <w:rPr>
          <w:rStyle w:val="Hyperlink.0"/>
          <w:rFonts w:cs="Arial Unicode MS" w:eastAsia="Arial Unicode MS"/>
          <w:rtl w:val="0"/>
          <w:lang w:val="en-US"/>
        </w:rPr>
        <w:t>https://www.jstor.org/stable/751299</w:t>
      </w:r>
      <w:r>
        <w:rPr/>
        <w:fldChar w:fldCharType="end" w:fldLock="0"/>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Dickinson, Joycelyne G, </w:t>
      </w:r>
      <w:r>
        <w:rPr>
          <w:rFonts w:cs="Arial Unicode MS" w:eastAsia="Arial Unicode MS" w:hint="default"/>
          <w:i w:val="1"/>
          <w:iCs w:val="1"/>
          <w:rtl w:val="0"/>
          <w:lang w:val="en-US"/>
        </w:rPr>
        <w:t>‘</w:t>
      </w:r>
      <w:r>
        <w:rPr>
          <w:rFonts w:cs="Arial Unicode MS" w:eastAsia="Arial Unicode MS"/>
          <w:i w:val="1"/>
          <w:iCs w:val="1"/>
          <w:rtl w:val="0"/>
          <w:lang w:val="en-US"/>
        </w:rPr>
        <w:t>The Congress of Arras, 1435</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History, Vol. 40, No. 138/139, Wiley, Hoboken, 1955, p 31</w:t>
      </w:r>
    </w:p>
    <w:p>
      <w:pPr>
        <w:pStyle w:val="Footnote"/>
        <w:bidi w:val="0"/>
      </w:pPr>
      <w:r>
        <w:rPr>
          <w:rStyle w:val="Hyperlink.0"/>
        </w:rPr>
        <w:fldChar w:fldCharType="begin" w:fldLock="0"/>
      </w:r>
      <w:r>
        <w:rPr>
          <w:rStyle w:val="Hyperlink.0"/>
        </w:rPr>
        <w:instrText xml:space="preserve"> HYPERLINK "https://www.jstor.org/stable/24403958"</w:instrText>
      </w:r>
      <w:r>
        <w:rPr>
          <w:rStyle w:val="Hyperlink.0"/>
        </w:rPr>
        <w:fldChar w:fldCharType="separate" w:fldLock="0"/>
      </w:r>
      <w:r>
        <w:rPr>
          <w:rStyle w:val="Hyperlink.0"/>
          <w:rFonts w:cs="Arial Unicode MS" w:eastAsia="Arial Unicode MS"/>
          <w:rtl w:val="0"/>
          <w:lang w:val="en-US"/>
        </w:rPr>
        <w:t>https://www.jstor.org/stable/24403958</w:t>
      </w:r>
      <w:r>
        <w:rPr/>
        <w:fldChar w:fldCharType="end" w:fldLock="0"/>
      </w:r>
    </w:p>
  </w:footnote>
  <w:footnote w:id="16">
    <w:p>
      <w:pPr>
        <w:pStyle w:val="Footnote"/>
        <w:bidi w:val="0"/>
      </w:pPr>
      <w:r>
        <w:rPr>
          <w:vertAlign w:val="superscript"/>
        </w:rPr>
        <w:footnoteRef/>
      </w:r>
      <w:r>
        <w:rPr>
          <w:rFonts w:cs="Arial Unicode MS" w:eastAsia="Arial Unicode MS"/>
          <w:rtl w:val="0"/>
        </w:rPr>
        <w:t xml:space="preserve"> </w:t>
      </w:r>
      <w:r>
        <w:rPr>
          <w:rStyle w:val="Hyperlink.0"/>
        </w:rPr>
        <w:fldChar w:fldCharType="begin" w:fldLock="0"/>
      </w:r>
      <w:r>
        <w:rPr>
          <w:rStyle w:val="Hyperlink.0"/>
        </w:rPr>
        <w:instrText xml:space="preserve"> HYPERLINK "https://www.smithsonianmag.com/astrolabe"</w:instrText>
      </w:r>
      <w:r>
        <w:rPr>
          <w:rStyle w:val="Hyperlink.0"/>
        </w:rPr>
        <w:fldChar w:fldCharType="separate" w:fldLock="0"/>
      </w:r>
      <w:r>
        <w:rPr>
          <w:rStyle w:val="Hyperlink.0"/>
          <w:rFonts w:cs="Arial Unicode MS" w:eastAsia="Arial Unicode MS"/>
          <w:rtl w:val="0"/>
          <w:lang w:val="en-US"/>
        </w:rPr>
        <w:t>https://www.smithsonianmag.com/astrolabe</w:t>
      </w:r>
      <w:r>
        <w:rPr/>
        <w:fldChar w:fldCharType="end" w:fldLock="0"/>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Ward, John L, </w:t>
      </w:r>
      <w:r>
        <w:rPr>
          <w:rFonts w:cs="Arial Unicode MS" w:eastAsia="Arial Unicode MS" w:hint="default"/>
          <w:i w:val="1"/>
          <w:iCs w:val="1"/>
          <w:rtl w:val="0"/>
          <w:lang w:val="en-US"/>
        </w:rPr>
        <w:t>‘</w:t>
      </w:r>
      <w:r>
        <w:rPr>
          <w:rFonts w:cs="Arial Unicode MS" w:eastAsia="Arial Unicode MS"/>
          <w:i w:val="1"/>
          <w:iCs w:val="1"/>
          <w:rtl w:val="0"/>
          <w:lang w:val="en-US"/>
        </w:rPr>
        <w:t>Disguised Symbolism as Enactive Symbolism in Van Eyck</w:t>
      </w:r>
      <w:r>
        <w:rPr>
          <w:rFonts w:cs="Arial Unicode MS" w:eastAsia="Arial Unicode MS" w:hint="default"/>
          <w:i w:val="1"/>
          <w:iCs w:val="1"/>
          <w:rtl w:val="0"/>
          <w:lang w:val="en-US"/>
        </w:rPr>
        <w:t>’</w:t>
      </w:r>
      <w:r>
        <w:rPr>
          <w:rFonts w:cs="Arial Unicode MS" w:eastAsia="Arial Unicode MS"/>
          <w:i w:val="1"/>
          <w:iCs w:val="1"/>
          <w:rtl w:val="0"/>
          <w:lang w:val="en-US"/>
        </w:rPr>
        <w:t>s Paintings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Artibus and Historiae, Vol.15, No. 29, IRSA sc, Krakow, 1994, p 14                                       </w:t>
      </w:r>
      <w:r>
        <w:rPr>
          <w:rStyle w:val="Hyperlink.0"/>
        </w:rPr>
        <w:fldChar w:fldCharType="begin" w:fldLock="0"/>
      </w:r>
      <w:r>
        <w:rPr>
          <w:rStyle w:val="Hyperlink.0"/>
        </w:rPr>
        <w:instrText xml:space="preserve"> HYPERLINK "https://www.jstor.org/stable/1483484"</w:instrText>
      </w:r>
      <w:r>
        <w:rPr>
          <w:rStyle w:val="Hyperlink.0"/>
        </w:rPr>
        <w:fldChar w:fldCharType="separate" w:fldLock="0"/>
      </w:r>
      <w:r>
        <w:rPr>
          <w:rStyle w:val="Hyperlink.0"/>
          <w:rFonts w:cs="Arial Unicode MS" w:eastAsia="Arial Unicode MS"/>
          <w:rtl w:val="0"/>
          <w:lang w:val="en-US"/>
        </w:rPr>
        <w:t>https://www.jstor.org/stable/1483484</w:t>
      </w:r>
      <w:r>
        <w:rPr/>
        <w:fldChar w:fldCharType="end" w:fldLock="0"/>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Panofsky, Erwin, </w:t>
      </w:r>
      <w:r>
        <w:rPr>
          <w:rFonts w:cs="Arial Unicode MS" w:eastAsia="Arial Unicode MS" w:hint="default"/>
          <w:i w:val="1"/>
          <w:iCs w:val="1"/>
          <w:rtl w:val="0"/>
          <w:lang w:val="en-US"/>
        </w:rPr>
        <w:t>‘</w:t>
      </w:r>
      <w:r>
        <w:rPr>
          <w:rFonts w:cs="Arial Unicode MS" w:eastAsia="Arial Unicode MS"/>
          <w:i w:val="1"/>
          <w:iCs w:val="1"/>
          <w:rtl w:val="0"/>
          <w:lang w:val="en-US"/>
        </w:rPr>
        <w:t>Jan Van Eyck</w:t>
      </w:r>
      <w:r>
        <w:rPr>
          <w:rFonts w:cs="Arial Unicode MS" w:eastAsia="Arial Unicode MS" w:hint="default"/>
          <w:i w:val="1"/>
          <w:iCs w:val="1"/>
          <w:rtl w:val="0"/>
          <w:lang w:val="en-US"/>
        </w:rPr>
        <w:t>’</w:t>
      </w:r>
      <w:r>
        <w:rPr>
          <w:rFonts w:cs="Arial Unicode MS" w:eastAsia="Arial Unicode MS"/>
          <w:i w:val="1"/>
          <w:iCs w:val="1"/>
          <w:rtl w:val="0"/>
          <w:lang w:val="en-US"/>
        </w:rPr>
        <w:t>s Arnolfini Portrait</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The Burlington Magazine for Connoisseurs, Vol. 64, No. 372, Burlington Magazine Publications Ltd, London, March 1934, p 126                                                                                                                           </w:t>
      </w:r>
      <w:r>
        <w:rPr>
          <w:rStyle w:val="Hyperlink.0"/>
        </w:rPr>
        <w:fldChar w:fldCharType="begin" w:fldLock="0"/>
      </w:r>
      <w:r>
        <w:rPr>
          <w:rStyle w:val="Hyperlink.0"/>
        </w:rPr>
        <w:instrText xml:space="preserve"> HYPERLINK "https://www.jstor.org/stable/865802"</w:instrText>
      </w:r>
      <w:r>
        <w:rPr>
          <w:rStyle w:val="Hyperlink.0"/>
        </w:rPr>
        <w:fldChar w:fldCharType="separate" w:fldLock="0"/>
      </w:r>
      <w:r>
        <w:rPr>
          <w:rStyle w:val="Hyperlink.0"/>
          <w:rFonts w:cs="Arial Unicode MS" w:eastAsia="Arial Unicode MS"/>
          <w:rtl w:val="0"/>
          <w:lang w:val="en-US"/>
        </w:rPr>
        <w:t>https://www.jstor.org/stable/865802</w:t>
      </w:r>
      <w:r>
        <w:rPr/>
        <w:fldChar w:fldCharType="end" w:fldLock="0"/>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Carey, Hilary M, </w:t>
      </w:r>
      <w:r>
        <w:rPr>
          <w:rFonts w:cs="Arial Unicode MS" w:eastAsia="Arial Unicode MS" w:hint="default"/>
          <w:i w:val="1"/>
          <w:iCs w:val="1"/>
          <w:rtl w:val="0"/>
          <w:lang w:val="en-US"/>
        </w:rPr>
        <w:t>‘</w:t>
      </w:r>
      <w:r>
        <w:rPr>
          <w:rFonts w:cs="Arial Unicode MS" w:eastAsia="Arial Unicode MS"/>
          <w:i w:val="1"/>
          <w:iCs w:val="1"/>
          <w:rtl w:val="0"/>
          <w:lang w:val="en-US"/>
        </w:rPr>
        <w:t>Henry VII</w:t>
      </w:r>
      <w:r>
        <w:rPr>
          <w:rFonts w:cs="Arial Unicode MS" w:eastAsia="Arial Unicode MS" w:hint="default"/>
          <w:i w:val="1"/>
          <w:iCs w:val="1"/>
          <w:rtl w:val="0"/>
          <w:lang w:val="en-US"/>
        </w:rPr>
        <w:t>’</w:t>
      </w:r>
      <w:r>
        <w:rPr>
          <w:rFonts w:cs="Arial Unicode MS" w:eastAsia="Arial Unicode MS"/>
          <w:i w:val="1"/>
          <w:iCs w:val="1"/>
          <w:rtl w:val="0"/>
          <w:lang w:val="en-US"/>
        </w:rPr>
        <w:t>s Book of Astrology and the Tudor Renaissance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Renaissance Quarterly, Vol. 65, No. 3, University of Chicago Press, Chicago, 2012, p 622                                                                                                                                     </w:t>
      </w:r>
      <w:r>
        <w:rPr>
          <w:rStyle w:val="Hyperlink.0"/>
        </w:rPr>
        <w:fldChar w:fldCharType="begin" w:fldLock="0"/>
      </w:r>
      <w:r>
        <w:rPr>
          <w:rStyle w:val="Hyperlink.0"/>
        </w:rPr>
        <w:instrText xml:space="preserve"> HYPERLINK "https://www.jstor.org/stable/10.1086/668299"</w:instrText>
      </w:r>
      <w:r>
        <w:rPr>
          <w:rStyle w:val="Hyperlink.0"/>
        </w:rPr>
        <w:fldChar w:fldCharType="separate" w:fldLock="0"/>
      </w:r>
      <w:r>
        <w:rPr>
          <w:rStyle w:val="Hyperlink.0"/>
          <w:rFonts w:cs="Arial Unicode MS" w:eastAsia="Arial Unicode MS"/>
          <w:rtl w:val="0"/>
          <w:lang w:val="en-US"/>
        </w:rPr>
        <w:t>https://www.jstor.org/stable/10.1086/668299</w:t>
      </w:r>
      <w:r>
        <w:rPr/>
        <w:fldChar w:fldCharType="end" w:fldLock="0"/>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Carey, Hilary M, </w:t>
      </w:r>
      <w:r>
        <w:rPr>
          <w:rFonts w:cs="Arial Unicode MS" w:eastAsia="Arial Unicode MS" w:hint="default"/>
          <w:i w:val="1"/>
          <w:iCs w:val="1"/>
          <w:rtl w:val="0"/>
          <w:lang w:val="en-US"/>
        </w:rPr>
        <w:t>‘</w:t>
      </w:r>
      <w:r>
        <w:rPr>
          <w:rFonts w:cs="Arial Unicode MS" w:eastAsia="Arial Unicode MS"/>
          <w:i w:val="1"/>
          <w:iCs w:val="1"/>
          <w:rtl w:val="0"/>
          <w:lang w:val="en-US"/>
        </w:rPr>
        <w:t>Astrology in the Middle Ages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History Compass, Vol. 8, Issue 8, Wiley Online Library, 2010, p 888                                                                                      </w:t>
      </w:r>
      <w:r>
        <w:rPr>
          <w:rStyle w:val="Hyperlink.0"/>
        </w:rPr>
        <w:fldChar w:fldCharType="begin" w:fldLock="0"/>
      </w:r>
      <w:r>
        <w:rPr>
          <w:rStyle w:val="Hyperlink.0"/>
        </w:rPr>
        <w:instrText xml:space="preserve"> HYPERLINK "https://doi.org/10.1111/j.1478-0542.2010.00703.x"</w:instrText>
      </w:r>
      <w:r>
        <w:rPr>
          <w:rStyle w:val="Hyperlink.0"/>
        </w:rPr>
        <w:fldChar w:fldCharType="separate" w:fldLock="0"/>
      </w:r>
      <w:r>
        <w:rPr>
          <w:rStyle w:val="Hyperlink.0"/>
          <w:rFonts w:cs="Arial Unicode MS" w:eastAsia="Arial Unicode MS"/>
          <w:rtl w:val="0"/>
          <w:lang w:val="en-US"/>
        </w:rPr>
        <w:t>https://doi.org/10.1111/j.1478-0542.2010.00703.x</w:t>
      </w:r>
      <w:r>
        <w:rPr/>
        <w:fldChar w:fldCharType="end" w:fldLock="0"/>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Carey, Hilary M, </w:t>
      </w:r>
      <w:r>
        <w:rPr>
          <w:rFonts w:cs="Arial Unicode MS" w:eastAsia="Arial Unicode MS" w:hint="default"/>
          <w:i w:val="1"/>
          <w:iCs w:val="1"/>
          <w:rtl w:val="0"/>
          <w:lang w:val="en-US"/>
        </w:rPr>
        <w:t>‘</w:t>
      </w:r>
      <w:r>
        <w:rPr>
          <w:rFonts w:cs="Arial Unicode MS" w:eastAsia="Arial Unicode MS"/>
          <w:i w:val="1"/>
          <w:iCs w:val="1"/>
          <w:rtl w:val="0"/>
          <w:lang w:val="en-US"/>
        </w:rPr>
        <w:t>Astrology in the Middle Ages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History Compass, Vol. 8, Issue 8, Wiley Online Library, 2010, p 888                                                                                      </w:t>
      </w:r>
      <w:r>
        <w:rPr>
          <w:rStyle w:val="Hyperlink.0"/>
        </w:rPr>
        <w:fldChar w:fldCharType="begin" w:fldLock="0"/>
      </w:r>
      <w:r>
        <w:rPr>
          <w:rStyle w:val="Hyperlink.0"/>
        </w:rPr>
        <w:instrText xml:space="preserve"> HYPERLINK "https://doi.org/10.1111/j.1478-0542.2010.00703.x"</w:instrText>
      </w:r>
      <w:r>
        <w:rPr>
          <w:rStyle w:val="Hyperlink.0"/>
        </w:rPr>
        <w:fldChar w:fldCharType="separate" w:fldLock="0"/>
      </w:r>
      <w:r>
        <w:rPr>
          <w:rStyle w:val="Hyperlink.0"/>
          <w:rFonts w:cs="Arial Unicode MS" w:eastAsia="Arial Unicode MS"/>
          <w:rtl w:val="0"/>
          <w:lang w:val="en-US"/>
        </w:rPr>
        <w:t>https://doi.org/10.1111/j.1478-0542.2010.00703.x</w:t>
      </w:r>
      <w:r>
        <w:rPr/>
        <w:fldChar w:fldCharType="end" w:fldLock="0"/>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color w:val="0000ff"/>
      <w:u w:val="single" w:color="0000ff"/>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