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E1406" w14:textId="77777777" w:rsidR="008D24C7" w:rsidRPr="00F55763" w:rsidRDefault="008D24C7" w:rsidP="00833F3F">
      <w:pPr>
        <w:spacing w:before="240" w:after="0" w:line="240" w:lineRule="auto"/>
        <w:jc w:val="center"/>
        <w:rPr>
          <w:rFonts w:eastAsia="Times New Roman" w:cs="Arial"/>
          <w:b/>
          <w:bCs/>
          <w:color w:val="222222"/>
          <w:sz w:val="44"/>
          <w:szCs w:val="44"/>
          <w:lang w:val="en-GB"/>
        </w:rPr>
      </w:pPr>
      <w:r w:rsidRPr="00F55763">
        <w:rPr>
          <w:rFonts w:eastAsia="Times New Roman" w:cs="Arial"/>
          <w:b/>
          <w:bCs/>
          <w:color w:val="222222"/>
          <w:sz w:val="44"/>
          <w:szCs w:val="44"/>
          <w:lang w:val="en-GB"/>
        </w:rPr>
        <w:t>Sustainable Hospitality &amp; Tourism</w:t>
      </w:r>
    </w:p>
    <w:p w14:paraId="5ED8FF16" w14:textId="1AF6E645" w:rsidR="00F55763" w:rsidRPr="00F55763" w:rsidRDefault="008D24C7" w:rsidP="00833F3F">
      <w:pPr>
        <w:spacing w:before="240" w:after="0" w:line="240" w:lineRule="auto"/>
        <w:jc w:val="center"/>
        <w:rPr>
          <w:rFonts w:eastAsia="Times New Roman" w:cs="Arial"/>
          <w:b/>
          <w:bCs/>
          <w:color w:val="222222"/>
          <w:sz w:val="44"/>
          <w:szCs w:val="44"/>
          <w:lang w:val="en-GB"/>
        </w:rPr>
      </w:pPr>
      <w:r w:rsidRPr="00F55763">
        <w:rPr>
          <w:rFonts w:eastAsia="Times New Roman" w:cs="Arial"/>
          <w:b/>
          <w:bCs/>
          <w:color w:val="222222"/>
          <w:sz w:val="44"/>
          <w:szCs w:val="44"/>
          <w:lang w:val="en-GB"/>
        </w:rPr>
        <w:t>Management</w:t>
      </w:r>
      <w:r w:rsidR="00833F3F">
        <w:rPr>
          <w:rFonts w:eastAsia="Times New Roman" w:cs="Arial"/>
          <w:b/>
          <w:bCs/>
          <w:color w:val="222222"/>
          <w:sz w:val="44"/>
          <w:szCs w:val="44"/>
          <w:lang w:val="en-GB"/>
        </w:rPr>
        <w:t xml:space="preserve"> (BMIH5006)</w:t>
      </w:r>
    </w:p>
    <w:p w14:paraId="46A0BD38" w14:textId="77777777" w:rsidR="00F55763" w:rsidRDefault="00F55763" w:rsidP="00833F3F">
      <w:pPr>
        <w:spacing w:before="240" w:after="0" w:line="240" w:lineRule="auto"/>
        <w:jc w:val="center"/>
        <w:rPr>
          <w:rFonts w:eastAsia="Times New Roman" w:cs="Arial"/>
          <w:color w:val="222222"/>
          <w:sz w:val="44"/>
          <w:szCs w:val="44"/>
          <w:lang w:val="en-GB"/>
        </w:rPr>
      </w:pPr>
    </w:p>
    <w:p w14:paraId="1F87E370" w14:textId="77777777" w:rsidR="00F55763" w:rsidRPr="003205C0" w:rsidRDefault="00F55763" w:rsidP="00F55763">
      <w:pPr>
        <w:rPr>
          <w:b/>
          <w:bCs/>
        </w:rPr>
      </w:pPr>
    </w:p>
    <w:p w14:paraId="3B2D0E37" w14:textId="77777777" w:rsidR="00F55763" w:rsidRPr="00F55763" w:rsidRDefault="00F55763" w:rsidP="00833F3F">
      <w:pPr>
        <w:spacing w:line="276" w:lineRule="auto"/>
        <w:rPr>
          <w:b/>
          <w:bCs/>
          <w:sz w:val="32"/>
          <w:szCs w:val="32"/>
        </w:rPr>
      </w:pPr>
      <w:r w:rsidRPr="00F55763">
        <w:rPr>
          <w:b/>
          <w:bCs/>
          <w:sz w:val="32"/>
          <w:szCs w:val="32"/>
        </w:rPr>
        <w:t>Name: Natalia Tucan</w:t>
      </w:r>
    </w:p>
    <w:p w14:paraId="4A87153E" w14:textId="77777777" w:rsidR="00F55763" w:rsidRPr="00F55763" w:rsidRDefault="00F55763" w:rsidP="00833F3F">
      <w:pPr>
        <w:spacing w:line="276" w:lineRule="auto"/>
        <w:rPr>
          <w:b/>
          <w:bCs/>
          <w:sz w:val="32"/>
          <w:szCs w:val="32"/>
        </w:rPr>
      </w:pPr>
      <w:r w:rsidRPr="00F55763">
        <w:rPr>
          <w:b/>
          <w:bCs/>
          <w:sz w:val="32"/>
          <w:szCs w:val="32"/>
        </w:rPr>
        <w:t>Student ID number: 2133016</w:t>
      </w:r>
    </w:p>
    <w:p w14:paraId="3B46CD61" w14:textId="33D3F8E3" w:rsidR="00F55763" w:rsidRPr="00F55763" w:rsidRDefault="00F55763" w:rsidP="00833F3F">
      <w:pPr>
        <w:spacing w:line="276" w:lineRule="auto"/>
        <w:rPr>
          <w:b/>
          <w:bCs/>
          <w:sz w:val="32"/>
          <w:szCs w:val="32"/>
        </w:rPr>
      </w:pPr>
      <w:r w:rsidRPr="00F55763">
        <w:rPr>
          <w:b/>
          <w:bCs/>
          <w:sz w:val="32"/>
          <w:szCs w:val="32"/>
        </w:rPr>
        <w:t>Lecturer: Huw Thomas</w:t>
      </w:r>
    </w:p>
    <w:p w14:paraId="2EA14326" w14:textId="45BEDFE9" w:rsidR="00CB0ECA" w:rsidRPr="00A365BA" w:rsidRDefault="00CB0ECA" w:rsidP="008D24C7">
      <w:pPr>
        <w:spacing w:before="240" w:after="0"/>
        <w:jc w:val="center"/>
        <w:rPr>
          <w:rFonts w:eastAsia="Times New Roman" w:cs="Arial"/>
          <w:color w:val="222222"/>
          <w:szCs w:val="24"/>
          <w:lang w:val="en-GB"/>
        </w:rPr>
      </w:pPr>
      <w:r w:rsidRPr="00A365BA">
        <w:rPr>
          <w:rFonts w:eastAsia="Times New Roman" w:cs="Arial"/>
          <w:color w:val="222222"/>
          <w:szCs w:val="24"/>
          <w:lang w:val="en-GB"/>
        </w:rPr>
        <w:br w:type="page"/>
      </w:r>
    </w:p>
    <w:p w14:paraId="2B7D7541" w14:textId="4B5DAA7F" w:rsidR="00186A9E" w:rsidRPr="00A365BA" w:rsidRDefault="00186A9E" w:rsidP="000B488D">
      <w:pPr>
        <w:pStyle w:val="Heading1"/>
        <w:rPr>
          <w:rFonts w:eastAsia="Times New Roman" w:cs="Arial"/>
          <w:lang w:val="en-GB"/>
        </w:rPr>
      </w:pPr>
      <w:bookmarkStart w:id="0" w:name="_Toc157533906"/>
      <w:r w:rsidRPr="00A365BA">
        <w:rPr>
          <w:rFonts w:eastAsia="Times New Roman" w:cs="Arial"/>
          <w:lang w:val="en-GB"/>
        </w:rPr>
        <w:lastRenderedPageBreak/>
        <w:t>Introduction</w:t>
      </w:r>
      <w:bookmarkEnd w:id="0"/>
    </w:p>
    <w:p w14:paraId="07080CEB" w14:textId="77777777"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This assignment has chosen the criteria of Corporate Social Responsibility under a particular hotel management.  the question may arise as to how they implement their circular economy based on social responsibility within the working environment.  However, all the indicative contents refer to the sustainable practice of work-first management.  Alongside this, the particular responsibility policy Can be developed through the discussion of evaluation and review that forecast the process of Hotel Management.  the internal mechanism of corporate social responsibility will be highlighted throughout this assignment.  it may encourage the internal governance process of this hotel. </w:t>
      </w:r>
    </w:p>
    <w:p w14:paraId="016DB0CB" w14:textId="0AEA9CD1"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This assignment has chosen </w:t>
      </w:r>
      <w:r w:rsidRPr="00A365BA">
        <w:rPr>
          <w:rFonts w:eastAsia="Times New Roman" w:cs="Arial"/>
          <w:b/>
          <w:bCs/>
          <w:color w:val="222222"/>
          <w:szCs w:val="24"/>
          <w:lang w:val="en-GB"/>
        </w:rPr>
        <w:t xml:space="preserve">Accor </w:t>
      </w:r>
      <w:r w:rsidRPr="00A365BA">
        <w:rPr>
          <w:rFonts w:eastAsia="Times New Roman" w:cs="Arial"/>
          <w:color w:val="222222"/>
          <w:szCs w:val="24"/>
          <w:lang w:val="en-GB"/>
        </w:rPr>
        <w:t xml:space="preserve">in the UK.  it will discuss all the criteria of events and programs for </w:t>
      </w:r>
      <w:r w:rsidR="00041CA9" w:rsidRPr="00A365BA">
        <w:rPr>
          <w:rFonts w:eastAsia="Times New Roman" w:cs="Arial"/>
          <w:color w:val="222222"/>
          <w:szCs w:val="24"/>
          <w:lang w:val="en-GB"/>
        </w:rPr>
        <w:t>analys</w:t>
      </w:r>
      <w:r w:rsidRPr="00A365BA">
        <w:rPr>
          <w:rFonts w:eastAsia="Times New Roman" w:cs="Arial"/>
          <w:color w:val="222222"/>
          <w:szCs w:val="24"/>
          <w:lang w:val="en-GB"/>
        </w:rPr>
        <w:t>ing their circular economy of corporate social responsibility.  Primarily, it is important to know what is circular economy is and what corporate social responsibility indicates.</w:t>
      </w:r>
    </w:p>
    <w:p w14:paraId="682416A3" w14:textId="77777777" w:rsidR="00186A9E" w:rsidRPr="00A365BA" w:rsidRDefault="00186A9E" w:rsidP="000B488D">
      <w:pPr>
        <w:rPr>
          <w:rFonts w:cs="Arial"/>
          <w:b/>
          <w:bCs/>
          <w:lang w:val="en-GB"/>
        </w:rPr>
      </w:pPr>
      <w:bookmarkStart w:id="1" w:name="_Toc157533907"/>
      <w:r w:rsidRPr="00A365BA">
        <w:rPr>
          <w:rFonts w:cs="Arial"/>
          <w:b/>
          <w:bCs/>
          <w:lang w:val="en-GB"/>
        </w:rPr>
        <w:t>Circular economy in hotel management:</w:t>
      </w:r>
      <w:bookmarkEnd w:id="1"/>
    </w:p>
    <w:p w14:paraId="4B856294" w14:textId="2CB75F6C"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Circular economics in the cats those Economics that have the economic agents to </w:t>
      </w:r>
      <w:r w:rsidR="00041CA9" w:rsidRPr="00A365BA">
        <w:rPr>
          <w:rFonts w:eastAsia="Times New Roman" w:cs="Arial"/>
          <w:color w:val="222222"/>
          <w:szCs w:val="24"/>
          <w:lang w:val="en-GB"/>
        </w:rPr>
        <w:t>analys</w:t>
      </w:r>
      <w:r w:rsidRPr="00A365BA">
        <w:rPr>
          <w:rFonts w:eastAsia="Times New Roman" w:cs="Arial"/>
          <w:color w:val="222222"/>
          <w:szCs w:val="24"/>
          <w:lang w:val="en-GB"/>
        </w:rPr>
        <w:t xml:space="preserve">e all the economic performance and make decisions for satisfying the requirements of customers and shareholders </w:t>
      </w:r>
      <w:r w:rsidR="00946E9D" w:rsidRPr="00A365BA">
        <w:rPr>
          <w:rFonts w:eastAsia="Times New Roman" w:cs="Arial"/>
          <w:color w:val="222222"/>
          <w:szCs w:val="24"/>
          <w:lang w:val="en-GB"/>
        </w:rPr>
        <w:t>people</w:t>
      </w:r>
      <w:r w:rsidRPr="00A365BA">
        <w:rPr>
          <w:rFonts w:eastAsia="Times New Roman" w:cs="Arial"/>
          <w:color w:val="222222"/>
          <w:szCs w:val="24"/>
          <w:lang w:val="en-GB"/>
        </w:rPr>
        <w:t xml:space="preserve"> don't have unlimited needs and constraints against limited resources (Barberis and </w:t>
      </w:r>
      <w:proofErr w:type="spellStart"/>
      <w:r w:rsidRPr="00A365BA">
        <w:rPr>
          <w:rFonts w:eastAsia="Times New Roman" w:cs="Arial"/>
          <w:color w:val="222222"/>
          <w:szCs w:val="24"/>
          <w:lang w:val="en-GB"/>
        </w:rPr>
        <w:t>Buchowicz</w:t>
      </w:r>
      <w:proofErr w:type="spellEnd"/>
      <w:r w:rsidRPr="00A365BA">
        <w:rPr>
          <w:rFonts w:eastAsia="Times New Roman" w:cs="Arial"/>
          <w:color w:val="222222"/>
          <w:szCs w:val="24"/>
          <w:lang w:val="en-GB"/>
        </w:rPr>
        <w:t xml:space="preserve">, 2015).  To find some complete solutions for the hotel business, circular economics engages the particular consumption and production method and highly evaluates and optimizes the production process that is under-explored and representative of the creative criteria that have enhanced the concept of the circular economy for around 50 years.  It has become so popular recently Under the concept of Sustainable Development goals (Bux and </w:t>
      </w:r>
      <w:proofErr w:type="spellStart"/>
      <w:r w:rsidRPr="00A365BA">
        <w:rPr>
          <w:rFonts w:eastAsia="Times New Roman" w:cs="Arial"/>
          <w:color w:val="222222"/>
          <w:szCs w:val="24"/>
          <w:lang w:val="en-GB"/>
        </w:rPr>
        <w:t>Amicarelli</w:t>
      </w:r>
      <w:proofErr w:type="spellEnd"/>
      <w:r w:rsidRPr="00A365BA">
        <w:rPr>
          <w:rFonts w:eastAsia="Times New Roman" w:cs="Arial"/>
          <w:color w:val="222222"/>
          <w:szCs w:val="24"/>
          <w:lang w:val="en-GB"/>
        </w:rPr>
        <w:t xml:space="preserve">, 2022). The preliminary research of circular economy can be evolved through the practice of highlighting consumers based on the demanding situation.  Circular economy depends on how much the hotel practices corporate social responsibility as an impact-full perspective and the sophisticated and thoughtful needs of the hotel's growth.  It has been realized that the circular economy has protected Corporate Social Responsibility in sensitive and curious safe Literature That seems to protect the criteria of generating consumer perspective. Taki's particular </w:t>
      </w:r>
      <w:r w:rsidRPr="00A365BA">
        <w:rPr>
          <w:rFonts w:eastAsia="Times New Roman" w:cs="Arial"/>
          <w:color w:val="222222"/>
          <w:szCs w:val="24"/>
          <w:lang w:val="en-GB"/>
        </w:rPr>
        <w:lastRenderedPageBreak/>
        <w:t xml:space="preserve">consumer interest has been the </w:t>
      </w:r>
      <w:r w:rsidR="00082C6F" w:rsidRPr="00A365BA">
        <w:rPr>
          <w:rFonts w:eastAsia="Times New Roman" w:cs="Arial"/>
          <w:color w:val="222222"/>
          <w:szCs w:val="24"/>
          <w:lang w:val="en-GB"/>
        </w:rPr>
        <w:t>centre</w:t>
      </w:r>
      <w:r w:rsidRPr="00A365BA">
        <w:rPr>
          <w:rFonts w:eastAsia="Times New Roman" w:cs="Arial"/>
          <w:color w:val="222222"/>
          <w:szCs w:val="24"/>
          <w:lang w:val="en-GB"/>
        </w:rPr>
        <w:t xml:space="preserve"> of the circular economy practices by the hotel industry, especially in Accor (Chávez </w:t>
      </w:r>
      <w:r w:rsidRPr="00A365BA">
        <w:rPr>
          <w:rFonts w:eastAsia="Times New Roman" w:cs="Arial"/>
          <w:i/>
          <w:iCs/>
          <w:color w:val="222222"/>
          <w:szCs w:val="24"/>
          <w:lang w:val="en-GB"/>
        </w:rPr>
        <w:t>et al.</w:t>
      </w:r>
      <w:r w:rsidRPr="00A365BA">
        <w:rPr>
          <w:rFonts w:eastAsia="Times New Roman" w:cs="Arial"/>
          <w:color w:val="222222"/>
          <w:szCs w:val="24"/>
          <w:lang w:val="en-GB"/>
        </w:rPr>
        <w:t>, 2020). </w:t>
      </w:r>
    </w:p>
    <w:p w14:paraId="57239444" w14:textId="0A1D4C42" w:rsidR="00186A9E" w:rsidRPr="00A365BA" w:rsidRDefault="00186A9E" w:rsidP="000B488D">
      <w:pPr>
        <w:rPr>
          <w:rFonts w:cs="Arial"/>
          <w:b/>
          <w:bCs/>
          <w:lang w:val="en-GB"/>
        </w:rPr>
      </w:pPr>
      <w:bookmarkStart w:id="2" w:name="_Toc157533908"/>
      <w:r w:rsidRPr="00A365BA">
        <w:rPr>
          <w:rFonts w:cs="Arial"/>
          <w:b/>
          <w:bCs/>
          <w:lang w:val="en-GB"/>
        </w:rPr>
        <w:t xml:space="preserve">How corporate social responsibility has become the </w:t>
      </w:r>
      <w:r w:rsidR="00082C6F" w:rsidRPr="00A365BA">
        <w:rPr>
          <w:rFonts w:cs="Arial"/>
          <w:b/>
          <w:bCs/>
          <w:lang w:val="en-GB"/>
        </w:rPr>
        <w:t>centre</w:t>
      </w:r>
      <w:r w:rsidRPr="00A365BA">
        <w:rPr>
          <w:rFonts w:cs="Arial"/>
          <w:b/>
          <w:bCs/>
          <w:lang w:val="en-GB"/>
        </w:rPr>
        <w:t xml:space="preserve"> point of circular economy:</w:t>
      </w:r>
      <w:bookmarkEnd w:id="2"/>
    </w:p>
    <w:p w14:paraId="0AFBE001" w14:textId="77777777"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The circular economy is a rational system that engages available resources, West generated, input and output maximized, emission and energy minimized to narrowing, closing, and slowing the process of improving the assessment criteria.  In Accor, d it can be achieved through the declaration of production cost or resource inputs like physical equipment, </w:t>
      </w:r>
      <w:proofErr w:type="spellStart"/>
      <w:r w:rsidRPr="00A365BA">
        <w:rPr>
          <w:rFonts w:eastAsia="Times New Roman" w:cs="Arial"/>
          <w:color w:val="222222"/>
          <w:szCs w:val="24"/>
          <w:lang w:val="en-GB"/>
        </w:rPr>
        <w:t>labor</w:t>
      </w:r>
      <w:proofErr w:type="spellEnd"/>
      <w:r w:rsidRPr="00A365BA">
        <w:rPr>
          <w:rFonts w:eastAsia="Times New Roman" w:cs="Arial"/>
          <w:color w:val="222222"/>
          <w:szCs w:val="24"/>
          <w:lang w:val="en-GB"/>
        </w:rPr>
        <w:t xml:space="preserve">, energy, and raw materials for the sake of three thinking the service of operation process.  They have some additional expenditure policies regarding purchasing, Waste management policies, environmental policies, and partnership policies for designing and building preferable interior design. Alongside, it prefers to recycle, repair, refurbish, and recycle the progress of movements (Czajkowski </w:t>
      </w:r>
      <w:r w:rsidRPr="00A365BA">
        <w:rPr>
          <w:rFonts w:eastAsia="Times New Roman" w:cs="Arial"/>
          <w:i/>
          <w:iCs/>
          <w:color w:val="222222"/>
          <w:szCs w:val="24"/>
          <w:lang w:val="en-GB"/>
        </w:rPr>
        <w:t>et al.</w:t>
      </w:r>
      <w:r w:rsidRPr="00A365BA">
        <w:rPr>
          <w:rFonts w:eastAsia="Times New Roman" w:cs="Arial"/>
          <w:color w:val="222222"/>
          <w:szCs w:val="24"/>
          <w:lang w:val="en-GB"/>
        </w:rPr>
        <w:t>, 2021).</w:t>
      </w:r>
    </w:p>
    <w:p w14:paraId="7BCD3E08" w14:textId="77777777" w:rsidR="00186A9E" w:rsidRPr="00A365BA" w:rsidRDefault="00186A9E" w:rsidP="000B488D">
      <w:pPr>
        <w:rPr>
          <w:rFonts w:cs="Arial"/>
          <w:b/>
          <w:bCs/>
          <w:lang w:val="en-GB"/>
        </w:rPr>
      </w:pPr>
      <w:bookmarkStart w:id="3" w:name="_Toc157533909"/>
      <w:r w:rsidRPr="00A365BA">
        <w:rPr>
          <w:rFonts w:cs="Arial"/>
          <w:b/>
          <w:bCs/>
          <w:lang w:val="en-GB"/>
        </w:rPr>
        <w:t>Review their CSR policy and evaluate:</w:t>
      </w:r>
      <w:bookmarkEnd w:id="3"/>
    </w:p>
    <w:p w14:paraId="0BD1B78A" w14:textId="059F1306"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Corporate social responsibility has become a crucial business strategy of Accor. They have brought some self-regulating business mechanisms for approaching customers in different circumstances.  On the other hand, these are making them accountable to their internal business policy.  So accountability has been multiplying with themselves, the customer, to the stakeholders (Estévez and Feijoo, 2022).  They believe that corporate cities and shape should become the priority of conscious business policy in aspects of social, economic, and environmental aspects.  This is a broad concept </w:t>
      </w:r>
      <w:proofErr w:type="spellStart"/>
      <w:r w:rsidRPr="00A365BA">
        <w:rPr>
          <w:rFonts w:eastAsia="Times New Roman" w:cs="Arial"/>
          <w:color w:val="222222"/>
          <w:szCs w:val="24"/>
          <w:lang w:val="en-GB"/>
        </w:rPr>
        <w:t>defense</w:t>
      </w:r>
      <w:proofErr w:type="spellEnd"/>
      <w:r w:rsidRPr="00A365BA">
        <w:rPr>
          <w:rFonts w:eastAsia="Times New Roman" w:cs="Arial"/>
          <w:color w:val="222222"/>
          <w:szCs w:val="24"/>
          <w:lang w:val="en-GB"/>
        </w:rPr>
        <w:t xml:space="preserve"> of the industry they sustain. Accor Always prefers to be corporate as a Philanthropy that engages volunteer efforts for the benefit of social and economic brands under the business criteria. This policy is visible and Responsive for large Corporations to be successful and save standard ethical </w:t>
      </w:r>
      <w:proofErr w:type="spellStart"/>
      <w:r w:rsidRPr="00A365BA">
        <w:rPr>
          <w:rFonts w:eastAsia="Times New Roman" w:cs="Arial"/>
          <w:color w:val="222222"/>
          <w:szCs w:val="24"/>
          <w:lang w:val="en-GB"/>
        </w:rPr>
        <w:t>Behavior</w:t>
      </w:r>
      <w:proofErr w:type="spellEnd"/>
      <w:r w:rsidRPr="00A365BA">
        <w:rPr>
          <w:rFonts w:eastAsia="Times New Roman" w:cs="Arial"/>
          <w:color w:val="222222"/>
          <w:szCs w:val="24"/>
          <w:lang w:val="en-GB"/>
        </w:rPr>
        <w:t xml:space="preserve"> for internal industry external competition among peers (Fleming </w:t>
      </w:r>
      <w:r w:rsidRPr="00A365BA">
        <w:rPr>
          <w:rFonts w:eastAsia="Times New Roman" w:cs="Arial"/>
          <w:i/>
          <w:iCs/>
          <w:color w:val="222222"/>
          <w:szCs w:val="24"/>
          <w:lang w:val="en-GB"/>
        </w:rPr>
        <w:t>et al.</w:t>
      </w:r>
      <w:r w:rsidRPr="00A365BA">
        <w:rPr>
          <w:rFonts w:eastAsia="Times New Roman" w:cs="Arial"/>
          <w:color w:val="222222"/>
          <w:szCs w:val="24"/>
          <w:lang w:val="en-GB"/>
        </w:rPr>
        <w:t xml:space="preserve">, 2021). The engagement of corporate social responsibility depends on the ordinary course of business that is operated for enhancing society </w:t>
      </w:r>
      <w:r w:rsidR="007B3F08" w:rsidRPr="00A365BA">
        <w:rPr>
          <w:rFonts w:eastAsia="Times New Roman" w:cs="Arial"/>
          <w:color w:val="222222"/>
          <w:szCs w:val="24"/>
          <w:lang w:val="en-GB"/>
        </w:rPr>
        <w:t>and</w:t>
      </w:r>
      <w:r w:rsidRPr="00A365BA">
        <w:rPr>
          <w:rFonts w:eastAsia="Times New Roman" w:cs="Arial"/>
          <w:color w:val="222222"/>
          <w:szCs w:val="24"/>
          <w:lang w:val="en-GB"/>
        </w:rPr>
        <w:t xml:space="preserve"> the environment rather than contributing the negative approaches and profit-oriented mechanisms towards the business clients.  They are all operations that have been categorized into different forms that have removed the negative criteria from business. </w:t>
      </w:r>
    </w:p>
    <w:p w14:paraId="077ADBB7" w14:textId="77777777" w:rsidR="00186A9E" w:rsidRPr="00A365BA" w:rsidRDefault="00186A9E" w:rsidP="000B488D">
      <w:pPr>
        <w:rPr>
          <w:rFonts w:cs="Arial"/>
          <w:b/>
          <w:bCs/>
          <w:lang w:val="en-GB"/>
        </w:rPr>
      </w:pPr>
      <w:r w:rsidRPr="00A365BA">
        <w:rPr>
          <w:rFonts w:cs="Arial"/>
          <w:lang w:val="en-GB"/>
        </w:rPr>
        <w:lastRenderedPageBreak/>
        <w:t xml:space="preserve"> </w:t>
      </w:r>
      <w:bookmarkStart w:id="4" w:name="_Toc157533910"/>
      <w:r w:rsidRPr="00A365BA">
        <w:rPr>
          <w:rFonts w:cs="Arial"/>
          <w:b/>
          <w:bCs/>
          <w:lang w:val="en-GB"/>
        </w:rPr>
        <w:t>Industry examples of companies embodying the circular economy:</w:t>
      </w:r>
      <w:bookmarkEnd w:id="4"/>
    </w:p>
    <w:p w14:paraId="0F4B9FE6" w14:textId="1E822F72"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An example can be provided for this scheme for generating the idea of increasing the opportunity for corporate social responsibility. A case has been </w:t>
      </w:r>
      <w:r w:rsidR="00041CA9" w:rsidRPr="00A365BA">
        <w:rPr>
          <w:rFonts w:eastAsia="Times New Roman" w:cs="Arial"/>
          <w:color w:val="222222"/>
          <w:szCs w:val="24"/>
          <w:lang w:val="en-GB"/>
        </w:rPr>
        <w:t>analys</w:t>
      </w:r>
      <w:r w:rsidRPr="00A365BA">
        <w:rPr>
          <w:rFonts w:eastAsia="Times New Roman" w:cs="Arial"/>
          <w:color w:val="222222"/>
          <w:szCs w:val="24"/>
          <w:lang w:val="en-GB"/>
        </w:rPr>
        <w:t>ed below, </w:t>
      </w:r>
    </w:p>
    <w:p w14:paraId="6227317F" w14:textId="2C39B386" w:rsidR="00186A9E" w:rsidRPr="00A365BA" w:rsidRDefault="00186A9E" w:rsidP="000B488D">
      <w:pPr>
        <w:shd w:val="clear" w:color="auto" w:fill="FFFFFF"/>
        <w:spacing w:before="240" w:after="0"/>
        <w:rPr>
          <w:rFonts w:eastAsia="Times New Roman" w:cs="Arial"/>
          <w:szCs w:val="24"/>
          <w:lang w:val="en-GB"/>
        </w:rPr>
      </w:pPr>
      <w:r w:rsidRPr="00A365BA">
        <w:rPr>
          <w:rFonts w:eastAsia="Times New Roman" w:cs="Arial"/>
          <w:iCs/>
          <w:color w:val="252339"/>
          <w:szCs w:val="24"/>
          <w:lang w:val="en-GB"/>
        </w:rPr>
        <w:t xml:space="preserve"> As a sustainable and eco-friendly event arranged by this hotel that offers walking into the illuminated dark forest that is iconic and fantastic beasts with Wizarding World.  But every Traveler should buy the ticket before. Accor Authority has provided a mechanism for buying tickets for Harry Potter (Korhonen, </w:t>
      </w:r>
      <w:proofErr w:type="spellStart"/>
      <w:r w:rsidRPr="00A365BA">
        <w:rPr>
          <w:rFonts w:eastAsia="Times New Roman" w:cs="Arial"/>
          <w:iCs/>
          <w:color w:val="252339"/>
          <w:szCs w:val="24"/>
          <w:lang w:val="en-GB"/>
        </w:rPr>
        <w:t>Honkasalo</w:t>
      </w:r>
      <w:proofErr w:type="spellEnd"/>
      <w:r w:rsidRPr="00A365BA">
        <w:rPr>
          <w:rFonts w:eastAsia="Times New Roman" w:cs="Arial"/>
          <w:iCs/>
          <w:color w:val="252339"/>
          <w:szCs w:val="24"/>
          <w:lang w:val="en-GB"/>
        </w:rPr>
        <w:t xml:space="preserve">, and Seppälä, 2018). As a Forbidden Forest experiment in </w:t>
      </w:r>
      <w:r w:rsidRPr="00A365BA">
        <w:rPr>
          <w:rFonts w:eastAsia="Times New Roman" w:cs="Arial"/>
          <w:color w:val="252339"/>
          <w:szCs w:val="24"/>
          <w:lang w:val="en-GB"/>
        </w:rPr>
        <w:t>Sentosa Island, Singapore</w:t>
      </w:r>
    </w:p>
    <w:p w14:paraId="399C3156" w14:textId="612A2F15" w:rsidR="007F5836" w:rsidRPr="00A365BA" w:rsidRDefault="007F5836" w:rsidP="000B488D">
      <w:pPr>
        <w:shd w:val="clear" w:color="auto" w:fill="FFFFFF"/>
        <w:spacing w:before="240" w:after="0"/>
        <w:rPr>
          <w:rFonts w:eastAsia="Times New Roman" w:cs="Arial"/>
          <w:b/>
          <w:bCs/>
          <w:color w:val="252339"/>
          <w:szCs w:val="24"/>
          <w:lang w:val="en-GB"/>
        </w:rPr>
      </w:pPr>
      <w:r w:rsidRPr="00A365BA">
        <w:rPr>
          <w:rFonts w:eastAsia="Times New Roman" w:cs="Arial"/>
          <w:b/>
          <w:bCs/>
          <w:color w:val="252339"/>
          <w:szCs w:val="24"/>
          <w:lang w:val="en-GB"/>
        </w:rPr>
        <w:t xml:space="preserve">Ethical Standard admission and sustainable engagement </w:t>
      </w:r>
    </w:p>
    <w:p w14:paraId="41A0AD2A" w14:textId="64234F0A" w:rsidR="00186A9E" w:rsidRPr="00A365BA" w:rsidRDefault="007F5836" w:rsidP="000B488D">
      <w:pPr>
        <w:shd w:val="clear" w:color="auto" w:fill="FFFFFF"/>
        <w:spacing w:before="240" w:after="0"/>
        <w:rPr>
          <w:rFonts w:eastAsia="Times New Roman" w:cs="Arial"/>
          <w:b/>
          <w:bCs/>
          <w:color w:val="252339"/>
          <w:szCs w:val="24"/>
          <w:lang w:val="en-GB"/>
        </w:rPr>
      </w:pPr>
      <w:r w:rsidRPr="00A365BA">
        <w:rPr>
          <w:rFonts w:eastAsia="Times New Roman" w:cs="Arial"/>
          <w:color w:val="252339"/>
          <w:szCs w:val="24"/>
          <w:lang w:val="en-GB"/>
        </w:rPr>
        <w:t>I</w:t>
      </w:r>
      <w:r w:rsidR="00186A9E" w:rsidRPr="00A365BA">
        <w:rPr>
          <w:rFonts w:eastAsia="Times New Roman" w:cs="Arial"/>
          <w:color w:val="252339"/>
          <w:szCs w:val="24"/>
          <w:lang w:val="en-GB"/>
        </w:rPr>
        <w:t>t has been provided standard entry that is inspired by the authority for entering into the forest trail of the Wizarding World.  They have specified some stakeholders and clients so that the particularity of participants can be maintained through this process, on the other hand, the progress of Sustainable participants can be developed by permanent residence, valid passing holders, Singapore Citizens through work permits, Work Pass, E Pass, and S Pass, Dependent's Pass, etc.) (Kurt, 2018). They all can purchase tickets for this program.  These are called resident tickets. The age group of participants is 13 + for adults, 4 to 12 for children, 6 tickets for group bundle, 4 plus tickets with a maximum of adults, 60 plus students for seniors, and required valid ID, etc.  </w:t>
      </w:r>
    </w:p>
    <w:p w14:paraId="000DF1A8" w14:textId="7AAD9BA0" w:rsidR="00186A9E" w:rsidRPr="00A365BA" w:rsidRDefault="00186A9E" w:rsidP="000B488D">
      <w:pPr>
        <w:shd w:val="clear" w:color="auto" w:fill="FFFFFF"/>
        <w:spacing w:before="240" w:after="0"/>
        <w:rPr>
          <w:rFonts w:eastAsia="Times New Roman" w:cs="Arial"/>
          <w:szCs w:val="24"/>
          <w:lang w:val="en-GB"/>
        </w:rPr>
      </w:pPr>
      <w:r w:rsidRPr="00A365BA">
        <w:rPr>
          <w:rFonts w:eastAsia="Times New Roman" w:cs="Arial"/>
          <w:color w:val="252339"/>
          <w:szCs w:val="24"/>
          <w:lang w:val="en-GB"/>
        </w:rPr>
        <w:t>Deluxe Bundles:  this arrangement has been located for tourists and residents including this program of Harry Potter.  They will receive a tote bag exclusively and a letter of authority That will provide them with enjoyment of this program. </w:t>
      </w:r>
    </w:p>
    <w:p w14:paraId="31FC7A3F" w14:textId="77777777" w:rsidR="00186A9E" w:rsidRPr="00A365BA" w:rsidRDefault="00186A9E" w:rsidP="000B488D">
      <w:pPr>
        <w:spacing w:before="240" w:after="0"/>
        <w:rPr>
          <w:rFonts w:cs="Arial"/>
          <w:b/>
          <w:bCs/>
          <w:lang w:val="en-GB"/>
        </w:rPr>
      </w:pPr>
      <w:bookmarkStart w:id="5" w:name="_Toc157533912"/>
      <w:r w:rsidRPr="00A365BA">
        <w:rPr>
          <w:rFonts w:cs="Arial"/>
          <w:b/>
          <w:bCs/>
          <w:lang w:val="en-GB"/>
        </w:rPr>
        <w:t>Using the sustainable power nature:</w:t>
      </w:r>
      <w:bookmarkEnd w:id="5"/>
    </w:p>
    <w:p w14:paraId="351EB60C" w14:textId="3589FF5A" w:rsidR="007B3F08" w:rsidRDefault="00186A9E" w:rsidP="000B488D">
      <w:pPr>
        <w:shd w:val="clear" w:color="auto" w:fill="FFFFFF"/>
        <w:spacing w:before="240" w:after="0"/>
        <w:rPr>
          <w:rFonts w:eastAsia="Times New Roman" w:cs="Arial"/>
          <w:color w:val="252339"/>
          <w:szCs w:val="24"/>
          <w:lang w:val="en-GB"/>
        </w:rPr>
      </w:pPr>
      <w:r w:rsidRPr="00A365BA">
        <w:rPr>
          <w:rFonts w:eastAsia="Times New Roman" w:cs="Arial"/>
          <w:color w:val="252339"/>
          <w:szCs w:val="24"/>
          <w:lang w:val="en-GB"/>
        </w:rPr>
        <w:t xml:space="preserve">They have entitled a program or event named ‘Give a Tree, Grow a Forest’.  In this program, they are highly committed to protecting the planet truly celebrating The Legacy for future generations by ensuring the power of nature (Lee, 2017). In this regard, tourists will get the opportunity to enjoy the beautiful surroundings.  They have also sustainable development 17 that emphasizes the partnership for bringing </w:t>
      </w:r>
      <w:r w:rsidRPr="00A365BA">
        <w:rPr>
          <w:rFonts w:eastAsia="Times New Roman" w:cs="Arial"/>
          <w:color w:val="252339"/>
          <w:szCs w:val="24"/>
          <w:lang w:val="en-GB"/>
        </w:rPr>
        <w:lastRenderedPageBreak/>
        <w:t>sustainability.  The ultimate objective is to cover the cost of planting by buying a tree</w:t>
      </w:r>
      <w:r w:rsidR="007B3F08">
        <w:rPr>
          <w:rFonts w:eastAsia="Times New Roman" w:cs="Arial"/>
          <w:color w:val="252339"/>
          <w:szCs w:val="24"/>
          <w:lang w:val="en-GB"/>
        </w:rPr>
        <w:t xml:space="preserve"> </w:t>
      </w:r>
      <w:r w:rsidRPr="00A365BA">
        <w:rPr>
          <w:rFonts w:eastAsia="Times New Roman" w:cs="Arial"/>
          <w:color w:val="252339"/>
          <w:szCs w:val="24"/>
          <w:lang w:val="en-GB"/>
        </w:rPr>
        <w:t>and the management of Accor. </w:t>
      </w:r>
    </w:p>
    <w:p w14:paraId="38DE8AEE" w14:textId="77777777" w:rsidR="007B3F08" w:rsidRPr="007B3F08" w:rsidRDefault="007B3F08" w:rsidP="000B488D">
      <w:pPr>
        <w:shd w:val="clear" w:color="auto" w:fill="FFFFFF"/>
        <w:spacing w:before="240" w:after="0"/>
        <w:rPr>
          <w:rFonts w:eastAsia="Times New Roman" w:cs="Arial"/>
          <w:b/>
          <w:color w:val="252339"/>
          <w:szCs w:val="24"/>
          <w:lang w:val="en-GB"/>
        </w:rPr>
      </w:pPr>
      <w:r w:rsidRPr="007B3F08">
        <w:rPr>
          <w:rFonts w:eastAsia="Times New Roman" w:cs="Arial"/>
          <w:b/>
          <w:color w:val="252339"/>
          <w:szCs w:val="24"/>
          <w:lang w:val="en-GB"/>
        </w:rPr>
        <w:t>Accessibility as a right</w:t>
      </w:r>
    </w:p>
    <w:p w14:paraId="6A9FE0FE" w14:textId="3F1C39B4" w:rsidR="00186A9E" w:rsidRPr="007B3F08" w:rsidRDefault="00186A9E" w:rsidP="000B488D">
      <w:pPr>
        <w:shd w:val="clear" w:color="auto" w:fill="FFFFFF"/>
        <w:spacing w:before="240" w:after="0"/>
        <w:rPr>
          <w:rFonts w:eastAsia="Times New Roman" w:cs="Arial"/>
          <w:color w:val="252339"/>
          <w:szCs w:val="24"/>
          <w:lang w:val="en-GB"/>
        </w:rPr>
      </w:pPr>
      <w:r w:rsidRPr="00A365BA">
        <w:rPr>
          <w:rFonts w:eastAsia="Times New Roman" w:cs="Arial"/>
          <w:color w:val="252339"/>
          <w:szCs w:val="24"/>
          <w:lang w:val="en-GB"/>
        </w:rPr>
        <w:t xml:space="preserve"> All the Travelers are instructed to be ever of </w:t>
      </w:r>
      <w:r w:rsidR="00167017" w:rsidRPr="00A365BA">
        <w:rPr>
          <w:rFonts w:eastAsia="Times New Roman" w:cs="Arial"/>
          <w:color w:val="252339"/>
          <w:szCs w:val="24"/>
          <w:lang w:val="en-GB"/>
        </w:rPr>
        <w:t xml:space="preserve">the </w:t>
      </w:r>
      <w:r w:rsidRPr="00A365BA">
        <w:rPr>
          <w:rFonts w:eastAsia="Times New Roman" w:cs="Arial"/>
          <w:color w:val="252339"/>
          <w:szCs w:val="24"/>
          <w:lang w:val="en-GB"/>
        </w:rPr>
        <w:t>Park trail.  All disabled persons are allowed to enter into this opportunity because the way is paved and there are narrow sections where the entrance of wheelchair access has become difficult.  But, they have made some alternative ways of making this entrance available to the policy (Lewandowski, 2016). </w:t>
      </w:r>
    </w:p>
    <w:p w14:paraId="12875A13" w14:textId="77777777" w:rsidR="00186A9E" w:rsidRPr="00A365BA" w:rsidRDefault="00186A9E" w:rsidP="000B488D">
      <w:pPr>
        <w:spacing w:before="240" w:after="0"/>
        <w:rPr>
          <w:rFonts w:cs="Arial"/>
          <w:b/>
          <w:bCs/>
          <w:lang w:val="en-GB"/>
        </w:rPr>
      </w:pPr>
      <w:bookmarkStart w:id="6" w:name="_Toc157533913"/>
      <w:r w:rsidRPr="00A365BA">
        <w:rPr>
          <w:rFonts w:cs="Arial"/>
          <w:b/>
          <w:bCs/>
          <w:lang w:val="en-GB"/>
        </w:rPr>
        <w:t>Definitions of sustainability:</w:t>
      </w:r>
      <w:bookmarkEnd w:id="6"/>
    </w:p>
    <w:p w14:paraId="6D9750A8" w14:textId="79EFE1C6"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Sustainability indicates the endurance of utilizing resources, opportunities, and responsibilities in a sustainable manner that protects the resources for future generations as a continuous process of reproduction. It indicates the tourism impact, the engagement of sustainability, and the causes and effects of sustainability on the total hotel business. For example, Accor Has described all the principles of sustainability under their events and programs where tourism may be affected by causes and effects of </w:t>
      </w:r>
      <w:r w:rsidR="00167017" w:rsidRPr="00A365BA">
        <w:rPr>
          <w:rFonts w:eastAsia="Times New Roman" w:cs="Arial"/>
          <w:color w:val="222222"/>
          <w:szCs w:val="24"/>
          <w:lang w:val="en-GB"/>
        </w:rPr>
        <w:t>travelling</w:t>
      </w:r>
      <w:r w:rsidRPr="00A365BA">
        <w:rPr>
          <w:rFonts w:eastAsia="Times New Roman" w:cs="Arial"/>
          <w:color w:val="222222"/>
          <w:szCs w:val="24"/>
          <w:lang w:val="en-GB"/>
        </w:rPr>
        <w:t xml:space="preserve"> through unsustainable practices. As a result, they informed the environmental policy Waste management policy, and supply issues (</w:t>
      </w:r>
      <w:proofErr w:type="spellStart"/>
      <w:r w:rsidRPr="00A365BA">
        <w:rPr>
          <w:rFonts w:eastAsia="Times New Roman" w:cs="Arial"/>
          <w:color w:val="222222"/>
          <w:szCs w:val="24"/>
          <w:lang w:val="en-GB"/>
        </w:rPr>
        <w:t>Menegaki</w:t>
      </w:r>
      <w:proofErr w:type="spellEnd"/>
      <w:r w:rsidRPr="00A365BA">
        <w:rPr>
          <w:rFonts w:eastAsia="Times New Roman" w:cs="Arial"/>
          <w:color w:val="222222"/>
          <w:szCs w:val="24"/>
          <w:lang w:val="en-GB"/>
        </w:rPr>
        <w:t>, 2018).</w:t>
      </w:r>
    </w:p>
    <w:p w14:paraId="60FE415A" w14:textId="77777777" w:rsidR="00186A9E" w:rsidRPr="00A365BA" w:rsidRDefault="00186A9E" w:rsidP="000B488D">
      <w:pPr>
        <w:spacing w:before="240" w:after="0"/>
        <w:rPr>
          <w:rFonts w:cs="Arial"/>
          <w:b/>
          <w:bCs/>
          <w:lang w:val="en-GB"/>
        </w:rPr>
      </w:pPr>
      <w:bookmarkStart w:id="7" w:name="_Toc157533914"/>
      <w:r w:rsidRPr="00A365BA">
        <w:rPr>
          <w:rFonts w:cs="Arial"/>
          <w:b/>
          <w:bCs/>
          <w:lang w:val="en-GB"/>
        </w:rPr>
        <w:t>Historical development of hospitality and tourism:</w:t>
      </w:r>
      <w:bookmarkEnd w:id="7"/>
    </w:p>
    <w:p w14:paraId="151E1182" w14:textId="121162F5"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Development in hospitals and tourism is a highly broad analysis.  but the pre-recorded history of tourism indicates that </w:t>
      </w:r>
      <w:r w:rsidR="00167017" w:rsidRPr="00A365BA">
        <w:rPr>
          <w:rFonts w:eastAsia="Times New Roman" w:cs="Arial"/>
          <w:color w:val="222222"/>
          <w:szCs w:val="24"/>
          <w:lang w:val="en-GB"/>
        </w:rPr>
        <w:t>travelling</w:t>
      </w:r>
      <w:r w:rsidRPr="00A365BA">
        <w:rPr>
          <w:rFonts w:eastAsia="Times New Roman" w:cs="Arial"/>
          <w:color w:val="222222"/>
          <w:szCs w:val="24"/>
          <w:lang w:val="en-GB"/>
        </w:rPr>
        <w:t xml:space="preserve"> has become out of sound as an adventure and curiosity.  </w:t>
      </w:r>
      <w:r w:rsidR="00167017" w:rsidRPr="00A365BA">
        <w:rPr>
          <w:rFonts w:eastAsia="Times New Roman" w:cs="Arial"/>
          <w:color w:val="222222"/>
          <w:szCs w:val="24"/>
          <w:lang w:val="en-GB"/>
        </w:rPr>
        <w:t>From</w:t>
      </w:r>
      <w:r w:rsidRPr="00A365BA">
        <w:rPr>
          <w:rFonts w:eastAsia="Times New Roman" w:cs="Arial"/>
          <w:color w:val="222222"/>
          <w:szCs w:val="24"/>
          <w:lang w:val="en-GB"/>
        </w:rPr>
        <w:t xml:space="preserve"> 4850 BC to 715 BC has </w:t>
      </w:r>
      <w:r w:rsidR="007B3F08" w:rsidRPr="00A365BA">
        <w:rPr>
          <w:rFonts w:eastAsia="Times New Roman" w:cs="Arial"/>
          <w:color w:val="222222"/>
          <w:szCs w:val="24"/>
          <w:lang w:val="en-GB"/>
        </w:rPr>
        <w:t>become</w:t>
      </w:r>
      <w:r w:rsidRPr="00A365BA">
        <w:rPr>
          <w:rFonts w:eastAsia="Times New Roman" w:cs="Arial"/>
          <w:color w:val="222222"/>
          <w:szCs w:val="24"/>
          <w:lang w:val="en-GB"/>
        </w:rPr>
        <w:t xml:space="preserve"> very popular through the Egyptian trouble as a centralized government location.  From 900 BC to 200 BC, the dynasty developed currency and language to improve their Traveler services when it was named a city estate (Pizzol, Giannotti, and Tomasiello, 2021). </w:t>
      </w:r>
    </w:p>
    <w:p w14:paraId="732E5661" w14:textId="77777777" w:rsidR="00186A9E" w:rsidRPr="00A365BA" w:rsidRDefault="00186A9E" w:rsidP="000B488D">
      <w:pPr>
        <w:spacing w:before="240" w:after="0"/>
        <w:textAlignment w:val="baseline"/>
        <w:rPr>
          <w:rFonts w:eastAsia="Times New Roman" w:cs="Arial"/>
          <w:b/>
          <w:bCs/>
          <w:color w:val="222222"/>
          <w:szCs w:val="24"/>
          <w:lang w:val="en-GB"/>
        </w:rPr>
      </w:pPr>
      <w:r w:rsidRPr="00A365BA">
        <w:rPr>
          <w:rFonts w:eastAsia="Times New Roman" w:cs="Arial"/>
          <w:b/>
          <w:bCs/>
          <w:color w:val="222222"/>
          <w:szCs w:val="24"/>
          <w:lang w:val="en-GB"/>
        </w:rPr>
        <w:t>Contemporary growth rates:</w:t>
      </w:r>
    </w:p>
    <w:p w14:paraId="53B4C425" w14:textId="2E056A01"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The contemporary growth rate of </w:t>
      </w:r>
      <w:r w:rsidR="00167017" w:rsidRPr="00A365BA">
        <w:rPr>
          <w:rFonts w:eastAsia="Times New Roman" w:cs="Arial"/>
          <w:color w:val="222222"/>
          <w:szCs w:val="24"/>
          <w:lang w:val="en-GB"/>
        </w:rPr>
        <w:t>travelling</w:t>
      </w:r>
      <w:r w:rsidRPr="00A365BA">
        <w:rPr>
          <w:rFonts w:eastAsia="Times New Roman" w:cs="Arial"/>
          <w:color w:val="222222"/>
          <w:szCs w:val="24"/>
          <w:lang w:val="en-GB"/>
        </w:rPr>
        <w:t xml:space="preserve"> and tourism has become very popular based on employment, GDP growth, and circular economy as GDP. In recent years, the compound annual growth rate has estimated Everest 5.8 person as a parallel </w:t>
      </w:r>
      <w:r w:rsidRPr="00A365BA">
        <w:rPr>
          <w:rFonts w:eastAsia="Times New Roman" w:cs="Arial"/>
          <w:color w:val="222222"/>
          <w:szCs w:val="24"/>
          <w:lang w:val="en-GB"/>
        </w:rPr>
        <w:lastRenderedPageBreak/>
        <w:t>growth for circular economic GDP whereas 43.7% where the highest achievement during 2022 for bringing the changes.  But changes have become slow after 22 because of the global inflation impact That has produced an effect on travel and tourism. It has brought a changing pattern of economic development because the travel cost has been raised due to this inflation.  Especially in the UK, around a 9.9% inflation increase caused a decrease in recreational travel booking during August 2022.  It has infected the consumer lifestyle because of the long-term lockdown period and enhanced the progressive Circumstances of Deliberate changes in needs and wants.</w:t>
      </w:r>
    </w:p>
    <w:p w14:paraId="3FD109C7" w14:textId="58D1BB4E" w:rsidR="00186A9E" w:rsidRPr="00A365BA" w:rsidRDefault="00186A9E" w:rsidP="000B488D">
      <w:pPr>
        <w:spacing w:before="240" w:after="0"/>
        <w:rPr>
          <w:rFonts w:cs="Arial"/>
          <w:b/>
          <w:bCs/>
          <w:lang w:val="en-GB"/>
        </w:rPr>
      </w:pPr>
      <w:bookmarkStart w:id="8" w:name="_Toc157533915"/>
      <w:r w:rsidRPr="00A365BA">
        <w:rPr>
          <w:rFonts w:cs="Arial"/>
          <w:b/>
          <w:bCs/>
          <w:lang w:val="en-GB"/>
        </w:rPr>
        <w:t>key international, UK, and national (Wales) Sustainable policy documents</w:t>
      </w:r>
      <w:bookmarkEnd w:id="8"/>
    </w:p>
    <w:p w14:paraId="5170E4EB" w14:textId="6FDDB276"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Various policies and conferences have been </w:t>
      </w:r>
      <w:r w:rsidR="00977CEC" w:rsidRPr="00A365BA">
        <w:rPr>
          <w:rFonts w:eastAsia="Times New Roman" w:cs="Arial"/>
          <w:color w:val="222222"/>
          <w:szCs w:val="24"/>
          <w:lang w:val="en-GB"/>
        </w:rPr>
        <w:t>organis</w:t>
      </w:r>
      <w:r w:rsidRPr="00A365BA">
        <w:rPr>
          <w:rFonts w:eastAsia="Times New Roman" w:cs="Arial"/>
          <w:color w:val="222222"/>
          <w:szCs w:val="24"/>
          <w:lang w:val="en-GB"/>
        </w:rPr>
        <w:t>ed to maintain sustainable priorities.  all of these have been reviewed and identified by international audiences.  identified and reviewed. The example of the following picture has proved that the priority has been specified in different fields of sustainability. </w:t>
      </w:r>
    </w:p>
    <w:p w14:paraId="6733705C" w14:textId="2B2580FA" w:rsidR="00186A9E" w:rsidRPr="00A365BA" w:rsidRDefault="00186A9E" w:rsidP="000B488D">
      <w:pPr>
        <w:spacing w:before="240" w:after="0"/>
        <w:rPr>
          <w:rFonts w:cs="Arial"/>
          <w:b/>
          <w:bCs/>
          <w:lang w:val="en-GB"/>
        </w:rPr>
      </w:pPr>
      <w:bookmarkStart w:id="9" w:name="_Toc157533916"/>
      <w:r w:rsidRPr="00A365BA">
        <w:rPr>
          <w:rFonts w:cs="Arial"/>
          <w:b/>
          <w:bCs/>
          <w:lang w:val="en-GB"/>
        </w:rPr>
        <w:t>Sustainable tourism development</w:t>
      </w:r>
      <w:bookmarkEnd w:id="9"/>
    </w:p>
    <w:p w14:paraId="3B6A780D" w14:textId="77777777"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Sustainable Tourism Development has become very popular throughout the last 10 years in urban, rural, and Coastal areas in the UK. Management and innovation have become very popular indicating points for postal Tourism Development. A particular case has arrived for the inclusive partnership for developing the sector.</w:t>
      </w:r>
    </w:p>
    <w:p w14:paraId="7E8C6382" w14:textId="50F20D26"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Innovation and collaboration have been started through NCTA incentives.  Primary, the authority has started to find out the actual challenges of the UK policy, on the other hand, it has also found out the coastal destinations.  They have built the Beach Check UK App. This application has become very popular as an innovation for Bournemouth, Christchurch, and Poole Council (BCP).  It was </w:t>
      </w:r>
      <w:r w:rsidR="00977CEC" w:rsidRPr="00A365BA">
        <w:rPr>
          <w:rFonts w:eastAsia="Times New Roman" w:cs="Arial"/>
          <w:color w:val="222222"/>
          <w:szCs w:val="24"/>
          <w:lang w:val="en-GB"/>
        </w:rPr>
        <w:t>organis</w:t>
      </w:r>
      <w:r w:rsidRPr="00A365BA">
        <w:rPr>
          <w:rFonts w:eastAsia="Times New Roman" w:cs="Arial"/>
          <w:color w:val="222222"/>
          <w:szCs w:val="24"/>
          <w:lang w:val="en-GB"/>
        </w:rPr>
        <w:t>ed in 2020 by the BCP Council for a pilot project and it has offered all the operators of the beach a nationwide explanation of expected circumstances. It was also a safety measure to Inner size the powerful components of the Covid 19. </w:t>
      </w:r>
    </w:p>
    <w:p w14:paraId="6AD27BCB" w14:textId="77777777" w:rsidR="00186A9E" w:rsidRPr="00A365BA" w:rsidRDefault="00186A9E" w:rsidP="000B488D">
      <w:pPr>
        <w:spacing w:before="240" w:after="0"/>
        <w:rPr>
          <w:rFonts w:cs="Arial"/>
          <w:b/>
          <w:bCs/>
          <w:lang w:val="en-GB"/>
        </w:rPr>
      </w:pPr>
      <w:bookmarkStart w:id="10" w:name="_Toc157533917"/>
      <w:r w:rsidRPr="00A365BA">
        <w:rPr>
          <w:rFonts w:cs="Arial"/>
          <w:b/>
          <w:bCs/>
          <w:lang w:val="en-GB"/>
        </w:rPr>
        <w:t>Tourism, Hospitality and Sustainability</w:t>
      </w:r>
      <w:bookmarkEnd w:id="10"/>
    </w:p>
    <w:p w14:paraId="27E40778" w14:textId="2B5D6ADC"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lastRenderedPageBreak/>
        <w:t xml:space="preserve">Social inclusion has become very popular during the covid-19.  because it has targeted the global economy and stopped the small tourism business </w:t>
      </w:r>
      <w:r w:rsidR="00E843A8" w:rsidRPr="00A365BA">
        <w:rPr>
          <w:rFonts w:eastAsia="Times New Roman" w:cs="Arial"/>
          <w:color w:val="222222"/>
          <w:szCs w:val="24"/>
          <w:lang w:val="en-GB"/>
        </w:rPr>
        <w:t>organisations</w:t>
      </w:r>
      <w:r w:rsidRPr="00A365BA">
        <w:rPr>
          <w:rFonts w:eastAsia="Times New Roman" w:cs="Arial"/>
          <w:color w:val="222222"/>
          <w:szCs w:val="24"/>
          <w:lang w:val="en-GB"/>
        </w:rPr>
        <w:t>, it has questioned the sustainability of the tourism business. </w:t>
      </w:r>
    </w:p>
    <w:p w14:paraId="71FF4FA5" w14:textId="77777777" w:rsidR="00186A9E" w:rsidRPr="00A365BA" w:rsidRDefault="00186A9E" w:rsidP="000B488D">
      <w:pPr>
        <w:spacing w:before="240" w:after="0"/>
        <w:rPr>
          <w:rFonts w:cs="Arial"/>
          <w:b/>
          <w:bCs/>
          <w:lang w:val="en-GB"/>
        </w:rPr>
      </w:pPr>
      <w:bookmarkStart w:id="11" w:name="_Toc157533918"/>
      <w:r w:rsidRPr="00A365BA">
        <w:rPr>
          <w:rFonts w:cs="Arial"/>
          <w:b/>
          <w:bCs/>
          <w:lang w:val="en-GB"/>
        </w:rPr>
        <w:t>Case study: disability</w:t>
      </w:r>
      <w:bookmarkEnd w:id="11"/>
    </w:p>
    <w:p w14:paraId="6A9F70F6" w14:textId="79A33B4E" w:rsidR="00186A9E" w:rsidRPr="00A365BA" w:rsidRDefault="00186A9E" w:rsidP="000B488D">
      <w:pPr>
        <w:spacing w:before="240" w:after="0"/>
        <w:rPr>
          <w:rFonts w:eastAsia="Times New Roman" w:cs="Arial"/>
          <w:szCs w:val="24"/>
          <w:lang w:val="en-GB"/>
        </w:rPr>
      </w:pPr>
      <w:r w:rsidRPr="00A365BA">
        <w:rPr>
          <w:rFonts w:eastAsia="Times New Roman" w:cs="Arial"/>
          <w:color w:val="222222"/>
          <w:szCs w:val="24"/>
          <w:lang w:val="en-GB"/>
        </w:rPr>
        <w:t xml:space="preserve">The disability of a car in in Brighton and Hove, South East Coast has become a popular case of disability.  This was a green town where transportation was supported with two wheels with the new online cycle map.  the role of these was to explore the chosen routes that are very suitable for recreational journeys.  </w:t>
      </w:r>
      <w:r w:rsidR="007B3F08" w:rsidRPr="00A365BA">
        <w:rPr>
          <w:rFonts w:eastAsia="Times New Roman" w:cs="Arial"/>
          <w:color w:val="222222"/>
          <w:szCs w:val="24"/>
          <w:lang w:val="en-GB"/>
        </w:rPr>
        <w:t>T</w:t>
      </w:r>
      <w:r w:rsidRPr="00A365BA">
        <w:rPr>
          <w:rFonts w:eastAsia="Times New Roman" w:cs="Arial"/>
          <w:color w:val="222222"/>
          <w:szCs w:val="24"/>
          <w:lang w:val="en-GB"/>
        </w:rPr>
        <w:t>hey also developed some solar power boards for Chi Chester with Solar Heritage, South East Coast.  because it involves the power of inclusion through The empowerment of solar heritage. As an outstanding natural beauty, many birds and habitats reside in them. </w:t>
      </w:r>
    </w:p>
    <w:p w14:paraId="01BD8FAC" w14:textId="77777777" w:rsidR="00186A9E" w:rsidRPr="00A365BA" w:rsidRDefault="00186A9E" w:rsidP="000B488D">
      <w:pPr>
        <w:spacing w:before="240" w:after="0"/>
        <w:rPr>
          <w:rFonts w:eastAsia="Times New Roman" w:cs="Arial"/>
          <w:szCs w:val="24"/>
          <w:lang w:val="en-GB"/>
        </w:rPr>
      </w:pPr>
      <w:r w:rsidRPr="00A365BA">
        <w:rPr>
          <w:rFonts w:eastAsia="Times New Roman" w:cs="Arial"/>
          <w:b/>
          <w:bCs/>
          <w:color w:val="222222"/>
          <w:szCs w:val="24"/>
          <w:lang w:val="en-GB"/>
        </w:rPr>
        <w:t>Environmental regulations of the tourism industry:</w:t>
      </w:r>
      <w:r w:rsidRPr="00A365BA">
        <w:rPr>
          <w:rFonts w:eastAsia="Times New Roman" w:cs="Arial"/>
          <w:bCs/>
          <w:color w:val="222222"/>
          <w:szCs w:val="24"/>
          <w:lang w:val="en-GB"/>
        </w:rPr>
        <w:t xml:space="preserve"> the preliminary development of tourism codes and conducts has been developed through the BTA is an Arm’s Length Body of DCMS. The act was inaugurated in 1969. The goal was to support Great Britain's tourism industry.</w:t>
      </w:r>
    </w:p>
    <w:p w14:paraId="603D6817" w14:textId="77777777" w:rsidR="00CB0ECA" w:rsidRPr="00A365BA" w:rsidRDefault="00186A9E" w:rsidP="000B488D">
      <w:pPr>
        <w:spacing w:before="240" w:after="0"/>
        <w:rPr>
          <w:rFonts w:eastAsia="Times New Roman" w:cs="Arial"/>
          <w:szCs w:val="24"/>
          <w:lang w:val="en-GB"/>
        </w:rPr>
      </w:pPr>
      <w:r w:rsidRPr="00A365BA">
        <w:rPr>
          <w:rFonts w:eastAsia="Times New Roman" w:cs="Arial"/>
          <w:b/>
          <w:color w:val="222222"/>
          <w:szCs w:val="24"/>
          <w:lang w:val="en-GB"/>
        </w:rPr>
        <w:t>“Greening Business”</w:t>
      </w:r>
      <w:r w:rsidRPr="00A365BA">
        <w:rPr>
          <w:rFonts w:eastAsia="Times New Roman" w:cs="Arial"/>
          <w:color w:val="222222"/>
          <w:szCs w:val="24"/>
          <w:lang w:val="en-GB"/>
        </w:rPr>
        <w:t xml:space="preserve"> – building some ecofriendly recreational activities like Harry Potter and sustain the traditional culture of nation </w:t>
      </w:r>
    </w:p>
    <w:p w14:paraId="2ECF1373" w14:textId="77777777" w:rsidR="00CB0ECA" w:rsidRPr="00A365BA" w:rsidRDefault="00CB0ECA" w:rsidP="000B488D">
      <w:pPr>
        <w:spacing w:before="240" w:after="0"/>
        <w:rPr>
          <w:rFonts w:eastAsia="Times New Roman" w:cs="Arial"/>
          <w:b/>
          <w:szCs w:val="24"/>
          <w:lang w:val="en-GB"/>
        </w:rPr>
      </w:pPr>
      <w:r w:rsidRPr="00A365BA">
        <w:rPr>
          <w:rFonts w:eastAsia="Times New Roman" w:cs="Arial"/>
          <w:b/>
          <w:color w:val="222222"/>
          <w:szCs w:val="24"/>
          <w:lang w:val="en-GB"/>
        </w:rPr>
        <w:t xml:space="preserve">Sustainable Transportation and operational procedure: </w:t>
      </w:r>
      <w:r w:rsidRPr="00A365BA">
        <w:rPr>
          <w:rFonts w:eastAsia="Times New Roman" w:cs="Arial"/>
          <w:color w:val="222222"/>
          <w:szCs w:val="24"/>
          <w:lang w:val="en-GB"/>
        </w:rPr>
        <w:t>from 2020, no car or vehicle which is operated by diesel and petrol will no longer be allowed to tourism spots. Zero emission cars and vans are allowed to improve the at the tailpipe from 2035</w:t>
      </w:r>
      <w:r w:rsidRPr="00A365BA">
        <w:rPr>
          <w:rFonts w:eastAsia="Times New Roman" w:cs="Arial"/>
          <w:b/>
          <w:color w:val="222222"/>
          <w:szCs w:val="24"/>
          <w:lang w:val="en-GB"/>
        </w:rPr>
        <w:t>.</w:t>
      </w:r>
    </w:p>
    <w:p w14:paraId="3854A786" w14:textId="305A7D3F" w:rsidR="00186A9E" w:rsidRPr="00A365BA" w:rsidRDefault="00CB0ECA" w:rsidP="000B488D">
      <w:pPr>
        <w:pStyle w:val="Heading1"/>
        <w:rPr>
          <w:rFonts w:eastAsia="Times New Roman" w:cs="Arial"/>
          <w:lang w:val="en-GB"/>
        </w:rPr>
      </w:pPr>
      <w:bookmarkStart w:id="12" w:name="_Toc157533919"/>
      <w:r w:rsidRPr="00A365BA">
        <w:rPr>
          <w:rFonts w:eastAsia="Times New Roman" w:cs="Arial"/>
          <w:lang w:val="en-GB"/>
        </w:rPr>
        <w:t>Conclusion</w:t>
      </w:r>
      <w:bookmarkEnd w:id="12"/>
    </w:p>
    <w:p w14:paraId="22AB8AFC" w14:textId="6453C9C4" w:rsidR="00CB0ECA" w:rsidRPr="007B3F08" w:rsidRDefault="00CB0ECA" w:rsidP="007B3F08">
      <w:pPr>
        <w:spacing w:before="240" w:after="0"/>
        <w:rPr>
          <w:rFonts w:eastAsia="Times New Roman" w:cs="Arial"/>
          <w:szCs w:val="24"/>
          <w:lang w:val="en-GB"/>
        </w:rPr>
      </w:pPr>
      <w:r w:rsidRPr="00A365BA">
        <w:rPr>
          <w:rFonts w:eastAsia="Times New Roman" w:cs="Arial"/>
          <w:szCs w:val="24"/>
          <w:lang w:val="en-GB"/>
        </w:rPr>
        <w:t xml:space="preserve">This assignment was looking for sustainable tourism practice where inclusive and innovative recreations are available. It has not only described the sustainable examples and case studies rather it has engaged and represented social, economic, political and legal </w:t>
      </w:r>
      <w:r w:rsidR="00E843A8" w:rsidRPr="00A365BA">
        <w:rPr>
          <w:rFonts w:eastAsia="Times New Roman" w:cs="Arial"/>
          <w:szCs w:val="24"/>
          <w:lang w:val="en-GB"/>
        </w:rPr>
        <w:t>requirements</w:t>
      </w:r>
      <w:r w:rsidRPr="00A365BA">
        <w:rPr>
          <w:rFonts w:eastAsia="Times New Roman" w:cs="Arial"/>
          <w:szCs w:val="24"/>
          <w:lang w:val="en-GB"/>
        </w:rPr>
        <w:t xml:space="preserve"> for installing sustainable tourism. </w:t>
      </w:r>
      <w:r w:rsidR="007B3F08" w:rsidRPr="007B3F08">
        <w:rPr>
          <w:rFonts w:eastAsia="Times New Roman" w:cs="Arial"/>
          <w:szCs w:val="24"/>
          <w:lang w:val="en-GB"/>
        </w:rPr>
        <w:t xml:space="preserve">As an outstanding natural beauty, </w:t>
      </w:r>
      <w:r w:rsidR="00E029A2">
        <w:rPr>
          <w:rFonts w:eastAsia="Times New Roman" w:cs="Arial"/>
          <w:szCs w:val="24"/>
          <w:lang w:val="en-GB"/>
        </w:rPr>
        <w:t>tourism is a place where sustainability is obvious</w:t>
      </w:r>
      <w:r w:rsidR="007B3F08" w:rsidRPr="007B3F08">
        <w:rPr>
          <w:rFonts w:eastAsia="Times New Roman" w:cs="Arial"/>
          <w:szCs w:val="24"/>
          <w:lang w:val="en-GB"/>
        </w:rPr>
        <w:t>.</w:t>
      </w:r>
    </w:p>
    <w:p w14:paraId="29FFAE14" w14:textId="77777777" w:rsidR="00186A9E" w:rsidRPr="00A365BA" w:rsidRDefault="00186A9E" w:rsidP="000B488D">
      <w:pPr>
        <w:spacing w:before="240" w:after="0"/>
        <w:rPr>
          <w:rFonts w:eastAsia="Times New Roman" w:cs="Arial"/>
          <w:szCs w:val="24"/>
          <w:lang w:val="en-GB"/>
        </w:rPr>
      </w:pPr>
      <w:r w:rsidRPr="00A365BA">
        <w:rPr>
          <w:rFonts w:eastAsia="Times New Roman" w:cs="Arial"/>
          <w:szCs w:val="24"/>
          <w:lang w:val="en-GB"/>
        </w:rPr>
        <w:br w:type="page"/>
      </w:r>
    </w:p>
    <w:p w14:paraId="50C60883" w14:textId="17059564" w:rsidR="00186A9E" w:rsidRPr="00A365BA" w:rsidRDefault="00186A9E" w:rsidP="000B488D">
      <w:pPr>
        <w:pStyle w:val="Heading1"/>
        <w:rPr>
          <w:rFonts w:eastAsia="Times New Roman" w:cs="Arial"/>
          <w:lang w:val="en-GB"/>
        </w:rPr>
      </w:pPr>
      <w:bookmarkStart w:id="13" w:name="_Toc157533920"/>
      <w:r w:rsidRPr="00A365BA">
        <w:rPr>
          <w:rFonts w:eastAsia="Times New Roman" w:cs="Arial"/>
          <w:lang w:val="en-GB"/>
        </w:rPr>
        <w:lastRenderedPageBreak/>
        <w:t>Reference</w:t>
      </w:r>
      <w:bookmarkEnd w:id="13"/>
      <w:r w:rsidR="003E0500" w:rsidRPr="00A365BA">
        <w:rPr>
          <w:rFonts w:eastAsia="Times New Roman" w:cs="Arial"/>
          <w:lang w:val="en-GB"/>
        </w:rPr>
        <w:t>s</w:t>
      </w:r>
    </w:p>
    <w:p w14:paraId="17626653"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Barberis, E. and </w:t>
      </w:r>
      <w:proofErr w:type="spellStart"/>
      <w:r w:rsidRPr="00A365BA">
        <w:rPr>
          <w:rFonts w:eastAsia="Times New Roman" w:cs="Arial"/>
          <w:szCs w:val="24"/>
          <w:lang w:val="en-GB"/>
        </w:rPr>
        <w:t>Buchowicz</w:t>
      </w:r>
      <w:proofErr w:type="spellEnd"/>
      <w:r w:rsidRPr="00A365BA">
        <w:rPr>
          <w:rFonts w:eastAsia="Times New Roman" w:cs="Arial"/>
          <w:szCs w:val="24"/>
          <w:lang w:val="en-GB"/>
        </w:rPr>
        <w:t xml:space="preserve">, I. (2015) 'Creating accessibility to Education: The role of school staff’s discretionary practices,' </w:t>
      </w:r>
      <w:r w:rsidRPr="00A365BA">
        <w:rPr>
          <w:rFonts w:eastAsia="Times New Roman" w:cs="Arial"/>
          <w:i/>
          <w:iCs/>
          <w:szCs w:val="24"/>
          <w:lang w:val="en-GB"/>
        </w:rPr>
        <w:t>European Education</w:t>
      </w:r>
      <w:r w:rsidRPr="00A365BA">
        <w:rPr>
          <w:rFonts w:eastAsia="Times New Roman" w:cs="Arial"/>
          <w:szCs w:val="24"/>
          <w:lang w:val="en-GB"/>
        </w:rPr>
        <w:t>, 47(1), pp. 61–76. https://doi.org/10.1080/10564934.2014.1001264.</w:t>
      </w:r>
    </w:p>
    <w:p w14:paraId="34FC384C"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Bux, C. and </w:t>
      </w:r>
      <w:proofErr w:type="spellStart"/>
      <w:r w:rsidRPr="00A365BA">
        <w:rPr>
          <w:rFonts w:eastAsia="Times New Roman" w:cs="Arial"/>
          <w:szCs w:val="24"/>
          <w:lang w:val="en-GB"/>
        </w:rPr>
        <w:t>Amicarelli</w:t>
      </w:r>
      <w:proofErr w:type="spellEnd"/>
      <w:r w:rsidRPr="00A365BA">
        <w:rPr>
          <w:rFonts w:eastAsia="Times New Roman" w:cs="Arial"/>
          <w:szCs w:val="24"/>
          <w:lang w:val="en-GB"/>
        </w:rPr>
        <w:t xml:space="preserve">, V. (2022) 'Circular economy and sustainable strategies in the hospitality industry: Current trends and empirical implications,' </w:t>
      </w:r>
      <w:r w:rsidRPr="00A365BA">
        <w:rPr>
          <w:rFonts w:eastAsia="Times New Roman" w:cs="Arial"/>
          <w:i/>
          <w:iCs/>
          <w:szCs w:val="24"/>
          <w:lang w:val="en-GB"/>
        </w:rPr>
        <w:t>Tourism and Hospitality Research</w:t>
      </w:r>
      <w:r w:rsidRPr="00A365BA">
        <w:rPr>
          <w:rFonts w:eastAsia="Times New Roman" w:cs="Arial"/>
          <w:szCs w:val="24"/>
          <w:lang w:val="en-GB"/>
        </w:rPr>
        <w:t>, 23(4), pp. 624–636. https://doi.org/10.1177/14673584221119581.</w:t>
      </w:r>
    </w:p>
    <w:p w14:paraId="4B0893A6"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Chávez, V. </w:t>
      </w:r>
      <w:r w:rsidRPr="00A365BA">
        <w:rPr>
          <w:rFonts w:eastAsia="Times New Roman" w:cs="Arial"/>
          <w:i/>
          <w:iCs/>
          <w:szCs w:val="24"/>
          <w:lang w:val="en-GB"/>
        </w:rPr>
        <w:t>et al.</w:t>
      </w:r>
      <w:r w:rsidRPr="00A365BA">
        <w:rPr>
          <w:rFonts w:eastAsia="Times New Roman" w:cs="Arial"/>
          <w:szCs w:val="24"/>
          <w:lang w:val="en-GB"/>
        </w:rPr>
        <w:t xml:space="preserve"> (2020) 'Massive Influx of Pelagic Sargassum spp. on the Coasts of the Mexican Caribbean 2014–2020: Challenges and Opportunities,' </w:t>
      </w:r>
      <w:r w:rsidRPr="00A365BA">
        <w:rPr>
          <w:rFonts w:eastAsia="Times New Roman" w:cs="Arial"/>
          <w:i/>
          <w:iCs/>
          <w:szCs w:val="24"/>
          <w:lang w:val="en-GB"/>
        </w:rPr>
        <w:t>Water</w:t>
      </w:r>
      <w:r w:rsidRPr="00A365BA">
        <w:rPr>
          <w:rFonts w:eastAsia="Times New Roman" w:cs="Arial"/>
          <w:szCs w:val="24"/>
          <w:lang w:val="en-GB"/>
        </w:rPr>
        <w:t>, 12(10), p. 2908. https://doi.org/10.3390/w12102908.</w:t>
      </w:r>
    </w:p>
    <w:p w14:paraId="2315318E"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Czajkowski, A. </w:t>
      </w:r>
      <w:r w:rsidRPr="00A365BA">
        <w:rPr>
          <w:rFonts w:eastAsia="Times New Roman" w:cs="Arial"/>
          <w:i/>
          <w:iCs/>
          <w:szCs w:val="24"/>
          <w:lang w:val="en-GB"/>
        </w:rPr>
        <w:t>et al.</w:t>
      </w:r>
      <w:r w:rsidRPr="00A365BA">
        <w:rPr>
          <w:rFonts w:eastAsia="Times New Roman" w:cs="Arial"/>
          <w:szCs w:val="24"/>
          <w:lang w:val="en-GB"/>
        </w:rPr>
        <w:t xml:space="preserve"> (2021) 'Global Water Crisis: Concept of a new interactive shower panel based on IoT and cloud computing for rational water consumption,' </w:t>
      </w:r>
      <w:r w:rsidRPr="00A365BA">
        <w:rPr>
          <w:rFonts w:eastAsia="Times New Roman" w:cs="Arial"/>
          <w:i/>
          <w:iCs/>
          <w:szCs w:val="24"/>
          <w:lang w:val="en-GB"/>
        </w:rPr>
        <w:t>Applied Sciences</w:t>
      </w:r>
      <w:r w:rsidRPr="00A365BA">
        <w:rPr>
          <w:rFonts w:eastAsia="Times New Roman" w:cs="Arial"/>
          <w:szCs w:val="24"/>
          <w:lang w:val="en-GB"/>
        </w:rPr>
        <w:t>, 11(9), p. 4081. https://doi.org/10.3390/app11094081.</w:t>
      </w:r>
    </w:p>
    <w:p w14:paraId="7F1ADDCA"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Estévez, S. and Feijoo, G. (2022) 'Environmental synergies in decentralized wastewater treatment at a hotel resort,' </w:t>
      </w:r>
      <w:r w:rsidRPr="00A365BA">
        <w:rPr>
          <w:rFonts w:eastAsia="Times New Roman" w:cs="Arial"/>
          <w:i/>
          <w:iCs/>
          <w:szCs w:val="24"/>
          <w:lang w:val="en-GB"/>
        </w:rPr>
        <w:t>Journal of Environmental Management</w:t>
      </w:r>
      <w:r w:rsidRPr="00A365BA">
        <w:rPr>
          <w:rFonts w:eastAsia="Times New Roman" w:cs="Arial"/>
          <w:szCs w:val="24"/>
          <w:lang w:val="en-GB"/>
        </w:rPr>
        <w:t>, 317, p. 115392. https://doi.org/10.1016/j.jenvman.2022.115392.</w:t>
      </w:r>
    </w:p>
    <w:p w14:paraId="44BB79FB"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Fleming, J.I. </w:t>
      </w:r>
      <w:r w:rsidRPr="00A365BA">
        <w:rPr>
          <w:rFonts w:eastAsia="Times New Roman" w:cs="Arial"/>
          <w:i/>
          <w:iCs/>
          <w:szCs w:val="24"/>
          <w:lang w:val="en-GB"/>
        </w:rPr>
        <w:t>et al.</w:t>
      </w:r>
      <w:r w:rsidRPr="00A365BA">
        <w:rPr>
          <w:rFonts w:eastAsia="Times New Roman" w:cs="Arial"/>
          <w:szCs w:val="24"/>
          <w:lang w:val="en-GB"/>
        </w:rPr>
        <w:t xml:space="preserve"> (2021) 'Open accessibility in education research: Enhancing the credibility, equity, impact, and efficiency of research,' </w:t>
      </w:r>
      <w:r w:rsidRPr="00A365BA">
        <w:rPr>
          <w:rFonts w:eastAsia="Times New Roman" w:cs="Arial"/>
          <w:i/>
          <w:iCs/>
          <w:szCs w:val="24"/>
          <w:lang w:val="en-GB"/>
        </w:rPr>
        <w:t>Educational Psychologist</w:t>
      </w:r>
      <w:r w:rsidRPr="00A365BA">
        <w:rPr>
          <w:rFonts w:eastAsia="Times New Roman" w:cs="Arial"/>
          <w:szCs w:val="24"/>
          <w:lang w:val="en-GB"/>
        </w:rPr>
        <w:t>, 56(2), pp. 110–121. https://doi.org/10.1080/00461520.2021.1897593.</w:t>
      </w:r>
    </w:p>
    <w:p w14:paraId="674365BA"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Korhonen, J., </w:t>
      </w:r>
      <w:proofErr w:type="spellStart"/>
      <w:r w:rsidRPr="00A365BA">
        <w:rPr>
          <w:rFonts w:eastAsia="Times New Roman" w:cs="Arial"/>
          <w:szCs w:val="24"/>
          <w:lang w:val="en-GB"/>
        </w:rPr>
        <w:t>Honkasalo</w:t>
      </w:r>
      <w:proofErr w:type="spellEnd"/>
      <w:r w:rsidRPr="00A365BA">
        <w:rPr>
          <w:rFonts w:eastAsia="Times New Roman" w:cs="Arial"/>
          <w:szCs w:val="24"/>
          <w:lang w:val="en-GB"/>
        </w:rPr>
        <w:t xml:space="preserve">, A. and Seppälä, J. (2018) 'Circular Economy: The Concept and its Limitations,' </w:t>
      </w:r>
      <w:r w:rsidRPr="00A365BA">
        <w:rPr>
          <w:rFonts w:eastAsia="Times New Roman" w:cs="Arial"/>
          <w:i/>
          <w:iCs/>
          <w:szCs w:val="24"/>
          <w:lang w:val="en-GB"/>
        </w:rPr>
        <w:t>Ecological Economics</w:t>
      </w:r>
      <w:r w:rsidRPr="00A365BA">
        <w:rPr>
          <w:rFonts w:eastAsia="Times New Roman" w:cs="Arial"/>
          <w:szCs w:val="24"/>
          <w:lang w:val="en-GB"/>
        </w:rPr>
        <w:t>, 143, pp. 37–46. https://doi.org/10.1016/j.ecolecon.2017.06.041.</w:t>
      </w:r>
    </w:p>
    <w:p w14:paraId="1FA27EB8"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Kurt, S. (2018) 'Moving toward a universally accessible web: Web accessibility and education,' </w:t>
      </w:r>
      <w:r w:rsidRPr="00A365BA">
        <w:rPr>
          <w:rFonts w:eastAsia="Times New Roman" w:cs="Arial"/>
          <w:i/>
          <w:iCs/>
          <w:szCs w:val="24"/>
          <w:lang w:val="en-GB"/>
        </w:rPr>
        <w:t>Assistive Technology</w:t>
      </w:r>
      <w:r w:rsidRPr="00A365BA">
        <w:rPr>
          <w:rFonts w:eastAsia="Times New Roman" w:cs="Arial"/>
          <w:szCs w:val="24"/>
          <w:lang w:val="en-GB"/>
        </w:rPr>
        <w:t>, 31(4), pp. 199–208. https://doi.org/10.1080/10400435.2017.1414086.</w:t>
      </w:r>
    </w:p>
    <w:p w14:paraId="37E40CC5"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Lee, K. (2017) 'Rethinking the accessibility of online higher education: A historical review,' </w:t>
      </w:r>
      <w:r w:rsidRPr="00A365BA">
        <w:rPr>
          <w:rFonts w:eastAsia="Times New Roman" w:cs="Arial"/>
          <w:i/>
          <w:iCs/>
          <w:szCs w:val="24"/>
          <w:lang w:val="en-GB"/>
        </w:rPr>
        <w:t>The Internet and Higher Education</w:t>
      </w:r>
      <w:r w:rsidRPr="00A365BA">
        <w:rPr>
          <w:rFonts w:eastAsia="Times New Roman" w:cs="Arial"/>
          <w:szCs w:val="24"/>
          <w:lang w:val="en-GB"/>
        </w:rPr>
        <w:t>, 33, pp. 15–23. https://doi.org/10.1016/j.iheduc.2017.01.001.</w:t>
      </w:r>
    </w:p>
    <w:p w14:paraId="42CAB6AF"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lastRenderedPageBreak/>
        <w:t xml:space="preserve">Lewandowski, M. (2016) 'Designing the Business models for Circular Economy—Towards the Conceptual Framework,' </w:t>
      </w:r>
      <w:r w:rsidRPr="00A365BA">
        <w:rPr>
          <w:rFonts w:eastAsia="Times New Roman" w:cs="Arial"/>
          <w:i/>
          <w:iCs/>
          <w:szCs w:val="24"/>
          <w:lang w:val="en-GB"/>
        </w:rPr>
        <w:t>Sustainability</w:t>
      </w:r>
      <w:r w:rsidRPr="00A365BA">
        <w:rPr>
          <w:rFonts w:eastAsia="Times New Roman" w:cs="Arial"/>
          <w:szCs w:val="24"/>
          <w:lang w:val="en-GB"/>
        </w:rPr>
        <w:t>, 8(1), p. 43. https://doi.org/10.3390/su8010043.</w:t>
      </w:r>
    </w:p>
    <w:p w14:paraId="75CF3E99" w14:textId="77777777" w:rsidR="00DC75B9" w:rsidRPr="00A365BA" w:rsidRDefault="00DC75B9" w:rsidP="000B488D">
      <w:pPr>
        <w:spacing w:before="240" w:after="0"/>
        <w:rPr>
          <w:rFonts w:eastAsia="Times New Roman" w:cs="Arial"/>
          <w:szCs w:val="24"/>
          <w:lang w:val="en-GB"/>
        </w:rPr>
      </w:pPr>
      <w:proofErr w:type="spellStart"/>
      <w:r w:rsidRPr="00A365BA">
        <w:rPr>
          <w:rFonts w:eastAsia="Times New Roman" w:cs="Arial"/>
          <w:szCs w:val="24"/>
          <w:lang w:val="en-GB"/>
        </w:rPr>
        <w:t>Menegaki</w:t>
      </w:r>
      <w:proofErr w:type="spellEnd"/>
      <w:r w:rsidRPr="00A365BA">
        <w:rPr>
          <w:rFonts w:eastAsia="Times New Roman" w:cs="Arial"/>
          <w:szCs w:val="24"/>
          <w:lang w:val="en-GB"/>
        </w:rPr>
        <w:t xml:space="preserve">, A.N. (2018) 'Economic aspects of cyclical implementation in Greek sustainable hospitality,' </w:t>
      </w:r>
      <w:r w:rsidRPr="00A365BA">
        <w:rPr>
          <w:rFonts w:eastAsia="Times New Roman" w:cs="Arial"/>
          <w:i/>
          <w:iCs/>
          <w:szCs w:val="24"/>
          <w:lang w:val="en-GB"/>
        </w:rPr>
        <w:t>International Journal of Tourism Policy</w:t>
      </w:r>
      <w:r w:rsidRPr="00A365BA">
        <w:rPr>
          <w:rFonts w:eastAsia="Times New Roman" w:cs="Arial"/>
          <w:szCs w:val="24"/>
          <w:lang w:val="en-GB"/>
        </w:rPr>
        <w:t>, 8(4), p. 271. https://doi.org/10.1504/ijtp.2018.098896.</w:t>
      </w:r>
    </w:p>
    <w:p w14:paraId="2AA16A6C"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Pizzol, B., Giannotti, M.A. and Tomasiello, D.B. (2021) 'Qualifying accessibility to education to investigate spatial equity,' </w:t>
      </w:r>
      <w:r w:rsidRPr="00A365BA">
        <w:rPr>
          <w:rFonts w:eastAsia="Times New Roman" w:cs="Arial"/>
          <w:i/>
          <w:iCs/>
          <w:szCs w:val="24"/>
          <w:lang w:val="en-GB"/>
        </w:rPr>
        <w:t>Journal of Transport Geography</w:t>
      </w:r>
      <w:r w:rsidRPr="00A365BA">
        <w:rPr>
          <w:rFonts w:eastAsia="Times New Roman" w:cs="Arial"/>
          <w:szCs w:val="24"/>
          <w:lang w:val="en-GB"/>
        </w:rPr>
        <w:t>, 96, p. 103199. https://doi.org/10.1016/j.jtrangeo.2021.103199.</w:t>
      </w:r>
    </w:p>
    <w:p w14:paraId="0D7C6803"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Prakash, S. </w:t>
      </w:r>
      <w:r w:rsidRPr="00A365BA">
        <w:rPr>
          <w:rFonts w:eastAsia="Times New Roman" w:cs="Arial"/>
          <w:i/>
          <w:iCs/>
          <w:szCs w:val="24"/>
          <w:lang w:val="en-GB"/>
        </w:rPr>
        <w:t>et al.</w:t>
      </w:r>
      <w:r w:rsidRPr="00A365BA">
        <w:rPr>
          <w:rFonts w:eastAsia="Times New Roman" w:cs="Arial"/>
          <w:szCs w:val="24"/>
          <w:lang w:val="en-GB"/>
        </w:rPr>
        <w:t xml:space="preserve"> (2022) 'Adopting green and sustainable practices in the hotel industry operations- an analysis of critical performance indicators for improved environmental quality,' </w:t>
      </w:r>
      <w:r w:rsidRPr="00A365BA">
        <w:rPr>
          <w:rFonts w:eastAsia="Times New Roman" w:cs="Arial"/>
          <w:i/>
          <w:iCs/>
          <w:szCs w:val="24"/>
          <w:lang w:val="en-GB"/>
        </w:rPr>
        <w:t>Management of Environmental Quality: An International Journal</w:t>
      </w:r>
      <w:r w:rsidRPr="00A365BA">
        <w:rPr>
          <w:rFonts w:eastAsia="Times New Roman" w:cs="Arial"/>
          <w:szCs w:val="24"/>
          <w:lang w:val="en-GB"/>
        </w:rPr>
        <w:t>, 34(4), pp. 1057–1076. https://doi.org/10.1108/meq-03-2022-0090.</w:t>
      </w:r>
    </w:p>
    <w:p w14:paraId="78AEE618"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Serrano</w:t>
      </w:r>
      <w:r w:rsidRPr="00A365BA">
        <w:rPr>
          <w:rFonts w:ascii="Cambria Math" w:eastAsia="Times New Roman" w:hAnsi="Cambria Math" w:cs="Cambria Math"/>
          <w:szCs w:val="24"/>
          <w:lang w:val="en-GB"/>
        </w:rPr>
        <w:t>‐</w:t>
      </w:r>
      <w:r w:rsidRPr="00A365BA">
        <w:rPr>
          <w:rFonts w:eastAsia="Times New Roman" w:cs="Arial"/>
          <w:szCs w:val="24"/>
          <w:lang w:val="en-GB"/>
        </w:rPr>
        <w:t xml:space="preserve">Solano, B. </w:t>
      </w:r>
      <w:r w:rsidRPr="00A365BA">
        <w:rPr>
          <w:rFonts w:eastAsia="Times New Roman" w:cs="Arial"/>
          <w:i/>
          <w:iCs/>
          <w:szCs w:val="24"/>
          <w:lang w:val="en-GB"/>
        </w:rPr>
        <w:t>et al.</w:t>
      </w:r>
      <w:r w:rsidRPr="00A365BA">
        <w:rPr>
          <w:rFonts w:eastAsia="Times New Roman" w:cs="Arial"/>
          <w:szCs w:val="24"/>
          <w:lang w:val="en-GB"/>
        </w:rPr>
        <w:t xml:space="preserve"> (2021) 'Fostering accessible online education using Galaxy as an e-learning platform,' </w:t>
      </w:r>
      <w:r w:rsidRPr="00A365BA">
        <w:rPr>
          <w:rFonts w:eastAsia="Times New Roman" w:cs="Arial"/>
          <w:i/>
          <w:iCs/>
          <w:szCs w:val="24"/>
          <w:lang w:val="en-GB"/>
        </w:rPr>
        <w:t>PLOS Computational Biology</w:t>
      </w:r>
      <w:r w:rsidRPr="00A365BA">
        <w:rPr>
          <w:rFonts w:eastAsia="Times New Roman" w:cs="Arial"/>
          <w:szCs w:val="24"/>
          <w:lang w:val="en-GB"/>
        </w:rPr>
        <w:t>, 17(5), p. e1008923. https://doi.org/10.1371/journal.pcbi.1008923.</w:t>
      </w:r>
    </w:p>
    <w:p w14:paraId="68BE30F6" w14:textId="77777777" w:rsidR="00DC75B9" w:rsidRPr="00A365BA" w:rsidRDefault="00DC75B9" w:rsidP="000B488D">
      <w:pPr>
        <w:spacing w:before="240" w:after="0"/>
        <w:rPr>
          <w:rFonts w:eastAsia="Times New Roman" w:cs="Arial"/>
          <w:szCs w:val="24"/>
          <w:lang w:val="en-GB"/>
        </w:rPr>
      </w:pPr>
      <w:r w:rsidRPr="00A365BA">
        <w:rPr>
          <w:rFonts w:eastAsia="Times New Roman" w:cs="Arial"/>
          <w:szCs w:val="24"/>
          <w:lang w:val="en-GB"/>
        </w:rPr>
        <w:t xml:space="preserve">Watters, J.D. </w:t>
      </w:r>
      <w:r w:rsidRPr="00A365BA">
        <w:rPr>
          <w:rFonts w:eastAsia="Times New Roman" w:cs="Arial"/>
          <w:i/>
          <w:iCs/>
          <w:szCs w:val="24"/>
          <w:lang w:val="en-GB"/>
        </w:rPr>
        <w:t>et al.</w:t>
      </w:r>
      <w:r w:rsidRPr="00A365BA">
        <w:rPr>
          <w:rFonts w:eastAsia="Times New Roman" w:cs="Arial"/>
          <w:szCs w:val="24"/>
          <w:lang w:val="en-GB"/>
        </w:rPr>
        <w:t xml:space="preserve"> (2021) 'An artificial intelligence tool for accessible science education,' </w:t>
      </w:r>
      <w:r w:rsidRPr="00A365BA">
        <w:rPr>
          <w:rFonts w:eastAsia="Times New Roman" w:cs="Arial"/>
          <w:i/>
          <w:iCs/>
          <w:szCs w:val="24"/>
          <w:lang w:val="en-GB"/>
        </w:rPr>
        <w:t xml:space="preserve">Journal of Science Education for Students </w:t>
      </w:r>
      <w:proofErr w:type="gramStart"/>
      <w:r w:rsidRPr="00A365BA">
        <w:rPr>
          <w:rFonts w:eastAsia="Times New Roman" w:cs="Arial"/>
          <w:i/>
          <w:iCs/>
          <w:szCs w:val="24"/>
          <w:lang w:val="en-GB"/>
        </w:rPr>
        <w:t>With</w:t>
      </w:r>
      <w:proofErr w:type="gramEnd"/>
      <w:r w:rsidRPr="00A365BA">
        <w:rPr>
          <w:rFonts w:eastAsia="Times New Roman" w:cs="Arial"/>
          <w:i/>
          <w:iCs/>
          <w:szCs w:val="24"/>
          <w:lang w:val="en-GB"/>
        </w:rPr>
        <w:t xml:space="preserve"> Disabilities</w:t>
      </w:r>
      <w:r w:rsidRPr="00A365BA">
        <w:rPr>
          <w:rFonts w:eastAsia="Times New Roman" w:cs="Arial"/>
          <w:szCs w:val="24"/>
          <w:lang w:val="en-GB"/>
        </w:rPr>
        <w:t>, 24(1), pp. 1–14. https://doi.org/10.14448/jsesd.13.0010.</w:t>
      </w:r>
    </w:p>
    <w:p w14:paraId="558D5638" w14:textId="77777777" w:rsidR="00E1236B" w:rsidRPr="00A365BA" w:rsidRDefault="00186A9E" w:rsidP="000B488D">
      <w:pPr>
        <w:spacing w:before="240" w:after="0"/>
        <w:rPr>
          <w:rFonts w:cs="Arial"/>
          <w:lang w:val="en-GB"/>
        </w:rPr>
      </w:pPr>
      <w:r w:rsidRPr="00A365BA">
        <w:rPr>
          <w:rFonts w:eastAsia="Times New Roman" w:cs="Arial"/>
          <w:szCs w:val="24"/>
          <w:lang w:val="en-GB"/>
        </w:rPr>
        <w:br/>
      </w:r>
      <w:r w:rsidRPr="00A365BA">
        <w:rPr>
          <w:rFonts w:eastAsia="Times New Roman" w:cs="Arial"/>
          <w:szCs w:val="24"/>
          <w:lang w:val="en-GB"/>
        </w:rPr>
        <w:br/>
      </w:r>
      <w:r w:rsidRPr="00A365BA">
        <w:rPr>
          <w:rFonts w:eastAsia="Times New Roman" w:cs="Arial"/>
          <w:szCs w:val="24"/>
          <w:lang w:val="en-GB"/>
        </w:rPr>
        <w:br/>
      </w:r>
    </w:p>
    <w:sectPr w:rsidR="00E1236B" w:rsidRPr="00A365BA" w:rsidSect="00F61285">
      <w:head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9A18F" w14:textId="77777777" w:rsidR="00F61285" w:rsidRDefault="00F61285" w:rsidP="00CB0ECA">
      <w:pPr>
        <w:spacing w:after="0" w:line="240" w:lineRule="auto"/>
      </w:pPr>
      <w:r>
        <w:separator/>
      </w:r>
    </w:p>
  </w:endnote>
  <w:endnote w:type="continuationSeparator" w:id="0">
    <w:p w14:paraId="499E7BDA" w14:textId="77777777" w:rsidR="00F61285" w:rsidRDefault="00F61285" w:rsidP="00CB0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559FB" w14:textId="77777777" w:rsidR="00F61285" w:rsidRDefault="00F61285" w:rsidP="00CB0ECA">
      <w:pPr>
        <w:spacing w:after="0" w:line="240" w:lineRule="auto"/>
      </w:pPr>
      <w:r>
        <w:separator/>
      </w:r>
    </w:p>
  </w:footnote>
  <w:footnote w:type="continuationSeparator" w:id="0">
    <w:p w14:paraId="6EEB81F2" w14:textId="77777777" w:rsidR="00F61285" w:rsidRDefault="00F61285" w:rsidP="00CB0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076826"/>
      <w:docPartObj>
        <w:docPartGallery w:val="Page Numbers (Top of Page)"/>
        <w:docPartUnique/>
      </w:docPartObj>
    </w:sdtPr>
    <w:sdtEndPr>
      <w:rPr>
        <w:noProof/>
      </w:rPr>
    </w:sdtEndPr>
    <w:sdtContent>
      <w:p w14:paraId="669E087B" w14:textId="3EF1CEF6" w:rsidR="00CB0ECA" w:rsidRDefault="00CB0ECA">
        <w:pPr>
          <w:pStyle w:val="Header"/>
          <w:jc w:val="right"/>
        </w:pPr>
        <w:r>
          <w:fldChar w:fldCharType="begin"/>
        </w:r>
        <w:r>
          <w:instrText xml:space="preserve"> PAGE   \* MERGEFORMAT </w:instrText>
        </w:r>
        <w:r>
          <w:fldChar w:fldCharType="separate"/>
        </w:r>
        <w:r w:rsidR="00E029A2">
          <w:rPr>
            <w:noProof/>
          </w:rPr>
          <w:t>8</w:t>
        </w:r>
        <w:r>
          <w:rPr>
            <w:noProof/>
          </w:rPr>
          <w:fldChar w:fldCharType="end"/>
        </w:r>
      </w:p>
    </w:sdtContent>
  </w:sdt>
  <w:p w14:paraId="57B8540A" w14:textId="77777777" w:rsidR="00CB0ECA" w:rsidRDefault="00CB0E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B275D1"/>
    <w:multiLevelType w:val="hybridMultilevel"/>
    <w:tmpl w:val="2EB2E1E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4A0F7136"/>
    <w:multiLevelType w:val="multilevel"/>
    <w:tmpl w:val="D640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205447"/>
    <w:multiLevelType w:val="hybridMultilevel"/>
    <w:tmpl w:val="D5465C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4332951">
    <w:abstractNumId w:val="1"/>
  </w:num>
  <w:num w:numId="2" w16cid:durableId="637226837">
    <w:abstractNumId w:val="0"/>
  </w:num>
  <w:num w:numId="3" w16cid:durableId="20318383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A9E"/>
    <w:rsid w:val="00041CA9"/>
    <w:rsid w:val="00082C6F"/>
    <w:rsid w:val="00092506"/>
    <w:rsid w:val="000B488D"/>
    <w:rsid w:val="000F11F0"/>
    <w:rsid w:val="00167017"/>
    <w:rsid w:val="00186A9E"/>
    <w:rsid w:val="001E59F3"/>
    <w:rsid w:val="003641CE"/>
    <w:rsid w:val="003E0500"/>
    <w:rsid w:val="004C7BBE"/>
    <w:rsid w:val="005250C4"/>
    <w:rsid w:val="005F5BA0"/>
    <w:rsid w:val="007250C1"/>
    <w:rsid w:val="00740144"/>
    <w:rsid w:val="007B3F08"/>
    <w:rsid w:val="007F5836"/>
    <w:rsid w:val="00833F3F"/>
    <w:rsid w:val="008D24C7"/>
    <w:rsid w:val="00946E9D"/>
    <w:rsid w:val="009563B4"/>
    <w:rsid w:val="00977CEC"/>
    <w:rsid w:val="00A365BA"/>
    <w:rsid w:val="00AA3D91"/>
    <w:rsid w:val="00B06B1B"/>
    <w:rsid w:val="00B1440F"/>
    <w:rsid w:val="00CB0ECA"/>
    <w:rsid w:val="00D11236"/>
    <w:rsid w:val="00DC75B9"/>
    <w:rsid w:val="00E029A2"/>
    <w:rsid w:val="00E07BA1"/>
    <w:rsid w:val="00E1236B"/>
    <w:rsid w:val="00E62F60"/>
    <w:rsid w:val="00E843A8"/>
    <w:rsid w:val="00E8628B"/>
    <w:rsid w:val="00EB1819"/>
    <w:rsid w:val="00ED3454"/>
    <w:rsid w:val="00F55763"/>
    <w:rsid w:val="00F61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C89B01"/>
  <w15:chartTrackingRefBased/>
  <w15:docId w15:val="{33B25B67-823F-4D4A-BE30-355990C75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0C1"/>
    <w:pPr>
      <w:spacing w:line="360" w:lineRule="auto"/>
      <w:jc w:val="both"/>
    </w:pPr>
    <w:rPr>
      <w:rFonts w:ascii="Arial" w:hAnsi="Arial"/>
      <w:sz w:val="24"/>
    </w:rPr>
  </w:style>
  <w:style w:type="paragraph" w:styleId="Heading1">
    <w:name w:val="heading 1"/>
    <w:basedOn w:val="Normal"/>
    <w:next w:val="Normal"/>
    <w:link w:val="Heading1Char"/>
    <w:uiPriority w:val="9"/>
    <w:qFormat/>
    <w:rsid w:val="00EB1819"/>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F5BA0"/>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186A9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6A9E"/>
    <w:pPr>
      <w:spacing w:before="100" w:beforeAutospacing="1" w:after="100" w:afterAutospacing="1" w:line="240" w:lineRule="auto"/>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sid w:val="00EB1819"/>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5F5BA0"/>
    <w:rPr>
      <w:rFonts w:ascii="Arial" w:eastAsiaTheme="majorEastAsia" w:hAnsi="Arial" w:cstheme="majorBidi"/>
      <w:color w:val="2E74B5" w:themeColor="accent1" w:themeShade="BF"/>
      <w:sz w:val="28"/>
      <w:szCs w:val="26"/>
    </w:rPr>
  </w:style>
  <w:style w:type="character" w:customStyle="1" w:styleId="Heading3Char">
    <w:name w:val="Heading 3 Char"/>
    <w:basedOn w:val="DefaultParagraphFont"/>
    <w:link w:val="Heading3"/>
    <w:uiPriority w:val="9"/>
    <w:rsid w:val="00186A9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186A9E"/>
    <w:pPr>
      <w:ind w:left="720"/>
      <w:contextualSpacing/>
    </w:pPr>
  </w:style>
  <w:style w:type="paragraph" w:styleId="TOCHeading">
    <w:name w:val="TOC Heading"/>
    <w:basedOn w:val="Heading1"/>
    <w:next w:val="Normal"/>
    <w:uiPriority w:val="39"/>
    <w:unhideWhenUsed/>
    <w:qFormat/>
    <w:rsid w:val="00CB0ECA"/>
    <w:pPr>
      <w:outlineLvl w:val="9"/>
    </w:pPr>
  </w:style>
  <w:style w:type="paragraph" w:styleId="TOC1">
    <w:name w:val="toc 1"/>
    <w:basedOn w:val="Normal"/>
    <w:next w:val="Normal"/>
    <w:autoRedefine/>
    <w:uiPriority w:val="39"/>
    <w:unhideWhenUsed/>
    <w:rsid w:val="00CB0ECA"/>
    <w:pPr>
      <w:tabs>
        <w:tab w:val="right" w:leader="dot" w:pos="9350"/>
      </w:tabs>
      <w:spacing w:after="100"/>
    </w:pPr>
    <w:rPr>
      <w:rFonts w:eastAsia="Times New Roman"/>
      <w:noProof/>
      <w:sz w:val="28"/>
    </w:rPr>
  </w:style>
  <w:style w:type="paragraph" w:styleId="TOC2">
    <w:name w:val="toc 2"/>
    <w:basedOn w:val="Normal"/>
    <w:next w:val="Normal"/>
    <w:autoRedefine/>
    <w:uiPriority w:val="39"/>
    <w:unhideWhenUsed/>
    <w:rsid w:val="00CB0ECA"/>
    <w:pPr>
      <w:spacing w:after="100"/>
      <w:ind w:left="220"/>
    </w:pPr>
  </w:style>
  <w:style w:type="paragraph" w:styleId="TOC3">
    <w:name w:val="toc 3"/>
    <w:basedOn w:val="Normal"/>
    <w:next w:val="Normal"/>
    <w:autoRedefine/>
    <w:uiPriority w:val="39"/>
    <w:unhideWhenUsed/>
    <w:rsid w:val="00CB0ECA"/>
    <w:pPr>
      <w:spacing w:after="100"/>
      <w:ind w:left="440"/>
    </w:pPr>
  </w:style>
  <w:style w:type="character" w:styleId="Hyperlink">
    <w:name w:val="Hyperlink"/>
    <w:basedOn w:val="DefaultParagraphFont"/>
    <w:uiPriority w:val="99"/>
    <w:unhideWhenUsed/>
    <w:rsid w:val="00CB0ECA"/>
    <w:rPr>
      <w:color w:val="0563C1" w:themeColor="hyperlink"/>
      <w:u w:val="single"/>
    </w:rPr>
  </w:style>
  <w:style w:type="paragraph" w:styleId="Header">
    <w:name w:val="header"/>
    <w:basedOn w:val="Normal"/>
    <w:link w:val="HeaderChar"/>
    <w:uiPriority w:val="99"/>
    <w:unhideWhenUsed/>
    <w:rsid w:val="00CB0E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0ECA"/>
  </w:style>
  <w:style w:type="paragraph" w:styleId="Footer">
    <w:name w:val="footer"/>
    <w:basedOn w:val="Normal"/>
    <w:link w:val="FooterChar"/>
    <w:uiPriority w:val="99"/>
    <w:unhideWhenUsed/>
    <w:rsid w:val="00CB0E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7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EDC43-5E15-4477-A10F-2B5AFDC79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2424</Words>
  <Characters>13822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Natalia Tucan</cp:lastModifiedBy>
  <cp:revision>3</cp:revision>
  <dcterms:created xsi:type="dcterms:W3CDTF">2024-01-30T12:45:00Z</dcterms:created>
  <dcterms:modified xsi:type="dcterms:W3CDTF">2024-02-01T11:36:00Z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06647a5760563fc6412d12975b068b65618ff7fa324274c2218d73b8eac4b7a9</vt:lpwstr>
  </property>
</Properties>
</file>