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8980F" w14:textId="251CCCBF" w:rsidR="00A06744" w:rsidRDefault="00CD63C6" w:rsidP="007D3842">
      <w:pPr>
        <w:jc w:val="center"/>
      </w:pPr>
      <w:r>
        <w:t xml:space="preserve">Austro-Hungarian Ultimatum </w:t>
      </w:r>
      <w:r w:rsidR="007D3842">
        <w:t xml:space="preserve">Primary Source Evaluation </w:t>
      </w:r>
    </w:p>
    <w:p w14:paraId="72DF5801" w14:textId="628C2847" w:rsidR="00BC126D" w:rsidRDefault="007D3842" w:rsidP="007D3842">
      <w:pPr>
        <w:rPr>
          <w:sz w:val="22"/>
          <w:szCs w:val="22"/>
        </w:rPr>
      </w:pPr>
      <w:r w:rsidRPr="007D3842">
        <w:rPr>
          <w:sz w:val="22"/>
          <w:szCs w:val="22"/>
        </w:rPr>
        <w:t>The</w:t>
      </w:r>
      <w:r>
        <w:rPr>
          <w:sz w:val="22"/>
          <w:szCs w:val="22"/>
        </w:rPr>
        <w:t xml:space="preserve"> source that will be evaluated in this piece of writing is an ultimatum from the Austro-Hungarian Empire, presented to the Royal Serbian Government on the 23</w:t>
      </w:r>
      <w:r w:rsidRPr="007D3842">
        <w:rPr>
          <w:sz w:val="22"/>
          <w:szCs w:val="22"/>
          <w:vertAlign w:val="superscript"/>
        </w:rPr>
        <w:t>rd</w:t>
      </w:r>
      <w:r>
        <w:rPr>
          <w:sz w:val="22"/>
          <w:szCs w:val="22"/>
        </w:rPr>
        <w:t xml:space="preserve"> July 1914.</w:t>
      </w:r>
      <w:r w:rsidR="00BC126D">
        <w:rPr>
          <w:sz w:val="22"/>
          <w:szCs w:val="22"/>
        </w:rPr>
        <w:t xml:space="preserve"> The ultimatum will be evaluated to show its significance, reliability, and its utility.</w:t>
      </w:r>
    </w:p>
    <w:p w14:paraId="7A713E93" w14:textId="155B83E3" w:rsidR="007D3842" w:rsidRDefault="007D3842" w:rsidP="007D3842">
      <w:pPr>
        <w:rPr>
          <w:sz w:val="22"/>
          <w:szCs w:val="22"/>
        </w:rPr>
      </w:pPr>
      <w:r>
        <w:rPr>
          <w:sz w:val="22"/>
          <w:szCs w:val="22"/>
        </w:rPr>
        <w:t xml:space="preserve"> </w:t>
      </w:r>
      <w:r w:rsidR="00D810CF">
        <w:rPr>
          <w:sz w:val="22"/>
          <w:szCs w:val="22"/>
        </w:rPr>
        <w:t>This ultimatum was presented to the Royal Serbian Government after the assassination of Archduke Franz Ferdinand on the 28</w:t>
      </w:r>
      <w:r w:rsidR="00D810CF" w:rsidRPr="00D810CF">
        <w:rPr>
          <w:sz w:val="22"/>
          <w:szCs w:val="22"/>
          <w:vertAlign w:val="superscript"/>
        </w:rPr>
        <w:t>th</w:t>
      </w:r>
      <w:r w:rsidR="00D810CF">
        <w:rPr>
          <w:sz w:val="22"/>
          <w:szCs w:val="22"/>
        </w:rPr>
        <w:t xml:space="preserve"> of June of that year. </w:t>
      </w:r>
      <w:r w:rsidR="001D5BDE">
        <w:rPr>
          <w:sz w:val="22"/>
          <w:szCs w:val="22"/>
        </w:rPr>
        <w:t>The document was authored by</w:t>
      </w:r>
      <w:r w:rsidR="00045FEE">
        <w:rPr>
          <w:sz w:val="22"/>
          <w:szCs w:val="22"/>
        </w:rPr>
        <w:t xml:space="preserve"> Leopold Berchtold and was </w:t>
      </w:r>
      <w:r w:rsidR="004B4723">
        <w:rPr>
          <w:sz w:val="22"/>
          <w:szCs w:val="22"/>
        </w:rPr>
        <w:t xml:space="preserve">later </w:t>
      </w:r>
      <w:r w:rsidR="00045FEE">
        <w:rPr>
          <w:sz w:val="22"/>
          <w:szCs w:val="22"/>
        </w:rPr>
        <w:t>delivered by</w:t>
      </w:r>
      <w:r w:rsidR="001D5BDE">
        <w:rPr>
          <w:sz w:val="22"/>
          <w:szCs w:val="22"/>
        </w:rPr>
        <w:t xml:space="preserve"> General Wladimir Giesl von Gieslingen. The audience that the author intended was the Royal Serbian Government as the document directly addresses the Royal Serbian Government. However</w:t>
      </w:r>
      <w:r w:rsidR="007B19D1">
        <w:rPr>
          <w:sz w:val="22"/>
          <w:szCs w:val="22"/>
        </w:rPr>
        <w:t>,</w:t>
      </w:r>
      <w:r w:rsidR="001D5BDE">
        <w:rPr>
          <w:sz w:val="22"/>
          <w:szCs w:val="22"/>
        </w:rPr>
        <w:t xml:space="preserve"> the audience that the translator intended was students, scholars, and academics as the translator likely intended for the document</w:t>
      </w:r>
      <w:r w:rsidR="007051B0">
        <w:rPr>
          <w:sz w:val="22"/>
          <w:szCs w:val="22"/>
        </w:rPr>
        <w:t xml:space="preserve"> to be used and studied more widely. </w:t>
      </w:r>
    </w:p>
    <w:p w14:paraId="7FB97526" w14:textId="34C82C66" w:rsidR="007051B0" w:rsidRDefault="002B27E0" w:rsidP="007D3842">
      <w:pPr>
        <w:rPr>
          <w:sz w:val="22"/>
          <w:szCs w:val="22"/>
        </w:rPr>
      </w:pPr>
      <w:r>
        <w:rPr>
          <w:sz w:val="22"/>
          <w:szCs w:val="22"/>
        </w:rPr>
        <w:t>The source outlines the anger and grievances of the assassination of the Archduke Franz Ferdinand on the 28</w:t>
      </w:r>
      <w:r w:rsidRPr="002B27E0">
        <w:rPr>
          <w:sz w:val="22"/>
          <w:szCs w:val="22"/>
          <w:vertAlign w:val="superscript"/>
        </w:rPr>
        <w:t>th</w:t>
      </w:r>
      <w:r>
        <w:rPr>
          <w:sz w:val="22"/>
          <w:szCs w:val="22"/>
        </w:rPr>
        <w:t xml:space="preserve"> June 1914</w:t>
      </w:r>
      <w:r w:rsidR="00B33588">
        <w:rPr>
          <w:rStyle w:val="FootnoteReference"/>
          <w:sz w:val="22"/>
          <w:szCs w:val="22"/>
        </w:rPr>
        <w:footnoteReference w:id="1"/>
      </w:r>
      <w:r>
        <w:rPr>
          <w:sz w:val="22"/>
          <w:szCs w:val="22"/>
        </w:rPr>
        <w:t>. Throughout the ultimatum the Austro-Hungarian Government continually blames the Royal Serbian Government as well as other specific individuals</w:t>
      </w:r>
      <w:r w:rsidR="00B33588">
        <w:rPr>
          <w:rStyle w:val="FootnoteReference"/>
          <w:sz w:val="22"/>
          <w:szCs w:val="22"/>
        </w:rPr>
        <w:footnoteReference w:id="2"/>
      </w:r>
      <w:r>
        <w:rPr>
          <w:sz w:val="22"/>
          <w:szCs w:val="22"/>
        </w:rPr>
        <w:t>. The Austro-Hungarian Government also drafts a response for the Serbian Government to reply back with</w:t>
      </w:r>
      <w:r w:rsidR="00B33588">
        <w:rPr>
          <w:rStyle w:val="FootnoteReference"/>
          <w:sz w:val="22"/>
          <w:szCs w:val="22"/>
        </w:rPr>
        <w:footnoteReference w:id="3"/>
      </w:r>
      <w:r>
        <w:rPr>
          <w:sz w:val="22"/>
          <w:szCs w:val="22"/>
        </w:rPr>
        <w:t>. The response drafted by the Austro-Hungarian Government includes the expectation of the Austro-Hungarians that Serbians and the Royal Serbian Government will condemn and take action against any individuals which had any involvement with the assassination of Franz Ferdinand</w:t>
      </w:r>
      <w:r w:rsidR="00B33588">
        <w:rPr>
          <w:rStyle w:val="FootnoteReference"/>
          <w:sz w:val="22"/>
          <w:szCs w:val="22"/>
        </w:rPr>
        <w:footnoteReference w:id="4"/>
      </w:r>
      <w:r>
        <w:rPr>
          <w:sz w:val="22"/>
          <w:szCs w:val="22"/>
        </w:rPr>
        <w:t xml:space="preserve">. The ultimatum also sets out some demands which Serbia must comply with </w:t>
      </w:r>
      <w:r w:rsidR="006A0F1A">
        <w:rPr>
          <w:sz w:val="22"/>
          <w:szCs w:val="22"/>
        </w:rPr>
        <w:t>if they intend to avoid the onset of war. Some demands from the Austro-Hungarian Government include the dissolution of the Narodna Odbrana, which was</w:t>
      </w:r>
      <w:r w:rsidR="00B33588">
        <w:rPr>
          <w:sz w:val="22"/>
          <w:szCs w:val="22"/>
        </w:rPr>
        <w:t xml:space="preserve"> a</w:t>
      </w:r>
      <w:r w:rsidR="006A0F1A">
        <w:rPr>
          <w:sz w:val="22"/>
          <w:szCs w:val="22"/>
        </w:rPr>
        <w:t xml:space="preserve"> terrorist group, and the suppression of any and all media which is critical of Franz Ferdinand and the Austro-Hungarian Monarchy</w:t>
      </w:r>
      <w:r w:rsidR="00B33588">
        <w:rPr>
          <w:rStyle w:val="FootnoteReference"/>
          <w:sz w:val="22"/>
          <w:szCs w:val="22"/>
        </w:rPr>
        <w:footnoteReference w:id="5"/>
      </w:r>
      <w:r w:rsidR="006A0F1A">
        <w:rPr>
          <w:sz w:val="22"/>
          <w:szCs w:val="22"/>
        </w:rPr>
        <w:t xml:space="preserve">. </w:t>
      </w:r>
    </w:p>
    <w:p w14:paraId="41E1CF0C" w14:textId="0B3D4CA1" w:rsidR="006A0F1A" w:rsidRDefault="00D75F23" w:rsidP="007D3842">
      <w:pPr>
        <w:rPr>
          <w:sz w:val="22"/>
          <w:szCs w:val="22"/>
        </w:rPr>
      </w:pPr>
      <w:r>
        <w:rPr>
          <w:sz w:val="22"/>
          <w:szCs w:val="22"/>
        </w:rPr>
        <w:t>One strength and weakness of the primary source is that it has been translated. This is a strength of the document as it means that the document can be more widely studied by students, scholars, and the general public without needing to learn another language. However, the translation may not show the full meaning of the primary source compared to the original document. This is due to some words in some languages having multiple or different meanings in their original language, compared to having a different or only one meaning when translated into English</w:t>
      </w:r>
      <w:r w:rsidR="003F26F1">
        <w:rPr>
          <w:sz w:val="22"/>
          <w:szCs w:val="22"/>
        </w:rPr>
        <w:t xml:space="preserve">. Primary sources translated into English from other languages may not express the true sentiment in the translated document due to the multiple meanings of words in some languages. Some words in other languages may not have an exact translation into English, therefore a translator would use a word in English which approximates the meaning of the word in its original language. Also, due to some words having multiple and sometimes no literal translations, translators would have to pick a translation which approximates the situation. This </w:t>
      </w:r>
      <w:r w:rsidR="003F26F1">
        <w:rPr>
          <w:sz w:val="22"/>
          <w:szCs w:val="22"/>
        </w:rPr>
        <w:lastRenderedPageBreak/>
        <w:t xml:space="preserve">means that some translations would differ from each other and therefore would be studied differently. </w:t>
      </w:r>
      <w:r w:rsidR="000E78FC">
        <w:rPr>
          <w:sz w:val="22"/>
          <w:szCs w:val="22"/>
        </w:rPr>
        <w:t>The translation of primary sources into English also shows why interpretations differ from each other.</w:t>
      </w:r>
      <w:r w:rsidR="00E43DAB">
        <w:rPr>
          <w:sz w:val="22"/>
          <w:szCs w:val="22"/>
        </w:rPr>
        <w:t xml:space="preserve"> </w:t>
      </w:r>
    </w:p>
    <w:p w14:paraId="365AD154" w14:textId="620CF2A8" w:rsidR="00E43DAB" w:rsidRDefault="0041295E" w:rsidP="007D3842">
      <w:pPr>
        <w:rPr>
          <w:sz w:val="22"/>
          <w:szCs w:val="22"/>
        </w:rPr>
      </w:pPr>
      <w:r>
        <w:rPr>
          <w:sz w:val="22"/>
          <w:szCs w:val="22"/>
        </w:rPr>
        <w:t>The authors patriotism towards the Austro-Hungarian Empire and the authors hatred towards Serbia after the assassination of Franz Ferdinand is likely the reason that the author used the language they did in the ultimatum. Strong and emotive language is used throughout the ultimatum. Strong language such as ‘painful’ are used to show the grief and anger of the assassination of Franz Ferdinand</w:t>
      </w:r>
      <w:r w:rsidR="00B33588">
        <w:rPr>
          <w:rStyle w:val="FootnoteReference"/>
          <w:sz w:val="22"/>
          <w:szCs w:val="22"/>
        </w:rPr>
        <w:footnoteReference w:id="6"/>
      </w:r>
      <w:r>
        <w:rPr>
          <w:sz w:val="22"/>
          <w:szCs w:val="22"/>
        </w:rPr>
        <w:t>. Other strong words are used throughout the primary document such as ‘propaganda’, this word is used to show any criticism of the Austro-Hungarian Monarchy</w:t>
      </w:r>
      <w:r w:rsidR="00B33588">
        <w:rPr>
          <w:rStyle w:val="FootnoteReference"/>
          <w:sz w:val="22"/>
          <w:szCs w:val="22"/>
        </w:rPr>
        <w:footnoteReference w:id="7"/>
      </w:r>
      <w:r>
        <w:rPr>
          <w:sz w:val="22"/>
          <w:szCs w:val="22"/>
        </w:rPr>
        <w:t>.</w:t>
      </w:r>
      <w:r w:rsidR="006B583B">
        <w:rPr>
          <w:sz w:val="22"/>
          <w:szCs w:val="22"/>
        </w:rPr>
        <w:t xml:space="preserve"> Also, words used in the text such as ‘unjustifiable’ is used in the text to show the feeling of immense anger after the assassination</w:t>
      </w:r>
      <w:r w:rsidR="00B33588">
        <w:rPr>
          <w:rStyle w:val="FootnoteReference"/>
          <w:sz w:val="22"/>
          <w:szCs w:val="22"/>
        </w:rPr>
        <w:footnoteReference w:id="8"/>
      </w:r>
      <w:r w:rsidR="006B583B">
        <w:rPr>
          <w:sz w:val="22"/>
          <w:szCs w:val="22"/>
        </w:rPr>
        <w:t>.</w:t>
      </w:r>
      <w:r>
        <w:rPr>
          <w:sz w:val="22"/>
          <w:szCs w:val="22"/>
        </w:rPr>
        <w:t xml:space="preserve"> The anger towards Serbia likely influenced bias in the ultimatum. Whilst the anger after the assassination of Franz Ferdinand </w:t>
      </w:r>
      <w:r w:rsidR="006B583B">
        <w:rPr>
          <w:sz w:val="22"/>
          <w:szCs w:val="22"/>
        </w:rPr>
        <w:t xml:space="preserve">was not over exaggerated, the use of the word ‘propaganda’ to describe the Serbian medias’ disagreement of the Austro-Hungarian Monarchy was both an over exaggeration and a bias towards Serbia. </w:t>
      </w:r>
      <w:r w:rsidR="004C2D07">
        <w:rPr>
          <w:sz w:val="22"/>
          <w:szCs w:val="22"/>
        </w:rPr>
        <w:t>The bias towards Serbia may remove some reliability of the source due to the accusations made against Serbia, however, this bias improves its significance as it shows the reasoning in the view of the Austro-Hungarians of why they sent the ultimatum.</w:t>
      </w:r>
    </w:p>
    <w:p w14:paraId="3865B0E1" w14:textId="567CB79C" w:rsidR="002C2B33" w:rsidRDefault="002C2B33" w:rsidP="007D3842">
      <w:pPr>
        <w:rPr>
          <w:sz w:val="22"/>
          <w:szCs w:val="22"/>
        </w:rPr>
      </w:pPr>
      <w:r>
        <w:rPr>
          <w:sz w:val="22"/>
          <w:szCs w:val="22"/>
        </w:rPr>
        <w:t>Another reason for the Austro-Hungarians to be biased against the Serbians is due to Article 25 of the Treaty of Berlin 1878. Article 25 of the Treaty of Berlin states that Austria-Hungary would occupy Bosnia and Herzegovina</w:t>
      </w:r>
      <w:r w:rsidR="00030F3F">
        <w:rPr>
          <w:rStyle w:val="FootnoteReference"/>
          <w:sz w:val="22"/>
          <w:szCs w:val="22"/>
        </w:rPr>
        <w:footnoteReference w:id="9"/>
      </w:r>
      <w:r>
        <w:rPr>
          <w:sz w:val="22"/>
          <w:szCs w:val="22"/>
        </w:rPr>
        <w:t>. It also states that whilst the Ottoman Empire would continue to function in the region, the Austro-Hungarians would be able to hold a large military presence in the area</w:t>
      </w:r>
      <w:r w:rsidR="00030F3F">
        <w:rPr>
          <w:rStyle w:val="FootnoteReference"/>
          <w:sz w:val="22"/>
          <w:szCs w:val="22"/>
        </w:rPr>
        <w:footnoteReference w:id="10"/>
      </w:r>
      <w:r>
        <w:rPr>
          <w:sz w:val="22"/>
          <w:szCs w:val="22"/>
        </w:rPr>
        <w:t xml:space="preserve">. </w:t>
      </w:r>
      <w:r w:rsidR="00D85C71">
        <w:rPr>
          <w:sz w:val="22"/>
          <w:szCs w:val="22"/>
        </w:rPr>
        <w:t xml:space="preserve">Although, as stated in the text, Serbia’s rights had not been infringed, Article 25 of the Treaty of Berlin can be marked as the </w:t>
      </w:r>
      <w:r w:rsidR="007F1C51">
        <w:rPr>
          <w:sz w:val="22"/>
          <w:szCs w:val="22"/>
        </w:rPr>
        <w:t>continuing</w:t>
      </w:r>
      <w:r w:rsidR="00D85C71">
        <w:rPr>
          <w:sz w:val="22"/>
          <w:szCs w:val="22"/>
        </w:rPr>
        <w:t xml:space="preserve"> of the erosion of relations between Serbia and Austria-Hungary</w:t>
      </w:r>
      <w:r w:rsidR="00D85C71">
        <w:rPr>
          <w:rStyle w:val="FootnoteReference"/>
          <w:sz w:val="22"/>
          <w:szCs w:val="22"/>
        </w:rPr>
        <w:footnoteReference w:id="11"/>
      </w:r>
      <w:r w:rsidR="00D85C71">
        <w:rPr>
          <w:sz w:val="22"/>
          <w:szCs w:val="22"/>
        </w:rPr>
        <w:t xml:space="preserve">. </w:t>
      </w:r>
      <w:r w:rsidR="007F1C51">
        <w:rPr>
          <w:sz w:val="22"/>
          <w:szCs w:val="22"/>
        </w:rPr>
        <w:t xml:space="preserve">The breakdown of relations between </w:t>
      </w:r>
      <w:r w:rsidR="007D535F">
        <w:rPr>
          <w:sz w:val="22"/>
          <w:szCs w:val="22"/>
        </w:rPr>
        <w:t>Serbia and Austria-Hungary started due to the Austro-Hungarian annexation of Bosnia and Herzegovina in 1908, a year prior to the Treaty of Berlin, after three decades of de facto rule</w:t>
      </w:r>
      <w:r w:rsidR="00025618">
        <w:rPr>
          <w:rStyle w:val="FootnoteReference"/>
          <w:sz w:val="22"/>
          <w:szCs w:val="22"/>
        </w:rPr>
        <w:footnoteReference w:id="12"/>
      </w:r>
      <w:r w:rsidR="007D535F">
        <w:rPr>
          <w:sz w:val="22"/>
          <w:szCs w:val="22"/>
        </w:rPr>
        <w:t>.</w:t>
      </w:r>
      <w:r w:rsidR="00923F8F">
        <w:rPr>
          <w:sz w:val="22"/>
          <w:szCs w:val="22"/>
        </w:rPr>
        <w:t xml:space="preserve"> The Treaty of Berlin can be seen as an incentive for the assassination of Franz Ferdinand by Serbian nationalists, which links to the ultimatum, as the annexation of Bosnia and Herzegovina by Austria-Hungary angered Serbian nationalists as it threatened the idea of Greater Serbia</w:t>
      </w:r>
      <w:r w:rsidR="000913E4">
        <w:rPr>
          <w:rStyle w:val="FootnoteReference"/>
          <w:sz w:val="22"/>
          <w:szCs w:val="22"/>
        </w:rPr>
        <w:footnoteReference w:id="13"/>
      </w:r>
      <w:r w:rsidR="00923F8F">
        <w:rPr>
          <w:sz w:val="22"/>
          <w:szCs w:val="22"/>
        </w:rPr>
        <w:t>.</w:t>
      </w:r>
      <w:r w:rsidR="00A30696">
        <w:rPr>
          <w:sz w:val="22"/>
          <w:szCs w:val="22"/>
        </w:rPr>
        <w:t xml:space="preserve"> </w:t>
      </w:r>
      <w:r w:rsidR="00D85C71">
        <w:rPr>
          <w:sz w:val="22"/>
          <w:szCs w:val="22"/>
        </w:rPr>
        <w:t>Th</w:t>
      </w:r>
      <w:r w:rsidR="007F1C51">
        <w:rPr>
          <w:sz w:val="22"/>
          <w:szCs w:val="22"/>
        </w:rPr>
        <w:t>e Treaty of Berlin</w:t>
      </w:r>
      <w:r w:rsidR="00D85C71">
        <w:rPr>
          <w:sz w:val="22"/>
          <w:szCs w:val="22"/>
        </w:rPr>
        <w:t xml:space="preserve"> can also be seen as the turning point towards the July 23</w:t>
      </w:r>
      <w:r w:rsidR="00D85C71" w:rsidRPr="00D85C71">
        <w:rPr>
          <w:sz w:val="22"/>
          <w:szCs w:val="22"/>
          <w:vertAlign w:val="superscript"/>
        </w:rPr>
        <w:t>rd</w:t>
      </w:r>
      <w:r w:rsidR="00D85C71">
        <w:rPr>
          <w:sz w:val="22"/>
          <w:szCs w:val="22"/>
        </w:rPr>
        <w:t xml:space="preserve"> ultimatum sent to Serbia</w:t>
      </w:r>
      <w:r w:rsidR="00C85FB1">
        <w:rPr>
          <w:sz w:val="22"/>
          <w:szCs w:val="22"/>
        </w:rPr>
        <w:t>,</w:t>
      </w:r>
      <w:r w:rsidR="007F1C51">
        <w:rPr>
          <w:sz w:val="22"/>
          <w:szCs w:val="22"/>
        </w:rPr>
        <w:t xml:space="preserve"> as it ratifies the Austro-Hungarian annexation of Bosnia and Herzegovina</w:t>
      </w:r>
      <w:r w:rsidR="00D85C71">
        <w:rPr>
          <w:sz w:val="22"/>
          <w:szCs w:val="22"/>
        </w:rPr>
        <w:t xml:space="preserve">. </w:t>
      </w:r>
      <w:r>
        <w:rPr>
          <w:sz w:val="22"/>
          <w:szCs w:val="22"/>
        </w:rPr>
        <w:t xml:space="preserve">Article 25 of the Treaty of Berlin gives wider </w:t>
      </w:r>
      <w:r>
        <w:rPr>
          <w:sz w:val="22"/>
          <w:szCs w:val="22"/>
        </w:rPr>
        <w:lastRenderedPageBreak/>
        <w:t>context to the likely bias towards Serbia, gives context to the immediate reasons for the outbreak of World War I</w:t>
      </w:r>
      <w:r w:rsidR="00D75B99">
        <w:rPr>
          <w:sz w:val="22"/>
          <w:szCs w:val="22"/>
        </w:rPr>
        <w:t>, and shows the significance of the primary document.</w:t>
      </w:r>
    </w:p>
    <w:p w14:paraId="24B1566F" w14:textId="2C915C1F" w:rsidR="00045FEE" w:rsidRDefault="001B53A0" w:rsidP="007D3842">
      <w:pPr>
        <w:rPr>
          <w:sz w:val="22"/>
          <w:szCs w:val="22"/>
        </w:rPr>
      </w:pPr>
      <w:r>
        <w:rPr>
          <w:sz w:val="22"/>
          <w:szCs w:val="22"/>
        </w:rPr>
        <w:t>The ultimatum is a reliable primary source due to its author.</w:t>
      </w:r>
      <w:r w:rsidR="002C2B33">
        <w:rPr>
          <w:sz w:val="22"/>
          <w:szCs w:val="22"/>
        </w:rPr>
        <w:t xml:space="preserve"> The author of the primary document is Leopold Berchtold, who was the Foreign Minister in the Austro-Hungarian Government</w:t>
      </w:r>
      <w:r w:rsidR="005444E4">
        <w:rPr>
          <w:rStyle w:val="FootnoteReference"/>
          <w:sz w:val="22"/>
          <w:szCs w:val="22"/>
        </w:rPr>
        <w:footnoteReference w:id="14"/>
      </w:r>
      <w:r w:rsidR="002C2B33">
        <w:rPr>
          <w:sz w:val="22"/>
          <w:szCs w:val="22"/>
        </w:rPr>
        <w:t xml:space="preserve">. </w:t>
      </w:r>
      <w:r w:rsidR="00A46186">
        <w:rPr>
          <w:sz w:val="22"/>
          <w:szCs w:val="22"/>
        </w:rPr>
        <w:t>After the assassination of Franz Ferdinand on June 28</w:t>
      </w:r>
      <w:r w:rsidR="00A46186" w:rsidRPr="00A46186">
        <w:rPr>
          <w:sz w:val="22"/>
          <w:szCs w:val="22"/>
          <w:vertAlign w:val="superscript"/>
        </w:rPr>
        <w:t>th</w:t>
      </w:r>
      <w:r w:rsidR="00A46186">
        <w:rPr>
          <w:sz w:val="22"/>
          <w:szCs w:val="22"/>
        </w:rPr>
        <w:t>, Berchtold, with the encouragement from Conrad von Hotzendorf, a military strategist, and the consent of other ministers of the Austro-Hungarian Government, decided on creating an ultimatum</w:t>
      </w:r>
      <w:r w:rsidR="005444E4">
        <w:rPr>
          <w:rStyle w:val="FootnoteReference"/>
          <w:sz w:val="22"/>
          <w:szCs w:val="22"/>
        </w:rPr>
        <w:footnoteReference w:id="15"/>
      </w:r>
      <w:r w:rsidR="00A46186">
        <w:rPr>
          <w:sz w:val="22"/>
          <w:szCs w:val="22"/>
        </w:rPr>
        <w:t xml:space="preserve">. </w:t>
      </w:r>
      <w:r w:rsidR="00A80928">
        <w:rPr>
          <w:sz w:val="22"/>
          <w:szCs w:val="22"/>
        </w:rPr>
        <w:t xml:space="preserve">This shows that the ultimatum is a reliable primary document as it was authored by a high ranking member of the Austro-Hungarian Government. </w:t>
      </w:r>
    </w:p>
    <w:p w14:paraId="21BBCF9D" w14:textId="275EF910" w:rsidR="00DD0B5C" w:rsidRDefault="001B53A0" w:rsidP="007D3842">
      <w:pPr>
        <w:rPr>
          <w:sz w:val="22"/>
          <w:szCs w:val="22"/>
        </w:rPr>
      </w:pPr>
      <w:r>
        <w:rPr>
          <w:sz w:val="22"/>
          <w:szCs w:val="22"/>
        </w:rPr>
        <w:t xml:space="preserve"> </w:t>
      </w:r>
      <w:r w:rsidR="002C2B33">
        <w:rPr>
          <w:sz w:val="22"/>
          <w:szCs w:val="22"/>
        </w:rPr>
        <w:t>Another important figure in the context around the ultimatum was the</w:t>
      </w:r>
      <w:r>
        <w:rPr>
          <w:sz w:val="22"/>
          <w:szCs w:val="22"/>
        </w:rPr>
        <w:t xml:space="preserve"> </w:t>
      </w:r>
      <w:r w:rsidR="002C2B33">
        <w:rPr>
          <w:sz w:val="22"/>
          <w:szCs w:val="22"/>
        </w:rPr>
        <w:t>deliverer</w:t>
      </w:r>
      <w:r>
        <w:rPr>
          <w:sz w:val="22"/>
          <w:szCs w:val="22"/>
        </w:rPr>
        <w:t xml:space="preserve"> of the ultimatum</w:t>
      </w:r>
      <w:r w:rsidR="002C2B33">
        <w:rPr>
          <w:sz w:val="22"/>
          <w:szCs w:val="22"/>
        </w:rPr>
        <w:t>,</w:t>
      </w:r>
      <w:r>
        <w:rPr>
          <w:sz w:val="22"/>
          <w:szCs w:val="22"/>
        </w:rPr>
        <w:t xml:space="preserve"> Wladimir Giesl von Gieslingen, who was an Austro-Hungarian general and diplomat</w:t>
      </w:r>
      <w:r w:rsidR="006F1C82">
        <w:rPr>
          <w:rStyle w:val="FootnoteReference"/>
          <w:sz w:val="22"/>
          <w:szCs w:val="22"/>
        </w:rPr>
        <w:footnoteReference w:id="16"/>
      </w:r>
      <w:r>
        <w:rPr>
          <w:sz w:val="22"/>
          <w:szCs w:val="22"/>
        </w:rPr>
        <w:t>. Giesl was instructed to hand over the ultimatum to the Royal Serbian Government on July 23</w:t>
      </w:r>
      <w:r w:rsidRPr="001B53A0">
        <w:rPr>
          <w:sz w:val="22"/>
          <w:szCs w:val="22"/>
          <w:vertAlign w:val="superscript"/>
        </w:rPr>
        <w:t>rd</w:t>
      </w:r>
      <w:r>
        <w:rPr>
          <w:sz w:val="22"/>
          <w:szCs w:val="22"/>
        </w:rPr>
        <w:t xml:space="preserve"> 1914 with the Austro-Hungarians demand that the Serbian Government unconditionally accepts all demands made in the ultimatum within 48 hours of receiving it</w:t>
      </w:r>
      <w:r w:rsidR="008702E4">
        <w:rPr>
          <w:rStyle w:val="FootnoteReference"/>
          <w:sz w:val="22"/>
          <w:szCs w:val="22"/>
        </w:rPr>
        <w:footnoteReference w:id="17"/>
      </w:r>
      <w:r>
        <w:rPr>
          <w:sz w:val="22"/>
          <w:szCs w:val="22"/>
        </w:rPr>
        <w:t>. The response given by the Royal Serbian Government made some accommodations towards the Austro-Hungarians, but did not unconditionally accept all demands</w:t>
      </w:r>
      <w:r w:rsidR="008702E4">
        <w:rPr>
          <w:rStyle w:val="FootnoteReference"/>
          <w:sz w:val="22"/>
          <w:szCs w:val="22"/>
        </w:rPr>
        <w:footnoteReference w:id="18"/>
      </w:r>
      <w:r>
        <w:rPr>
          <w:sz w:val="22"/>
          <w:szCs w:val="22"/>
        </w:rPr>
        <w:t>. Due to this and Giesls’ personal opinion on the matter, all diplomatic relations with Serbia were subsequently cut off</w:t>
      </w:r>
      <w:r w:rsidR="008702E4">
        <w:rPr>
          <w:rStyle w:val="FootnoteReference"/>
          <w:sz w:val="22"/>
          <w:szCs w:val="22"/>
        </w:rPr>
        <w:footnoteReference w:id="19"/>
      </w:r>
      <w:r>
        <w:rPr>
          <w:sz w:val="22"/>
          <w:szCs w:val="22"/>
        </w:rPr>
        <w:t xml:space="preserve">. The ultimatum shows that in a wider context that Giesl had a large responsibility, in the short term, of the start of the First World War, due to his personal opinion of cutting diplomatic ties with Serbia after they did not accept all the terms of the Austro-Hungarian ultimatum. </w:t>
      </w:r>
      <w:r w:rsidR="00607DEB">
        <w:rPr>
          <w:sz w:val="22"/>
          <w:szCs w:val="22"/>
        </w:rPr>
        <w:t>Th</w:t>
      </w:r>
      <w:r w:rsidR="006F1C82">
        <w:rPr>
          <w:sz w:val="22"/>
          <w:szCs w:val="22"/>
        </w:rPr>
        <w:t>erefore,</w:t>
      </w:r>
      <w:r w:rsidR="00607DEB">
        <w:rPr>
          <w:sz w:val="22"/>
          <w:szCs w:val="22"/>
        </w:rPr>
        <w:t xml:space="preserve"> showing its reliability as a primary document.</w:t>
      </w:r>
    </w:p>
    <w:p w14:paraId="150EDEBB" w14:textId="1B183402" w:rsidR="0099768B" w:rsidRDefault="0099768B" w:rsidP="007D3842">
      <w:pPr>
        <w:rPr>
          <w:sz w:val="22"/>
          <w:szCs w:val="22"/>
        </w:rPr>
      </w:pPr>
      <w:r>
        <w:rPr>
          <w:sz w:val="22"/>
          <w:szCs w:val="22"/>
        </w:rPr>
        <w:t xml:space="preserve">Another strength of the ultimatum is the documents significance in its area of study. </w:t>
      </w:r>
      <w:r w:rsidR="00A614CA">
        <w:rPr>
          <w:sz w:val="22"/>
          <w:szCs w:val="22"/>
        </w:rPr>
        <w:t xml:space="preserve">The ultimatum sent to the Royal Serbian Government </w:t>
      </w:r>
      <w:r w:rsidR="00E623BB">
        <w:rPr>
          <w:sz w:val="22"/>
          <w:szCs w:val="22"/>
        </w:rPr>
        <w:t>on July 23</w:t>
      </w:r>
      <w:r w:rsidR="00E623BB" w:rsidRPr="00E623BB">
        <w:rPr>
          <w:sz w:val="22"/>
          <w:szCs w:val="22"/>
          <w:vertAlign w:val="superscript"/>
        </w:rPr>
        <w:t>rd</w:t>
      </w:r>
      <w:r w:rsidR="00E623BB">
        <w:rPr>
          <w:sz w:val="22"/>
          <w:szCs w:val="22"/>
        </w:rPr>
        <w:t xml:space="preserve"> 1914 can be argued to be the most significant document relating to the origins of the First World War. This is due to the ultimatum directly leading to the onset of war and that the reply by the Royal Serbian Government was considered inadequate by </w:t>
      </w:r>
      <w:r w:rsidR="00D944D7">
        <w:rPr>
          <w:sz w:val="22"/>
          <w:szCs w:val="22"/>
        </w:rPr>
        <w:t>Geisl and the</w:t>
      </w:r>
      <w:r w:rsidR="00E623BB">
        <w:rPr>
          <w:sz w:val="22"/>
          <w:szCs w:val="22"/>
        </w:rPr>
        <w:t xml:space="preserve"> Austro-Hungarian Government</w:t>
      </w:r>
      <w:r w:rsidR="004F39FF">
        <w:rPr>
          <w:rStyle w:val="FootnoteReference"/>
          <w:sz w:val="22"/>
          <w:szCs w:val="22"/>
        </w:rPr>
        <w:footnoteReference w:id="20"/>
      </w:r>
      <w:r w:rsidR="00E623BB">
        <w:rPr>
          <w:sz w:val="22"/>
          <w:szCs w:val="22"/>
        </w:rPr>
        <w:t>. The document is also considered very significant as after the ultimatum was created but before it was delivered, Austria-Hungary made a deal with Germany for unconditional support if there was an outbreak of war</w:t>
      </w:r>
      <w:r w:rsidR="00F62DE7">
        <w:rPr>
          <w:rStyle w:val="FootnoteReference"/>
          <w:sz w:val="22"/>
          <w:szCs w:val="22"/>
        </w:rPr>
        <w:footnoteReference w:id="21"/>
      </w:r>
      <w:r w:rsidR="00E623BB">
        <w:rPr>
          <w:sz w:val="22"/>
          <w:szCs w:val="22"/>
        </w:rPr>
        <w:t xml:space="preserve">. </w:t>
      </w:r>
      <w:r w:rsidR="00DA44FB">
        <w:rPr>
          <w:sz w:val="22"/>
          <w:szCs w:val="22"/>
        </w:rPr>
        <w:t>The need for unconditional support suggests that Austria-Hungary knew what response Serbia was going to give. This also suggests that the rejection of the terms of the ultimatum was its intended outcome.</w:t>
      </w:r>
      <w:r w:rsidR="00A81E28">
        <w:rPr>
          <w:sz w:val="22"/>
          <w:szCs w:val="22"/>
        </w:rPr>
        <w:t xml:space="preserve"> This further proves the documents significance.</w:t>
      </w:r>
    </w:p>
    <w:p w14:paraId="47BAA81E" w14:textId="6EE61305" w:rsidR="00AC2DA5" w:rsidRDefault="00C5092D" w:rsidP="007D3842">
      <w:pPr>
        <w:rPr>
          <w:sz w:val="22"/>
          <w:szCs w:val="22"/>
        </w:rPr>
      </w:pPr>
      <w:r>
        <w:rPr>
          <w:sz w:val="22"/>
          <w:szCs w:val="22"/>
        </w:rPr>
        <w:lastRenderedPageBreak/>
        <w:t xml:space="preserve">Using the content in a primary document, and the wider context around the document and area of study, historians and scholars </w:t>
      </w:r>
      <w:r w:rsidR="009606D5">
        <w:rPr>
          <w:sz w:val="22"/>
          <w:szCs w:val="22"/>
        </w:rPr>
        <w:t xml:space="preserve">are able to </w:t>
      </w:r>
      <w:r>
        <w:rPr>
          <w:sz w:val="22"/>
          <w:szCs w:val="22"/>
        </w:rPr>
        <w:t xml:space="preserve">create interpretations of a primary source. </w:t>
      </w:r>
      <w:r w:rsidR="008A54CF">
        <w:rPr>
          <w:sz w:val="22"/>
          <w:szCs w:val="22"/>
        </w:rPr>
        <w:t xml:space="preserve">In addition, </w:t>
      </w:r>
      <w:r>
        <w:rPr>
          <w:sz w:val="22"/>
          <w:szCs w:val="22"/>
        </w:rPr>
        <w:t>answering questions about the document such as</w:t>
      </w:r>
      <w:r w:rsidR="00ED55B9">
        <w:rPr>
          <w:sz w:val="22"/>
          <w:szCs w:val="22"/>
        </w:rPr>
        <w:t>:</w:t>
      </w:r>
      <w:r>
        <w:rPr>
          <w:sz w:val="22"/>
          <w:szCs w:val="22"/>
        </w:rPr>
        <w:t xml:space="preserve"> who was the author?, when was it written?, why was it written?, who was the authors intended audience?, historians will </w:t>
      </w:r>
      <w:r w:rsidR="0099768B">
        <w:rPr>
          <w:sz w:val="22"/>
          <w:szCs w:val="22"/>
        </w:rPr>
        <w:t xml:space="preserve">also </w:t>
      </w:r>
      <w:r>
        <w:rPr>
          <w:sz w:val="22"/>
          <w:szCs w:val="22"/>
        </w:rPr>
        <w:t xml:space="preserve">start to interpret the source using their own viewpoint. The answers to the questions listed above can interpret how a source is interpreted. These answers also determine a primary sources reliability and its use within its area of study. Factors which would </w:t>
      </w:r>
      <w:r w:rsidR="00EC4ED5">
        <w:rPr>
          <w:sz w:val="22"/>
          <w:szCs w:val="22"/>
        </w:rPr>
        <w:t>a</w:t>
      </w:r>
      <w:r>
        <w:rPr>
          <w:sz w:val="22"/>
          <w:szCs w:val="22"/>
        </w:rPr>
        <w:t>ffect the interpretation of a primary source include</w:t>
      </w:r>
      <w:r w:rsidR="00ED55B9">
        <w:rPr>
          <w:sz w:val="22"/>
          <w:szCs w:val="22"/>
        </w:rPr>
        <w:t>: where the source originated from and where the source is delivered to. This would effect the interpretation of the document as some countries may be biased towards others when writing to them.</w:t>
      </w:r>
      <w:r w:rsidR="002E5C63">
        <w:rPr>
          <w:sz w:val="22"/>
          <w:szCs w:val="22"/>
        </w:rPr>
        <w:t xml:space="preserve"> </w:t>
      </w:r>
    </w:p>
    <w:p w14:paraId="4DD36563" w14:textId="1A841EC8" w:rsidR="00C43F20" w:rsidRDefault="00C43F20" w:rsidP="007D3842">
      <w:pPr>
        <w:rPr>
          <w:sz w:val="22"/>
          <w:szCs w:val="22"/>
        </w:rPr>
      </w:pPr>
      <w:r>
        <w:rPr>
          <w:sz w:val="22"/>
          <w:szCs w:val="22"/>
        </w:rPr>
        <w:t>An</w:t>
      </w:r>
      <w:r w:rsidR="006D0E3C">
        <w:rPr>
          <w:sz w:val="22"/>
          <w:szCs w:val="22"/>
        </w:rPr>
        <w:t xml:space="preserve"> </w:t>
      </w:r>
      <w:r>
        <w:rPr>
          <w:sz w:val="22"/>
          <w:szCs w:val="22"/>
        </w:rPr>
        <w:t xml:space="preserve">interpretation of the ultimatum delivered to the Serbian Government is by Samuel R. Williamson Jr, in </w:t>
      </w:r>
      <w:r w:rsidR="00347F8A">
        <w:rPr>
          <w:sz w:val="22"/>
          <w:szCs w:val="22"/>
        </w:rPr>
        <w:t xml:space="preserve">‘The Journal of Interdisciplinary History’. Williamson argues, using </w:t>
      </w:r>
      <w:r w:rsidR="00670832">
        <w:rPr>
          <w:sz w:val="22"/>
          <w:szCs w:val="22"/>
        </w:rPr>
        <w:t xml:space="preserve">documents from </w:t>
      </w:r>
      <w:r w:rsidR="00347F8A">
        <w:rPr>
          <w:sz w:val="22"/>
          <w:szCs w:val="22"/>
        </w:rPr>
        <w:t>Serbia, that the Serbians did not intend to accept any form of ultimatum sent by the Austro-Hungarian Monarchy</w:t>
      </w:r>
      <w:r w:rsidR="00E21C78">
        <w:rPr>
          <w:rStyle w:val="FootnoteReference"/>
          <w:sz w:val="22"/>
          <w:szCs w:val="22"/>
        </w:rPr>
        <w:footnoteReference w:id="22"/>
      </w:r>
      <w:r w:rsidR="00347F8A">
        <w:rPr>
          <w:sz w:val="22"/>
          <w:szCs w:val="22"/>
        </w:rPr>
        <w:t>. This was shown when the Serbian Government did not accept the most important demands set by Austria-Hungary, whilst agreeing to all other demands</w:t>
      </w:r>
      <w:r w:rsidR="00927386">
        <w:rPr>
          <w:rStyle w:val="FootnoteReference"/>
          <w:sz w:val="22"/>
          <w:szCs w:val="22"/>
        </w:rPr>
        <w:footnoteReference w:id="23"/>
      </w:r>
      <w:r w:rsidR="00347F8A">
        <w:rPr>
          <w:sz w:val="22"/>
          <w:szCs w:val="22"/>
        </w:rPr>
        <w:t xml:space="preserve">. The main demand which the Serbian Government refused to accept was </w:t>
      </w:r>
      <w:r w:rsidR="004C2D07">
        <w:rPr>
          <w:sz w:val="22"/>
          <w:szCs w:val="22"/>
        </w:rPr>
        <w:t xml:space="preserve">a </w:t>
      </w:r>
      <w:r w:rsidR="00347F8A">
        <w:rPr>
          <w:sz w:val="22"/>
          <w:szCs w:val="22"/>
        </w:rPr>
        <w:t>public inquiry in Serbia investigating the assassination of Franz Ferdinand</w:t>
      </w:r>
      <w:r w:rsidR="00927386">
        <w:rPr>
          <w:rStyle w:val="FootnoteReference"/>
          <w:sz w:val="22"/>
          <w:szCs w:val="22"/>
        </w:rPr>
        <w:footnoteReference w:id="24"/>
      </w:r>
      <w:r w:rsidR="00347F8A">
        <w:rPr>
          <w:sz w:val="22"/>
          <w:szCs w:val="22"/>
        </w:rPr>
        <w:t>. Williamson also explains that by Serbia accepting the majority of demands, it makes Serbia appear to be the victim instead of Austria-Hungary</w:t>
      </w:r>
      <w:r w:rsidR="00927386">
        <w:rPr>
          <w:rStyle w:val="FootnoteReference"/>
          <w:sz w:val="22"/>
          <w:szCs w:val="22"/>
        </w:rPr>
        <w:footnoteReference w:id="25"/>
      </w:r>
      <w:r w:rsidR="00347F8A">
        <w:rPr>
          <w:sz w:val="22"/>
          <w:szCs w:val="22"/>
        </w:rPr>
        <w:t xml:space="preserve">. Williamsons interpretation shows the significance and reliability of the document in its wider context and shows its relevance </w:t>
      </w:r>
      <w:r w:rsidR="006519D4">
        <w:rPr>
          <w:sz w:val="22"/>
          <w:szCs w:val="22"/>
        </w:rPr>
        <w:t>in the documents area of study.</w:t>
      </w:r>
    </w:p>
    <w:p w14:paraId="5A0D14DD" w14:textId="7D559967" w:rsidR="00007697" w:rsidRDefault="00007697" w:rsidP="007D3842">
      <w:pPr>
        <w:rPr>
          <w:sz w:val="22"/>
          <w:szCs w:val="22"/>
        </w:rPr>
      </w:pPr>
      <w:r>
        <w:rPr>
          <w:sz w:val="22"/>
          <w:szCs w:val="22"/>
        </w:rPr>
        <w:t>In conclusion, the July 23</w:t>
      </w:r>
      <w:r w:rsidRPr="00007697">
        <w:rPr>
          <w:sz w:val="22"/>
          <w:szCs w:val="22"/>
          <w:vertAlign w:val="superscript"/>
        </w:rPr>
        <w:t>rd</w:t>
      </w:r>
      <w:r>
        <w:rPr>
          <w:sz w:val="22"/>
          <w:szCs w:val="22"/>
        </w:rPr>
        <w:t xml:space="preserve"> ultimatum is both a reliable and a significant primary source. The ultimatum is both reliable and significant for many reasons. The primary source is reliable as it both created and delivered by high ranking members of the Austro-Hungarian Government and Military. </w:t>
      </w:r>
      <w:r w:rsidR="0015488B">
        <w:rPr>
          <w:sz w:val="22"/>
          <w:szCs w:val="22"/>
        </w:rPr>
        <w:t>The primary source being translated into English strengthens the sources utility as it allows for wider study of the source without learning another language. However, differences in languages may remove some meaning and sentiment from the source in its original language.</w:t>
      </w:r>
      <w:r w:rsidR="00896503">
        <w:rPr>
          <w:sz w:val="22"/>
          <w:szCs w:val="22"/>
        </w:rPr>
        <w:t xml:space="preserve"> The source can also be argued to be the most significant document relating to the origins of the First World War</w:t>
      </w:r>
      <w:r w:rsidR="00252AD1">
        <w:rPr>
          <w:sz w:val="22"/>
          <w:szCs w:val="22"/>
        </w:rPr>
        <w:t xml:space="preserve"> as the ultimatum, and its expected response, directly led to the outbreak of war.</w:t>
      </w:r>
      <w:r w:rsidR="00DB7CB3">
        <w:rPr>
          <w:sz w:val="22"/>
          <w:szCs w:val="22"/>
        </w:rPr>
        <w:t xml:space="preserve"> </w:t>
      </w:r>
      <w:r w:rsidR="00495647">
        <w:rPr>
          <w:sz w:val="22"/>
          <w:szCs w:val="22"/>
        </w:rPr>
        <w:t>Interpretation by Samuel R. Williamson Jr also showed the documents significance in its wider context</w:t>
      </w:r>
      <w:r w:rsidR="00F51200">
        <w:rPr>
          <w:sz w:val="22"/>
          <w:szCs w:val="22"/>
        </w:rPr>
        <w:t xml:space="preserve"> by interpreting that the Serbians never intended to agree to any form of ultimatum and that by avoiding the most important demands set by Austria-Hungary, but by accepting smaller demands Serbia could appear to be the victim</w:t>
      </w:r>
      <w:r w:rsidR="00495647">
        <w:rPr>
          <w:sz w:val="22"/>
          <w:szCs w:val="22"/>
        </w:rPr>
        <w:t xml:space="preserve">. </w:t>
      </w:r>
      <w:r w:rsidR="000B676A">
        <w:rPr>
          <w:sz w:val="22"/>
          <w:szCs w:val="22"/>
        </w:rPr>
        <w:t xml:space="preserve">The biases against Serbia </w:t>
      </w:r>
      <w:r w:rsidR="008E7FD7">
        <w:rPr>
          <w:sz w:val="22"/>
          <w:szCs w:val="22"/>
        </w:rPr>
        <w:t>throughout the ultimatum removes some reliability, however the significance and relevance of the source was increased as it showed Austria-Hungary’s reasoning for sending the ultimatum.</w:t>
      </w:r>
    </w:p>
    <w:p w14:paraId="40AAFDD6" w14:textId="77777777" w:rsidR="004240A3" w:rsidRDefault="004240A3" w:rsidP="007D3842">
      <w:pPr>
        <w:rPr>
          <w:sz w:val="22"/>
          <w:szCs w:val="22"/>
        </w:rPr>
      </w:pPr>
    </w:p>
    <w:p w14:paraId="6D82513A" w14:textId="77777777" w:rsidR="004240A3" w:rsidRDefault="004240A3" w:rsidP="007D3842">
      <w:pPr>
        <w:rPr>
          <w:sz w:val="22"/>
          <w:szCs w:val="22"/>
        </w:rPr>
      </w:pPr>
    </w:p>
    <w:p w14:paraId="1FCE9EC2" w14:textId="77777777" w:rsidR="00585ACC" w:rsidRDefault="00585ACC" w:rsidP="007D3842">
      <w:pPr>
        <w:rPr>
          <w:sz w:val="22"/>
          <w:szCs w:val="22"/>
          <w:u w:val="single"/>
        </w:rPr>
      </w:pPr>
    </w:p>
    <w:p w14:paraId="1789871E" w14:textId="77777777" w:rsidR="00585ACC" w:rsidRDefault="00585ACC" w:rsidP="007D3842">
      <w:pPr>
        <w:rPr>
          <w:sz w:val="22"/>
          <w:szCs w:val="22"/>
          <w:u w:val="single"/>
        </w:rPr>
      </w:pPr>
    </w:p>
    <w:p w14:paraId="47F0511C" w14:textId="54AD4DAB" w:rsidR="004240A3" w:rsidRDefault="004240A3" w:rsidP="007D3842">
      <w:pPr>
        <w:rPr>
          <w:sz w:val="22"/>
          <w:szCs w:val="22"/>
          <w:u w:val="single"/>
        </w:rPr>
      </w:pPr>
      <w:r>
        <w:rPr>
          <w:sz w:val="22"/>
          <w:szCs w:val="22"/>
          <w:u w:val="single"/>
        </w:rPr>
        <w:t xml:space="preserve">Bibliography </w:t>
      </w:r>
    </w:p>
    <w:p w14:paraId="04AF2928" w14:textId="650FADB7" w:rsidR="00583D45" w:rsidRDefault="00583D45" w:rsidP="004B70C7">
      <w:pPr>
        <w:pStyle w:val="ListParagraph"/>
        <w:numPr>
          <w:ilvl w:val="0"/>
          <w:numId w:val="1"/>
        </w:numPr>
        <w:rPr>
          <w:sz w:val="22"/>
          <w:szCs w:val="22"/>
        </w:rPr>
      </w:pPr>
      <w:r>
        <w:rPr>
          <w:sz w:val="22"/>
          <w:szCs w:val="22"/>
        </w:rPr>
        <w:t xml:space="preserve">Britannica, </w:t>
      </w:r>
      <w:r>
        <w:rPr>
          <w:i/>
          <w:iCs/>
          <w:sz w:val="22"/>
          <w:szCs w:val="22"/>
        </w:rPr>
        <w:t>Leopold, Graf von Berchtold</w:t>
      </w:r>
      <w:r>
        <w:rPr>
          <w:sz w:val="22"/>
          <w:szCs w:val="22"/>
        </w:rPr>
        <w:t>, 2025, &lt;</w:t>
      </w:r>
      <w:hyperlink r:id="rId8" w:history="1">
        <w:r w:rsidRPr="00E84851">
          <w:rPr>
            <w:rStyle w:val="Hyperlink"/>
            <w:sz w:val="22"/>
            <w:szCs w:val="22"/>
          </w:rPr>
          <w:t>https://www.britannica.com/biography/Leopold-Count-von-Berchtold</w:t>
        </w:r>
      </w:hyperlink>
      <w:r>
        <w:rPr>
          <w:sz w:val="22"/>
          <w:szCs w:val="22"/>
        </w:rPr>
        <w:t>&gt;, [Accessed: 7</w:t>
      </w:r>
      <w:r w:rsidRPr="00583D45">
        <w:rPr>
          <w:sz w:val="22"/>
          <w:szCs w:val="22"/>
          <w:vertAlign w:val="superscript"/>
        </w:rPr>
        <w:t>th</w:t>
      </w:r>
      <w:r>
        <w:rPr>
          <w:sz w:val="22"/>
          <w:szCs w:val="22"/>
        </w:rPr>
        <w:t xml:space="preserve"> February 2026]</w:t>
      </w:r>
    </w:p>
    <w:p w14:paraId="088C6AE3" w14:textId="45B3256A" w:rsidR="00FC707A" w:rsidRPr="00FC707A" w:rsidRDefault="00FC707A" w:rsidP="004B70C7">
      <w:pPr>
        <w:pStyle w:val="ListParagraph"/>
        <w:numPr>
          <w:ilvl w:val="0"/>
          <w:numId w:val="1"/>
        </w:numPr>
        <w:rPr>
          <w:sz w:val="22"/>
          <w:szCs w:val="22"/>
        </w:rPr>
      </w:pPr>
      <w:r w:rsidRPr="00FC707A">
        <w:rPr>
          <w:sz w:val="22"/>
          <w:szCs w:val="22"/>
        </w:rPr>
        <w:t xml:space="preserve">Economic Cooperation Foundation, </w:t>
      </w:r>
      <w:r w:rsidRPr="00FC707A">
        <w:rPr>
          <w:i/>
          <w:iCs/>
          <w:sz w:val="22"/>
          <w:szCs w:val="22"/>
        </w:rPr>
        <w:t>Treaty of Berlin between Great Britain, Austria-Hungary, France, Germany, Italy, Russia and Turkey</w:t>
      </w:r>
      <w:r>
        <w:rPr>
          <w:sz w:val="22"/>
          <w:szCs w:val="22"/>
        </w:rPr>
        <w:t>, Unknown, &lt;</w:t>
      </w:r>
      <w:hyperlink r:id="rId9" w:history="1">
        <w:r w:rsidRPr="00E84851">
          <w:rPr>
            <w:rStyle w:val="Hyperlink"/>
            <w:sz w:val="22"/>
            <w:szCs w:val="22"/>
          </w:rPr>
          <w:t>https://content.ecf.org.il/files/M00935_TreatyOfBerlin1878ExcerptsEnglish.pdf</w:t>
        </w:r>
      </w:hyperlink>
      <w:r>
        <w:rPr>
          <w:sz w:val="22"/>
          <w:szCs w:val="22"/>
        </w:rPr>
        <w:t>&gt;, [Accessed: 7</w:t>
      </w:r>
      <w:r w:rsidRPr="00FC707A">
        <w:rPr>
          <w:sz w:val="22"/>
          <w:szCs w:val="22"/>
          <w:vertAlign w:val="superscript"/>
        </w:rPr>
        <w:t>th</w:t>
      </w:r>
      <w:r>
        <w:rPr>
          <w:sz w:val="22"/>
          <w:szCs w:val="22"/>
        </w:rPr>
        <w:t xml:space="preserve"> February 2026]</w:t>
      </w:r>
    </w:p>
    <w:p w14:paraId="43CC976C" w14:textId="5F95BD4D" w:rsidR="004240A3" w:rsidRPr="00FC707A" w:rsidRDefault="004B70C7" w:rsidP="004B70C7">
      <w:pPr>
        <w:pStyle w:val="ListParagraph"/>
        <w:numPr>
          <w:ilvl w:val="0"/>
          <w:numId w:val="1"/>
        </w:numPr>
        <w:rPr>
          <w:sz w:val="22"/>
          <w:szCs w:val="22"/>
        </w:rPr>
      </w:pPr>
      <w:r w:rsidRPr="00FC707A">
        <w:rPr>
          <w:sz w:val="22"/>
          <w:szCs w:val="22"/>
        </w:rPr>
        <w:t xml:space="preserve">German Biography, </w:t>
      </w:r>
      <w:r w:rsidR="00581805" w:rsidRPr="00FC707A">
        <w:rPr>
          <w:i/>
          <w:iCs/>
          <w:sz w:val="22"/>
          <w:szCs w:val="22"/>
        </w:rPr>
        <w:t xml:space="preserve">Giesl von Gieslingen, </w:t>
      </w:r>
      <w:r w:rsidR="00117284">
        <w:rPr>
          <w:i/>
          <w:iCs/>
          <w:sz w:val="22"/>
          <w:szCs w:val="22"/>
        </w:rPr>
        <w:t>W</w:t>
      </w:r>
      <w:r w:rsidR="00581805" w:rsidRPr="00FC707A">
        <w:rPr>
          <w:i/>
          <w:iCs/>
          <w:sz w:val="22"/>
          <w:szCs w:val="22"/>
        </w:rPr>
        <w:t>ladimir Rudolph Karl Freiherr</w:t>
      </w:r>
      <w:r w:rsidR="00581805" w:rsidRPr="00FC707A">
        <w:rPr>
          <w:sz w:val="22"/>
          <w:szCs w:val="22"/>
        </w:rPr>
        <w:t>, Unknown, &lt;</w:t>
      </w:r>
      <w:hyperlink r:id="rId10" w:anchor="ndbcontent" w:history="1">
        <w:r w:rsidR="00581805" w:rsidRPr="00FC707A">
          <w:rPr>
            <w:rStyle w:val="Hyperlink"/>
            <w:sz w:val="22"/>
            <w:szCs w:val="22"/>
          </w:rPr>
          <w:t>https://www.deutsche-biographie.de/pnd101847173.html?language=en#ndbcontent</w:t>
        </w:r>
      </w:hyperlink>
      <w:r w:rsidR="00581805" w:rsidRPr="00FC707A">
        <w:rPr>
          <w:sz w:val="22"/>
          <w:szCs w:val="22"/>
        </w:rPr>
        <w:t>&gt;, [Accessed: 7</w:t>
      </w:r>
      <w:r w:rsidR="00581805" w:rsidRPr="00FC707A">
        <w:rPr>
          <w:sz w:val="22"/>
          <w:szCs w:val="22"/>
          <w:vertAlign w:val="superscript"/>
        </w:rPr>
        <w:t>th</w:t>
      </w:r>
      <w:r w:rsidR="00581805" w:rsidRPr="00FC707A">
        <w:rPr>
          <w:sz w:val="22"/>
          <w:szCs w:val="22"/>
        </w:rPr>
        <w:t xml:space="preserve"> February 2026]</w:t>
      </w:r>
    </w:p>
    <w:p w14:paraId="3EF669FE" w14:textId="7ACC6DEF" w:rsidR="001A16AC" w:rsidRDefault="00733A41" w:rsidP="004B70C7">
      <w:pPr>
        <w:pStyle w:val="ListParagraph"/>
        <w:numPr>
          <w:ilvl w:val="0"/>
          <w:numId w:val="1"/>
        </w:numPr>
        <w:rPr>
          <w:sz w:val="22"/>
          <w:szCs w:val="22"/>
        </w:rPr>
      </w:pPr>
      <w:r>
        <w:rPr>
          <w:sz w:val="22"/>
          <w:szCs w:val="22"/>
        </w:rPr>
        <w:t xml:space="preserve">Williamson Jr., Samuel R., ‘The Origins of World War I’, </w:t>
      </w:r>
      <w:r>
        <w:rPr>
          <w:i/>
          <w:iCs/>
          <w:sz w:val="22"/>
          <w:szCs w:val="22"/>
        </w:rPr>
        <w:t>The Journal of Interdisciplinary History, The Origin and Prevention of Major Wars</w:t>
      </w:r>
      <w:r>
        <w:rPr>
          <w:sz w:val="22"/>
          <w:szCs w:val="22"/>
        </w:rPr>
        <w:t>, Vol18, No 4, (1988), pp 795-818</w:t>
      </w:r>
      <w:r w:rsidR="00A354B9">
        <w:rPr>
          <w:sz w:val="22"/>
          <w:szCs w:val="22"/>
        </w:rPr>
        <w:t>, &lt;</w:t>
      </w:r>
      <w:hyperlink r:id="rId11" w:history="1">
        <w:r w:rsidR="00A354B9" w:rsidRPr="00E84851">
          <w:rPr>
            <w:rStyle w:val="Hyperlink"/>
            <w:sz w:val="22"/>
            <w:szCs w:val="22"/>
          </w:rPr>
          <w:t>https://www.jstor.org/stable/204825</w:t>
        </w:r>
      </w:hyperlink>
      <w:r w:rsidR="00A354B9">
        <w:rPr>
          <w:sz w:val="22"/>
          <w:szCs w:val="22"/>
        </w:rPr>
        <w:t>&gt;, [Accessed: 7</w:t>
      </w:r>
      <w:r w:rsidR="00A354B9" w:rsidRPr="00A354B9">
        <w:rPr>
          <w:sz w:val="22"/>
          <w:szCs w:val="22"/>
          <w:vertAlign w:val="superscript"/>
        </w:rPr>
        <w:t>th</w:t>
      </w:r>
      <w:r w:rsidR="00A354B9">
        <w:rPr>
          <w:sz w:val="22"/>
          <w:szCs w:val="22"/>
        </w:rPr>
        <w:t xml:space="preserve"> February 2026]</w:t>
      </w:r>
    </w:p>
    <w:p w14:paraId="48174DCC" w14:textId="0BE15763" w:rsidR="00362B88" w:rsidRPr="004B70C7" w:rsidRDefault="00362B88" w:rsidP="004B70C7">
      <w:pPr>
        <w:pStyle w:val="ListParagraph"/>
        <w:numPr>
          <w:ilvl w:val="0"/>
          <w:numId w:val="1"/>
        </w:numPr>
        <w:rPr>
          <w:sz w:val="22"/>
          <w:szCs w:val="22"/>
        </w:rPr>
      </w:pPr>
      <w:r>
        <w:rPr>
          <w:sz w:val="22"/>
          <w:szCs w:val="22"/>
        </w:rPr>
        <w:t xml:space="preserve">World War I Document Archive, </w:t>
      </w:r>
      <w:r>
        <w:rPr>
          <w:i/>
          <w:iCs/>
          <w:sz w:val="22"/>
          <w:szCs w:val="22"/>
        </w:rPr>
        <w:t>The Austro-Hungarian Ultimatum to Serbia (English Translation)</w:t>
      </w:r>
      <w:r>
        <w:rPr>
          <w:sz w:val="22"/>
          <w:szCs w:val="22"/>
        </w:rPr>
        <w:t>, 2009, &lt;</w:t>
      </w:r>
      <w:hyperlink r:id="rId12" w:history="1">
        <w:r w:rsidRPr="00E84851">
          <w:rPr>
            <w:rStyle w:val="Hyperlink"/>
            <w:sz w:val="22"/>
            <w:szCs w:val="22"/>
          </w:rPr>
          <w:t>https://wwi.lib.byu.edu/index.php/The_Austro-Hungarian_Ultimatum_to_Serbia_(English_translation)</w:t>
        </w:r>
      </w:hyperlink>
      <w:r>
        <w:rPr>
          <w:sz w:val="22"/>
          <w:szCs w:val="22"/>
        </w:rPr>
        <w:t>&gt;, [Accessed: 7</w:t>
      </w:r>
      <w:r w:rsidRPr="00362B88">
        <w:rPr>
          <w:sz w:val="22"/>
          <w:szCs w:val="22"/>
          <w:vertAlign w:val="superscript"/>
        </w:rPr>
        <w:t>th</w:t>
      </w:r>
      <w:r>
        <w:rPr>
          <w:sz w:val="22"/>
          <w:szCs w:val="22"/>
        </w:rPr>
        <w:t xml:space="preserve"> February 2026]</w:t>
      </w:r>
    </w:p>
    <w:sectPr w:rsidR="00362B88" w:rsidRPr="004B70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D8D54" w14:textId="77777777" w:rsidR="00ED6BC7" w:rsidRDefault="00ED6BC7" w:rsidP="00E21C78">
      <w:pPr>
        <w:spacing w:after="0" w:line="240" w:lineRule="auto"/>
      </w:pPr>
      <w:r>
        <w:separator/>
      </w:r>
    </w:p>
  </w:endnote>
  <w:endnote w:type="continuationSeparator" w:id="0">
    <w:p w14:paraId="705BB796" w14:textId="77777777" w:rsidR="00ED6BC7" w:rsidRDefault="00ED6BC7" w:rsidP="00E2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C5685" w14:textId="77777777" w:rsidR="00ED6BC7" w:rsidRDefault="00ED6BC7" w:rsidP="00E21C78">
      <w:pPr>
        <w:spacing w:after="0" w:line="240" w:lineRule="auto"/>
      </w:pPr>
      <w:r>
        <w:separator/>
      </w:r>
    </w:p>
  </w:footnote>
  <w:footnote w:type="continuationSeparator" w:id="0">
    <w:p w14:paraId="29C4AF59" w14:textId="77777777" w:rsidR="00ED6BC7" w:rsidRDefault="00ED6BC7" w:rsidP="00E21C78">
      <w:pPr>
        <w:spacing w:after="0" w:line="240" w:lineRule="auto"/>
      </w:pPr>
      <w:r>
        <w:continuationSeparator/>
      </w:r>
    </w:p>
  </w:footnote>
  <w:footnote w:id="1">
    <w:p w14:paraId="1D9DC67A" w14:textId="7AA4023E" w:rsidR="00B33588" w:rsidRPr="00B33588" w:rsidRDefault="00B33588" w:rsidP="00B33588">
      <w:pPr>
        <w:rPr>
          <w:sz w:val="20"/>
          <w:szCs w:val="20"/>
        </w:rPr>
      </w:pPr>
      <w:r w:rsidRPr="00B33588">
        <w:rPr>
          <w:rStyle w:val="FootnoteReference"/>
          <w:sz w:val="20"/>
          <w:szCs w:val="20"/>
        </w:rPr>
        <w:footnoteRef/>
      </w:r>
      <w:r w:rsidRPr="00B33588">
        <w:rPr>
          <w:sz w:val="20"/>
          <w:szCs w:val="20"/>
        </w:rPr>
        <w:t xml:space="preserve"> World War I Document Archive, </w:t>
      </w:r>
      <w:r w:rsidRPr="00B33588">
        <w:rPr>
          <w:i/>
          <w:iCs/>
          <w:sz w:val="20"/>
          <w:szCs w:val="20"/>
        </w:rPr>
        <w:t>The Austro-Hungarian Ultimatum to Serbia (English Translation)</w:t>
      </w:r>
      <w:r w:rsidRPr="00B33588">
        <w:rPr>
          <w:sz w:val="20"/>
          <w:szCs w:val="20"/>
        </w:rPr>
        <w:t>, 2009, &lt;</w:t>
      </w:r>
      <w:hyperlink r:id="rId1" w:history="1">
        <w:r w:rsidRPr="00B33588">
          <w:rPr>
            <w:rStyle w:val="Hyperlink"/>
            <w:sz w:val="20"/>
            <w:szCs w:val="20"/>
          </w:rPr>
          <w:t>https://wwi.lib.byu.edu/index.php/The_Austro-Hungarian_Ultimatum_to_Serbia_(English_translation)</w:t>
        </w:r>
      </w:hyperlink>
      <w:r w:rsidRPr="00B33588">
        <w:rPr>
          <w:sz w:val="20"/>
          <w:szCs w:val="20"/>
        </w:rPr>
        <w:t>&gt;, [Accessed: 7</w:t>
      </w:r>
      <w:r w:rsidRPr="00B33588">
        <w:rPr>
          <w:sz w:val="20"/>
          <w:szCs w:val="20"/>
          <w:vertAlign w:val="superscript"/>
        </w:rPr>
        <w:t>th</w:t>
      </w:r>
      <w:r w:rsidRPr="00B33588">
        <w:rPr>
          <w:sz w:val="20"/>
          <w:szCs w:val="20"/>
        </w:rPr>
        <w:t xml:space="preserve"> February 2026]</w:t>
      </w:r>
    </w:p>
  </w:footnote>
  <w:footnote w:id="2">
    <w:p w14:paraId="2C4A3D44" w14:textId="59FC3E86" w:rsidR="00B33588" w:rsidRDefault="00B33588">
      <w:pPr>
        <w:pStyle w:val="FootnoteText"/>
      </w:pPr>
      <w:r>
        <w:rPr>
          <w:rStyle w:val="FootnoteReference"/>
        </w:rPr>
        <w:footnoteRef/>
      </w:r>
      <w:r>
        <w:t xml:space="preserve"> Ibid: World War I Document Archive, 2009</w:t>
      </w:r>
    </w:p>
  </w:footnote>
  <w:footnote w:id="3">
    <w:p w14:paraId="7E56914B" w14:textId="2D299D92" w:rsidR="00B33588" w:rsidRDefault="00B33588">
      <w:pPr>
        <w:pStyle w:val="FootnoteText"/>
      </w:pPr>
      <w:r>
        <w:rPr>
          <w:rStyle w:val="FootnoteReference"/>
        </w:rPr>
        <w:footnoteRef/>
      </w:r>
      <w:r>
        <w:t xml:space="preserve"> Ibid: World War I Document Archive, 2009</w:t>
      </w:r>
    </w:p>
  </w:footnote>
  <w:footnote w:id="4">
    <w:p w14:paraId="64CBC130" w14:textId="5754912B" w:rsidR="00B33588" w:rsidRDefault="00B33588">
      <w:pPr>
        <w:pStyle w:val="FootnoteText"/>
      </w:pPr>
      <w:r>
        <w:rPr>
          <w:rStyle w:val="FootnoteReference"/>
        </w:rPr>
        <w:footnoteRef/>
      </w:r>
      <w:r>
        <w:t xml:space="preserve"> Ibid: World War I Document Archive, 2009</w:t>
      </w:r>
    </w:p>
  </w:footnote>
  <w:footnote w:id="5">
    <w:p w14:paraId="5746FDBD" w14:textId="65830349" w:rsidR="00B33588" w:rsidRDefault="00B33588">
      <w:pPr>
        <w:pStyle w:val="FootnoteText"/>
      </w:pPr>
      <w:r>
        <w:rPr>
          <w:rStyle w:val="FootnoteReference"/>
        </w:rPr>
        <w:footnoteRef/>
      </w:r>
      <w:r>
        <w:t xml:space="preserve"> Ibid: World War I Document Archive, 2009</w:t>
      </w:r>
    </w:p>
  </w:footnote>
  <w:footnote w:id="6">
    <w:p w14:paraId="2511751F" w14:textId="2BE31230" w:rsidR="00B33588" w:rsidRDefault="00B33588">
      <w:pPr>
        <w:pStyle w:val="FootnoteText"/>
      </w:pPr>
      <w:r>
        <w:rPr>
          <w:rStyle w:val="FootnoteReference"/>
        </w:rPr>
        <w:footnoteRef/>
      </w:r>
      <w:r>
        <w:t xml:space="preserve"> Ibid: World War I Document Archive, 2009</w:t>
      </w:r>
    </w:p>
  </w:footnote>
  <w:footnote w:id="7">
    <w:p w14:paraId="6E86E526" w14:textId="463B0A75" w:rsidR="00B33588" w:rsidRDefault="00B33588">
      <w:pPr>
        <w:pStyle w:val="FootnoteText"/>
      </w:pPr>
      <w:r>
        <w:rPr>
          <w:rStyle w:val="FootnoteReference"/>
        </w:rPr>
        <w:footnoteRef/>
      </w:r>
      <w:r>
        <w:t xml:space="preserve"> Ibid: World War I Document Archive, 2009</w:t>
      </w:r>
    </w:p>
  </w:footnote>
  <w:footnote w:id="8">
    <w:p w14:paraId="25C6142A" w14:textId="446DB775" w:rsidR="00B33588" w:rsidRDefault="00B33588">
      <w:pPr>
        <w:pStyle w:val="FootnoteText"/>
      </w:pPr>
      <w:r>
        <w:rPr>
          <w:rStyle w:val="FootnoteReference"/>
        </w:rPr>
        <w:footnoteRef/>
      </w:r>
      <w:r>
        <w:t xml:space="preserve"> Ibid: World War I Document Archive, 2009</w:t>
      </w:r>
    </w:p>
  </w:footnote>
  <w:footnote w:id="9">
    <w:p w14:paraId="47D86F41" w14:textId="4335DA4F" w:rsidR="00030F3F" w:rsidRPr="00030F3F" w:rsidRDefault="00030F3F" w:rsidP="00030F3F">
      <w:pPr>
        <w:rPr>
          <w:sz w:val="22"/>
          <w:szCs w:val="22"/>
        </w:rPr>
      </w:pPr>
      <w:r>
        <w:rPr>
          <w:rStyle w:val="FootnoteReference"/>
        </w:rPr>
        <w:footnoteRef/>
      </w:r>
      <w:r>
        <w:t xml:space="preserve"> </w:t>
      </w:r>
      <w:r w:rsidRPr="00030F3F">
        <w:rPr>
          <w:sz w:val="20"/>
          <w:szCs w:val="20"/>
        </w:rPr>
        <w:t xml:space="preserve">Economic Cooperation Foundation, </w:t>
      </w:r>
      <w:r w:rsidRPr="00030F3F">
        <w:rPr>
          <w:i/>
          <w:iCs/>
          <w:sz w:val="20"/>
          <w:szCs w:val="20"/>
        </w:rPr>
        <w:t>Treaty of Berlin between Great Britain, Austria-Hungary, France, Germany, Italy, Russia and Turkey</w:t>
      </w:r>
      <w:r w:rsidRPr="00030F3F">
        <w:rPr>
          <w:sz w:val="20"/>
          <w:szCs w:val="20"/>
        </w:rPr>
        <w:t>, Unknown, &lt;</w:t>
      </w:r>
      <w:hyperlink r:id="rId2" w:history="1">
        <w:r w:rsidRPr="00030F3F">
          <w:rPr>
            <w:rStyle w:val="Hyperlink"/>
            <w:sz w:val="20"/>
            <w:szCs w:val="20"/>
          </w:rPr>
          <w:t>https://content.ecf.org.il/files/M00935_TreatyOfBerlin1878ExcerptsEnglish.pdf</w:t>
        </w:r>
      </w:hyperlink>
      <w:r w:rsidRPr="00030F3F">
        <w:rPr>
          <w:sz w:val="20"/>
          <w:szCs w:val="20"/>
        </w:rPr>
        <w:t>&gt;, [Accessed: 7</w:t>
      </w:r>
      <w:r w:rsidRPr="00030F3F">
        <w:rPr>
          <w:sz w:val="20"/>
          <w:szCs w:val="20"/>
          <w:vertAlign w:val="superscript"/>
        </w:rPr>
        <w:t>th</w:t>
      </w:r>
      <w:r w:rsidRPr="00030F3F">
        <w:rPr>
          <w:sz w:val="20"/>
          <w:szCs w:val="20"/>
        </w:rPr>
        <w:t xml:space="preserve"> February 2026]</w:t>
      </w:r>
    </w:p>
  </w:footnote>
  <w:footnote w:id="10">
    <w:p w14:paraId="349555B8" w14:textId="6DE1B9B1" w:rsidR="00030F3F" w:rsidRDefault="00030F3F">
      <w:pPr>
        <w:pStyle w:val="FootnoteText"/>
      </w:pPr>
      <w:r>
        <w:rPr>
          <w:rStyle w:val="FootnoteReference"/>
        </w:rPr>
        <w:footnoteRef/>
      </w:r>
      <w:r>
        <w:t xml:space="preserve"> Ibid: Economic Cooperation Foundation, Unknown</w:t>
      </w:r>
    </w:p>
  </w:footnote>
  <w:footnote w:id="11">
    <w:p w14:paraId="26D0C8E6" w14:textId="29698BA0" w:rsidR="00D85C71" w:rsidRDefault="00D85C71">
      <w:pPr>
        <w:pStyle w:val="FootnoteText"/>
      </w:pPr>
      <w:r>
        <w:rPr>
          <w:rStyle w:val="FootnoteReference"/>
        </w:rPr>
        <w:footnoteRef/>
      </w:r>
      <w:r>
        <w:t xml:space="preserve"> Ibid: World War I Document Archive, 2009</w:t>
      </w:r>
    </w:p>
  </w:footnote>
  <w:footnote w:id="12">
    <w:p w14:paraId="52D8335A" w14:textId="5786A53C" w:rsidR="00025618" w:rsidRDefault="00025618">
      <w:pPr>
        <w:pStyle w:val="FootnoteText"/>
      </w:pPr>
      <w:r>
        <w:rPr>
          <w:rStyle w:val="FootnoteReference"/>
        </w:rPr>
        <w:footnoteRef/>
      </w:r>
      <w:r>
        <w:t xml:space="preserve"> </w:t>
      </w:r>
      <w:r>
        <w:t xml:space="preserve">Samuel R. </w:t>
      </w:r>
      <w:r w:rsidRPr="00E4324A">
        <w:t xml:space="preserve">Williamson Jr., ‘The Origins of World War I’, </w:t>
      </w:r>
      <w:r w:rsidRPr="00E4324A">
        <w:rPr>
          <w:i/>
          <w:iCs/>
        </w:rPr>
        <w:t>The Journal of Interdisciplinary History, The Origin and Prevention of Major Wars</w:t>
      </w:r>
      <w:r w:rsidRPr="00E4324A">
        <w:t>, Vol18, No 4, (1988), pp 795- 818, p 8</w:t>
      </w:r>
      <w:r w:rsidR="000913E4">
        <w:t>03</w:t>
      </w:r>
      <w:r w:rsidRPr="00E4324A">
        <w:t>, &lt;</w:t>
      </w:r>
      <w:hyperlink r:id="rId3" w:history="1">
        <w:r w:rsidRPr="00E4324A">
          <w:rPr>
            <w:rStyle w:val="Hyperlink"/>
          </w:rPr>
          <w:t>https://www.jstor.org/stable/204825</w:t>
        </w:r>
      </w:hyperlink>
      <w:r w:rsidRPr="00E4324A">
        <w:t>&gt;, [Accessed: 7</w:t>
      </w:r>
      <w:r w:rsidRPr="00E4324A">
        <w:rPr>
          <w:vertAlign w:val="superscript"/>
        </w:rPr>
        <w:t>th</w:t>
      </w:r>
      <w:r w:rsidRPr="00E4324A">
        <w:t xml:space="preserve"> February 2026]</w:t>
      </w:r>
    </w:p>
  </w:footnote>
  <w:footnote w:id="13">
    <w:p w14:paraId="7AB64066" w14:textId="419EDA4E" w:rsidR="000913E4" w:rsidRDefault="000913E4">
      <w:pPr>
        <w:pStyle w:val="FootnoteText"/>
      </w:pPr>
      <w:r>
        <w:rPr>
          <w:rStyle w:val="FootnoteReference"/>
        </w:rPr>
        <w:footnoteRef/>
      </w:r>
      <w:r>
        <w:t xml:space="preserve"> </w:t>
      </w:r>
      <w:r>
        <w:t>Ibid: Williamson Jr., ‘The Origins of World War I’, p 8</w:t>
      </w:r>
      <w:r>
        <w:t>03</w:t>
      </w:r>
    </w:p>
  </w:footnote>
  <w:footnote w:id="14">
    <w:p w14:paraId="5EDDF926" w14:textId="4624F2A6" w:rsidR="005444E4" w:rsidRPr="005444E4" w:rsidRDefault="005444E4" w:rsidP="005444E4">
      <w:pPr>
        <w:rPr>
          <w:sz w:val="22"/>
          <w:szCs w:val="22"/>
        </w:rPr>
      </w:pPr>
      <w:r>
        <w:rPr>
          <w:rStyle w:val="FootnoteReference"/>
        </w:rPr>
        <w:footnoteRef/>
      </w:r>
      <w:r>
        <w:t xml:space="preserve"> </w:t>
      </w:r>
      <w:r w:rsidRPr="005444E4">
        <w:rPr>
          <w:sz w:val="20"/>
          <w:szCs w:val="20"/>
        </w:rPr>
        <w:t xml:space="preserve">Britannica, </w:t>
      </w:r>
      <w:r w:rsidRPr="005444E4">
        <w:rPr>
          <w:i/>
          <w:iCs/>
          <w:sz w:val="20"/>
          <w:szCs w:val="20"/>
        </w:rPr>
        <w:t>Leopold, Graf von Berchtold</w:t>
      </w:r>
      <w:r w:rsidRPr="005444E4">
        <w:rPr>
          <w:sz w:val="20"/>
          <w:szCs w:val="20"/>
        </w:rPr>
        <w:t>, 2025, &lt;</w:t>
      </w:r>
      <w:hyperlink r:id="rId4" w:history="1">
        <w:r w:rsidRPr="005444E4">
          <w:rPr>
            <w:rStyle w:val="Hyperlink"/>
            <w:sz w:val="20"/>
            <w:szCs w:val="20"/>
          </w:rPr>
          <w:t>https://www.britannica.com/biography/Leopold-Count-von-Berchtold</w:t>
        </w:r>
      </w:hyperlink>
      <w:r w:rsidRPr="005444E4">
        <w:rPr>
          <w:sz w:val="20"/>
          <w:szCs w:val="20"/>
        </w:rPr>
        <w:t>&gt;, [Accessed: 7</w:t>
      </w:r>
      <w:r w:rsidRPr="005444E4">
        <w:rPr>
          <w:sz w:val="20"/>
          <w:szCs w:val="20"/>
          <w:vertAlign w:val="superscript"/>
        </w:rPr>
        <w:t>th</w:t>
      </w:r>
      <w:r w:rsidRPr="005444E4">
        <w:rPr>
          <w:sz w:val="20"/>
          <w:szCs w:val="20"/>
        </w:rPr>
        <w:t xml:space="preserve"> February 2026]</w:t>
      </w:r>
    </w:p>
  </w:footnote>
  <w:footnote w:id="15">
    <w:p w14:paraId="5F87EAA6" w14:textId="60F58857" w:rsidR="005444E4" w:rsidRDefault="005444E4">
      <w:pPr>
        <w:pStyle w:val="FootnoteText"/>
      </w:pPr>
      <w:r>
        <w:rPr>
          <w:rStyle w:val="FootnoteReference"/>
        </w:rPr>
        <w:footnoteRef/>
      </w:r>
      <w:r>
        <w:t xml:space="preserve"> Ibid: Britannica, 2025</w:t>
      </w:r>
    </w:p>
  </w:footnote>
  <w:footnote w:id="16">
    <w:p w14:paraId="45A8C6C9" w14:textId="317A8F34" w:rsidR="006F1C82" w:rsidRPr="008702E4" w:rsidRDefault="006F1C82" w:rsidP="008702E4">
      <w:pPr>
        <w:rPr>
          <w:sz w:val="22"/>
          <w:szCs w:val="22"/>
        </w:rPr>
      </w:pPr>
      <w:r>
        <w:rPr>
          <w:rStyle w:val="FootnoteReference"/>
        </w:rPr>
        <w:footnoteRef/>
      </w:r>
      <w:r>
        <w:t xml:space="preserve"> </w:t>
      </w:r>
      <w:r w:rsidRPr="006F1C82">
        <w:rPr>
          <w:sz w:val="20"/>
          <w:szCs w:val="20"/>
        </w:rPr>
        <w:t xml:space="preserve">German Biography, </w:t>
      </w:r>
      <w:r w:rsidRPr="006F1C82">
        <w:rPr>
          <w:i/>
          <w:iCs/>
          <w:sz w:val="20"/>
          <w:szCs w:val="20"/>
        </w:rPr>
        <w:t xml:space="preserve">Giesl von Gieslingen, </w:t>
      </w:r>
      <w:r w:rsidR="00117284">
        <w:rPr>
          <w:i/>
          <w:iCs/>
          <w:sz w:val="20"/>
          <w:szCs w:val="20"/>
        </w:rPr>
        <w:t>W</w:t>
      </w:r>
      <w:r w:rsidRPr="006F1C82">
        <w:rPr>
          <w:i/>
          <w:iCs/>
          <w:sz w:val="20"/>
          <w:szCs w:val="20"/>
        </w:rPr>
        <w:t>ladimir Rudolph Karl Freiherr</w:t>
      </w:r>
      <w:r w:rsidRPr="006F1C82">
        <w:rPr>
          <w:sz w:val="20"/>
          <w:szCs w:val="20"/>
        </w:rPr>
        <w:t>, Unknown, &lt;</w:t>
      </w:r>
      <w:hyperlink r:id="rId5" w:anchor="ndbcontent" w:history="1">
        <w:r w:rsidRPr="006F1C82">
          <w:rPr>
            <w:rStyle w:val="Hyperlink"/>
            <w:sz w:val="20"/>
            <w:szCs w:val="20"/>
          </w:rPr>
          <w:t>https://www.deutsche-biographie.de/pnd101847173.html?language=en#ndbcontent</w:t>
        </w:r>
      </w:hyperlink>
      <w:r w:rsidRPr="006F1C82">
        <w:rPr>
          <w:sz w:val="20"/>
          <w:szCs w:val="20"/>
        </w:rPr>
        <w:t>&gt;, [Accessed: 7</w:t>
      </w:r>
      <w:r w:rsidRPr="006F1C82">
        <w:rPr>
          <w:sz w:val="20"/>
          <w:szCs w:val="20"/>
          <w:vertAlign w:val="superscript"/>
        </w:rPr>
        <w:t>th</w:t>
      </w:r>
      <w:r w:rsidRPr="006F1C82">
        <w:rPr>
          <w:sz w:val="20"/>
          <w:szCs w:val="20"/>
        </w:rPr>
        <w:t xml:space="preserve"> February 2026]</w:t>
      </w:r>
    </w:p>
  </w:footnote>
  <w:footnote w:id="17">
    <w:p w14:paraId="5386B991" w14:textId="4D2BA643" w:rsidR="008702E4" w:rsidRDefault="008702E4">
      <w:pPr>
        <w:pStyle w:val="FootnoteText"/>
      </w:pPr>
      <w:r>
        <w:rPr>
          <w:rStyle w:val="FootnoteReference"/>
        </w:rPr>
        <w:footnoteRef/>
      </w:r>
      <w:r>
        <w:t xml:space="preserve"> Ibid: German Biography, Unknown</w:t>
      </w:r>
    </w:p>
  </w:footnote>
  <w:footnote w:id="18">
    <w:p w14:paraId="1A7D3F09" w14:textId="41F9CDF5" w:rsidR="008702E4" w:rsidRDefault="008702E4">
      <w:pPr>
        <w:pStyle w:val="FootnoteText"/>
      </w:pPr>
      <w:r>
        <w:rPr>
          <w:rStyle w:val="FootnoteReference"/>
        </w:rPr>
        <w:footnoteRef/>
      </w:r>
      <w:r>
        <w:t xml:space="preserve"> Ibid: German Biography, Unknown</w:t>
      </w:r>
    </w:p>
  </w:footnote>
  <w:footnote w:id="19">
    <w:p w14:paraId="0185921D" w14:textId="1C24D8EE" w:rsidR="008702E4" w:rsidRDefault="008702E4">
      <w:pPr>
        <w:pStyle w:val="FootnoteText"/>
      </w:pPr>
      <w:r>
        <w:rPr>
          <w:rStyle w:val="FootnoteReference"/>
        </w:rPr>
        <w:footnoteRef/>
      </w:r>
      <w:r>
        <w:t xml:space="preserve"> Ibid: German Biography, Unknown</w:t>
      </w:r>
    </w:p>
  </w:footnote>
  <w:footnote w:id="20">
    <w:p w14:paraId="0A8FE39B" w14:textId="61BECEFE" w:rsidR="004F39FF" w:rsidRDefault="004F39FF">
      <w:pPr>
        <w:pStyle w:val="FootnoteText"/>
      </w:pPr>
      <w:r>
        <w:rPr>
          <w:rStyle w:val="FootnoteReference"/>
        </w:rPr>
        <w:footnoteRef/>
      </w:r>
      <w:r>
        <w:t xml:space="preserve"> Ibid: German Biography, Unknown</w:t>
      </w:r>
    </w:p>
  </w:footnote>
  <w:footnote w:id="21">
    <w:p w14:paraId="1C574A01" w14:textId="22AA93E6" w:rsidR="00F62DE7" w:rsidRDefault="00F62DE7">
      <w:pPr>
        <w:pStyle w:val="FootnoteText"/>
      </w:pPr>
      <w:r>
        <w:rPr>
          <w:rStyle w:val="FootnoteReference"/>
        </w:rPr>
        <w:footnoteRef/>
      </w:r>
      <w:r>
        <w:t xml:space="preserve"> Ibid: Britannica, 2025</w:t>
      </w:r>
    </w:p>
  </w:footnote>
  <w:footnote w:id="22">
    <w:p w14:paraId="2926FF32" w14:textId="6F31FDF3" w:rsidR="00E21C78" w:rsidRPr="00E4324A" w:rsidRDefault="00E21C78" w:rsidP="00E4324A">
      <w:pPr>
        <w:rPr>
          <w:sz w:val="20"/>
          <w:szCs w:val="20"/>
        </w:rPr>
      </w:pPr>
      <w:r w:rsidRPr="00E21C78">
        <w:rPr>
          <w:rStyle w:val="FootnoteReference"/>
          <w:sz w:val="20"/>
          <w:szCs w:val="20"/>
        </w:rPr>
        <w:footnoteRef/>
      </w:r>
      <w:r w:rsidRPr="00E4324A">
        <w:rPr>
          <w:sz w:val="20"/>
          <w:szCs w:val="20"/>
        </w:rPr>
        <w:t xml:space="preserve"> </w:t>
      </w:r>
      <w:r w:rsidR="000913E4" w:rsidRPr="000913E4">
        <w:rPr>
          <w:sz w:val="20"/>
          <w:szCs w:val="20"/>
        </w:rPr>
        <w:t>Ibid: Williamson Jr., ‘The Origins of World War I’, p 81</w:t>
      </w:r>
      <w:r w:rsidR="000913E4">
        <w:rPr>
          <w:sz w:val="20"/>
          <w:szCs w:val="20"/>
        </w:rPr>
        <w:t>1</w:t>
      </w:r>
    </w:p>
  </w:footnote>
  <w:footnote w:id="23">
    <w:p w14:paraId="5DC79E71" w14:textId="4334F54A" w:rsidR="00927386" w:rsidRDefault="00927386">
      <w:pPr>
        <w:pStyle w:val="FootnoteText"/>
      </w:pPr>
      <w:r>
        <w:rPr>
          <w:rStyle w:val="FootnoteReference"/>
        </w:rPr>
        <w:footnoteRef/>
      </w:r>
      <w:r>
        <w:t xml:space="preserve"> Ibid: Williamson Jr., ‘The Origins of World War I’, p 812</w:t>
      </w:r>
    </w:p>
  </w:footnote>
  <w:footnote w:id="24">
    <w:p w14:paraId="17BEE89E" w14:textId="306C913E" w:rsidR="00927386" w:rsidRDefault="00927386">
      <w:pPr>
        <w:pStyle w:val="FootnoteText"/>
      </w:pPr>
      <w:r>
        <w:rPr>
          <w:rStyle w:val="FootnoteReference"/>
        </w:rPr>
        <w:footnoteRef/>
      </w:r>
      <w:r>
        <w:t xml:space="preserve"> Ibid: Williamson Jr., ‘The Origins of World War I’, p 812</w:t>
      </w:r>
    </w:p>
  </w:footnote>
  <w:footnote w:id="25">
    <w:p w14:paraId="1267A0E6" w14:textId="058FDE3A" w:rsidR="00927386" w:rsidRDefault="00927386">
      <w:pPr>
        <w:pStyle w:val="FootnoteText"/>
      </w:pPr>
      <w:r>
        <w:rPr>
          <w:rStyle w:val="FootnoteReference"/>
        </w:rPr>
        <w:footnoteRef/>
      </w:r>
      <w:r>
        <w:t xml:space="preserve"> Ibid: Williamson Jr., ‘The Origins of World War I’, p 812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96A4C"/>
    <w:multiLevelType w:val="hybridMultilevel"/>
    <w:tmpl w:val="78861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1326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842"/>
    <w:rsid w:val="00007697"/>
    <w:rsid w:val="00025618"/>
    <w:rsid w:val="00030F3F"/>
    <w:rsid w:val="000338E9"/>
    <w:rsid w:val="00045FEE"/>
    <w:rsid w:val="000913E4"/>
    <w:rsid w:val="000B676A"/>
    <w:rsid w:val="000E78FC"/>
    <w:rsid w:val="00117284"/>
    <w:rsid w:val="0015488B"/>
    <w:rsid w:val="001A16AC"/>
    <w:rsid w:val="001B53A0"/>
    <w:rsid w:val="001D5BDE"/>
    <w:rsid w:val="001D7B14"/>
    <w:rsid w:val="00252AD1"/>
    <w:rsid w:val="00283D43"/>
    <w:rsid w:val="002B27E0"/>
    <w:rsid w:val="002C2B33"/>
    <w:rsid w:val="002E5C63"/>
    <w:rsid w:val="002F506B"/>
    <w:rsid w:val="00347F8A"/>
    <w:rsid w:val="00362B88"/>
    <w:rsid w:val="003F26F1"/>
    <w:rsid w:val="0041295E"/>
    <w:rsid w:val="004240A3"/>
    <w:rsid w:val="00495647"/>
    <w:rsid w:val="00497E6B"/>
    <w:rsid w:val="004B4723"/>
    <w:rsid w:val="004B70C7"/>
    <w:rsid w:val="004C2D07"/>
    <w:rsid w:val="004F39FF"/>
    <w:rsid w:val="005444E4"/>
    <w:rsid w:val="005566DD"/>
    <w:rsid w:val="00581805"/>
    <w:rsid w:val="00583D45"/>
    <w:rsid w:val="00584E97"/>
    <w:rsid w:val="00585ACC"/>
    <w:rsid w:val="00597432"/>
    <w:rsid w:val="005D5686"/>
    <w:rsid w:val="00607DEB"/>
    <w:rsid w:val="006519D4"/>
    <w:rsid w:val="00670832"/>
    <w:rsid w:val="006A0F1A"/>
    <w:rsid w:val="006B583B"/>
    <w:rsid w:val="006D0E3C"/>
    <w:rsid w:val="006F1C82"/>
    <w:rsid w:val="007051B0"/>
    <w:rsid w:val="00733A41"/>
    <w:rsid w:val="007845AB"/>
    <w:rsid w:val="007B19D1"/>
    <w:rsid w:val="007D3842"/>
    <w:rsid w:val="007D410A"/>
    <w:rsid w:val="007D535F"/>
    <w:rsid w:val="007F1C51"/>
    <w:rsid w:val="008702E4"/>
    <w:rsid w:val="00896503"/>
    <w:rsid w:val="008A3B50"/>
    <w:rsid w:val="008A54CF"/>
    <w:rsid w:val="008E7FD7"/>
    <w:rsid w:val="008F72C7"/>
    <w:rsid w:val="00923F8F"/>
    <w:rsid w:val="00927386"/>
    <w:rsid w:val="009606D5"/>
    <w:rsid w:val="00982A53"/>
    <w:rsid w:val="0099768B"/>
    <w:rsid w:val="00A06744"/>
    <w:rsid w:val="00A30696"/>
    <w:rsid w:val="00A354B9"/>
    <w:rsid w:val="00A46186"/>
    <w:rsid w:val="00A614CA"/>
    <w:rsid w:val="00A70833"/>
    <w:rsid w:val="00A80928"/>
    <w:rsid w:val="00A81E28"/>
    <w:rsid w:val="00AC2DA5"/>
    <w:rsid w:val="00B33588"/>
    <w:rsid w:val="00BC126D"/>
    <w:rsid w:val="00BC50EB"/>
    <w:rsid w:val="00C43F20"/>
    <w:rsid w:val="00C5092D"/>
    <w:rsid w:val="00C85FB1"/>
    <w:rsid w:val="00CD63C6"/>
    <w:rsid w:val="00CF3AA4"/>
    <w:rsid w:val="00D3490E"/>
    <w:rsid w:val="00D64CB0"/>
    <w:rsid w:val="00D75B99"/>
    <w:rsid w:val="00D75F23"/>
    <w:rsid w:val="00D810CF"/>
    <w:rsid w:val="00D85C71"/>
    <w:rsid w:val="00D944D7"/>
    <w:rsid w:val="00DA44FB"/>
    <w:rsid w:val="00DB7CB3"/>
    <w:rsid w:val="00DD0B5C"/>
    <w:rsid w:val="00E21C78"/>
    <w:rsid w:val="00E4324A"/>
    <w:rsid w:val="00E43DAB"/>
    <w:rsid w:val="00E623BB"/>
    <w:rsid w:val="00EC4ED5"/>
    <w:rsid w:val="00ED0EEA"/>
    <w:rsid w:val="00ED55B9"/>
    <w:rsid w:val="00ED6BC7"/>
    <w:rsid w:val="00EF21DB"/>
    <w:rsid w:val="00F1450D"/>
    <w:rsid w:val="00F51200"/>
    <w:rsid w:val="00F62DE7"/>
    <w:rsid w:val="00FB62F2"/>
    <w:rsid w:val="00FC70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A936"/>
  <w15:chartTrackingRefBased/>
  <w15:docId w15:val="{9F8377A8-62A3-4BB1-9DF8-D6CC7CF14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8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8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8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8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8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8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8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8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8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8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8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8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8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8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8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8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8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842"/>
    <w:rPr>
      <w:rFonts w:eastAsiaTheme="majorEastAsia" w:cstheme="majorBidi"/>
      <w:color w:val="272727" w:themeColor="text1" w:themeTint="D8"/>
    </w:rPr>
  </w:style>
  <w:style w:type="paragraph" w:styleId="Title">
    <w:name w:val="Title"/>
    <w:basedOn w:val="Normal"/>
    <w:next w:val="Normal"/>
    <w:link w:val="TitleChar"/>
    <w:uiPriority w:val="10"/>
    <w:qFormat/>
    <w:rsid w:val="007D38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8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8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8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842"/>
    <w:pPr>
      <w:spacing w:before="160"/>
      <w:jc w:val="center"/>
    </w:pPr>
    <w:rPr>
      <w:i/>
      <w:iCs/>
      <w:color w:val="404040" w:themeColor="text1" w:themeTint="BF"/>
    </w:rPr>
  </w:style>
  <w:style w:type="character" w:customStyle="1" w:styleId="QuoteChar">
    <w:name w:val="Quote Char"/>
    <w:basedOn w:val="DefaultParagraphFont"/>
    <w:link w:val="Quote"/>
    <w:uiPriority w:val="29"/>
    <w:rsid w:val="007D3842"/>
    <w:rPr>
      <w:i/>
      <w:iCs/>
      <w:color w:val="404040" w:themeColor="text1" w:themeTint="BF"/>
    </w:rPr>
  </w:style>
  <w:style w:type="paragraph" w:styleId="ListParagraph">
    <w:name w:val="List Paragraph"/>
    <w:basedOn w:val="Normal"/>
    <w:uiPriority w:val="34"/>
    <w:qFormat/>
    <w:rsid w:val="007D3842"/>
    <w:pPr>
      <w:ind w:left="720"/>
      <w:contextualSpacing/>
    </w:pPr>
  </w:style>
  <w:style w:type="character" w:styleId="IntenseEmphasis">
    <w:name w:val="Intense Emphasis"/>
    <w:basedOn w:val="DefaultParagraphFont"/>
    <w:uiPriority w:val="21"/>
    <w:qFormat/>
    <w:rsid w:val="007D3842"/>
    <w:rPr>
      <w:i/>
      <w:iCs/>
      <w:color w:val="0F4761" w:themeColor="accent1" w:themeShade="BF"/>
    </w:rPr>
  </w:style>
  <w:style w:type="paragraph" w:styleId="IntenseQuote">
    <w:name w:val="Intense Quote"/>
    <w:basedOn w:val="Normal"/>
    <w:next w:val="Normal"/>
    <w:link w:val="IntenseQuoteChar"/>
    <w:uiPriority w:val="30"/>
    <w:qFormat/>
    <w:rsid w:val="007D38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842"/>
    <w:rPr>
      <w:i/>
      <w:iCs/>
      <w:color w:val="0F4761" w:themeColor="accent1" w:themeShade="BF"/>
    </w:rPr>
  </w:style>
  <w:style w:type="character" w:styleId="IntenseReference">
    <w:name w:val="Intense Reference"/>
    <w:basedOn w:val="DefaultParagraphFont"/>
    <w:uiPriority w:val="32"/>
    <w:qFormat/>
    <w:rsid w:val="007D3842"/>
    <w:rPr>
      <w:b/>
      <w:bCs/>
      <w:smallCaps/>
      <w:color w:val="0F4761" w:themeColor="accent1" w:themeShade="BF"/>
      <w:spacing w:val="5"/>
    </w:rPr>
  </w:style>
  <w:style w:type="character" w:styleId="Hyperlink">
    <w:name w:val="Hyperlink"/>
    <w:basedOn w:val="DefaultParagraphFont"/>
    <w:uiPriority w:val="99"/>
    <w:unhideWhenUsed/>
    <w:rsid w:val="00581805"/>
    <w:rPr>
      <w:color w:val="467886" w:themeColor="hyperlink"/>
      <w:u w:val="single"/>
    </w:rPr>
  </w:style>
  <w:style w:type="character" w:styleId="UnresolvedMention">
    <w:name w:val="Unresolved Mention"/>
    <w:basedOn w:val="DefaultParagraphFont"/>
    <w:uiPriority w:val="99"/>
    <w:semiHidden/>
    <w:unhideWhenUsed/>
    <w:rsid w:val="00581805"/>
    <w:rPr>
      <w:color w:val="605E5C"/>
      <w:shd w:val="clear" w:color="auto" w:fill="E1DFDD"/>
    </w:rPr>
  </w:style>
  <w:style w:type="paragraph" w:styleId="FootnoteText">
    <w:name w:val="footnote text"/>
    <w:basedOn w:val="Normal"/>
    <w:link w:val="FootnoteTextChar"/>
    <w:uiPriority w:val="99"/>
    <w:semiHidden/>
    <w:unhideWhenUsed/>
    <w:rsid w:val="00E21C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1C78"/>
    <w:rPr>
      <w:sz w:val="20"/>
      <w:szCs w:val="20"/>
    </w:rPr>
  </w:style>
  <w:style w:type="character" w:styleId="FootnoteReference">
    <w:name w:val="footnote reference"/>
    <w:basedOn w:val="DefaultParagraphFont"/>
    <w:uiPriority w:val="99"/>
    <w:semiHidden/>
    <w:unhideWhenUsed/>
    <w:rsid w:val="00E21C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Leopold-Count-von-Berchtol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i.lib.byu.edu/index.php/The_Austro-Hungarian_Ultimatum_to_Serbia_(English_transl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04825" TargetMode="External"/><Relationship Id="rId5" Type="http://schemas.openxmlformats.org/officeDocument/2006/relationships/webSettings" Target="webSettings.xml"/><Relationship Id="rId10" Type="http://schemas.openxmlformats.org/officeDocument/2006/relationships/hyperlink" Target="https://www.deutsche-biographie.de/pnd101847173.html?language=en" TargetMode="External"/><Relationship Id="rId4" Type="http://schemas.openxmlformats.org/officeDocument/2006/relationships/settings" Target="settings.xml"/><Relationship Id="rId9" Type="http://schemas.openxmlformats.org/officeDocument/2006/relationships/hyperlink" Target="https://content.ecf.org.il/files/M00935_TreatyOfBerlin1878ExcerptsEnglish.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04825" TargetMode="External"/><Relationship Id="rId2" Type="http://schemas.openxmlformats.org/officeDocument/2006/relationships/hyperlink" Target="https://content.ecf.org.il/files/M00935_TreatyOfBerlin1878ExcerptsEnglish.pdf" TargetMode="External"/><Relationship Id="rId1" Type="http://schemas.openxmlformats.org/officeDocument/2006/relationships/hyperlink" Target="https://wwi.lib.byu.edu/index.php/The_Austro-Hungarian_Ultimatum_to_Serbia_(English_translation)" TargetMode="External"/><Relationship Id="rId5" Type="http://schemas.openxmlformats.org/officeDocument/2006/relationships/hyperlink" Target="https://www.deutsche-biographie.de/pnd101847173.html?language=en" TargetMode="External"/><Relationship Id="rId4" Type="http://schemas.openxmlformats.org/officeDocument/2006/relationships/hyperlink" Target="https://www.britannica.com/biography/Leopold-Count-von-Berchto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61949-C32A-4372-9FA0-6D9362201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5</Pages>
  <Words>2009</Words>
  <Characters>11076</Characters>
  <Application>Microsoft Office Word</Application>
  <DocSecurity>0</DocSecurity>
  <Lines>156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79</cp:revision>
  <dcterms:created xsi:type="dcterms:W3CDTF">2026-02-05T18:05:00Z</dcterms:created>
  <dcterms:modified xsi:type="dcterms:W3CDTF">2026-02-08T16:16:00Z</dcterms:modified>
</cp:coreProperties>
</file>