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C26AB" w14:textId="0BB32209" w:rsidR="009B6B1C" w:rsidRDefault="00F51A9B">
      <w:pPr>
        <w:rPr>
          <w:b/>
          <w:bCs/>
          <w:sz w:val="28"/>
          <w:szCs w:val="28"/>
        </w:rPr>
      </w:pPr>
      <w:bookmarkStart w:id="0" w:name="_Hlk171263590"/>
      <w:r>
        <w:rPr>
          <w:b/>
          <w:bCs/>
          <w:sz w:val="28"/>
          <w:szCs w:val="28"/>
        </w:rPr>
        <w:t>Report on Evidence Based Practice and its Relevance to people Professionals</w:t>
      </w:r>
      <w:r w:rsidR="00215BAF">
        <w:rPr>
          <w:b/>
          <w:bCs/>
          <w:sz w:val="28"/>
          <w:szCs w:val="28"/>
        </w:rPr>
        <w:t xml:space="preserve">. </w:t>
      </w:r>
    </w:p>
    <w:p w14:paraId="49DC26AC" w14:textId="77777777" w:rsidR="009B6B1C" w:rsidRDefault="00F51A9B">
      <w:pPr>
        <w:rPr>
          <w:b/>
          <w:bCs/>
          <w:sz w:val="24"/>
          <w:szCs w:val="24"/>
        </w:rPr>
      </w:pPr>
      <w:r>
        <w:rPr>
          <w:b/>
          <w:bCs/>
          <w:sz w:val="24"/>
          <w:szCs w:val="24"/>
        </w:rPr>
        <w:t>Introduction</w:t>
      </w:r>
    </w:p>
    <w:p w14:paraId="49DC26AD" w14:textId="398BCA83"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 xml:space="preserve">Evidence-based practice (EBP) is needed in human resource management (HRM) that involves the use of many </w:t>
      </w:r>
      <w:r w:rsidR="00215BAF">
        <w:rPr>
          <w:rFonts w:eastAsia="Times New Roman"/>
          <w:kern w:val="0"/>
          <w:sz w:val="24"/>
          <w:szCs w:val="24"/>
          <w:lang w:eastAsia="en-GB"/>
        </w:rPr>
        <w:t>diverse sources</w:t>
      </w:r>
      <w:r>
        <w:rPr>
          <w:rFonts w:eastAsia="Times New Roman"/>
          <w:kern w:val="0"/>
          <w:sz w:val="24"/>
          <w:szCs w:val="24"/>
          <w:lang w:eastAsia="en-GB"/>
        </w:rPr>
        <w:t xml:space="preserve"> of evidence to make </w:t>
      </w:r>
      <w:r>
        <w:rPr>
          <w:rFonts w:eastAsia="Times New Roman"/>
          <w:kern w:val="0"/>
          <w:sz w:val="24"/>
          <w:szCs w:val="24"/>
          <w:lang w:eastAsia="en-GB"/>
        </w:rPr>
        <w:t>informed and justified decisions. This report evaluates the concept of EBP, its application in HR, and explores relevant analysis tools and methods. Additionally, the principles of critical thinking, effective decision-making processes, ethical perspectives, and ways to measure organisational performance and the impact of people practices are discussed.</w:t>
      </w:r>
    </w:p>
    <w:p w14:paraId="49DC26AE"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Evaluating Evidence Based Practice</w:t>
      </w:r>
    </w:p>
    <w:p w14:paraId="49DC26AF"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Evidence-based practice involves making decisions through the conscientious, explicit, and judicious use of the best available evidence from multiple sources (Briner, Denyer, &amp; Rousseau, 2009). These sources include scientific research, organisational data, professional expertise, and stakeholder perspectives. This approach ensures decisions are well-informed and aligned with organisational goals, thereby enhancing business performance (Armstrong, 2020, p. 15).</w:t>
      </w:r>
    </w:p>
    <w:p w14:paraId="49DC26B0"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According to Rob Briner, evidence-based practice in HR involves using the best available evidence to make decisions about people practices. This includes not only academic research but also organisational data, professional judgment, and stakeholder perspectives (Briner, 2018).</w:t>
      </w:r>
    </w:p>
    <w:p w14:paraId="49DC26B1" w14:textId="77777777" w:rsidR="009B6B1C" w:rsidRDefault="00F51A9B">
      <w:pPr>
        <w:spacing w:before="100" w:after="100" w:line="240" w:lineRule="auto"/>
      </w:pPr>
      <w:r>
        <w:rPr>
          <w:rFonts w:eastAsia="Times New Roman"/>
          <w:kern w:val="0"/>
          <w:sz w:val="24"/>
          <w:szCs w:val="24"/>
          <w:lang w:eastAsia="en-GB"/>
        </w:rPr>
        <w:t>In the field of Human Resource Management (HRM), contrasting theories such as Taylorism and Humanism offer different approaches to managing people in organisations. Taylorism, also known as scientific management, focuses on effective productivity through standardised work processes. In contrast, Humanism emphasises employee well-being, motivation, and development. (</w:t>
      </w:r>
      <w:r>
        <w:rPr>
          <w:color w:val="333333"/>
          <w:shd w:val="clear" w:color="auto" w:fill="FFFFFF"/>
        </w:rPr>
        <w:t>CH 4 Scientific Management, HTTP: Accessed,15</w:t>
      </w:r>
      <w:r>
        <w:rPr>
          <w:color w:val="333333"/>
          <w:shd w:val="clear" w:color="auto" w:fill="FFFFFF"/>
          <w:vertAlign w:val="superscript"/>
        </w:rPr>
        <w:t>th</w:t>
      </w:r>
      <w:r>
        <w:rPr>
          <w:color w:val="333333"/>
          <w:shd w:val="clear" w:color="auto" w:fill="FFFFFF"/>
        </w:rPr>
        <w:t xml:space="preserve"> June 2024)</w:t>
      </w:r>
    </w:p>
    <w:p w14:paraId="49DC26B2"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Relevance to HR Professionals </w:t>
      </w:r>
    </w:p>
    <w:p w14:paraId="49DC26B3" w14:textId="77777777" w:rsidR="009B6B1C" w:rsidRDefault="00F51A9B">
      <w:pPr>
        <w:numPr>
          <w:ilvl w:val="0"/>
          <w:numId w:val="1"/>
        </w:numPr>
        <w:spacing w:before="100" w:after="100" w:line="240" w:lineRule="auto"/>
      </w:pPr>
      <w:r>
        <w:rPr>
          <w:rFonts w:eastAsia="Times New Roman"/>
          <w:b/>
          <w:bCs/>
          <w:kern w:val="0"/>
          <w:sz w:val="24"/>
          <w:szCs w:val="24"/>
          <w:lang w:eastAsia="en-GB"/>
        </w:rPr>
        <w:t>Improved Decision-Making</w:t>
      </w:r>
      <w:r>
        <w:rPr>
          <w:rFonts w:eastAsia="Times New Roman"/>
          <w:kern w:val="0"/>
          <w:sz w:val="24"/>
          <w:szCs w:val="24"/>
          <w:lang w:eastAsia="en-GB"/>
        </w:rPr>
        <w:t>: EBP reduces errors by relying on high-quality evidence, leading to more reliable HR practices (Taylor, 2020, p. 47).</w:t>
      </w:r>
    </w:p>
    <w:p w14:paraId="49DC26B4" w14:textId="77777777" w:rsidR="009B6B1C" w:rsidRDefault="00F51A9B">
      <w:pPr>
        <w:numPr>
          <w:ilvl w:val="0"/>
          <w:numId w:val="1"/>
        </w:numPr>
        <w:spacing w:before="100" w:after="100" w:line="240" w:lineRule="auto"/>
      </w:pPr>
      <w:r>
        <w:rPr>
          <w:rFonts w:eastAsia="Times New Roman"/>
          <w:kern w:val="0"/>
          <w:sz w:val="24"/>
          <w:szCs w:val="24"/>
          <w:lang w:eastAsia="en-GB"/>
        </w:rPr>
        <w:t xml:space="preserve"> </w:t>
      </w:r>
      <w:r>
        <w:rPr>
          <w:rFonts w:eastAsia="Times New Roman"/>
          <w:b/>
          <w:bCs/>
          <w:kern w:val="0"/>
          <w:sz w:val="24"/>
          <w:szCs w:val="24"/>
          <w:lang w:eastAsia="en-GB"/>
        </w:rPr>
        <w:t>Credibility:</w:t>
      </w:r>
      <w:r>
        <w:rPr>
          <w:rFonts w:eastAsia="Times New Roman"/>
          <w:kern w:val="0"/>
          <w:sz w:val="24"/>
          <w:szCs w:val="24"/>
          <w:lang w:eastAsia="en-GB"/>
        </w:rPr>
        <w:t xml:space="preserve"> Decisions backed by robust </w:t>
      </w:r>
      <w:r>
        <w:rPr>
          <w:rFonts w:eastAsia="Times New Roman"/>
          <w:kern w:val="0"/>
          <w:sz w:val="24"/>
          <w:szCs w:val="24"/>
          <w:lang w:eastAsia="en-GB"/>
        </w:rPr>
        <w:t>evidence increase the credibility of HR within the organisation, fostering trust and cooperation (Marchington et al., 2016, p. 88).</w:t>
      </w:r>
    </w:p>
    <w:p w14:paraId="49DC26B5" w14:textId="77777777" w:rsidR="009B6B1C" w:rsidRDefault="00F51A9B">
      <w:pPr>
        <w:numPr>
          <w:ilvl w:val="0"/>
          <w:numId w:val="1"/>
        </w:numPr>
        <w:spacing w:before="100" w:after="100" w:line="240" w:lineRule="auto"/>
      </w:pPr>
      <w:r>
        <w:rPr>
          <w:rFonts w:eastAsia="Times New Roman"/>
          <w:b/>
          <w:bCs/>
          <w:kern w:val="0"/>
          <w:sz w:val="24"/>
          <w:szCs w:val="24"/>
          <w:lang w:eastAsia="en-GB"/>
        </w:rPr>
        <w:t>Better Outcomes:</w:t>
      </w:r>
      <w:r>
        <w:rPr>
          <w:rFonts w:eastAsia="Times New Roman"/>
          <w:kern w:val="0"/>
          <w:sz w:val="24"/>
          <w:szCs w:val="24"/>
          <w:lang w:eastAsia="en-GB"/>
        </w:rPr>
        <w:t xml:space="preserve"> EBP in recruitment, development, and performance management leads to higher quality hires and reduced turnover (Bratton &amp; Gold, 2017, p. 123).</w:t>
      </w:r>
    </w:p>
    <w:p w14:paraId="49DC26B6" w14:textId="77777777" w:rsidR="009B6B1C" w:rsidRDefault="00F51A9B">
      <w:pPr>
        <w:numPr>
          <w:ilvl w:val="0"/>
          <w:numId w:val="1"/>
        </w:numPr>
        <w:spacing w:before="100" w:after="100" w:line="240" w:lineRule="auto"/>
      </w:pPr>
      <w:r>
        <w:rPr>
          <w:rFonts w:eastAsia="Times New Roman"/>
          <w:b/>
          <w:bCs/>
          <w:kern w:val="0"/>
          <w:sz w:val="24"/>
          <w:szCs w:val="24"/>
          <w:lang w:eastAsia="en-GB"/>
        </w:rPr>
        <w:t xml:space="preserve">Strategic Alignment: </w:t>
      </w:r>
      <w:r>
        <w:rPr>
          <w:rFonts w:eastAsia="Times New Roman"/>
          <w:kern w:val="0"/>
          <w:sz w:val="24"/>
          <w:szCs w:val="24"/>
          <w:lang w:eastAsia="en-GB"/>
        </w:rPr>
        <w:t>Ensuring HR practices are aligned with organisational goals supports long-term objectives and competitiveness (Rees &amp; Smith, 2017, p. 65).</w:t>
      </w:r>
    </w:p>
    <w:p w14:paraId="49DC26B7" w14:textId="77777777" w:rsidR="009B6B1C" w:rsidRDefault="009B6B1C">
      <w:pPr>
        <w:spacing w:before="100" w:after="100" w:line="240" w:lineRule="auto"/>
        <w:rPr>
          <w:rFonts w:eastAsia="Times New Roman"/>
          <w:b/>
          <w:bCs/>
          <w:kern w:val="0"/>
          <w:sz w:val="24"/>
          <w:szCs w:val="24"/>
          <w:lang w:eastAsia="en-GB"/>
        </w:rPr>
      </w:pPr>
    </w:p>
    <w:p w14:paraId="49DC26B8"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Analysis Tools &amp; Methods in HR</w:t>
      </w:r>
    </w:p>
    <w:p w14:paraId="49DC26B9" w14:textId="77777777" w:rsidR="009B6B1C" w:rsidRPr="00A72FB0" w:rsidRDefault="00F51A9B">
      <w:pPr>
        <w:spacing w:before="100" w:after="100" w:line="240" w:lineRule="auto"/>
        <w:rPr>
          <w:rFonts w:eastAsia="Times New Roman"/>
          <w:strike/>
          <w:kern w:val="0"/>
          <w:sz w:val="24"/>
          <w:szCs w:val="24"/>
          <w:lang w:eastAsia="en-GB"/>
        </w:rPr>
      </w:pPr>
      <w:r w:rsidRPr="00A72FB0">
        <w:rPr>
          <w:rFonts w:eastAsia="Times New Roman"/>
          <w:strike/>
          <w:kern w:val="0"/>
          <w:sz w:val="24"/>
          <w:szCs w:val="24"/>
          <w:lang w:eastAsia="en-GB"/>
        </w:rPr>
        <w:t xml:space="preserve">To diagnose issues and </w:t>
      </w:r>
      <w:r w:rsidRPr="00A72FB0">
        <w:rPr>
          <w:rFonts w:eastAsia="Times New Roman"/>
          <w:strike/>
          <w:kern w:val="0"/>
          <w:sz w:val="24"/>
          <w:szCs w:val="24"/>
          <w:lang w:eastAsia="en-GB"/>
        </w:rPr>
        <w:t xml:space="preserve">recognise opportunities, HR professionals use various analysis tools and methods. </w:t>
      </w:r>
      <w:proofErr w:type="gramStart"/>
      <w:r w:rsidRPr="00A72FB0">
        <w:rPr>
          <w:rFonts w:eastAsia="Times New Roman"/>
          <w:strike/>
          <w:kern w:val="0"/>
          <w:sz w:val="24"/>
          <w:szCs w:val="24"/>
          <w:lang w:eastAsia="en-GB"/>
        </w:rPr>
        <w:t>Some</w:t>
      </w:r>
      <w:proofErr w:type="gramEnd"/>
      <w:r w:rsidRPr="00A72FB0">
        <w:rPr>
          <w:rFonts w:eastAsia="Times New Roman"/>
          <w:strike/>
          <w:kern w:val="0"/>
          <w:sz w:val="24"/>
          <w:szCs w:val="24"/>
          <w:lang w:eastAsia="en-GB"/>
        </w:rPr>
        <w:t xml:space="preserve"> commonly used tools include SWOT Analysis (Strengths, Weaknesses, Opportunities, and Threats), PESTLE Analysis (Political, Economic, Social, Technological, Legal, and Environmental factors), and methods such as Regression Analysis and Predictive Analytics.</w:t>
      </w:r>
    </w:p>
    <w:p w14:paraId="49DC26BA" w14:textId="77777777" w:rsidR="009B6B1C" w:rsidRPr="00A72FB0" w:rsidRDefault="00F51A9B">
      <w:pPr>
        <w:spacing w:before="100" w:after="100" w:line="240" w:lineRule="auto"/>
        <w:rPr>
          <w:rFonts w:eastAsia="Times New Roman"/>
          <w:b/>
          <w:bCs/>
          <w:strike/>
          <w:kern w:val="0"/>
          <w:sz w:val="24"/>
          <w:szCs w:val="24"/>
          <w:lang w:eastAsia="en-GB"/>
        </w:rPr>
      </w:pPr>
      <w:r w:rsidRPr="00A72FB0">
        <w:rPr>
          <w:rFonts w:eastAsia="Times New Roman"/>
          <w:b/>
          <w:bCs/>
          <w:strike/>
          <w:kern w:val="0"/>
          <w:sz w:val="24"/>
          <w:szCs w:val="24"/>
          <w:lang w:eastAsia="en-GB"/>
        </w:rPr>
        <w:t xml:space="preserve">Predictive Analytics </w:t>
      </w:r>
    </w:p>
    <w:p w14:paraId="49DC26BB" w14:textId="77777777" w:rsidR="009B6B1C" w:rsidRPr="00A72FB0" w:rsidRDefault="00F51A9B">
      <w:pPr>
        <w:spacing w:before="100" w:after="100" w:line="240" w:lineRule="auto"/>
        <w:rPr>
          <w:rFonts w:eastAsia="Times New Roman"/>
          <w:strike/>
          <w:kern w:val="0"/>
          <w:sz w:val="24"/>
          <w:szCs w:val="24"/>
          <w:lang w:eastAsia="en-GB"/>
        </w:rPr>
      </w:pPr>
      <w:r w:rsidRPr="00A72FB0">
        <w:rPr>
          <w:rFonts w:eastAsia="Times New Roman"/>
          <w:strike/>
          <w:kern w:val="0"/>
          <w:sz w:val="24"/>
          <w:szCs w:val="24"/>
          <w:lang w:eastAsia="en-GB"/>
        </w:rPr>
        <w:t>Predictive analytics uses historical data to predict future outcomes. In HR, it can forecast employee turnover, identify factors leading to high performance, and improve workforce planning (Torrington, Hall, &amp; Taylor, 2020, p. 102).</w:t>
      </w:r>
    </w:p>
    <w:p w14:paraId="49DC26BC" w14:textId="77777777" w:rsidR="009B6B1C" w:rsidRPr="00A72FB0" w:rsidRDefault="00F51A9B">
      <w:pPr>
        <w:spacing w:before="100" w:after="100" w:line="240" w:lineRule="auto"/>
        <w:rPr>
          <w:rFonts w:eastAsia="Times New Roman"/>
          <w:strike/>
          <w:kern w:val="0"/>
          <w:sz w:val="24"/>
          <w:szCs w:val="24"/>
          <w:lang w:eastAsia="en-GB"/>
        </w:rPr>
      </w:pPr>
      <w:r w:rsidRPr="00A72FB0">
        <w:rPr>
          <w:rFonts w:eastAsia="Times New Roman"/>
          <w:strike/>
          <w:kern w:val="0"/>
          <w:sz w:val="24"/>
          <w:szCs w:val="24"/>
          <w:lang w:eastAsia="en-GB"/>
        </w:rPr>
        <w:t>For example, predictive analytics can analyse employee data to identify those at risk of leaving, allowing HR to proactively address retention issues. This method helps in making data-driven decisions to improve employee satisfaction and retention rates. By analysing patterns such as tenure, performance reviews, and engagement scores, HR can implement targeted interventions to reduce potential high employment turnover risks.</w:t>
      </w:r>
    </w:p>
    <w:p w14:paraId="49DC26BD" w14:textId="77777777" w:rsidR="009B6B1C" w:rsidRPr="00A72FB0" w:rsidRDefault="00F51A9B">
      <w:pPr>
        <w:spacing w:before="100" w:after="100" w:line="240" w:lineRule="auto"/>
        <w:rPr>
          <w:rFonts w:eastAsia="Times New Roman"/>
          <w:strike/>
          <w:kern w:val="0"/>
          <w:sz w:val="24"/>
          <w:szCs w:val="24"/>
          <w:lang w:eastAsia="en-GB"/>
        </w:rPr>
      </w:pPr>
      <w:r w:rsidRPr="00A72FB0">
        <w:rPr>
          <w:rFonts w:eastAsia="Times New Roman"/>
          <w:strike/>
          <w:kern w:val="0"/>
          <w:sz w:val="24"/>
          <w:szCs w:val="24"/>
          <w:lang w:eastAsia="en-GB"/>
        </w:rPr>
        <w:t>Predictive analytics also supports workforce planning by anticipating future hiring needs based on projected business growth and retirements. This allows HR to align recruitment strategies with business objectives, ensuring the right talent is available when needed.</w:t>
      </w:r>
    </w:p>
    <w:p w14:paraId="49DC26BE" w14:textId="77777777" w:rsidR="009B6B1C" w:rsidRPr="00215BAF" w:rsidRDefault="00F51A9B">
      <w:pPr>
        <w:tabs>
          <w:tab w:val="left" w:pos="4020"/>
        </w:tabs>
        <w:spacing w:before="100" w:after="100" w:line="240" w:lineRule="auto"/>
        <w:rPr>
          <w:rFonts w:eastAsia="Times New Roman"/>
          <w:b/>
          <w:bCs/>
          <w:strike/>
          <w:kern w:val="0"/>
          <w:sz w:val="24"/>
          <w:szCs w:val="24"/>
          <w:lang w:eastAsia="en-GB"/>
        </w:rPr>
      </w:pPr>
      <w:r w:rsidRPr="00215BAF">
        <w:rPr>
          <w:rFonts w:eastAsia="Times New Roman"/>
          <w:b/>
          <w:bCs/>
          <w:strike/>
          <w:kern w:val="0"/>
          <w:sz w:val="24"/>
          <w:szCs w:val="24"/>
          <w:lang w:eastAsia="en-GB"/>
        </w:rPr>
        <w:t xml:space="preserve">Other Analysis tools &amp; Methods </w:t>
      </w:r>
      <w:r w:rsidRPr="00215BAF">
        <w:rPr>
          <w:rFonts w:eastAsia="Times New Roman"/>
          <w:b/>
          <w:bCs/>
          <w:strike/>
          <w:kern w:val="0"/>
          <w:sz w:val="24"/>
          <w:szCs w:val="24"/>
          <w:lang w:eastAsia="en-GB"/>
        </w:rPr>
        <w:tab/>
      </w:r>
    </w:p>
    <w:p w14:paraId="49DC26BF"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SWOT Analysis</w:t>
      </w:r>
      <w:r w:rsidRPr="00215BAF">
        <w:rPr>
          <w:rFonts w:eastAsia="Times New Roman"/>
          <w:strike/>
          <w:kern w:val="0"/>
          <w:sz w:val="24"/>
          <w:szCs w:val="24"/>
          <w:lang w:eastAsia="en-GB"/>
        </w:rPr>
        <w:t xml:space="preserve">: Evaluates </w:t>
      </w:r>
      <w:r w:rsidRPr="00215BAF">
        <w:rPr>
          <w:rFonts w:eastAsia="Times New Roman"/>
          <w:strike/>
          <w:kern w:val="0"/>
          <w:sz w:val="24"/>
          <w:szCs w:val="24"/>
          <w:u w:val="single"/>
          <w:lang w:eastAsia="en-GB"/>
        </w:rPr>
        <w:t>internal</w:t>
      </w:r>
      <w:r w:rsidRPr="00215BAF">
        <w:rPr>
          <w:rFonts w:eastAsia="Times New Roman"/>
          <w:strike/>
          <w:kern w:val="0"/>
          <w:sz w:val="24"/>
          <w:szCs w:val="24"/>
          <w:lang w:eastAsia="en-GB"/>
        </w:rPr>
        <w:t xml:space="preserve"> strengths and weaknesses, and </w:t>
      </w:r>
      <w:r w:rsidRPr="00215BAF">
        <w:rPr>
          <w:rFonts w:eastAsia="Times New Roman"/>
          <w:strike/>
          <w:kern w:val="0"/>
          <w:sz w:val="24"/>
          <w:szCs w:val="24"/>
          <w:u w:val="single"/>
          <w:lang w:eastAsia="en-GB"/>
        </w:rPr>
        <w:t>externa</w:t>
      </w:r>
      <w:r w:rsidRPr="00215BAF">
        <w:rPr>
          <w:rFonts w:eastAsia="Times New Roman"/>
          <w:strike/>
          <w:kern w:val="0"/>
          <w:sz w:val="24"/>
          <w:szCs w:val="24"/>
          <w:lang w:eastAsia="en-GB"/>
        </w:rPr>
        <w:t>l opportunities and threats. This helps HR identify areas for improvement and opportunities.</w:t>
      </w:r>
    </w:p>
    <w:p w14:paraId="49DC26C0"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PESTLE Analysis</w:t>
      </w:r>
      <w:r w:rsidRPr="00215BAF">
        <w:rPr>
          <w:rFonts w:eastAsia="Times New Roman"/>
          <w:strike/>
          <w:kern w:val="0"/>
          <w:sz w:val="24"/>
          <w:szCs w:val="24"/>
          <w:lang w:eastAsia="en-GB"/>
        </w:rPr>
        <w:t xml:space="preserve">: Assesses </w:t>
      </w:r>
      <w:r w:rsidRPr="00215BAF">
        <w:rPr>
          <w:rFonts w:eastAsia="Times New Roman"/>
          <w:strike/>
          <w:kern w:val="0"/>
          <w:sz w:val="24"/>
          <w:szCs w:val="24"/>
          <w:u w:val="single"/>
          <w:lang w:eastAsia="en-GB"/>
        </w:rPr>
        <w:t xml:space="preserve">external </w:t>
      </w:r>
      <w:r w:rsidRPr="00215BAF">
        <w:rPr>
          <w:rFonts w:eastAsia="Times New Roman"/>
          <w:strike/>
          <w:kern w:val="0"/>
          <w:sz w:val="24"/>
          <w:szCs w:val="24"/>
          <w:lang w:eastAsia="en-GB"/>
        </w:rPr>
        <w:t>factors that impact the organisation. This is useful for understanding the broader context adapting strategies.</w:t>
      </w:r>
    </w:p>
    <w:p w14:paraId="49DC26C1"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Regression Analysis</w:t>
      </w:r>
      <w:r w:rsidRPr="00215BAF">
        <w:rPr>
          <w:rFonts w:eastAsia="Times New Roman"/>
          <w:strike/>
          <w:kern w:val="0"/>
          <w:sz w:val="24"/>
          <w:szCs w:val="24"/>
          <w:lang w:eastAsia="en-GB"/>
        </w:rPr>
        <w:t>: Identifies relationships between variables. For instance, analysing the impact of training programs on employee performance can help HR allocate the relevant resources more effectively.</w:t>
      </w:r>
    </w:p>
    <w:p w14:paraId="49DC26C2"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Interviews</w:t>
      </w:r>
      <w:r w:rsidRPr="00215BAF">
        <w:rPr>
          <w:rFonts w:eastAsia="Times New Roman"/>
          <w:strike/>
          <w:kern w:val="0"/>
          <w:sz w:val="24"/>
          <w:szCs w:val="24"/>
          <w:lang w:eastAsia="en-GB"/>
        </w:rPr>
        <w:t>: Collect in-depth information from employees or stakeholders. Interviews provide qualitative data and insights that might not be captured through surveys.</w:t>
      </w:r>
    </w:p>
    <w:p w14:paraId="49DC26C3"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Observations</w:t>
      </w:r>
      <w:r w:rsidRPr="00215BAF">
        <w:rPr>
          <w:rFonts w:eastAsia="Times New Roman"/>
          <w:strike/>
          <w:kern w:val="0"/>
          <w:sz w:val="24"/>
          <w:szCs w:val="24"/>
          <w:lang w:eastAsia="en-GB"/>
        </w:rPr>
        <w:t>: Involves watching employees perform their tasks to gather data on workflows, processes, and interactions. This method helps identify practical issues and areas for improvement.</w:t>
      </w:r>
    </w:p>
    <w:p w14:paraId="49DC26C4"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lastRenderedPageBreak/>
        <w:t>Job Analysis Questionnaires</w:t>
      </w:r>
      <w:r w:rsidRPr="00215BAF">
        <w:rPr>
          <w:rFonts w:eastAsia="Times New Roman"/>
          <w:strike/>
          <w:kern w:val="0"/>
          <w:sz w:val="24"/>
          <w:szCs w:val="24"/>
          <w:lang w:eastAsia="en-GB"/>
        </w:rPr>
        <w:t>: Structured surveys used to gather information about job roles, responsibilities, and requirements. These are essential for creating accurate job descriptions and identifying training needs.</w:t>
      </w:r>
    </w:p>
    <w:p w14:paraId="49DC26C5"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Work Sampling</w:t>
      </w:r>
      <w:r w:rsidRPr="00215BAF">
        <w:rPr>
          <w:rFonts w:eastAsia="Times New Roman"/>
          <w:strike/>
          <w:kern w:val="0"/>
          <w:sz w:val="24"/>
          <w:szCs w:val="24"/>
          <w:lang w:eastAsia="en-GB"/>
        </w:rPr>
        <w:t>: Involves analysing a representative sample of work activities to understand how time is allocated across tasks. This method is useful for identifying inefficiencies and areas for productivity improvement.</w:t>
      </w:r>
    </w:p>
    <w:p w14:paraId="49DC26C6"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Examination of Organisations</w:t>
      </w:r>
      <w:r w:rsidRPr="00215BAF">
        <w:rPr>
          <w:rFonts w:eastAsia="Times New Roman"/>
          <w:strike/>
          <w:kern w:val="0"/>
          <w:sz w:val="24"/>
          <w:szCs w:val="24"/>
          <w:lang w:eastAsia="en-GB"/>
        </w:rPr>
        <w:t>: Involves comparing an organisation’s practices and performance metrics with industry standards and best practices. This benchmarking helps identify areas where the organisation can improve.</w:t>
      </w:r>
    </w:p>
    <w:p w14:paraId="49DC26C7" w14:textId="77777777" w:rsidR="009B6B1C" w:rsidRPr="00215BAF" w:rsidRDefault="00F51A9B">
      <w:pPr>
        <w:numPr>
          <w:ilvl w:val="0"/>
          <w:numId w:val="2"/>
        </w:numPr>
        <w:spacing w:before="100" w:after="100" w:line="240" w:lineRule="auto"/>
        <w:rPr>
          <w:strike/>
        </w:rPr>
      </w:pPr>
      <w:r w:rsidRPr="00215BAF">
        <w:rPr>
          <w:rFonts w:eastAsia="Times New Roman"/>
          <w:b/>
          <w:bCs/>
          <w:strike/>
          <w:kern w:val="0"/>
          <w:sz w:val="24"/>
          <w:szCs w:val="24"/>
          <w:lang w:eastAsia="en-GB"/>
        </w:rPr>
        <w:t>Comparison with Sector Metrics</w:t>
      </w:r>
      <w:r w:rsidRPr="00215BAF">
        <w:rPr>
          <w:rFonts w:eastAsia="Times New Roman"/>
          <w:strike/>
          <w:kern w:val="0"/>
          <w:sz w:val="24"/>
          <w:szCs w:val="24"/>
          <w:lang w:eastAsia="en-GB"/>
        </w:rPr>
        <w:t>: Uses industry benchmarks to evaluate an organisation’s performance relative to its peers. This helps in setting realistic goals and identifying best practices to adopt.</w:t>
      </w:r>
    </w:p>
    <w:p w14:paraId="260A8FDC" w14:textId="77777777" w:rsidR="00E90E20" w:rsidRDefault="00E90E20" w:rsidP="00E90E20">
      <w:pPr>
        <w:spacing w:before="100" w:after="100" w:line="240" w:lineRule="auto"/>
      </w:pPr>
    </w:p>
    <w:p w14:paraId="1411DEFF" w14:textId="610CB6C3" w:rsidR="00215BAF" w:rsidRDefault="00E90E20" w:rsidP="00E90E20">
      <w:pPr>
        <w:spacing w:before="100" w:after="100" w:line="240" w:lineRule="auto"/>
        <w:rPr>
          <w:color w:val="FF0000"/>
        </w:rPr>
      </w:pPr>
      <w:bookmarkStart w:id="1" w:name="_Hlk171264874"/>
      <w:r>
        <w:rPr>
          <w:color w:val="FF0000"/>
        </w:rPr>
        <w:t>Evidence based practice in Human Resources involves making decisions based on the best evi</w:t>
      </w:r>
      <w:r w:rsidR="00B65900">
        <w:rPr>
          <w:color w:val="FF0000"/>
        </w:rPr>
        <w:t xml:space="preserve">dence available for </w:t>
      </w:r>
      <w:r w:rsidR="00215BAF">
        <w:rPr>
          <w:color w:val="FF0000"/>
        </w:rPr>
        <w:t>various sources</w:t>
      </w:r>
      <w:r w:rsidR="00B65900">
        <w:rPr>
          <w:color w:val="FF0000"/>
        </w:rPr>
        <w:t xml:space="preserve"> to improve an organisations performance. One analysis </w:t>
      </w:r>
      <w:r w:rsidR="00B65900" w:rsidRPr="00A72FB0">
        <w:rPr>
          <w:b/>
          <w:bCs/>
          <w:color w:val="FF0000"/>
        </w:rPr>
        <w:t>tool</w:t>
      </w:r>
      <w:r w:rsidR="00B65900">
        <w:rPr>
          <w:color w:val="FF0000"/>
        </w:rPr>
        <w:t xml:space="preserve"> </w:t>
      </w:r>
      <w:r w:rsidR="003F4E1C">
        <w:rPr>
          <w:color w:val="FF0000"/>
        </w:rPr>
        <w:t xml:space="preserve">which can be used in an organisation to diagnose and reduce futures challenges are </w:t>
      </w:r>
      <w:r w:rsidR="003F4E1C" w:rsidRPr="00A72FB0">
        <w:rPr>
          <w:b/>
          <w:bCs/>
          <w:color w:val="FF0000"/>
        </w:rPr>
        <w:t>surveys</w:t>
      </w:r>
      <w:r w:rsidR="003F4E1C">
        <w:rPr>
          <w:color w:val="FF0000"/>
        </w:rPr>
        <w:t>. Bryman et al (2018) depict surveys a useful research tool to find answers to specific questions. It is an inexpensive method and can return a faster response than interviews as the person completing the survey can complete them in their own time. Surveys can be used to gather information to have a better understanding of the strengths and weaknesses within departments and to gain an overall view of employee satisfaction</w:t>
      </w:r>
      <w:r w:rsidR="00215BAF">
        <w:rPr>
          <w:color w:val="FF0000"/>
        </w:rPr>
        <w:t xml:space="preserve">. </w:t>
      </w:r>
      <w:r w:rsidR="003F4E1C">
        <w:rPr>
          <w:color w:val="FF0000"/>
        </w:rPr>
        <w:t xml:space="preserve">However, there are disadvantages with quantitative surveys such as not allowing the researcher to ask more questions to gain further insight to the questions they have. Questions on surveys are typically not as detailed as the researcher might need them to be. If the questions were more complex, the response rates might be </w:t>
      </w:r>
      <w:r w:rsidR="00215BAF">
        <w:rPr>
          <w:color w:val="FF0000"/>
        </w:rPr>
        <w:t>lower</w:t>
      </w:r>
      <w:r w:rsidR="003F4E1C">
        <w:rPr>
          <w:color w:val="FF0000"/>
        </w:rPr>
        <w:t>. (Taylor &amp; Woodhams, 2022, p. 128)</w:t>
      </w:r>
    </w:p>
    <w:p w14:paraId="5A4BFD44" w14:textId="1160643C" w:rsidR="00215BAF" w:rsidRDefault="00215BAF" w:rsidP="00E90E20">
      <w:pPr>
        <w:spacing w:before="100" w:after="100" w:line="240" w:lineRule="auto"/>
        <w:rPr>
          <w:color w:val="FF0000"/>
        </w:rPr>
      </w:pPr>
      <w:r>
        <w:rPr>
          <w:color w:val="FF0000"/>
        </w:rPr>
        <w:t>Based on this analysis, surveys are a useful tool to gain insight into individual experiences within the organisations and if they are successful, they can help to provide numerical data which can help when making future decisions.</w:t>
      </w:r>
    </w:p>
    <w:p w14:paraId="339312AF" w14:textId="2190CE07" w:rsidR="007170D4" w:rsidRDefault="007170D4" w:rsidP="00E90E20">
      <w:pPr>
        <w:spacing w:before="100" w:after="100" w:line="240" w:lineRule="auto"/>
        <w:rPr>
          <w:color w:val="FF0000"/>
        </w:rPr>
      </w:pPr>
      <w:r w:rsidRPr="00A72FB0">
        <w:rPr>
          <w:b/>
          <w:bCs/>
          <w:color w:val="FF0000"/>
        </w:rPr>
        <w:t>SWOT Analysis</w:t>
      </w:r>
      <w:r>
        <w:rPr>
          <w:color w:val="FF0000"/>
        </w:rPr>
        <w:t xml:space="preserve"> can be used as an effective </w:t>
      </w:r>
      <w:r w:rsidR="00A72FB0" w:rsidRPr="00A72FB0">
        <w:rPr>
          <w:b/>
          <w:bCs/>
          <w:color w:val="FF0000"/>
        </w:rPr>
        <w:t>method</w:t>
      </w:r>
      <w:r>
        <w:rPr>
          <w:color w:val="FF0000"/>
        </w:rPr>
        <w:t xml:space="preserve"> to gather information such as qualitative and quantitative organisational data such as employee feedback and current market conditions. This information can then be used to evaluate staff retention rates, time it takes for training to be completed and employment satisfaction surveys which can highlight </w:t>
      </w:r>
      <w:r w:rsidRPr="00A72FB0">
        <w:rPr>
          <w:b/>
          <w:bCs/>
          <w:color w:val="FF0000"/>
        </w:rPr>
        <w:t>strengths</w:t>
      </w:r>
      <w:r>
        <w:rPr>
          <w:color w:val="FF0000"/>
        </w:rPr>
        <w:t>.</w:t>
      </w:r>
    </w:p>
    <w:p w14:paraId="605596A4" w14:textId="0712421E" w:rsidR="00A055D9" w:rsidRDefault="00A72FB0" w:rsidP="00E90E20">
      <w:pPr>
        <w:spacing w:before="100" w:after="100" w:line="240" w:lineRule="auto"/>
        <w:rPr>
          <w:color w:val="FF0000"/>
        </w:rPr>
      </w:pPr>
      <w:r>
        <w:rPr>
          <w:color w:val="FF0000"/>
        </w:rPr>
        <w:t>It can</w:t>
      </w:r>
      <w:r w:rsidR="007170D4">
        <w:rPr>
          <w:color w:val="FF0000"/>
        </w:rPr>
        <w:t xml:space="preserve"> identify </w:t>
      </w:r>
      <w:r w:rsidR="007170D4" w:rsidRPr="00A72FB0">
        <w:rPr>
          <w:b/>
          <w:bCs/>
          <w:color w:val="FF0000"/>
        </w:rPr>
        <w:t>we</w:t>
      </w:r>
      <w:r w:rsidR="00A055D9" w:rsidRPr="00A72FB0">
        <w:rPr>
          <w:b/>
          <w:bCs/>
          <w:color w:val="FF0000"/>
        </w:rPr>
        <w:t>aknesses</w:t>
      </w:r>
      <w:r w:rsidR="00A055D9">
        <w:rPr>
          <w:color w:val="FF0000"/>
        </w:rPr>
        <w:t xml:space="preserve">, </w:t>
      </w:r>
      <w:r>
        <w:rPr>
          <w:color w:val="FF0000"/>
        </w:rPr>
        <w:t>such as</w:t>
      </w:r>
      <w:r w:rsidR="00A055D9">
        <w:rPr>
          <w:color w:val="FF0000"/>
        </w:rPr>
        <w:t xml:space="preserve"> high turnover rates, poor employee development programs, and the need to update HR technology. The strategies used to identify these weaknesses could be introducing exit interviews to gain employee feedback</w:t>
      </w:r>
      <w:r>
        <w:rPr>
          <w:color w:val="FF0000"/>
        </w:rPr>
        <w:t>.</w:t>
      </w:r>
    </w:p>
    <w:p w14:paraId="484C6EAF" w14:textId="35AF399C" w:rsidR="00A055D9" w:rsidRDefault="00A055D9" w:rsidP="00E90E20">
      <w:pPr>
        <w:spacing w:before="100" w:after="100" w:line="240" w:lineRule="auto"/>
        <w:rPr>
          <w:color w:val="FF0000"/>
        </w:rPr>
      </w:pPr>
      <w:r w:rsidRPr="00A72FB0">
        <w:rPr>
          <w:b/>
          <w:bCs/>
          <w:color w:val="FF0000"/>
        </w:rPr>
        <w:t>Opportunities</w:t>
      </w:r>
      <w:r>
        <w:rPr>
          <w:color w:val="FF0000"/>
        </w:rPr>
        <w:t xml:space="preserve"> can be identified by tracking market trends such as remote working, advancements in HR Software and adhering to changing workforce laws that favour employee rights</w:t>
      </w:r>
      <w:r w:rsidR="00B22808">
        <w:rPr>
          <w:color w:val="FF0000"/>
        </w:rPr>
        <w:t>.</w:t>
      </w:r>
      <w:r>
        <w:rPr>
          <w:color w:val="FF0000"/>
        </w:rPr>
        <w:t xml:space="preserve"> By studying industry reports, analysing the </w:t>
      </w:r>
      <w:r w:rsidR="00215BAF">
        <w:rPr>
          <w:color w:val="FF0000"/>
        </w:rPr>
        <w:t>data,</w:t>
      </w:r>
      <w:r>
        <w:rPr>
          <w:color w:val="FF0000"/>
        </w:rPr>
        <w:t xml:space="preserve"> and attending HR conferences, an organisation can benchmark against competitors.</w:t>
      </w:r>
    </w:p>
    <w:p w14:paraId="08334242" w14:textId="251E126C" w:rsidR="00A055D9" w:rsidRDefault="00A72FB0" w:rsidP="00E90E20">
      <w:pPr>
        <w:spacing w:before="100" w:after="100" w:line="240" w:lineRule="auto"/>
        <w:rPr>
          <w:color w:val="FF0000"/>
        </w:rPr>
      </w:pPr>
      <w:r>
        <w:rPr>
          <w:color w:val="FF0000"/>
        </w:rPr>
        <w:t>It monitors</w:t>
      </w:r>
      <w:r w:rsidR="00A055D9">
        <w:rPr>
          <w:color w:val="FF0000"/>
        </w:rPr>
        <w:t xml:space="preserve"> </w:t>
      </w:r>
      <w:r w:rsidR="00A055D9" w:rsidRPr="00A72FB0">
        <w:rPr>
          <w:b/>
          <w:bCs/>
          <w:color w:val="FF0000"/>
        </w:rPr>
        <w:t xml:space="preserve">Threats </w:t>
      </w:r>
      <w:r w:rsidR="00A055D9">
        <w:rPr>
          <w:color w:val="FF0000"/>
        </w:rPr>
        <w:t>due to economic downturns</w:t>
      </w:r>
      <w:r w:rsidR="002421D0">
        <w:rPr>
          <w:color w:val="FF0000"/>
        </w:rPr>
        <w:t xml:space="preserve"> and competitive job markets by conducting risk assessments</w:t>
      </w:r>
      <w:r w:rsidR="00B22808">
        <w:rPr>
          <w:color w:val="FF0000"/>
        </w:rPr>
        <w:t>.</w:t>
      </w:r>
    </w:p>
    <w:p w14:paraId="07060CC9" w14:textId="204116DD" w:rsidR="002421D0" w:rsidRDefault="002421D0" w:rsidP="00E90E20">
      <w:pPr>
        <w:spacing w:before="100" w:after="100" w:line="240" w:lineRule="auto"/>
        <w:rPr>
          <w:color w:val="FF0000"/>
        </w:rPr>
      </w:pPr>
      <w:r>
        <w:rPr>
          <w:color w:val="FF0000"/>
        </w:rPr>
        <w:lastRenderedPageBreak/>
        <w:t xml:space="preserve"> </w:t>
      </w:r>
      <w:r w:rsidR="00470A17">
        <w:rPr>
          <w:color w:val="FF0000"/>
        </w:rPr>
        <w:t xml:space="preserve">SWOT provides a broad overview </w:t>
      </w:r>
      <w:r w:rsidR="00A72FB0">
        <w:rPr>
          <w:color w:val="FF0000"/>
        </w:rPr>
        <w:t>of organisations</w:t>
      </w:r>
      <w:r w:rsidR="00470A17">
        <w:rPr>
          <w:color w:val="FF0000"/>
        </w:rPr>
        <w:t xml:space="preserve"> based </w:t>
      </w:r>
      <w:r w:rsidR="00A72FB0">
        <w:rPr>
          <w:color w:val="FF0000"/>
        </w:rPr>
        <w:t xml:space="preserve">on </w:t>
      </w:r>
      <w:r w:rsidR="00470A17">
        <w:rPr>
          <w:color w:val="FF0000"/>
        </w:rPr>
        <w:t>internal and external factors, it is easy to understand and can be applied to various contexts</w:t>
      </w:r>
      <w:r w:rsidR="00B22808">
        <w:rPr>
          <w:color w:val="FF0000"/>
        </w:rPr>
        <w:t xml:space="preserve">. </w:t>
      </w:r>
      <w:r w:rsidR="00A72FB0">
        <w:rPr>
          <w:color w:val="FF0000"/>
        </w:rPr>
        <w:t>I</w:t>
      </w:r>
      <w:r w:rsidR="00470A17">
        <w:rPr>
          <w:color w:val="FF0000"/>
        </w:rPr>
        <w:t xml:space="preserve">t helps </w:t>
      </w:r>
      <w:r w:rsidR="00A72FB0">
        <w:rPr>
          <w:color w:val="FF0000"/>
        </w:rPr>
        <w:t>with HR</w:t>
      </w:r>
      <w:r w:rsidR="00470A17">
        <w:rPr>
          <w:color w:val="FF0000"/>
        </w:rPr>
        <w:t xml:space="preserve"> strategies with goals set by organisations to identify </w:t>
      </w:r>
      <w:r w:rsidR="00A72FB0">
        <w:rPr>
          <w:color w:val="FF0000"/>
        </w:rPr>
        <w:t>concerns</w:t>
      </w:r>
      <w:r w:rsidR="00470A17">
        <w:rPr>
          <w:color w:val="FF0000"/>
        </w:rPr>
        <w:t xml:space="preserve">. </w:t>
      </w:r>
    </w:p>
    <w:p w14:paraId="6D3ED663" w14:textId="3F13D85D" w:rsidR="00470A17" w:rsidRDefault="00470A17" w:rsidP="00E90E20">
      <w:pPr>
        <w:spacing w:before="100" w:after="100" w:line="240" w:lineRule="auto"/>
        <w:rPr>
          <w:color w:val="FF0000"/>
        </w:rPr>
      </w:pPr>
      <w:r>
        <w:rPr>
          <w:color w:val="FF0000"/>
        </w:rPr>
        <w:t>On the other hand, the quality of the data depends on who is conducting the report and can introduce bias. SWOT provides only a snapshot of time and may not capture any environmental changes within the organisation. Moreover, SWOT lacks depth in quantitative analysis and can limit the effectiveness in data-driven decision making.</w:t>
      </w:r>
    </w:p>
    <w:p w14:paraId="241A6E97" w14:textId="303A568A" w:rsidR="00470A17" w:rsidRDefault="00470A17" w:rsidP="00E90E20">
      <w:pPr>
        <w:spacing w:before="100" w:after="100" w:line="240" w:lineRule="auto"/>
        <w:rPr>
          <w:color w:val="FF0000"/>
        </w:rPr>
      </w:pPr>
      <w:r>
        <w:rPr>
          <w:color w:val="FF0000"/>
        </w:rPr>
        <w:t>An organisation facing high</w:t>
      </w:r>
      <w:r w:rsidR="009D1AE2">
        <w:rPr>
          <w:color w:val="FF0000"/>
        </w:rPr>
        <w:t xml:space="preserve"> staff turnover could use SWOT analysis to:</w:t>
      </w:r>
    </w:p>
    <w:p w14:paraId="06D2F45F" w14:textId="578E47AA" w:rsidR="009D1AE2" w:rsidRDefault="009D1AE2" w:rsidP="009D1AE2">
      <w:pPr>
        <w:pStyle w:val="ListParagraph"/>
        <w:numPr>
          <w:ilvl w:val="0"/>
          <w:numId w:val="26"/>
        </w:numPr>
        <w:spacing w:before="100" w:after="100" w:line="240" w:lineRule="auto"/>
        <w:rPr>
          <w:color w:val="FF0000"/>
        </w:rPr>
      </w:pPr>
      <w:r w:rsidRPr="009D1AE2">
        <w:rPr>
          <w:b/>
          <w:bCs/>
          <w:color w:val="FF0000"/>
        </w:rPr>
        <w:t>Identify strengths</w:t>
      </w:r>
      <w:r>
        <w:rPr>
          <w:color w:val="FF0000"/>
        </w:rPr>
        <w:t>: Strong leadership, a robust onboarding process and training scheme and regular mentorship.</w:t>
      </w:r>
    </w:p>
    <w:p w14:paraId="6C658F86" w14:textId="42619411" w:rsidR="009D1AE2" w:rsidRDefault="009D1AE2" w:rsidP="009D1AE2">
      <w:pPr>
        <w:pStyle w:val="ListParagraph"/>
        <w:numPr>
          <w:ilvl w:val="0"/>
          <w:numId w:val="26"/>
        </w:numPr>
        <w:spacing w:before="100" w:after="100" w:line="240" w:lineRule="auto"/>
        <w:rPr>
          <w:color w:val="FF0000"/>
        </w:rPr>
      </w:pPr>
      <w:r>
        <w:rPr>
          <w:b/>
          <w:bCs/>
          <w:color w:val="FF0000"/>
        </w:rPr>
        <w:t>Identify weaknesses</w:t>
      </w:r>
      <w:r w:rsidRPr="009D1AE2">
        <w:rPr>
          <w:color w:val="FF0000"/>
        </w:rPr>
        <w:t>:</w:t>
      </w:r>
      <w:r>
        <w:rPr>
          <w:color w:val="FF0000"/>
        </w:rPr>
        <w:t xml:space="preserve"> High turnover of staff due to lack of career opportunities.</w:t>
      </w:r>
    </w:p>
    <w:p w14:paraId="4D76EF74" w14:textId="5C1B9541" w:rsidR="009D1AE2" w:rsidRDefault="009D1AE2" w:rsidP="009D1AE2">
      <w:pPr>
        <w:pStyle w:val="ListParagraph"/>
        <w:numPr>
          <w:ilvl w:val="0"/>
          <w:numId w:val="26"/>
        </w:numPr>
        <w:spacing w:before="100" w:after="100" w:line="240" w:lineRule="auto"/>
        <w:rPr>
          <w:color w:val="FF0000"/>
        </w:rPr>
      </w:pPr>
      <w:r>
        <w:rPr>
          <w:b/>
          <w:bCs/>
          <w:color w:val="FF0000"/>
        </w:rPr>
        <w:t>Identify opportunities</w:t>
      </w:r>
      <w:r w:rsidRPr="009D1AE2">
        <w:rPr>
          <w:color w:val="FF0000"/>
        </w:rPr>
        <w:t>:</w:t>
      </w:r>
      <w:r>
        <w:rPr>
          <w:color w:val="FF0000"/>
        </w:rPr>
        <w:t xml:space="preserve"> Introducing better training, </w:t>
      </w:r>
      <w:r w:rsidR="00215BAF">
        <w:rPr>
          <w:color w:val="FF0000"/>
        </w:rPr>
        <w:t>systems,</w:t>
      </w:r>
      <w:r>
        <w:rPr>
          <w:color w:val="FF0000"/>
        </w:rPr>
        <w:t xml:space="preserve"> and interaction with staff.</w:t>
      </w:r>
    </w:p>
    <w:p w14:paraId="32BEDBEC" w14:textId="1E0AE360" w:rsidR="009D1AE2" w:rsidRDefault="009D1AE2" w:rsidP="009D1AE2">
      <w:pPr>
        <w:pStyle w:val="ListParagraph"/>
        <w:numPr>
          <w:ilvl w:val="0"/>
          <w:numId w:val="26"/>
        </w:numPr>
        <w:spacing w:before="100" w:after="100" w:line="240" w:lineRule="auto"/>
        <w:rPr>
          <w:color w:val="FF0000"/>
        </w:rPr>
      </w:pPr>
      <w:r>
        <w:rPr>
          <w:b/>
          <w:bCs/>
          <w:color w:val="FF0000"/>
        </w:rPr>
        <w:t>Identify Threats</w:t>
      </w:r>
      <w:r w:rsidRPr="009D1AE2">
        <w:rPr>
          <w:color w:val="FF0000"/>
        </w:rPr>
        <w:t>:</w:t>
      </w:r>
      <w:r>
        <w:rPr>
          <w:color w:val="FF0000"/>
        </w:rPr>
        <w:t xml:space="preserve"> Competitive markets, pay working conditions and economic uncertainty.</w:t>
      </w:r>
    </w:p>
    <w:p w14:paraId="76052B1D" w14:textId="770793EC" w:rsidR="009D1AE2" w:rsidRDefault="009D1AE2" w:rsidP="009D1AE2">
      <w:pPr>
        <w:spacing w:before="100" w:after="100" w:line="240" w:lineRule="auto"/>
        <w:rPr>
          <w:color w:val="FF0000"/>
        </w:rPr>
      </w:pPr>
      <w:r>
        <w:rPr>
          <w:color w:val="FF0000"/>
        </w:rPr>
        <w:t xml:space="preserve">Based on this analysis, the organisation could use SWOT to help develop strategies to improve staff retention, such as introducing a career development program and by investing in </w:t>
      </w:r>
      <w:r w:rsidR="00215BAF">
        <w:rPr>
          <w:color w:val="FF0000"/>
        </w:rPr>
        <w:t>better new</w:t>
      </w:r>
      <w:r>
        <w:rPr>
          <w:color w:val="FF0000"/>
        </w:rPr>
        <w:t xml:space="preserve"> training programs.</w:t>
      </w:r>
    </w:p>
    <w:bookmarkEnd w:id="1"/>
    <w:p w14:paraId="6344EC74" w14:textId="7F200D01" w:rsidR="00B22808" w:rsidRDefault="00B22808" w:rsidP="00215BAF">
      <w:pPr>
        <w:spacing w:before="100" w:after="100" w:line="240" w:lineRule="auto"/>
        <w:rPr>
          <w:color w:val="FF0000"/>
        </w:rPr>
      </w:pPr>
    </w:p>
    <w:p w14:paraId="3620D06F" w14:textId="5C8DA942" w:rsidR="00627111" w:rsidRPr="009D1AE2" w:rsidRDefault="00627111" w:rsidP="009D1AE2">
      <w:pPr>
        <w:spacing w:before="100" w:after="100" w:line="240" w:lineRule="auto"/>
        <w:rPr>
          <w:color w:val="FF0000"/>
        </w:rPr>
      </w:pPr>
    </w:p>
    <w:p w14:paraId="49DC26C8" w14:textId="77777777" w:rsidR="009B6B1C" w:rsidRPr="00E90E20" w:rsidRDefault="00F51A9B">
      <w:pPr>
        <w:spacing w:before="100" w:after="100" w:line="240" w:lineRule="auto"/>
        <w:rPr>
          <w:rFonts w:eastAsia="Times New Roman"/>
          <w:b/>
          <w:bCs/>
          <w:strike/>
          <w:kern w:val="0"/>
          <w:sz w:val="24"/>
          <w:szCs w:val="24"/>
          <w:lang w:eastAsia="en-GB"/>
        </w:rPr>
      </w:pPr>
      <w:r w:rsidRPr="00E90E20">
        <w:rPr>
          <w:rFonts w:eastAsia="Times New Roman"/>
          <w:b/>
          <w:bCs/>
          <w:strike/>
          <w:kern w:val="0"/>
          <w:sz w:val="24"/>
          <w:szCs w:val="24"/>
          <w:lang w:eastAsia="en-GB"/>
        </w:rPr>
        <w:t>S</w:t>
      </w:r>
      <w:r w:rsidRPr="00E90E20">
        <w:rPr>
          <w:rFonts w:eastAsia="Times New Roman"/>
          <w:b/>
          <w:bCs/>
          <w:strike/>
          <w:kern w:val="0"/>
          <w:sz w:val="24"/>
          <w:szCs w:val="24"/>
          <w:lang w:eastAsia="en-GB"/>
        </w:rPr>
        <w:t xml:space="preserve">ix </w:t>
      </w:r>
      <w:r w:rsidRPr="00E90E20">
        <w:rPr>
          <w:rFonts w:eastAsia="Times New Roman"/>
          <w:b/>
          <w:bCs/>
          <w:strike/>
          <w:kern w:val="0"/>
          <w:sz w:val="24"/>
          <w:szCs w:val="24"/>
          <w:lang w:eastAsia="en-GB"/>
        </w:rPr>
        <w:t xml:space="preserve">Steps to Evidence Based Decision Making </w:t>
      </w:r>
    </w:p>
    <w:p w14:paraId="49DC26C9" w14:textId="77777777" w:rsidR="009B6B1C" w:rsidRPr="00E90E20" w:rsidRDefault="00F51A9B">
      <w:pPr>
        <w:spacing w:before="100" w:after="100" w:line="240" w:lineRule="auto"/>
        <w:rPr>
          <w:rFonts w:eastAsia="Times New Roman"/>
          <w:strike/>
          <w:kern w:val="0"/>
          <w:sz w:val="24"/>
          <w:szCs w:val="24"/>
          <w:lang w:eastAsia="en-GB"/>
        </w:rPr>
      </w:pPr>
      <w:r w:rsidRPr="00E90E20">
        <w:rPr>
          <w:rFonts w:eastAsia="Times New Roman"/>
          <w:strike/>
          <w:kern w:val="0"/>
          <w:sz w:val="24"/>
          <w:szCs w:val="24"/>
          <w:lang w:eastAsia="en-GB"/>
        </w:rPr>
        <w:t>According to the CIPD, (CIPD, 2022)   evidence-based decision-making involves six key steps:</w:t>
      </w:r>
    </w:p>
    <w:p w14:paraId="49DC26CA"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Asking</w:t>
      </w:r>
      <w:r w:rsidRPr="00E90E20">
        <w:rPr>
          <w:rFonts w:eastAsia="Times New Roman"/>
          <w:strike/>
          <w:kern w:val="0"/>
          <w:sz w:val="24"/>
          <w:szCs w:val="24"/>
          <w:lang w:eastAsia="en-GB"/>
        </w:rPr>
        <w:t>: the right questions to address specific HR issues. This involves identifying the problem clearly and determining what information is needed to solve it.</w:t>
      </w:r>
    </w:p>
    <w:p w14:paraId="49DC26CB"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Acquiring</w:t>
      </w:r>
      <w:r w:rsidRPr="00E90E20">
        <w:rPr>
          <w:rFonts w:eastAsia="Times New Roman"/>
          <w:strike/>
          <w:kern w:val="0"/>
          <w:sz w:val="24"/>
          <w:szCs w:val="24"/>
          <w:lang w:eastAsia="en-GB"/>
        </w:rPr>
        <w:t>: relevant data from various sources such as research studies, organisational records, and expert opinions.</w:t>
      </w:r>
    </w:p>
    <w:p w14:paraId="49DC26CC"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Appraising</w:t>
      </w:r>
      <w:r w:rsidRPr="00E90E20">
        <w:rPr>
          <w:rFonts w:eastAsia="Times New Roman"/>
          <w:strike/>
          <w:kern w:val="0"/>
          <w:sz w:val="24"/>
          <w:szCs w:val="24"/>
          <w:lang w:eastAsia="en-GB"/>
        </w:rPr>
        <w:t>: and evaluating the quality and relevance of the evidence. This step ensures that the data used for decision-making is reliable and valid.</w:t>
      </w:r>
    </w:p>
    <w:p w14:paraId="49DC26CD"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Aggregating</w:t>
      </w:r>
      <w:r w:rsidRPr="00E90E20">
        <w:rPr>
          <w:rFonts w:eastAsia="Times New Roman"/>
          <w:strike/>
          <w:kern w:val="0"/>
          <w:sz w:val="24"/>
          <w:szCs w:val="24"/>
          <w:lang w:eastAsia="en-GB"/>
        </w:rPr>
        <w:t>: Combining evidence from various sources to get a comprehensive understanding. This involves gathering data to draw meaningful conclusions.</w:t>
      </w:r>
    </w:p>
    <w:p w14:paraId="49DC26CE"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Applying</w:t>
      </w:r>
      <w:r w:rsidRPr="00E90E20">
        <w:rPr>
          <w:rFonts w:eastAsia="Times New Roman"/>
          <w:strike/>
          <w:kern w:val="0"/>
          <w:sz w:val="24"/>
          <w:szCs w:val="24"/>
          <w:lang w:eastAsia="en-GB"/>
        </w:rPr>
        <w:t>: Using the aggregated evidence to make informed decisions. This step involves implementing the best solutions based on the evidence collected.</w:t>
      </w:r>
    </w:p>
    <w:p w14:paraId="49DC26CF" w14:textId="77777777" w:rsidR="009B6B1C" w:rsidRPr="00E90E20" w:rsidRDefault="00F51A9B">
      <w:pPr>
        <w:numPr>
          <w:ilvl w:val="0"/>
          <w:numId w:val="3"/>
        </w:numPr>
        <w:spacing w:before="100" w:after="100" w:line="240" w:lineRule="auto"/>
        <w:rPr>
          <w:strike/>
        </w:rPr>
      </w:pPr>
      <w:r w:rsidRPr="00E90E20">
        <w:rPr>
          <w:rFonts w:eastAsia="Times New Roman"/>
          <w:b/>
          <w:bCs/>
          <w:strike/>
          <w:kern w:val="0"/>
          <w:sz w:val="24"/>
          <w:szCs w:val="24"/>
          <w:lang w:eastAsia="en-GB"/>
        </w:rPr>
        <w:t>Assessing</w:t>
      </w:r>
      <w:r w:rsidRPr="00E90E20">
        <w:rPr>
          <w:rFonts w:eastAsia="Times New Roman"/>
          <w:strike/>
          <w:kern w:val="0"/>
          <w:sz w:val="24"/>
          <w:szCs w:val="24"/>
          <w:lang w:eastAsia="en-GB"/>
        </w:rPr>
        <w:t>: Evaluating the outcomes of the decision to ensure it achieved the desired results. This involves monitoring and reviewing the impact of the decision on organisational performance and adjusting if necessary.</w:t>
      </w:r>
    </w:p>
    <w:p w14:paraId="49DC26D0" w14:textId="77777777" w:rsidR="009B6B1C" w:rsidRPr="00E90E20" w:rsidRDefault="00F51A9B">
      <w:pPr>
        <w:spacing w:before="100" w:after="100" w:line="240" w:lineRule="auto"/>
        <w:rPr>
          <w:rFonts w:eastAsia="Times New Roman"/>
          <w:strike/>
          <w:kern w:val="0"/>
          <w:sz w:val="24"/>
          <w:szCs w:val="24"/>
          <w:lang w:eastAsia="en-GB"/>
        </w:rPr>
      </w:pPr>
      <w:r w:rsidRPr="00E90E20">
        <w:rPr>
          <w:rFonts w:eastAsia="Times New Roman"/>
          <w:strike/>
          <w:kern w:val="0"/>
          <w:sz w:val="24"/>
          <w:szCs w:val="24"/>
          <w:lang w:eastAsia="en-GB"/>
        </w:rPr>
        <w:t>These steps ensure a systematic approach to decision-making, minimising biases and enhancing the effectiveness of HR practices (Taylor &amp; Woodhams, 2016, p. 211).</w:t>
      </w:r>
    </w:p>
    <w:p w14:paraId="49DC26D1"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Principles of Critical </w:t>
      </w:r>
      <w:r>
        <w:rPr>
          <w:rFonts w:eastAsia="Times New Roman"/>
          <w:b/>
          <w:bCs/>
          <w:kern w:val="0"/>
          <w:sz w:val="24"/>
          <w:szCs w:val="24"/>
          <w:lang w:eastAsia="en-GB"/>
        </w:rPr>
        <w:t xml:space="preserve">Thinking </w:t>
      </w:r>
    </w:p>
    <w:p w14:paraId="49DC26D2"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lastRenderedPageBreak/>
        <w:t>Critical thinking involves analysing and evaluating evidence before forming a judgment. Key principles include clarity, accuracy, precision, relevance, depth, breadth, logic, significance, and fairness (Cottrell, 2017, p. 33).</w:t>
      </w:r>
    </w:p>
    <w:p w14:paraId="49DC26D3"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Application in HR</w:t>
      </w:r>
    </w:p>
    <w:p w14:paraId="49DC26D4"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Workshops are an excellent method to incorporate into HR. By practicing activities such as debates, and case study analysis, they can help to enhance critical thinking. These activities encouraged us to question assumptions, consider multiple perspectives, and evaluate the quality of evidence. Applying these principles helps assess HR policies objectively, ensuring decisions are rational and evidence based.</w:t>
      </w:r>
    </w:p>
    <w:p w14:paraId="49DC26D5"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For instance, when evaluating a new HR policy, critical thinking involves questioning the assumptions behind the policy, examining the evidence supporting its effectiveness, and considering potential unintended consequences. This rigorous evaluation process helps ensure that policies are well-founded and likely to achieve their intended outcomes.</w:t>
      </w:r>
    </w:p>
    <w:p w14:paraId="49DC26D6"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Decision Making Processes</w:t>
      </w:r>
    </w:p>
    <w:p w14:paraId="49DC26D7"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Effective decision-making processes are essential for achieving desired outcomes in HR. Three key processes include Best Fit, Problem Outcomes, and De Bono’s Six Thinking Hats.</w:t>
      </w:r>
    </w:p>
    <w:p w14:paraId="49DC26D8" w14:textId="77777777" w:rsidR="009B6B1C" w:rsidRDefault="00F51A9B">
      <w:pPr>
        <w:numPr>
          <w:ilvl w:val="0"/>
          <w:numId w:val="4"/>
        </w:numPr>
        <w:spacing w:before="100" w:after="100" w:line="240" w:lineRule="auto"/>
      </w:pPr>
      <w:r>
        <w:rPr>
          <w:rFonts w:eastAsia="Times New Roman"/>
          <w:b/>
          <w:bCs/>
          <w:kern w:val="0"/>
          <w:sz w:val="24"/>
          <w:szCs w:val="24"/>
          <w:lang w:eastAsia="en-GB"/>
        </w:rPr>
        <w:t>Best Fit</w:t>
      </w:r>
      <w:r>
        <w:rPr>
          <w:rFonts w:eastAsia="Times New Roman"/>
          <w:kern w:val="0"/>
          <w:sz w:val="24"/>
          <w:szCs w:val="24"/>
          <w:lang w:eastAsia="en-GB"/>
        </w:rPr>
        <w:t>: Aligning HR practices with organisational context and culture. For example, customising recruitment strategies to fit organisational culture improves candidate suitability. This approach recognises that what works in one organisation may not work in another, and tailors HR practices to the specific needs and characteristics of the organisation.</w:t>
      </w:r>
    </w:p>
    <w:p w14:paraId="49DC26D9" w14:textId="77777777" w:rsidR="009B6B1C" w:rsidRDefault="00F51A9B">
      <w:pPr>
        <w:spacing w:before="100" w:after="100" w:line="240" w:lineRule="auto"/>
        <w:ind w:left="720"/>
        <w:rPr>
          <w:rFonts w:eastAsia="Times New Roman"/>
          <w:kern w:val="0"/>
          <w:sz w:val="24"/>
          <w:szCs w:val="24"/>
          <w:lang w:eastAsia="en-GB"/>
        </w:rPr>
      </w:pPr>
      <w:r>
        <w:rPr>
          <w:rFonts w:eastAsia="Times New Roman"/>
          <w:kern w:val="0"/>
          <w:sz w:val="24"/>
          <w:szCs w:val="24"/>
          <w:lang w:eastAsia="en-GB"/>
        </w:rPr>
        <w:t>For example, a company with a strong emphasis on innovation might prioritise recruiting candidates with creative critical thinking skills and an entrepreneurial mindset. This alignment ensures that new hires are well-suited to the organisational culture and more likely to succeed in their roles.</w:t>
      </w:r>
    </w:p>
    <w:p w14:paraId="49DC26DA" w14:textId="77777777" w:rsidR="009B6B1C" w:rsidRDefault="00F51A9B">
      <w:pPr>
        <w:numPr>
          <w:ilvl w:val="0"/>
          <w:numId w:val="4"/>
        </w:numPr>
        <w:spacing w:before="100" w:after="100" w:line="240" w:lineRule="auto"/>
      </w:pPr>
      <w:r>
        <w:rPr>
          <w:rFonts w:eastAsia="Times New Roman"/>
          <w:b/>
          <w:bCs/>
          <w:kern w:val="0"/>
          <w:sz w:val="24"/>
          <w:szCs w:val="24"/>
          <w:lang w:eastAsia="en-GB"/>
        </w:rPr>
        <w:t>Problem Outcomes</w:t>
      </w:r>
      <w:r>
        <w:rPr>
          <w:rFonts w:eastAsia="Times New Roman"/>
          <w:kern w:val="0"/>
          <w:sz w:val="24"/>
          <w:szCs w:val="24"/>
          <w:lang w:eastAsia="en-GB"/>
        </w:rPr>
        <w:t>: Focusing on solutions that address specific problems. Identifying the root causes of high turnover and developing targeted retention strategies. This approach emphasises understanding the underlying issues driving HR challenges and designing interventions that directly address these issues.</w:t>
      </w:r>
    </w:p>
    <w:p w14:paraId="49DC26DB" w14:textId="77777777" w:rsidR="009B6B1C" w:rsidRDefault="00F51A9B">
      <w:pPr>
        <w:spacing w:before="100" w:after="100" w:line="240" w:lineRule="auto"/>
        <w:ind w:left="720"/>
        <w:rPr>
          <w:rFonts w:eastAsia="Times New Roman"/>
          <w:kern w:val="0"/>
          <w:sz w:val="24"/>
          <w:szCs w:val="24"/>
          <w:lang w:eastAsia="en-GB"/>
        </w:rPr>
      </w:pPr>
      <w:r>
        <w:rPr>
          <w:rFonts w:eastAsia="Times New Roman"/>
          <w:kern w:val="0"/>
          <w:sz w:val="24"/>
          <w:szCs w:val="24"/>
          <w:lang w:eastAsia="en-GB"/>
        </w:rPr>
        <w:t>For instance, if exit interviews reveal that employees are leaving due to a lack of career development opportunities, HR can develop programs to enhance internal mobility and provide more robust career development support. This targeted approach is more likely to effectively reduce turnover than generic retention initiatives.</w:t>
      </w:r>
    </w:p>
    <w:p w14:paraId="49DC26DC" w14:textId="77777777" w:rsidR="009B6B1C" w:rsidRDefault="00F51A9B">
      <w:pPr>
        <w:numPr>
          <w:ilvl w:val="0"/>
          <w:numId w:val="4"/>
        </w:numPr>
        <w:spacing w:before="100" w:after="100" w:line="240" w:lineRule="auto"/>
      </w:pPr>
      <w:r>
        <w:rPr>
          <w:rFonts w:eastAsia="Times New Roman"/>
          <w:b/>
          <w:bCs/>
          <w:kern w:val="0"/>
          <w:sz w:val="24"/>
          <w:szCs w:val="24"/>
          <w:lang w:eastAsia="en-GB"/>
        </w:rPr>
        <w:lastRenderedPageBreak/>
        <w:t>De Bono’s Six Thinking Hats</w:t>
      </w:r>
      <w:r>
        <w:rPr>
          <w:rFonts w:eastAsia="Times New Roman"/>
          <w:kern w:val="0"/>
          <w:sz w:val="24"/>
          <w:szCs w:val="24"/>
          <w:lang w:eastAsia="en-GB"/>
        </w:rPr>
        <w:t>: A structured approach to thinking from different perspectives. This method encourages comprehensive analysis and creative solutions (De Bono, 1985, p. 56).</w:t>
      </w:r>
    </w:p>
    <w:p w14:paraId="49DC26DD"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White Hat</w:t>
      </w:r>
      <w:r>
        <w:rPr>
          <w:rFonts w:eastAsia="Times New Roman"/>
          <w:kern w:val="0"/>
          <w:sz w:val="24"/>
          <w:szCs w:val="24"/>
          <w:lang w:eastAsia="en-GB"/>
        </w:rPr>
        <w:t>: Focus on available data and facts.</w:t>
      </w:r>
    </w:p>
    <w:p w14:paraId="49DC26DE"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Red Hat</w:t>
      </w:r>
      <w:r>
        <w:rPr>
          <w:rFonts w:eastAsia="Times New Roman"/>
          <w:kern w:val="0"/>
          <w:sz w:val="24"/>
          <w:szCs w:val="24"/>
          <w:lang w:eastAsia="en-GB"/>
        </w:rPr>
        <w:t>: Consider emotions and intuition.</w:t>
      </w:r>
    </w:p>
    <w:p w14:paraId="49DC26DF"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Black Hat</w:t>
      </w:r>
      <w:r>
        <w:rPr>
          <w:rFonts w:eastAsia="Times New Roman"/>
          <w:kern w:val="0"/>
          <w:sz w:val="24"/>
          <w:szCs w:val="24"/>
          <w:lang w:eastAsia="en-GB"/>
        </w:rPr>
        <w:t>: Evaluate potential risks and downsides.</w:t>
      </w:r>
    </w:p>
    <w:p w14:paraId="49DC26E0"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Yellow Hat</w:t>
      </w:r>
      <w:r>
        <w:rPr>
          <w:rFonts w:eastAsia="Times New Roman"/>
          <w:kern w:val="0"/>
          <w:sz w:val="24"/>
          <w:szCs w:val="24"/>
          <w:lang w:eastAsia="en-GB"/>
        </w:rPr>
        <w:t>: Identify benefits and positive outcomes.</w:t>
      </w:r>
    </w:p>
    <w:p w14:paraId="49DC26E1"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Green Hat</w:t>
      </w:r>
      <w:r>
        <w:rPr>
          <w:rFonts w:eastAsia="Times New Roman"/>
          <w:kern w:val="0"/>
          <w:sz w:val="24"/>
          <w:szCs w:val="24"/>
          <w:lang w:eastAsia="en-GB"/>
        </w:rPr>
        <w:t>: Explore creative solutions and alternatives.</w:t>
      </w:r>
    </w:p>
    <w:p w14:paraId="49DC26E2" w14:textId="77777777" w:rsidR="009B6B1C" w:rsidRDefault="00F51A9B">
      <w:pPr>
        <w:pStyle w:val="ListParagraph"/>
        <w:numPr>
          <w:ilvl w:val="2"/>
          <w:numId w:val="4"/>
        </w:numPr>
        <w:spacing w:before="100" w:after="100" w:line="240" w:lineRule="auto"/>
      </w:pPr>
      <w:r>
        <w:rPr>
          <w:rFonts w:eastAsia="Times New Roman"/>
          <w:b/>
          <w:bCs/>
          <w:kern w:val="0"/>
          <w:sz w:val="24"/>
          <w:szCs w:val="24"/>
          <w:lang w:eastAsia="en-GB"/>
        </w:rPr>
        <w:t>Blue Hat</w:t>
      </w:r>
      <w:r>
        <w:rPr>
          <w:rFonts w:eastAsia="Times New Roman"/>
          <w:kern w:val="0"/>
          <w:sz w:val="24"/>
          <w:szCs w:val="24"/>
          <w:lang w:eastAsia="en-GB"/>
        </w:rPr>
        <w:t>: Manage the thinking process and ensure a balanced approach.</w:t>
      </w:r>
    </w:p>
    <w:p w14:paraId="49DC26E3" w14:textId="77777777" w:rsidR="009B6B1C" w:rsidRDefault="00F51A9B">
      <w:pPr>
        <w:spacing w:before="100" w:after="100" w:line="240" w:lineRule="auto"/>
        <w:ind w:left="720"/>
        <w:rPr>
          <w:rFonts w:eastAsia="Times New Roman"/>
          <w:kern w:val="0"/>
          <w:sz w:val="24"/>
          <w:szCs w:val="24"/>
          <w:lang w:eastAsia="en-GB"/>
        </w:rPr>
      </w:pPr>
      <w:r>
        <w:rPr>
          <w:rFonts w:eastAsia="Times New Roman"/>
          <w:kern w:val="0"/>
          <w:sz w:val="24"/>
          <w:szCs w:val="24"/>
          <w:lang w:eastAsia="en-GB"/>
        </w:rPr>
        <w:t xml:space="preserve">By systematically exploring a problem from these </w:t>
      </w:r>
      <w:r>
        <w:rPr>
          <w:rFonts w:eastAsia="Times New Roman"/>
          <w:kern w:val="0"/>
          <w:sz w:val="24"/>
          <w:szCs w:val="24"/>
          <w:lang w:eastAsia="en-GB"/>
        </w:rPr>
        <w:t>different perspectives, HR can develop well-rounded solutions that address both the logical and emotional aspects of decision-making.</w:t>
      </w:r>
    </w:p>
    <w:p w14:paraId="49DC26E4" w14:textId="77777777" w:rsidR="009B6B1C" w:rsidRDefault="009B6B1C">
      <w:pPr>
        <w:spacing w:before="100" w:after="100" w:line="240" w:lineRule="auto"/>
        <w:rPr>
          <w:rFonts w:eastAsia="Times New Roman"/>
          <w:b/>
          <w:bCs/>
          <w:kern w:val="0"/>
          <w:sz w:val="24"/>
          <w:szCs w:val="24"/>
          <w:lang w:eastAsia="en-GB"/>
        </w:rPr>
      </w:pPr>
    </w:p>
    <w:p w14:paraId="49DC26E5"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Ethical Decision Making </w:t>
      </w:r>
    </w:p>
    <w:p w14:paraId="49DC26E6"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Understanding different ethical perspectives is vital for informed moral decision-making:</w:t>
      </w:r>
    </w:p>
    <w:p w14:paraId="49DC26E7" w14:textId="77777777" w:rsidR="009B6B1C" w:rsidRDefault="00F51A9B">
      <w:pPr>
        <w:numPr>
          <w:ilvl w:val="0"/>
          <w:numId w:val="5"/>
        </w:numPr>
        <w:spacing w:before="100" w:after="100" w:line="240" w:lineRule="auto"/>
      </w:pPr>
      <w:r>
        <w:rPr>
          <w:rFonts w:eastAsia="Times New Roman"/>
          <w:b/>
          <w:bCs/>
          <w:kern w:val="0"/>
          <w:sz w:val="24"/>
          <w:szCs w:val="24"/>
          <w:lang w:eastAsia="en-GB"/>
        </w:rPr>
        <w:t>Honesty</w:t>
      </w:r>
      <w:r>
        <w:rPr>
          <w:rFonts w:eastAsia="Times New Roman"/>
          <w:kern w:val="0"/>
          <w:sz w:val="24"/>
          <w:szCs w:val="24"/>
          <w:lang w:eastAsia="en-GB"/>
        </w:rPr>
        <w:t>: Being transparent in communication and actions builds trust and integrity. Honesty in HR practices, such as clear communication about job roles and expectations, helps build a culture of trust and openness.</w:t>
      </w:r>
    </w:p>
    <w:p w14:paraId="49DC26E8" w14:textId="77777777" w:rsidR="009B6B1C" w:rsidRDefault="00F51A9B">
      <w:pPr>
        <w:numPr>
          <w:ilvl w:val="0"/>
          <w:numId w:val="5"/>
        </w:numPr>
        <w:spacing w:before="100" w:after="100" w:line="240" w:lineRule="auto"/>
      </w:pPr>
      <w:r>
        <w:rPr>
          <w:rFonts w:eastAsia="Times New Roman"/>
          <w:b/>
          <w:bCs/>
          <w:kern w:val="0"/>
          <w:sz w:val="24"/>
          <w:szCs w:val="24"/>
          <w:lang w:eastAsia="en-GB"/>
        </w:rPr>
        <w:t>Equality</w:t>
      </w:r>
      <w:r>
        <w:rPr>
          <w:rFonts w:eastAsia="Times New Roman"/>
          <w:kern w:val="0"/>
          <w:sz w:val="24"/>
          <w:szCs w:val="24"/>
          <w:lang w:eastAsia="en-GB"/>
        </w:rPr>
        <w:t>: Ensuring fair treatment and opportunities for all employees promotes a positive work environment. For instance, by introducing fair recruitment practices that avoid bias ensures that all candidates have an equal opportunity to succeed.</w:t>
      </w:r>
    </w:p>
    <w:p w14:paraId="49DC26E9" w14:textId="77777777" w:rsidR="009B6B1C" w:rsidRDefault="00F51A9B">
      <w:pPr>
        <w:numPr>
          <w:ilvl w:val="0"/>
          <w:numId w:val="5"/>
        </w:numPr>
        <w:spacing w:before="100" w:after="100" w:line="240" w:lineRule="auto"/>
      </w:pPr>
      <w:r>
        <w:rPr>
          <w:rFonts w:eastAsia="Times New Roman"/>
          <w:b/>
          <w:bCs/>
          <w:kern w:val="0"/>
          <w:sz w:val="24"/>
          <w:szCs w:val="24"/>
          <w:lang w:eastAsia="en-GB"/>
        </w:rPr>
        <w:t>Ethical</w:t>
      </w:r>
      <w:r>
        <w:rPr>
          <w:rFonts w:eastAsia="Times New Roman"/>
          <w:kern w:val="0"/>
          <w:sz w:val="24"/>
          <w:szCs w:val="24"/>
          <w:lang w:eastAsia="en-GB"/>
        </w:rPr>
        <w:t>: Making decisions that reflect moral principles enhances organisational reputation and compliance. Ethical decision-making in HR involves considering the broader impact of HR policies and practices on employees and society.</w:t>
      </w:r>
    </w:p>
    <w:p w14:paraId="49DC26EA"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For example, when designing a diversity and inclusion program, HR must consider the ethical implications of their actions. Ensuring that all employees have equal access to opportunities and that the program fosters a genuinely inclusive environment is crucial. This involves not only meeting legal requirements but also promoting a culture of respect and fairness.</w:t>
      </w:r>
    </w:p>
    <w:p w14:paraId="30272CD8" w14:textId="77777777" w:rsidR="00A72FB0" w:rsidRDefault="00A72FB0" w:rsidP="00A72FB0">
      <w:pPr>
        <w:spacing w:before="100" w:after="100" w:line="240" w:lineRule="auto"/>
        <w:rPr>
          <w:rFonts w:eastAsia="Times New Roman"/>
          <w:color w:val="FF0000"/>
          <w:kern w:val="0"/>
          <w:sz w:val="24"/>
          <w:szCs w:val="24"/>
          <w:lang w:eastAsia="en-GB"/>
        </w:rPr>
      </w:pPr>
      <w:r w:rsidRPr="00303775">
        <w:rPr>
          <w:rFonts w:eastAsia="Times New Roman"/>
          <w:b/>
          <w:bCs/>
          <w:color w:val="FF0000"/>
          <w:kern w:val="0"/>
          <w:sz w:val="24"/>
          <w:szCs w:val="24"/>
          <w:u w:val="single"/>
          <w:lang w:eastAsia="en-GB"/>
        </w:rPr>
        <w:t>Utilitarianism Theory</w:t>
      </w:r>
      <w:r>
        <w:rPr>
          <w:rFonts w:eastAsia="Times New Roman"/>
          <w:color w:val="FF0000"/>
          <w:kern w:val="0"/>
          <w:sz w:val="24"/>
          <w:szCs w:val="24"/>
          <w:lang w:eastAsia="en-GB"/>
        </w:rPr>
        <w:t xml:space="preserve"> is an ethical theory that promotes a happy work force. This approach would involve decisions that benefits the greatest number of employees.</w:t>
      </w:r>
    </w:p>
    <w:p w14:paraId="69F03222"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 xml:space="preserve">Utilitarianism supports a merit-based reward system and implements bonuses and promotions offered to the employees who contribute to the organisations success. This encourages productivity and boosts employee happiness. Moreover, by introducing training and development programs that support the majority and by offering flexible working arrangements can improve work-life balance and further improving job </w:t>
      </w:r>
      <w:r>
        <w:rPr>
          <w:rFonts w:eastAsia="Times New Roman"/>
          <w:color w:val="FF0000"/>
          <w:kern w:val="0"/>
          <w:sz w:val="24"/>
          <w:szCs w:val="24"/>
          <w:lang w:eastAsia="en-GB"/>
        </w:rPr>
        <w:lastRenderedPageBreak/>
        <w:t xml:space="preserve">satisfaction and productivity. When it comes to conflicts within the workplace, Utilitarianism would help guide HR to make choices that would benefit the organisation even if it might not be the best outcome for all. Overall, it promotes the greatest good for the majority and encourages practices that enhance employee wellbeing and productivity. On the other hand, it is in danger of overlooking the rights and wellbeing of individuals it does not work for and can lead to ethical issues that could lead to disgruntled employees. (CIPD) </w:t>
      </w:r>
    </w:p>
    <w:p w14:paraId="3EC0301F" w14:textId="77777777" w:rsidR="00A72FB0" w:rsidRPr="00F72B1E" w:rsidRDefault="00A72FB0" w:rsidP="00A72FB0">
      <w:pPr>
        <w:spacing w:before="100" w:after="100" w:line="240" w:lineRule="auto"/>
        <w:rPr>
          <w:rFonts w:eastAsia="Times New Roman"/>
          <w:color w:val="FF0000"/>
          <w:kern w:val="0"/>
          <w:sz w:val="24"/>
          <w:szCs w:val="24"/>
          <w:u w:val="single"/>
          <w:lang w:eastAsia="en-GB"/>
        </w:rPr>
      </w:pPr>
      <w:r w:rsidRPr="00F72B1E">
        <w:rPr>
          <w:rFonts w:eastAsia="Times New Roman"/>
          <w:color w:val="FF0000"/>
          <w:kern w:val="0"/>
          <w:sz w:val="24"/>
          <w:szCs w:val="24"/>
          <w:u w:val="single"/>
          <w:lang w:eastAsia="en-GB"/>
        </w:rPr>
        <w:t xml:space="preserve">Eight </w:t>
      </w:r>
      <w:r>
        <w:rPr>
          <w:rFonts w:eastAsia="Times New Roman"/>
          <w:color w:val="FF0000"/>
          <w:kern w:val="0"/>
          <w:sz w:val="24"/>
          <w:szCs w:val="24"/>
          <w:u w:val="single"/>
          <w:lang w:eastAsia="en-GB"/>
        </w:rPr>
        <w:t xml:space="preserve">Ethical </w:t>
      </w:r>
      <w:r w:rsidRPr="00F72B1E">
        <w:rPr>
          <w:rFonts w:eastAsia="Times New Roman"/>
          <w:color w:val="FF0000"/>
          <w:kern w:val="0"/>
          <w:sz w:val="24"/>
          <w:szCs w:val="24"/>
          <w:u w:val="single"/>
          <w:lang w:eastAsia="en-GB"/>
        </w:rPr>
        <w:t>Lenses</w:t>
      </w:r>
    </w:p>
    <w:p w14:paraId="6E02F312" w14:textId="77777777" w:rsidR="00A72FB0" w:rsidRPr="00303775"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sidRPr="00303775">
        <w:rPr>
          <w:rFonts w:eastAsia="Times New Roman"/>
          <w:color w:val="FF0000"/>
          <w:kern w:val="0"/>
          <w:sz w:val="24"/>
          <w:szCs w:val="24"/>
          <w:lang w:eastAsia="en-GB"/>
        </w:rPr>
        <w:t xml:space="preserve">Fairness – </w:t>
      </w:r>
      <w:r>
        <w:rPr>
          <w:rFonts w:eastAsia="Times New Roman"/>
          <w:color w:val="FF0000"/>
          <w:kern w:val="0"/>
          <w:sz w:val="24"/>
          <w:szCs w:val="24"/>
          <w:lang w:eastAsia="en-GB"/>
        </w:rPr>
        <w:t>Ensuring decisions are fair and agreed upon by all.</w:t>
      </w:r>
    </w:p>
    <w:p w14:paraId="0233E344" w14:textId="77777777" w:rsidR="00A72FB0" w:rsidRPr="00303775"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sidRPr="00303775">
        <w:rPr>
          <w:rFonts w:eastAsia="Times New Roman"/>
          <w:color w:val="FF0000"/>
          <w:kern w:val="0"/>
          <w:sz w:val="24"/>
          <w:szCs w:val="24"/>
          <w:lang w:eastAsia="en-GB"/>
        </w:rPr>
        <w:t xml:space="preserve">Markets- </w:t>
      </w:r>
      <w:r>
        <w:rPr>
          <w:rFonts w:eastAsia="Times New Roman"/>
          <w:color w:val="FF0000"/>
          <w:kern w:val="0"/>
          <w:sz w:val="24"/>
          <w:szCs w:val="24"/>
          <w:lang w:eastAsia="en-GB"/>
        </w:rPr>
        <w:t>Rewarding hard work and talent.</w:t>
      </w:r>
    </w:p>
    <w:p w14:paraId="1BA26692" w14:textId="77777777" w:rsidR="00A72FB0"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sidRPr="00303775">
        <w:rPr>
          <w:rFonts w:eastAsia="Times New Roman"/>
          <w:color w:val="FF0000"/>
          <w:kern w:val="0"/>
          <w:sz w:val="24"/>
          <w:szCs w:val="24"/>
          <w:lang w:eastAsia="en-GB"/>
        </w:rPr>
        <w:t xml:space="preserve">Democracy – </w:t>
      </w:r>
      <w:r>
        <w:rPr>
          <w:rFonts w:eastAsia="Times New Roman"/>
          <w:color w:val="FF0000"/>
          <w:kern w:val="0"/>
          <w:sz w:val="24"/>
          <w:szCs w:val="24"/>
          <w:lang w:eastAsia="en-GB"/>
        </w:rPr>
        <w:t>Promoting equality in decision making processes.</w:t>
      </w:r>
    </w:p>
    <w:p w14:paraId="4045B1BA" w14:textId="77777777" w:rsidR="00A72FB0"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sidRPr="00303775">
        <w:rPr>
          <w:rFonts w:eastAsia="Times New Roman"/>
          <w:color w:val="FF0000"/>
          <w:kern w:val="0"/>
          <w:sz w:val="24"/>
          <w:szCs w:val="24"/>
          <w:lang w:eastAsia="en-GB"/>
        </w:rPr>
        <w:t xml:space="preserve">Well-being – </w:t>
      </w:r>
      <w:r>
        <w:rPr>
          <w:rFonts w:eastAsia="Times New Roman"/>
          <w:color w:val="FF0000"/>
          <w:kern w:val="0"/>
          <w:sz w:val="24"/>
          <w:szCs w:val="24"/>
          <w:lang w:eastAsia="en-GB"/>
        </w:rPr>
        <w:t>Ensuring policies and practices are beneficial for employee’s well-being.</w:t>
      </w:r>
    </w:p>
    <w:p w14:paraId="4CC01060" w14:textId="77777777" w:rsidR="00A72FB0"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Rights and Duties – Respecting and not violating workers’ rights.</w:t>
      </w:r>
    </w:p>
    <w:p w14:paraId="7F410A9D" w14:textId="77777777" w:rsidR="00A72FB0"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Character – appealing to new potential candidates and current staff.</w:t>
      </w:r>
    </w:p>
    <w:p w14:paraId="7D411DC5" w14:textId="77777777" w:rsidR="00A72FB0" w:rsidRPr="00303775" w:rsidRDefault="00A72FB0" w:rsidP="00A72FB0">
      <w:pPr>
        <w:pStyle w:val="ListParagraph"/>
        <w:numPr>
          <w:ilvl w:val="0"/>
          <w:numId w:val="28"/>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Handing Down – Making ethical decisions.</w:t>
      </w:r>
    </w:p>
    <w:p w14:paraId="46200EC5" w14:textId="77777777" w:rsidR="00A72FB0" w:rsidRDefault="00A72FB0" w:rsidP="00A72FB0">
      <w:pPr>
        <w:spacing w:before="100" w:after="100" w:line="240" w:lineRule="auto"/>
        <w:rPr>
          <w:rFonts w:eastAsia="Times New Roman"/>
          <w:color w:val="FF0000"/>
          <w:kern w:val="0"/>
          <w:sz w:val="24"/>
          <w:szCs w:val="24"/>
          <w:lang w:eastAsia="en-GB"/>
        </w:rPr>
      </w:pPr>
    </w:p>
    <w:p w14:paraId="56E36D50"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 xml:space="preserve">Based on the </w:t>
      </w:r>
      <w:r w:rsidRPr="00303775">
        <w:rPr>
          <w:rFonts w:eastAsia="Times New Roman"/>
          <w:color w:val="FF0000"/>
          <w:kern w:val="0"/>
          <w:sz w:val="24"/>
          <w:szCs w:val="24"/>
          <w:lang w:eastAsia="en-GB"/>
        </w:rPr>
        <w:t>Summary of Eight Ethical Lenses (CIPD, 2015)</w:t>
      </w:r>
      <w:r>
        <w:rPr>
          <w:rFonts w:eastAsia="Times New Roman"/>
          <w:color w:val="FF0000"/>
          <w:kern w:val="0"/>
          <w:sz w:val="24"/>
          <w:szCs w:val="24"/>
          <w:lang w:eastAsia="en-GB"/>
        </w:rPr>
        <w:t xml:space="preserve"> Utilitarianism promotes choices that would benefit the workforce leading to a happy majority and a productive organisation.</w:t>
      </w:r>
    </w:p>
    <w:p w14:paraId="6DE5766B" w14:textId="77777777" w:rsidR="00A72FB0" w:rsidRDefault="00A72FB0" w:rsidP="00A72FB0">
      <w:pPr>
        <w:spacing w:before="100" w:after="100" w:line="240" w:lineRule="auto"/>
        <w:rPr>
          <w:rFonts w:eastAsia="Times New Roman"/>
          <w:color w:val="FF0000"/>
          <w:kern w:val="0"/>
          <w:sz w:val="24"/>
          <w:szCs w:val="24"/>
          <w:lang w:eastAsia="en-GB"/>
        </w:rPr>
      </w:pPr>
    </w:p>
    <w:p w14:paraId="16FCD757" w14:textId="77777777" w:rsidR="00A72FB0" w:rsidRDefault="00A72FB0" w:rsidP="00A72FB0">
      <w:pPr>
        <w:spacing w:before="100" w:after="100" w:line="240" w:lineRule="auto"/>
        <w:rPr>
          <w:rFonts w:eastAsia="Times New Roman"/>
          <w:color w:val="FF0000"/>
          <w:kern w:val="0"/>
          <w:sz w:val="24"/>
          <w:szCs w:val="24"/>
          <w:lang w:eastAsia="en-GB"/>
        </w:rPr>
      </w:pPr>
      <w:r w:rsidRPr="00303775">
        <w:rPr>
          <w:rFonts w:eastAsia="Times New Roman"/>
          <w:b/>
          <w:bCs/>
          <w:color w:val="FF0000"/>
          <w:kern w:val="0"/>
          <w:sz w:val="24"/>
          <w:szCs w:val="24"/>
          <w:u w:val="single"/>
          <w:lang w:eastAsia="en-GB"/>
        </w:rPr>
        <w:t>Deontological Theory</w:t>
      </w:r>
      <w:r>
        <w:rPr>
          <w:rFonts w:eastAsia="Times New Roman"/>
          <w:color w:val="FF0000"/>
          <w:kern w:val="0"/>
          <w:sz w:val="24"/>
          <w:szCs w:val="24"/>
          <w:lang w:eastAsia="en-GB"/>
        </w:rPr>
        <w:t xml:space="preserve"> founded by Immanuel Kant and based on CIPD’S character lens – that each of us should work to develop the best ethical character for our roles. It promotes courage, honesty, and loyalty. It focuses on rules, duties, and obligations. In HR, this theory involves decision making based on ethical principles and company policies.</w:t>
      </w:r>
    </w:p>
    <w:p w14:paraId="7CDDF0CE"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Deontological theory ensures fair and equal treatment for all employees and is non-discriminative and follows a strict ethical recruitment practice with policies in place, upholding a strong code of conduct and applied fairly to all employees. This ensures fairness and equality and builds trusting relationships. On the other hand, they can be rigid and not flexible and may not always lead to overall happiness or efficiency within the team.</w:t>
      </w:r>
    </w:p>
    <w:p w14:paraId="696C049F" w14:textId="77777777" w:rsidR="00A72FB0" w:rsidRDefault="00A72FB0" w:rsidP="00A72FB0">
      <w:pPr>
        <w:spacing w:before="100" w:after="100" w:line="240" w:lineRule="auto"/>
        <w:rPr>
          <w:rFonts w:eastAsia="Times New Roman"/>
          <w:color w:val="FF0000"/>
          <w:kern w:val="0"/>
          <w:sz w:val="24"/>
          <w:szCs w:val="24"/>
          <w:lang w:eastAsia="en-GB"/>
        </w:rPr>
      </w:pPr>
    </w:p>
    <w:p w14:paraId="6FFA3647" w14:textId="77777777" w:rsidR="00A72FB0" w:rsidRPr="00F72B1E" w:rsidRDefault="00A72FB0" w:rsidP="00A72FB0">
      <w:pPr>
        <w:spacing w:before="100" w:after="100" w:line="240" w:lineRule="auto"/>
        <w:rPr>
          <w:rFonts w:eastAsia="Times New Roman"/>
          <w:color w:val="FF0000"/>
          <w:kern w:val="0"/>
          <w:sz w:val="24"/>
          <w:szCs w:val="24"/>
          <w:u w:val="single"/>
          <w:lang w:eastAsia="en-GB"/>
        </w:rPr>
      </w:pPr>
      <w:r w:rsidRPr="00F72B1E">
        <w:rPr>
          <w:rFonts w:eastAsia="Times New Roman"/>
          <w:color w:val="FF0000"/>
          <w:kern w:val="0"/>
          <w:sz w:val="24"/>
          <w:szCs w:val="24"/>
          <w:u w:val="single"/>
          <w:lang w:eastAsia="en-GB"/>
        </w:rPr>
        <w:t>Eight Ethical Lenses</w:t>
      </w:r>
    </w:p>
    <w:p w14:paraId="6D013EEC"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sidRPr="000957D4">
        <w:rPr>
          <w:rFonts w:eastAsia="Times New Roman"/>
          <w:color w:val="FF0000"/>
          <w:kern w:val="0"/>
          <w:sz w:val="24"/>
          <w:szCs w:val="24"/>
          <w:lang w:eastAsia="en-GB"/>
        </w:rPr>
        <w:t>Fairness</w:t>
      </w:r>
      <w:r>
        <w:rPr>
          <w:rFonts w:eastAsia="Times New Roman"/>
          <w:color w:val="FF0000"/>
          <w:kern w:val="0"/>
          <w:sz w:val="24"/>
          <w:szCs w:val="24"/>
          <w:lang w:eastAsia="en-GB"/>
        </w:rPr>
        <w:t xml:space="preserve"> – Ensuring all decisions are fair.</w:t>
      </w:r>
    </w:p>
    <w:p w14:paraId="63D7CAC2"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Merit – Rewarding based on hard work and talent.</w:t>
      </w:r>
    </w:p>
    <w:p w14:paraId="688A6B63"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Markets – Ensuring salaries are in line with market standards.</w:t>
      </w:r>
    </w:p>
    <w:p w14:paraId="214698EC"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Democracy – Promoting equality in policies.</w:t>
      </w:r>
    </w:p>
    <w:p w14:paraId="2C65550D"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Well-being – Ensuring Policies support employee well-being.</w:t>
      </w:r>
    </w:p>
    <w:p w14:paraId="467C99DB"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lastRenderedPageBreak/>
        <w:t xml:space="preserve">Rights and Duties – Adhering to workers’ rights and responsibilities. </w:t>
      </w:r>
    </w:p>
    <w:p w14:paraId="352740FF"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Character – Making decisions based on ethical standards.</w:t>
      </w:r>
    </w:p>
    <w:p w14:paraId="3DF559B1" w14:textId="77777777" w:rsidR="00A72FB0" w:rsidRDefault="00A72FB0" w:rsidP="00A72FB0">
      <w:pPr>
        <w:pStyle w:val="ListParagraph"/>
        <w:numPr>
          <w:ilvl w:val="0"/>
          <w:numId w:val="29"/>
        </w:numPr>
        <w:spacing w:before="100" w:after="100" w:line="240" w:lineRule="auto"/>
        <w:rPr>
          <w:rFonts w:eastAsia="Times New Roman"/>
          <w:color w:val="FF0000"/>
          <w:kern w:val="0"/>
          <w:sz w:val="24"/>
          <w:szCs w:val="24"/>
          <w:lang w:eastAsia="en-GB"/>
        </w:rPr>
      </w:pPr>
      <w:r w:rsidRPr="001337C6">
        <w:rPr>
          <w:rFonts w:eastAsia="Times New Roman"/>
          <w:color w:val="FF0000"/>
          <w:kern w:val="0"/>
          <w:sz w:val="24"/>
          <w:szCs w:val="24"/>
          <w:lang w:eastAsia="en-GB"/>
        </w:rPr>
        <w:t xml:space="preserve">Handing Down </w:t>
      </w:r>
      <w:r>
        <w:rPr>
          <w:rFonts w:eastAsia="Times New Roman"/>
          <w:color w:val="FF0000"/>
          <w:kern w:val="0"/>
          <w:sz w:val="24"/>
          <w:szCs w:val="24"/>
          <w:lang w:eastAsia="en-GB"/>
        </w:rPr>
        <w:t>– Providing clear and correct information.</w:t>
      </w:r>
    </w:p>
    <w:p w14:paraId="087EBA17"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 xml:space="preserve">Based on the </w:t>
      </w:r>
      <w:r w:rsidRPr="00303775">
        <w:rPr>
          <w:rFonts w:eastAsia="Times New Roman"/>
          <w:color w:val="FF0000"/>
          <w:kern w:val="0"/>
          <w:sz w:val="24"/>
          <w:szCs w:val="24"/>
          <w:lang w:eastAsia="en-GB"/>
        </w:rPr>
        <w:t>Summary of Eight Ethical Lenses (CIPD, 2015)</w:t>
      </w:r>
      <w:r>
        <w:rPr>
          <w:rFonts w:eastAsia="Times New Roman"/>
          <w:color w:val="FF0000"/>
          <w:kern w:val="0"/>
          <w:sz w:val="24"/>
          <w:szCs w:val="24"/>
          <w:lang w:eastAsia="en-GB"/>
        </w:rPr>
        <w:t xml:space="preserve"> Deontology promotes a clear set of rules and guidelines, and encourages a positive workforce leading to a happy majority and a productive organisation</w:t>
      </w:r>
    </w:p>
    <w:p w14:paraId="00B5AF38" w14:textId="77777777" w:rsidR="00A72FB0" w:rsidRDefault="00A72FB0" w:rsidP="00A72FB0">
      <w:pPr>
        <w:spacing w:before="100" w:after="100" w:line="240" w:lineRule="auto"/>
        <w:rPr>
          <w:rFonts w:eastAsia="Times New Roman"/>
          <w:color w:val="FF0000"/>
          <w:kern w:val="0"/>
          <w:sz w:val="24"/>
          <w:szCs w:val="24"/>
          <w:lang w:eastAsia="en-GB"/>
        </w:rPr>
      </w:pPr>
    </w:p>
    <w:p w14:paraId="550FA6EC" w14:textId="77777777" w:rsidR="00A72FB0" w:rsidRDefault="00A72FB0" w:rsidP="00A72FB0">
      <w:pPr>
        <w:spacing w:before="100" w:after="100" w:line="240" w:lineRule="auto"/>
        <w:rPr>
          <w:rFonts w:eastAsia="Times New Roman"/>
          <w:color w:val="FF0000"/>
          <w:kern w:val="0"/>
          <w:sz w:val="24"/>
          <w:szCs w:val="24"/>
          <w:lang w:eastAsia="en-GB"/>
        </w:rPr>
      </w:pPr>
      <w:r w:rsidRPr="001337C6">
        <w:rPr>
          <w:rFonts w:eastAsia="Times New Roman"/>
          <w:b/>
          <w:bCs/>
          <w:color w:val="FF0000"/>
          <w:kern w:val="0"/>
          <w:sz w:val="24"/>
          <w:szCs w:val="24"/>
          <w:u w:val="single"/>
          <w:lang w:eastAsia="en-GB"/>
        </w:rPr>
        <w:t>Equality Theory</w:t>
      </w:r>
      <w:r>
        <w:rPr>
          <w:rFonts w:eastAsia="Times New Roman"/>
          <w:color w:val="FF0000"/>
          <w:kern w:val="0"/>
          <w:sz w:val="24"/>
          <w:szCs w:val="24"/>
          <w:lang w:eastAsia="en-GB"/>
        </w:rPr>
        <w:t xml:space="preserve"> promotes fair and equitable treatment of all employees, ensuring equal opportunities and resources for success. To apply this theory to HR practices, an organisation must ensure fair pay and equal access to benefits for all employees. They must also provide a clear development plan, encourage diversity in leadership, and develop policies that provide and inclusive culture with training on unconscious bias. By promoting equality and diversity, ensures a fair and just work environment which improves employee morale and reduces turnover. However, true equality can be challenging to achieve which may lead to conflicts if seen as providing preferential treatment.</w:t>
      </w:r>
    </w:p>
    <w:p w14:paraId="548392B0" w14:textId="77777777" w:rsidR="00A72FB0" w:rsidRDefault="00A72FB0" w:rsidP="00A72FB0">
      <w:pPr>
        <w:spacing w:before="100" w:after="100" w:line="240" w:lineRule="auto"/>
        <w:rPr>
          <w:rFonts w:eastAsia="Times New Roman"/>
          <w:color w:val="FF0000"/>
          <w:kern w:val="0"/>
          <w:sz w:val="24"/>
          <w:szCs w:val="24"/>
          <w:lang w:eastAsia="en-GB"/>
        </w:rPr>
      </w:pPr>
      <w:r w:rsidRPr="00F72B1E">
        <w:rPr>
          <w:rFonts w:eastAsia="Times New Roman"/>
          <w:color w:val="FF0000"/>
          <w:kern w:val="0"/>
          <w:sz w:val="24"/>
          <w:szCs w:val="24"/>
          <w:u w:val="single"/>
          <w:lang w:eastAsia="en-GB"/>
        </w:rPr>
        <w:t>Eight Ethical Lenses</w:t>
      </w:r>
    </w:p>
    <w:p w14:paraId="569F3EE8"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Fairness – Ensuring fair and equitable treatment.</w:t>
      </w:r>
    </w:p>
    <w:p w14:paraId="363D235F"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Merit – Rewarding hard work and talent fairly.</w:t>
      </w:r>
    </w:p>
    <w:p w14:paraId="6282CC3A"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Markey – Setting salaries based on market standards.</w:t>
      </w:r>
    </w:p>
    <w:p w14:paraId="4EE1A94E"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Democracy – Ensuring equal participation in decision-making.</w:t>
      </w:r>
    </w:p>
    <w:p w14:paraId="4229062E"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Well-Being – Promoting policies that enhance well-being.</w:t>
      </w:r>
    </w:p>
    <w:p w14:paraId="3ADEDB51"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Rights &amp; Duties – Ensuring workers’ rights are protected.</w:t>
      </w:r>
    </w:p>
    <w:p w14:paraId="12908CA4"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Character – Upholding ethical decision-making.</w:t>
      </w:r>
    </w:p>
    <w:p w14:paraId="4E703DBA" w14:textId="77777777" w:rsidR="00A72FB0" w:rsidRDefault="00A72FB0" w:rsidP="00A72FB0">
      <w:pPr>
        <w:pStyle w:val="ListParagraph"/>
        <w:numPr>
          <w:ilvl w:val="0"/>
          <w:numId w:val="30"/>
        </w:num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Handing Down – Providing accurate and transparent information</w:t>
      </w:r>
    </w:p>
    <w:p w14:paraId="42FCF3B8"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Based on the eight ethical lenses (CIPD, 2015) The Ethical Theory promotes fairness and equality to encourage a more inclusive culture.</w:t>
      </w:r>
    </w:p>
    <w:p w14:paraId="7D1EA9F0" w14:textId="77777777" w:rsidR="00A72FB0" w:rsidRPr="00F72B1E" w:rsidRDefault="00A72FB0" w:rsidP="00A72FB0">
      <w:pPr>
        <w:spacing w:before="100" w:after="100" w:line="240" w:lineRule="auto"/>
        <w:rPr>
          <w:rFonts w:eastAsia="Times New Roman"/>
          <w:color w:val="FF0000"/>
          <w:kern w:val="0"/>
          <w:sz w:val="24"/>
          <w:szCs w:val="24"/>
          <w:lang w:eastAsia="en-GB"/>
        </w:rPr>
      </w:pPr>
    </w:p>
    <w:p w14:paraId="1C6A6310" w14:textId="77777777" w:rsidR="00A72FB0" w:rsidRDefault="00A72FB0" w:rsidP="00A72FB0">
      <w:pPr>
        <w:spacing w:before="100" w:after="100" w:line="240" w:lineRule="auto"/>
        <w:rPr>
          <w:rFonts w:eastAsia="Times New Roman"/>
          <w:color w:val="FF0000"/>
          <w:kern w:val="0"/>
          <w:sz w:val="24"/>
          <w:szCs w:val="24"/>
          <w:lang w:eastAsia="en-GB"/>
        </w:rPr>
      </w:pPr>
      <w:r>
        <w:rPr>
          <w:rFonts w:eastAsia="Times New Roman"/>
          <w:color w:val="FF0000"/>
          <w:kern w:val="0"/>
          <w:sz w:val="24"/>
          <w:szCs w:val="24"/>
          <w:lang w:eastAsia="en-GB"/>
        </w:rPr>
        <w:t>Each ethical theory provides unique perspectives and guidelines for HR practices:</w:t>
      </w:r>
    </w:p>
    <w:p w14:paraId="38670E7E" w14:textId="77777777" w:rsidR="00A72FB0" w:rsidRDefault="00A72FB0" w:rsidP="00A72FB0">
      <w:pPr>
        <w:spacing w:before="100" w:after="100" w:line="240" w:lineRule="auto"/>
        <w:rPr>
          <w:rFonts w:eastAsia="Times New Roman"/>
          <w:color w:val="FF0000"/>
          <w:kern w:val="0"/>
          <w:sz w:val="24"/>
          <w:szCs w:val="24"/>
          <w:lang w:eastAsia="en-GB"/>
        </w:rPr>
      </w:pPr>
    </w:p>
    <w:p w14:paraId="64A3BBA8" w14:textId="77777777" w:rsidR="00A72FB0" w:rsidRDefault="00A72FB0" w:rsidP="00A72FB0">
      <w:pPr>
        <w:pStyle w:val="ListParagraph"/>
        <w:numPr>
          <w:ilvl w:val="2"/>
          <w:numId w:val="4"/>
        </w:numPr>
        <w:spacing w:before="100" w:after="100" w:line="240" w:lineRule="auto"/>
        <w:rPr>
          <w:rFonts w:eastAsia="Times New Roman"/>
          <w:color w:val="FF0000"/>
          <w:kern w:val="0"/>
          <w:sz w:val="24"/>
          <w:szCs w:val="24"/>
          <w:lang w:eastAsia="en-GB"/>
        </w:rPr>
      </w:pPr>
      <w:r w:rsidRPr="00F72B1E">
        <w:rPr>
          <w:rFonts w:eastAsia="Times New Roman"/>
          <w:b/>
          <w:bCs/>
          <w:color w:val="FF0000"/>
          <w:kern w:val="0"/>
          <w:sz w:val="24"/>
          <w:szCs w:val="24"/>
          <w:lang w:eastAsia="en-GB"/>
        </w:rPr>
        <w:t>Utilitarianism</w:t>
      </w:r>
      <w:r>
        <w:rPr>
          <w:rFonts w:eastAsia="Times New Roman"/>
          <w:color w:val="FF0000"/>
          <w:kern w:val="0"/>
          <w:sz w:val="24"/>
          <w:szCs w:val="24"/>
          <w:lang w:eastAsia="en-GB"/>
        </w:rPr>
        <w:t xml:space="preserve"> – Focuses on maximising overall happiness and utility, making decisions that benefit the majority.</w:t>
      </w:r>
    </w:p>
    <w:p w14:paraId="78630B99" w14:textId="77777777" w:rsidR="00A72FB0" w:rsidRDefault="00A72FB0" w:rsidP="00A72FB0">
      <w:pPr>
        <w:pStyle w:val="ListParagraph"/>
        <w:spacing w:before="100" w:after="100" w:line="240" w:lineRule="auto"/>
        <w:ind w:left="2160"/>
        <w:rPr>
          <w:rFonts w:eastAsia="Times New Roman"/>
          <w:color w:val="FF0000"/>
          <w:kern w:val="0"/>
          <w:sz w:val="24"/>
          <w:szCs w:val="24"/>
          <w:lang w:eastAsia="en-GB"/>
        </w:rPr>
      </w:pPr>
    </w:p>
    <w:p w14:paraId="0AC0D82F" w14:textId="77777777" w:rsidR="00A72FB0" w:rsidRDefault="00A72FB0" w:rsidP="00A72FB0">
      <w:pPr>
        <w:pStyle w:val="ListParagraph"/>
        <w:numPr>
          <w:ilvl w:val="2"/>
          <w:numId w:val="4"/>
        </w:numPr>
        <w:spacing w:before="100" w:after="100" w:line="240" w:lineRule="auto"/>
        <w:rPr>
          <w:rFonts w:eastAsia="Times New Roman"/>
          <w:color w:val="FF0000"/>
          <w:kern w:val="0"/>
          <w:sz w:val="24"/>
          <w:szCs w:val="24"/>
          <w:lang w:eastAsia="en-GB"/>
        </w:rPr>
      </w:pPr>
      <w:r w:rsidRPr="00F72B1E">
        <w:rPr>
          <w:rFonts w:eastAsia="Times New Roman"/>
          <w:b/>
          <w:bCs/>
          <w:color w:val="FF0000"/>
          <w:kern w:val="0"/>
          <w:sz w:val="24"/>
          <w:szCs w:val="24"/>
          <w:lang w:eastAsia="en-GB"/>
        </w:rPr>
        <w:t>Deontological Theory</w:t>
      </w:r>
      <w:r>
        <w:rPr>
          <w:rFonts w:eastAsia="Times New Roman"/>
          <w:color w:val="FF0000"/>
          <w:kern w:val="0"/>
          <w:sz w:val="24"/>
          <w:szCs w:val="24"/>
          <w:lang w:eastAsia="en-GB"/>
        </w:rPr>
        <w:t xml:space="preserve"> – Emphasises following rules, policies, and consistency to ethical principles.</w:t>
      </w:r>
    </w:p>
    <w:p w14:paraId="23323042" w14:textId="77777777" w:rsidR="00A72FB0" w:rsidRPr="00F72B1E" w:rsidRDefault="00A72FB0" w:rsidP="00A72FB0">
      <w:pPr>
        <w:pStyle w:val="ListParagraph"/>
        <w:rPr>
          <w:rFonts w:eastAsia="Times New Roman"/>
          <w:color w:val="FF0000"/>
          <w:kern w:val="0"/>
          <w:sz w:val="24"/>
          <w:szCs w:val="24"/>
          <w:lang w:eastAsia="en-GB"/>
        </w:rPr>
      </w:pPr>
    </w:p>
    <w:p w14:paraId="57721BC2" w14:textId="77777777" w:rsidR="00A72FB0" w:rsidRDefault="00A72FB0" w:rsidP="00A72FB0">
      <w:pPr>
        <w:pStyle w:val="ListParagraph"/>
        <w:spacing w:before="100" w:after="100" w:line="240" w:lineRule="auto"/>
        <w:ind w:left="2160"/>
        <w:rPr>
          <w:rFonts w:eastAsia="Times New Roman"/>
          <w:color w:val="FF0000"/>
          <w:kern w:val="0"/>
          <w:sz w:val="24"/>
          <w:szCs w:val="24"/>
          <w:lang w:eastAsia="en-GB"/>
        </w:rPr>
      </w:pPr>
    </w:p>
    <w:p w14:paraId="4F9FBBC4" w14:textId="77777777" w:rsidR="00A72FB0" w:rsidRDefault="00A72FB0" w:rsidP="00A72FB0">
      <w:pPr>
        <w:pStyle w:val="ListParagraph"/>
        <w:numPr>
          <w:ilvl w:val="2"/>
          <w:numId w:val="4"/>
        </w:numPr>
        <w:spacing w:before="100" w:after="100" w:line="240" w:lineRule="auto"/>
        <w:rPr>
          <w:rFonts w:eastAsia="Times New Roman"/>
          <w:color w:val="FF0000"/>
          <w:kern w:val="0"/>
          <w:sz w:val="24"/>
          <w:szCs w:val="24"/>
          <w:lang w:eastAsia="en-GB"/>
        </w:rPr>
      </w:pPr>
      <w:r w:rsidRPr="00F72B1E">
        <w:rPr>
          <w:rFonts w:eastAsia="Times New Roman"/>
          <w:b/>
          <w:bCs/>
          <w:color w:val="FF0000"/>
          <w:kern w:val="0"/>
          <w:sz w:val="24"/>
          <w:szCs w:val="24"/>
          <w:lang w:eastAsia="en-GB"/>
        </w:rPr>
        <w:lastRenderedPageBreak/>
        <w:t>Equality Theory</w:t>
      </w:r>
      <w:r>
        <w:rPr>
          <w:rFonts w:eastAsia="Times New Roman"/>
          <w:color w:val="FF0000"/>
          <w:kern w:val="0"/>
          <w:sz w:val="24"/>
          <w:szCs w:val="24"/>
          <w:lang w:eastAsia="en-GB"/>
        </w:rPr>
        <w:t xml:space="preserve"> – Ensures fair and equitable treatment for all employees promoting equal opportunities and an inclusive culture.</w:t>
      </w:r>
    </w:p>
    <w:p w14:paraId="3DF32352" w14:textId="77777777" w:rsidR="00A72FB0" w:rsidRDefault="00A72FB0" w:rsidP="00A72FB0">
      <w:pPr>
        <w:pStyle w:val="ListParagraph"/>
        <w:spacing w:before="100" w:after="100" w:line="240" w:lineRule="auto"/>
        <w:ind w:left="1440"/>
        <w:rPr>
          <w:rFonts w:eastAsia="Times New Roman"/>
          <w:color w:val="FF0000"/>
          <w:kern w:val="0"/>
          <w:sz w:val="24"/>
          <w:szCs w:val="24"/>
          <w:lang w:eastAsia="en-GB"/>
        </w:rPr>
      </w:pPr>
    </w:p>
    <w:p w14:paraId="339EE7D1" w14:textId="77777777" w:rsidR="00A72FB0" w:rsidRPr="00F72B1E" w:rsidRDefault="00A72FB0" w:rsidP="00A72FB0">
      <w:pPr>
        <w:pStyle w:val="ListParagraph"/>
        <w:spacing w:before="100" w:after="100" w:line="240" w:lineRule="auto"/>
        <w:ind w:left="1440"/>
        <w:rPr>
          <w:rFonts w:eastAsia="Times New Roman"/>
          <w:color w:val="FF0000"/>
          <w:kern w:val="0"/>
          <w:sz w:val="24"/>
          <w:szCs w:val="24"/>
          <w:lang w:eastAsia="en-GB"/>
        </w:rPr>
      </w:pPr>
      <w:r>
        <w:rPr>
          <w:rFonts w:eastAsia="Times New Roman"/>
          <w:color w:val="FF0000"/>
          <w:kern w:val="0"/>
          <w:sz w:val="24"/>
          <w:szCs w:val="24"/>
          <w:lang w:eastAsia="en-GB"/>
        </w:rPr>
        <w:t>By integrating these theories into HR practices, organisations can navigate ethical problems and create a more inclusive and productive work environment.</w:t>
      </w:r>
    </w:p>
    <w:p w14:paraId="3C0DF891" w14:textId="66A9A0B1" w:rsidR="00F72B1E" w:rsidRPr="00F72B1E" w:rsidRDefault="00F72B1E" w:rsidP="00F72B1E">
      <w:pPr>
        <w:pStyle w:val="ListParagraph"/>
        <w:spacing w:before="100" w:after="100" w:line="240" w:lineRule="auto"/>
        <w:ind w:left="1440"/>
        <w:rPr>
          <w:rFonts w:eastAsia="Times New Roman"/>
          <w:color w:val="FF0000"/>
          <w:kern w:val="0"/>
          <w:sz w:val="24"/>
          <w:szCs w:val="24"/>
          <w:lang w:eastAsia="en-GB"/>
        </w:rPr>
      </w:pPr>
      <w:r>
        <w:rPr>
          <w:rFonts w:eastAsia="Times New Roman"/>
          <w:color w:val="FF0000"/>
          <w:kern w:val="0"/>
          <w:sz w:val="24"/>
          <w:szCs w:val="24"/>
          <w:lang w:eastAsia="en-GB"/>
        </w:rPr>
        <w:t>.</w:t>
      </w:r>
    </w:p>
    <w:p w14:paraId="60ED3B26" w14:textId="77777777" w:rsidR="00303775" w:rsidRDefault="00303775" w:rsidP="00303775">
      <w:pPr>
        <w:spacing w:before="100" w:after="100" w:line="240" w:lineRule="auto"/>
        <w:rPr>
          <w:rFonts w:eastAsia="Times New Roman"/>
          <w:color w:val="FF0000"/>
          <w:kern w:val="0"/>
          <w:sz w:val="24"/>
          <w:szCs w:val="24"/>
          <w:lang w:eastAsia="en-GB"/>
        </w:rPr>
      </w:pPr>
    </w:p>
    <w:p w14:paraId="75229FF0" w14:textId="77777777" w:rsidR="00303775" w:rsidRPr="00303775" w:rsidRDefault="00303775" w:rsidP="00303775">
      <w:pPr>
        <w:spacing w:before="100" w:after="100" w:line="240" w:lineRule="auto"/>
        <w:rPr>
          <w:rFonts w:eastAsia="Times New Roman"/>
          <w:color w:val="FF0000"/>
          <w:kern w:val="0"/>
          <w:sz w:val="24"/>
          <w:szCs w:val="24"/>
          <w:lang w:eastAsia="en-GB"/>
        </w:rPr>
      </w:pPr>
    </w:p>
    <w:p w14:paraId="6DFB0EF9" w14:textId="77777777" w:rsidR="00303775" w:rsidRDefault="00303775" w:rsidP="00303775">
      <w:pPr>
        <w:spacing w:before="100" w:after="100" w:line="240" w:lineRule="auto"/>
        <w:rPr>
          <w:rFonts w:eastAsia="Times New Roman"/>
          <w:color w:val="FF0000"/>
          <w:kern w:val="0"/>
          <w:sz w:val="24"/>
          <w:szCs w:val="24"/>
          <w:lang w:eastAsia="en-GB"/>
        </w:rPr>
      </w:pPr>
    </w:p>
    <w:p w14:paraId="7849F856" w14:textId="77777777" w:rsidR="00303775" w:rsidRPr="00303775" w:rsidRDefault="00303775" w:rsidP="00303775">
      <w:pPr>
        <w:spacing w:before="100" w:after="100" w:line="240" w:lineRule="auto"/>
        <w:rPr>
          <w:rFonts w:eastAsia="Times New Roman"/>
          <w:color w:val="FF0000"/>
          <w:kern w:val="0"/>
          <w:sz w:val="24"/>
          <w:szCs w:val="24"/>
          <w:lang w:eastAsia="en-GB"/>
        </w:rPr>
      </w:pPr>
    </w:p>
    <w:p w14:paraId="49DC26EB" w14:textId="77777777" w:rsidR="009B6B1C" w:rsidRPr="00FB75CA" w:rsidRDefault="00F51A9B">
      <w:pPr>
        <w:spacing w:before="100" w:after="100" w:line="240" w:lineRule="auto"/>
        <w:rPr>
          <w:rFonts w:eastAsia="Times New Roman"/>
          <w:strike/>
          <w:kern w:val="0"/>
          <w:sz w:val="24"/>
          <w:szCs w:val="24"/>
          <w:lang w:eastAsia="en-GB"/>
        </w:rPr>
      </w:pPr>
      <w:proofErr w:type="gramStart"/>
      <w:r w:rsidRPr="00FB75CA">
        <w:rPr>
          <w:rFonts w:eastAsia="Times New Roman"/>
          <w:strike/>
          <w:kern w:val="0"/>
          <w:sz w:val="24"/>
          <w:szCs w:val="24"/>
          <w:lang w:eastAsia="en-GB"/>
        </w:rPr>
        <w:t>T</w:t>
      </w:r>
      <w:r w:rsidRPr="00FB75CA">
        <w:rPr>
          <w:rFonts w:eastAsia="Times New Roman"/>
          <w:strike/>
          <w:kern w:val="0"/>
          <w:sz w:val="24"/>
          <w:szCs w:val="24"/>
          <w:lang w:eastAsia="en-GB"/>
        </w:rPr>
        <w:t>he Taylorism theory was designed by Frederick Winslow Taylor</w:t>
      </w:r>
      <w:proofErr w:type="gramEnd"/>
      <w:r w:rsidRPr="00FB75CA">
        <w:rPr>
          <w:rFonts w:eastAsia="Times New Roman"/>
          <w:strike/>
          <w:kern w:val="0"/>
          <w:sz w:val="24"/>
          <w:szCs w:val="24"/>
          <w:lang w:eastAsia="en-GB"/>
        </w:rPr>
        <w:t xml:space="preserve"> in the early part of the 20th century, according to Winslow Taylor, Taylorism helps to improve economic efficiency and labour productivity. </w:t>
      </w:r>
    </w:p>
    <w:p w14:paraId="49DC26EC"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Its key concept is to standardising work processes by breaking tasks down into smaller and more manageable steps to find the most effective way to complete them. </w:t>
      </w:r>
    </w:p>
    <w:p w14:paraId="49DC26ED"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Secondly, by hiring the best people for the job based on their skills and ability and to enhance their performance by providing excellent quality training. </w:t>
      </w:r>
    </w:p>
    <w:p w14:paraId="49DC26EE"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Next, is the management-worker separation. </w:t>
      </w:r>
    </w:p>
    <w:p w14:paraId="49DC26EF"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This theory is based on managers planning and organising task, while workers execute the task under supervision. This creates financial incentives to motivate higher productivity. </w:t>
      </w:r>
    </w:p>
    <w:p w14:paraId="49DC26F0"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 </w:t>
      </w:r>
    </w:p>
    <w:p w14:paraId="49DC26F1" w14:textId="77777777" w:rsidR="009B6B1C" w:rsidRPr="00FB75CA" w:rsidRDefault="009B6B1C">
      <w:pPr>
        <w:spacing w:before="100" w:after="100" w:line="240" w:lineRule="auto"/>
        <w:rPr>
          <w:rFonts w:eastAsia="Times New Roman"/>
          <w:strike/>
          <w:kern w:val="0"/>
          <w:sz w:val="24"/>
          <w:szCs w:val="24"/>
          <w:lang w:eastAsia="en-GB"/>
        </w:rPr>
      </w:pPr>
    </w:p>
    <w:p w14:paraId="49DC26F2" w14:textId="77777777" w:rsidR="009B6B1C" w:rsidRPr="00FB75CA" w:rsidRDefault="00F51A9B">
      <w:pPr>
        <w:spacing w:before="100" w:after="100" w:line="240" w:lineRule="auto"/>
        <w:rPr>
          <w:strike/>
        </w:rPr>
      </w:pPr>
      <w:r w:rsidRPr="00FB75CA">
        <w:rPr>
          <w:rFonts w:eastAsia="Times New Roman"/>
          <w:b/>
          <w:bCs/>
          <w:strike/>
          <w:kern w:val="0"/>
          <w:sz w:val="24"/>
          <w:szCs w:val="24"/>
          <w:lang w:eastAsia="en-GB"/>
        </w:rPr>
        <w:t>Advantages and Disadvantages to this theory, they are:</w:t>
      </w:r>
    </w:p>
    <w:p w14:paraId="49DC26F3" w14:textId="77777777" w:rsidR="009B6B1C" w:rsidRPr="00FB75CA" w:rsidRDefault="00F51A9B">
      <w:pPr>
        <w:numPr>
          <w:ilvl w:val="0"/>
          <w:numId w:val="6"/>
        </w:numPr>
        <w:spacing w:before="100" w:after="100" w:line="240" w:lineRule="auto"/>
        <w:rPr>
          <w:strike/>
        </w:rPr>
      </w:pPr>
      <w:r w:rsidRPr="00FB75CA">
        <w:rPr>
          <w:rFonts w:eastAsia="Times New Roman"/>
          <w:b/>
          <w:bCs/>
          <w:strike/>
          <w:kern w:val="0"/>
          <w:sz w:val="24"/>
          <w:szCs w:val="24"/>
          <w:lang w:eastAsia="en-GB"/>
        </w:rPr>
        <w:t>Advantages:</w:t>
      </w:r>
      <w:r w:rsidRPr="00FB75CA">
        <w:rPr>
          <w:rFonts w:eastAsia="Times New Roman"/>
          <w:strike/>
          <w:kern w:val="0"/>
          <w:sz w:val="24"/>
          <w:szCs w:val="24"/>
          <w:lang w:eastAsia="en-GB"/>
        </w:rPr>
        <w:t xml:space="preserve"> Increased efficiency, predictability, and control over work processes.</w:t>
      </w:r>
    </w:p>
    <w:p w14:paraId="49DC26F4" w14:textId="77777777" w:rsidR="009B6B1C" w:rsidRPr="00FB75CA" w:rsidRDefault="00F51A9B">
      <w:pPr>
        <w:numPr>
          <w:ilvl w:val="0"/>
          <w:numId w:val="6"/>
        </w:numPr>
        <w:spacing w:before="100" w:after="100" w:line="240" w:lineRule="auto"/>
        <w:rPr>
          <w:strike/>
        </w:rPr>
      </w:pPr>
      <w:r w:rsidRPr="00FB75CA">
        <w:rPr>
          <w:rFonts w:eastAsia="Times New Roman"/>
          <w:b/>
          <w:bCs/>
          <w:strike/>
          <w:kern w:val="0"/>
          <w:sz w:val="24"/>
          <w:szCs w:val="24"/>
          <w:lang w:eastAsia="en-GB"/>
        </w:rPr>
        <w:t>Disadvantages:</w:t>
      </w:r>
      <w:r w:rsidRPr="00FB75CA">
        <w:rPr>
          <w:rFonts w:eastAsia="Times New Roman"/>
          <w:strike/>
          <w:kern w:val="0"/>
          <w:sz w:val="24"/>
          <w:szCs w:val="24"/>
          <w:lang w:eastAsia="en-GB"/>
        </w:rPr>
        <w:t xml:space="preserve"> Dehumanisation of workers, lack of flexibility, high turnover, and absenteeism.</w:t>
      </w:r>
    </w:p>
    <w:p w14:paraId="49DC26F5"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On the other hand, there is Humanism. This theory focuses on the holistic development and well-being of employees. </w:t>
      </w:r>
    </w:p>
    <w:p w14:paraId="49DC26F6"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The key principles involved in Humanism are, firstly, the wellbeing of the employee. Implementing policies such as work-life balance can help employees balance home lives and professional development. Health and safety policies to ensure a safe work environment. </w:t>
      </w:r>
    </w:p>
    <w:p w14:paraId="49DC26F7"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lastRenderedPageBreak/>
        <w:t xml:space="preserve">Secondly, motivation and employee engagement by creating recognition for work which creates engagement and encourages commitment to the organisation. </w:t>
      </w:r>
    </w:p>
    <w:p w14:paraId="49DC26F8"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Next comes a robust training and development program for continuous improvement leading to career progression within the organisation.</w:t>
      </w:r>
    </w:p>
    <w:p w14:paraId="49DC26F9"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 And lastly, employee participation to empower employees to make decisions and feel included with structured feedback and open communication. </w:t>
      </w:r>
    </w:p>
    <w:p w14:paraId="49DC26FA"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Again, there are Advantages and Disadvantages to the humanist approach:</w:t>
      </w:r>
    </w:p>
    <w:p w14:paraId="49DC26FB" w14:textId="77777777" w:rsidR="009B6B1C" w:rsidRPr="00FB75CA" w:rsidRDefault="00F51A9B">
      <w:pPr>
        <w:numPr>
          <w:ilvl w:val="0"/>
          <w:numId w:val="7"/>
        </w:numPr>
        <w:spacing w:before="100" w:after="100" w:line="240" w:lineRule="auto"/>
        <w:rPr>
          <w:strike/>
        </w:rPr>
      </w:pPr>
      <w:r w:rsidRPr="00FB75CA">
        <w:rPr>
          <w:rFonts w:eastAsia="Times New Roman"/>
          <w:b/>
          <w:bCs/>
          <w:strike/>
          <w:kern w:val="0"/>
          <w:sz w:val="24"/>
          <w:szCs w:val="24"/>
          <w:lang w:eastAsia="en-GB"/>
        </w:rPr>
        <w:t>Advantages:</w:t>
      </w:r>
      <w:r w:rsidRPr="00FB75CA">
        <w:rPr>
          <w:rFonts w:eastAsia="Times New Roman"/>
          <w:strike/>
          <w:kern w:val="0"/>
          <w:sz w:val="24"/>
          <w:szCs w:val="24"/>
          <w:lang w:eastAsia="en-GB"/>
        </w:rPr>
        <w:t xml:space="preserve"> Higher job satisfaction, innovation, creativity, and retention.</w:t>
      </w:r>
    </w:p>
    <w:p w14:paraId="49DC26FC" w14:textId="77777777" w:rsidR="009B6B1C" w:rsidRPr="00FB75CA" w:rsidRDefault="00F51A9B">
      <w:pPr>
        <w:numPr>
          <w:ilvl w:val="0"/>
          <w:numId w:val="7"/>
        </w:numPr>
        <w:spacing w:before="100" w:after="100" w:line="240" w:lineRule="auto"/>
        <w:rPr>
          <w:strike/>
        </w:rPr>
      </w:pPr>
      <w:r w:rsidRPr="00FB75CA">
        <w:rPr>
          <w:rFonts w:eastAsia="Times New Roman"/>
          <w:b/>
          <w:bCs/>
          <w:strike/>
          <w:kern w:val="0"/>
          <w:sz w:val="24"/>
          <w:szCs w:val="24"/>
          <w:lang w:eastAsia="en-GB"/>
        </w:rPr>
        <w:t>Disadvantages:</w:t>
      </w:r>
      <w:r w:rsidRPr="00FB75CA">
        <w:rPr>
          <w:rFonts w:eastAsia="Times New Roman"/>
          <w:strike/>
          <w:kern w:val="0"/>
          <w:sz w:val="24"/>
          <w:szCs w:val="24"/>
          <w:lang w:eastAsia="en-GB"/>
        </w:rPr>
        <w:t xml:space="preserve"> Implementation challenges, potential for reduced efficiency, and complexity in managing diverse needs.</w:t>
      </w:r>
    </w:p>
    <w:p w14:paraId="49DC26FD" w14:textId="77777777" w:rsidR="009B6B1C" w:rsidRPr="00FB75CA" w:rsidRDefault="00F51A9B">
      <w:pPr>
        <w:spacing w:before="100" w:after="100" w:line="240" w:lineRule="auto"/>
        <w:rPr>
          <w:rFonts w:eastAsia="Times New Roman"/>
          <w:b/>
          <w:bCs/>
          <w:strike/>
          <w:kern w:val="0"/>
          <w:sz w:val="24"/>
          <w:szCs w:val="24"/>
          <w:lang w:eastAsia="en-GB"/>
        </w:rPr>
      </w:pPr>
      <w:r w:rsidRPr="00FB75CA">
        <w:rPr>
          <w:rFonts w:eastAsia="Times New Roman"/>
          <w:b/>
          <w:bCs/>
          <w:strike/>
          <w:kern w:val="0"/>
          <w:sz w:val="24"/>
          <w:szCs w:val="24"/>
          <w:lang w:eastAsia="en-GB"/>
        </w:rPr>
        <w:t>Comparing Taylorism v Humanism approaches for the purpose of HR Management</w:t>
      </w:r>
    </w:p>
    <w:p w14:paraId="49DC26FE" w14:textId="77777777" w:rsidR="009B6B1C" w:rsidRPr="00FB75CA" w:rsidRDefault="00F51A9B">
      <w:pPr>
        <w:spacing w:before="100" w:after="100" w:line="240" w:lineRule="auto"/>
        <w:rPr>
          <w:strike/>
        </w:rPr>
      </w:pPr>
      <w:r w:rsidRPr="00FB75CA">
        <w:rPr>
          <w:rFonts w:eastAsia="Times New Roman"/>
          <w:b/>
          <w:bCs/>
          <w:strike/>
          <w:kern w:val="0"/>
          <w:sz w:val="24"/>
          <w:szCs w:val="24"/>
          <w:lang w:eastAsia="en-GB"/>
        </w:rPr>
        <w:t>Focus:</w:t>
      </w:r>
    </w:p>
    <w:p w14:paraId="49DC26FF" w14:textId="77777777" w:rsidR="009B6B1C" w:rsidRPr="00FB75CA" w:rsidRDefault="00F51A9B">
      <w:pPr>
        <w:numPr>
          <w:ilvl w:val="0"/>
          <w:numId w:val="8"/>
        </w:numPr>
        <w:spacing w:before="100" w:after="100" w:line="240" w:lineRule="auto"/>
        <w:rPr>
          <w:strike/>
        </w:rPr>
      </w:pPr>
      <w:r w:rsidRPr="00FB75CA">
        <w:rPr>
          <w:rFonts w:eastAsia="Times New Roman"/>
          <w:b/>
          <w:bCs/>
          <w:strike/>
          <w:kern w:val="0"/>
          <w:sz w:val="24"/>
          <w:szCs w:val="24"/>
          <w:lang w:eastAsia="en-GB"/>
        </w:rPr>
        <w:t>Taylorism:</w:t>
      </w:r>
      <w:r w:rsidRPr="00FB75CA">
        <w:rPr>
          <w:rFonts w:eastAsia="Times New Roman"/>
          <w:strike/>
          <w:kern w:val="0"/>
          <w:sz w:val="24"/>
          <w:szCs w:val="24"/>
          <w:lang w:eastAsia="en-GB"/>
        </w:rPr>
        <w:t xml:space="preserve"> Efficiency and productivity through standardised processes.</w:t>
      </w:r>
    </w:p>
    <w:p w14:paraId="49DC2700" w14:textId="77777777" w:rsidR="009B6B1C" w:rsidRPr="00FB75CA" w:rsidRDefault="00F51A9B">
      <w:pPr>
        <w:numPr>
          <w:ilvl w:val="0"/>
          <w:numId w:val="8"/>
        </w:numPr>
        <w:spacing w:before="100" w:after="100" w:line="240" w:lineRule="auto"/>
        <w:rPr>
          <w:strike/>
        </w:rPr>
      </w:pPr>
      <w:r w:rsidRPr="00FB75CA">
        <w:rPr>
          <w:rFonts w:eastAsia="Times New Roman"/>
          <w:b/>
          <w:bCs/>
          <w:strike/>
          <w:kern w:val="0"/>
          <w:sz w:val="24"/>
          <w:szCs w:val="24"/>
          <w:lang w:eastAsia="en-GB"/>
        </w:rPr>
        <w:t>Humanism:</w:t>
      </w:r>
      <w:r w:rsidRPr="00FB75CA">
        <w:rPr>
          <w:rFonts w:eastAsia="Times New Roman"/>
          <w:strike/>
          <w:kern w:val="0"/>
          <w:sz w:val="24"/>
          <w:szCs w:val="24"/>
          <w:lang w:eastAsia="en-GB"/>
        </w:rPr>
        <w:t xml:space="preserve"> Employee well-being and </w:t>
      </w:r>
      <w:r w:rsidRPr="00FB75CA">
        <w:rPr>
          <w:rFonts w:eastAsia="Times New Roman"/>
          <w:strike/>
          <w:kern w:val="0"/>
          <w:sz w:val="24"/>
          <w:szCs w:val="24"/>
          <w:lang w:eastAsia="en-GB"/>
        </w:rPr>
        <w:t>development.</w:t>
      </w:r>
    </w:p>
    <w:p w14:paraId="49DC2701" w14:textId="77777777" w:rsidR="009B6B1C" w:rsidRPr="00FB75CA" w:rsidRDefault="00F51A9B">
      <w:pPr>
        <w:spacing w:before="100" w:after="100" w:line="240" w:lineRule="auto"/>
        <w:rPr>
          <w:strike/>
        </w:rPr>
      </w:pPr>
      <w:r w:rsidRPr="00FB75CA">
        <w:rPr>
          <w:rFonts w:eastAsia="Times New Roman"/>
          <w:b/>
          <w:bCs/>
          <w:strike/>
          <w:kern w:val="0"/>
          <w:sz w:val="24"/>
          <w:szCs w:val="24"/>
          <w:lang w:eastAsia="en-GB"/>
        </w:rPr>
        <w:t>Management Approach:</w:t>
      </w:r>
    </w:p>
    <w:p w14:paraId="49DC2702" w14:textId="77777777" w:rsidR="009B6B1C" w:rsidRPr="00FB75CA" w:rsidRDefault="00F51A9B">
      <w:pPr>
        <w:numPr>
          <w:ilvl w:val="0"/>
          <w:numId w:val="9"/>
        </w:numPr>
        <w:spacing w:before="100" w:after="100" w:line="240" w:lineRule="auto"/>
        <w:rPr>
          <w:strike/>
        </w:rPr>
      </w:pPr>
      <w:r w:rsidRPr="00FB75CA">
        <w:rPr>
          <w:rFonts w:eastAsia="Times New Roman"/>
          <w:b/>
          <w:bCs/>
          <w:strike/>
          <w:kern w:val="0"/>
          <w:sz w:val="24"/>
          <w:szCs w:val="24"/>
          <w:lang w:eastAsia="en-GB"/>
        </w:rPr>
        <w:t>Taylorism:</w:t>
      </w:r>
      <w:r w:rsidRPr="00FB75CA">
        <w:rPr>
          <w:rFonts w:eastAsia="Times New Roman"/>
          <w:strike/>
          <w:kern w:val="0"/>
          <w:sz w:val="24"/>
          <w:szCs w:val="24"/>
          <w:lang w:eastAsia="en-GB"/>
        </w:rPr>
        <w:t xml:space="preserve"> Centralised control with a clear management-worker separation.</w:t>
      </w:r>
    </w:p>
    <w:p w14:paraId="49DC2703" w14:textId="77777777" w:rsidR="009B6B1C" w:rsidRPr="00FB75CA" w:rsidRDefault="00F51A9B">
      <w:pPr>
        <w:numPr>
          <w:ilvl w:val="0"/>
          <w:numId w:val="9"/>
        </w:numPr>
        <w:spacing w:before="100" w:after="100" w:line="240" w:lineRule="auto"/>
        <w:rPr>
          <w:strike/>
        </w:rPr>
      </w:pPr>
      <w:r w:rsidRPr="00FB75CA">
        <w:rPr>
          <w:rFonts w:eastAsia="Times New Roman"/>
          <w:b/>
          <w:bCs/>
          <w:strike/>
          <w:kern w:val="0"/>
          <w:sz w:val="24"/>
          <w:szCs w:val="24"/>
          <w:lang w:eastAsia="en-GB"/>
        </w:rPr>
        <w:t>Humanism:</w:t>
      </w:r>
      <w:r w:rsidRPr="00FB75CA">
        <w:rPr>
          <w:rFonts w:eastAsia="Times New Roman"/>
          <w:strike/>
          <w:kern w:val="0"/>
          <w:sz w:val="24"/>
          <w:szCs w:val="24"/>
          <w:lang w:eastAsia="en-GB"/>
        </w:rPr>
        <w:t xml:space="preserve"> Decentralised and participatory approach, encouraging employee involvement.</w:t>
      </w:r>
    </w:p>
    <w:p w14:paraId="49DC2704" w14:textId="77777777" w:rsidR="009B6B1C" w:rsidRPr="00FB75CA" w:rsidRDefault="00F51A9B">
      <w:pPr>
        <w:spacing w:before="100" w:after="100" w:line="240" w:lineRule="auto"/>
        <w:rPr>
          <w:strike/>
        </w:rPr>
      </w:pPr>
      <w:r w:rsidRPr="00FB75CA">
        <w:rPr>
          <w:rFonts w:eastAsia="Times New Roman"/>
          <w:b/>
          <w:bCs/>
          <w:strike/>
          <w:kern w:val="0"/>
          <w:sz w:val="24"/>
          <w:szCs w:val="24"/>
          <w:lang w:eastAsia="en-GB"/>
        </w:rPr>
        <w:t>Motivation:</w:t>
      </w:r>
    </w:p>
    <w:p w14:paraId="49DC2705" w14:textId="77777777" w:rsidR="009B6B1C" w:rsidRPr="00FB75CA" w:rsidRDefault="00F51A9B">
      <w:pPr>
        <w:numPr>
          <w:ilvl w:val="0"/>
          <w:numId w:val="10"/>
        </w:numPr>
        <w:spacing w:before="100" w:after="100" w:line="240" w:lineRule="auto"/>
        <w:rPr>
          <w:strike/>
        </w:rPr>
      </w:pPr>
      <w:r w:rsidRPr="00FB75CA">
        <w:rPr>
          <w:rFonts w:eastAsia="Times New Roman"/>
          <w:b/>
          <w:bCs/>
          <w:strike/>
          <w:kern w:val="0"/>
          <w:sz w:val="24"/>
          <w:szCs w:val="24"/>
          <w:lang w:eastAsia="en-GB"/>
        </w:rPr>
        <w:t>Taylorism:</w:t>
      </w:r>
      <w:r w:rsidRPr="00FB75CA">
        <w:rPr>
          <w:rFonts w:eastAsia="Times New Roman"/>
          <w:strike/>
          <w:kern w:val="0"/>
          <w:sz w:val="24"/>
          <w:szCs w:val="24"/>
          <w:lang w:eastAsia="en-GB"/>
        </w:rPr>
        <w:t xml:space="preserve"> Extrinsic motivation through financial incentives.</w:t>
      </w:r>
    </w:p>
    <w:p w14:paraId="49DC2706" w14:textId="77777777" w:rsidR="009B6B1C" w:rsidRPr="00FB75CA" w:rsidRDefault="00F51A9B">
      <w:pPr>
        <w:numPr>
          <w:ilvl w:val="0"/>
          <w:numId w:val="10"/>
        </w:numPr>
        <w:spacing w:before="100" w:after="100" w:line="240" w:lineRule="auto"/>
        <w:rPr>
          <w:strike/>
        </w:rPr>
      </w:pPr>
      <w:r w:rsidRPr="00FB75CA">
        <w:rPr>
          <w:rFonts w:eastAsia="Times New Roman"/>
          <w:b/>
          <w:bCs/>
          <w:strike/>
          <w:kern w:val="0"/>
          <w:sz w:val="24"/>
          <w:szCs w:val="24"/>
          <w:lang w:eastAsia="en-GB"/>
        </w:rPr>
        <w:t>Humanism:</w:t>
      </w:r>
      <w:r w:rsidRPr="00FB75CA">
        <w:rPr>
          <w:rFonts w:eastAsia="Times New Roman"/>
          <w:strike/>
          <w:kern w:val="0"/>
          <w:sz w:val="24"/>
          <w:szCs w:val="24"/>
          <w:lang w:eastAsia="en-GB"/>
        </w:rPr>
        <w:t xml:space="preserve"> Intrinsic motivation through meaningful work and personal growth.</w:t>
      </w:r>
    </w:p>
    <w:p w14:paraId="49DC2707" w14:textId="77777777" w:rsidR="009B6B1C" w:rsidRPr="00FB75CA" w:rsidRDefault="00F51A9B">
      <w:pPr>
        <w:spacing w:before="100" w:after="100" w:line="240" w:lineRule="auto"/>
        <w:rPr>
          <w:strike/>
        </w:rPr>
      </w:pPr>
      <w:r w:rsidRPr="00FB75CA">
        <w:rPr>
          <w:rFonts w:eastAsia="Times New Roman"/>
          <w:b/>
          <w:bCs/>
          <w:strike/>
          <w:kern w:val="0"/>
          <w:sz w:val="24"/>
          <w:szCs w:val="24"/>
          <w:lang w:eastAsia="en-GB"/>
        </w:rPr>
        <w:t>Flexibility:</w:t>
      </w:r>
    </w:p>
    <w:p w14:paraId="49DC2708" w14:textId="77777777" w:rsidR="009B6B1C" w:rsidRPr="00FB75CA" w:rsidRDefault="00F51A9B">
      <w:pPr>
        <w:numPr>
          <w:ilvl w:val="0"/>
          <w:numId w:val="11"/>
        </w:numPr>
        <w:spacing w:before="100" w:after="100" w:line="240" w:lineRule="auto"/>
        <w:rPr>
          <w:strike/>
        </w:rPr>
      </w:pPr>
      <w:r w:rsidRPr="00FB75CA">
        <w:rPr>
          <w:rFonts w:eastAsia="Times New Roman"/>
          <w:b/>
          <w:bCs/>
          <w:strike/>
          <w:kern w:val="0"/>
          <w:sz w:val="24"/>
          <w:szCs w:val="24"/>
          <w:lang w:eastAsia="en-GB"/>
        </w:rPr>
        <w:t>Taylorism:</w:t>
      </w:r>
      <w:r w:rsidRPr="00FB75CA">
        <w:rPr>
          <w:rFonts w:eastAsia="Times New Roman"/>
          <w:strike/>
          <w:kern w:val="0"/>
          <w:sz w:val="24"/>
          <w:szCs w:val="24"/>
          <w:lang w:eastAsia="en-GB"/>
        </w:rPr>
        <w:t xml:space="preserve"> Rigid, standardised processes.</w:t>
      </w:r>
    </w:p>
    <w:p w14:paraId="49DC2709" w14:textId="77777777" w:rsidR="009B6B1C" w:rsidRPr="00FB75CA" w:rsidRDefault="00F51A9B">
      <w:pPr>
        <w:numPr>
          <w:ilvl w:val="0"/>
          <w:numId w:val="11"/>
        </w:numPr>
        <w:spacing w:before="100" w:after="100" w:line="240" w:lineRule="auto"/>
        <w:rPr>
          <w:strike/>
        </w:rPr>
      </w:pPr>
      <w:r w:rsidRPr="00FB75CA">
        <w:rPr>
          <w:rFonts w:eastAsia="Times New Roman"/>
          <w:b/>
          <w:bCs/>
          <w:strike/>
          <w:kern w:val="0"/>
          <w:sz w:val="24"/>
          <w:szCs w:val="24"/>
          <w:lang w:eastAsia="en-GB"/>
        </w:rPr>
        <w:t>Humanism:</w:t>
      </w:r>
      <w:r w:rsidRPr="00FB75CA">
        <w:rPr>
          <w:rFonts w:eastAsia="Times New Roman"/>
          <w:strike/>
          <w:kern w:val="0"/>
          <w:sz w:val="24"/>
          <w:szCs w:val="24"/>
          <w:lang w:eastAsia="en-GB"/>
        </w:rPr>
        <w:t xml:space="preserve"> Flexible, adaptive approach valuing employee input</w:t>
      </w:r>
    </w:p>
    <w:p w14:paraId="49DC270A"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 xml:space="preserve">Both Taylorism and Humanism offer valuable insights for HRM. Taylorism drives productivity through efficiency and control, suitable for tasks requiring standardisation. However, its dehumanising aspects can lead to dissatisfaction. </w:t>
      </w:r>
    </w:p>
    <w:p w14:paraId="49DC270B" w14:textId="77777777" w:rsidR="009B6B1C" w:rsidRPr="00FB75CA" w:rsidRDefault="00F51A9B">
      <w:pPr>
        <w:spacing w:before="100" w:after="100" w:line="240" w:lineRule="auto"/>
        <w:rPr>
          <w:rFonts w:eastAsia="Times New Roman"/>
          <w:strike/>
          <w:kern w:val="0"/>
          <w:sz w:val="24"/>
          <w:szCs w:val="24"/>
          <w:lang w:eastAsia="en-GB"/>
        </w:rPr>
      </w:pPr>
      <w:r w:rsidRPr="00FB75CA">
        <w:rPr>
          <w:rFonts w:eastAsia="Times New Roman"/>
          <w:strike/>
          <w:kern w:val="0"/>
          <w:sz w:val="24"/>
          <w:szCs w:val="24"/>
          <w:lang w:eastAsia="en-GB"/>
        </w:rPr>
        <w:t>Humanism, on the other hand, fosters a supportive environment that enhances job satisfaction, innovation, and retention. Balancing these approaches can help organisations optimise both efficiency and employee well-being, leading to sustainable success. (Taylor, Woodhams, p.14-15)</w:t>
      </w:r>
    </w:p>
    <w:p w14:paraId="49DC270C" w14:textId="77777777" w:rsidR="009B6B1C" w:rsidRDefault="009B6B1C">
      <w:pPr>
        <w:spacing w:before="100" w:after="100" w:line="240" w:lineRule="auto"/>
        <w:rPr>
          <w:rFonts w:eastAsia="Times New Roman"/>
          <w:b/>
          <w:bCs/>
          <w:kern w:val="0"/>
          <w:sz w:val="24"/>
          <w:szCs w:val="24"/>
          <w:lang w:eastAsia="en-GB"/>
        </w:rPr>
      </w:pPr>
    </w:p>
    <w:p w14:paraId="49DC270D"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Measuring Organisational Performance </w:t>
      </w:r>
    </w:p>
    <w:p w14:paraId="49DC270E"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Organisations measure performance using both financial and non-financial metrics.</w:t>
      </w:r>
    </w:p>
    <w:p w14:paraId="49DC270F"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lastRenderedPageBreak/>
        <w:t xml:space="preserve">Financial Performance – Cash Flow </w:t>
      </w:r>
    </w:p>
    <w:p w14:paraId="49DC2710"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Cash flow analysis tracks the inflow and outflow of cash, ensuring liquidity and financial health. Regular monitoring helps find trends and make informed financial decisions (Rees &amp; Smith, 2017, p. 159).</w:t>
      </w:r>
    </w:p>
    <w:p w14:paraId="49DC2711"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For Example, analysing cash flow can help an organisation understand its financial position and plan for future investments. Positive cash flow shows that the company can cover its expenses and invest in growth opportunities, while negative cash flow may signal financial difficulties that need to be addressed.</w:t>
      </w:r>
    </w:p>
    <w:p w14:paraId="49DC2712"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Non-Financial Performance – Productivity</w:t>
      </w:r>
    </w:p>
    <w:p w14:paraId="49DC2713"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Productivity patterns assess the efficiency of workforce output compared to input. This can be measured through performance evaluations, output data, and employee engagement surveys. High productivity shows effective HR practices and contributes to organisational success.</w:t>
      </w:r>
    </w:p>
    <w:p w14:paraId="49DC2714"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For example, tracking the productivity of different departments can reveal areas where performance is low. HR can then investigate the causes and implement strategies to improve productivity, such as improved training programs or process improvements.</w:t>
      </w:r>
    </w:p>
    <w:p w14:paraId="49DC2715"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Additional Performance measures</w:t>
      </w:r>
    </w:p>
    <w:p w14:paraId="49DC2716" w14:textId="77777777" w:rsidR="009B6B1C" w:rsidRDefault="00F51A9B">
      <w:pPr>
        <w:numPr>
          <w:ilvl w:val="0"/>
          <w:numId w:val="12"/>
        </w:numPr>
        <w:spacing w:before="100" w:after="100" w:line="240" w:lineRule="auto"/>
      </w:pPr>
      <w:r>
        <w:rPr>
          <w:rFonts w:eastAsia="Times New Roman"/>
          <w:b/>
          <w:bCs/>
          <w:kern w:val="0"/>
          <w:sz w:val="24"/>
          <w:szCs w:val="24"/>
          <w:lang w:eastAsia="en-GB"/>
        </w:rPr>
        <w:t>Employee Engagement</w:t>
      </w:r>
      <w:r>
        <w:rPr>
          <w:rFonts w:eastAsia="Times New Roman"/>
          <w:kern w:val="0"/>
          <w:sz w:val="24"/>
          <w:szCs w:val="24"/>
          <w:lang w:eastAsia="en-GB"/>
        </w:rPr>
        <w:t xml:space="preserve">: Measuring employee engagement </w:t>
      </w:r>
      <w:r>
        <w:rPr>
          <w:rFonts w:eastAsia="Times New Roman"/>
          <w:kern w:val="0"/>
          <w:sz w:val="24"/>
          <w:szCs w:val="24"/>
          <w:lang w:eastAsia="en-GB"/>
        </w:rPr>
        <w:t>through surveys helps HR understand how connected employees feel to their work and the organisation. High engagement levels are associated with higher productivity and lower turnover.</w:t>
      </w:r>
    </w:p>
    <w:p w14:paraId="49DC2717" w14:textId="77777777" w:rsidR="009B6B1C" w:rsidRDefault="009B6B1C">
      <w:pPr>
        <w:spacing w:before="100" w:after="100" w:line="240" w:lineRule="auto"/>
        <w:ind w:left="720"/>
        <w:rPr>
          <w:rFonts w:eastAsia="Times New Roman"/>
          <w:kern w:val="0"/>
          <w:sz w:val="24"/>
          <w:szCs w:val="24"/>
          <w:lang w:eastAsia="en-GB"/>
        </w:rPr>
      </w:pPr>
    </w:p>
    <w:p w14:paraId="49DC2718" w14:textId="77777777" w:rsidR="009B6B1C" w:rsidRDefault="00F51A9B">
      <w:pPr>
        <w:numPr>
          <w:ilvl w:val="0"/>
          <w:numId w:val="12"/>
        </w:numPr>
        <w:spacing w:before="100" w:after="100" w:line="240" w:lineRule="auto"/>
      </w:pPr>
      <w:r>
        <w:rPr>
          <w:rFonts w:eastAsia="Times New Roman"/>
          <w:b/>
          <w:bCs/>
          <w:kern w:val="0"/>
          <w:sz w:val="24"/>
          <w:szCs w:val="24"/>
          <w:lang w:eastAsia="en-GB"/>
        </w:rPr>
        <w:t>Customer Satisfaction</w:t>
      </w:r>
      <w:r>
        <w:rPr>
          <w:rFonts w:eastAsia="Times New Roman"/>
          <w:kern w:val="0"/>
          <w:sz w:val="24"/>
          <w:szCs w:val="24"/>
          <w:lang w:eastAsia="en-GB"/>
        </w:rPr>
        <w:t>: Tracking customer satisfaction scores provides insights into how well the organisation meets customer needs. This can be linked to employee performance and used to find areas for improvement.</w:t>
      </w:r>
    </w:p>
    <w:p w14:paraId="49DC2719" w14:textId="77777777" w:rsidR="009B6B1C" w:rsidRDefault="009B6B1C">
      <w:pPr>
        <w:pStyle w:val="ListParagraph"/>
        <w:rPr>
          <w:rFonts w:eastAsia="Times New Roman"/>
          <w:kern w:val="0"/>
          <w:sz w:val="24"/>
          <w:szCs w:val="24"/>
          <w:lang w:eastAsia="en-GB"/>
        </w:rPr>
      </w:pPr>
    </w:p>
    <w:p w14:paraId="49DC271A" w14:textId="00638023" w:rsidR="009B6B1C" w:rsidRDefault="00F51A9B">
      <w:pPr>
        <w:numPr>
          <w:ilvl w:val="0"/>
          <w:numId w:val="12"/>
        </w:numPr>
        <w:spacing w:before="100" w:after="100" w:line="240" w:lineRule="auto"/>
      </w:pPr>
      <w:r>
        <w:rPr>
          <w:rFonts w:eastAsia="Times New Roman"/>
          <w:b/>
          <w:bCs/>
          <w:kern w:val="0"/>
          <w:sz w:val="24"/>
          <w:szCs w:val="24"/>
          <w:lang w:eastAsia="en-GB"/>
        </w:rPr>
        <w:t>Innovation Metrics</w:t>
      </w:r>
      <w:r>
        <w:rPr>
          <w:rFonts w:eastAsia="Times New Roman"/>
          <w:kern w:val="0"/>
          <w:sz w:val="24"/>
          <w:szCs w:val="24"/>
          <w:lang w:eastAsia="en-GB"/>
        </w:rPr>
        <w:t xml:space="preserve">: Measuring the number of </w:t>
      </w:r>
      <w:r w:rsidR="00215BAF">
        <w:rPr>
          <w:rFonts w:eastAsia="Times New Roman"/>
          <w:kern w:val="0"/>
          <w:sz w:val="24"/>
          <w:szCs w:val="24"/>
          <w:lang w:eastAsia="en-GB"/>
        </w:rPr>
        <w:t>innovative ideas</w:t>
      </w:r>
      <w:r>
        <w:rPr>
          <w:rFonts w:eastAsia="Times New Roman"/>
          <w:kern w:val="0"/>
          <w:sz w:val="24"/>
          <w:szCs w:val="24"/>
          <w:lang w:eastAsia="en-GB"/>
        </w:rPr>
        <w:t xml:space="preserve"> generated, patents filed, or new products launched can help assess the organisation's innovation capability. This is particularly important for companies that compete on innovation and need to continually develop new products and services.</w:t>
      </w:r>
    </w:p>
    <w:p w14:paraId="49DC271B"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Adding Value through People Practices </w:t>
      </w:r>
    </w:p>
    <w:p w14:paraId="49DC271C"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 xml:space="preserve">People practices add value by </w:t>
      </w:r>
      <w:r>
        <w:rPr>
          <w:rFonts w:eastAsia="Times New Roman"/>
          <w:kern w:val="0"/>
          <w:sz w:val="24"/>
          <w:szCs w:val="24"/>
          <w:lang w:eastAsia="en-GB"/>
        </w:rPr>
        <w:t xml:space="preserve">improving employee engagement, satisfaction, and performance. </w:t>
      </w:r>
    </w:p>
    <w:p w14:paraId="49DC271D"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Two methods to measure this impact include:</w:t>
      </w:r>
    </w:p>
    <w:p w14:paraId="49DC271E" w14:textId="77777777" w:rsidR="009B6B1C" w:rsidRDefault="00F51A9B">
      <w:pPr>
        <w:numPr>
          <w:ilvl w:val="0"/>
          <w:numId w:val="13"/>
        </w:numPr>
        <w:spacing w:before="100" w:after="100" w:line="240" w:lineRule="auto"/>
      </w:pPr>
      <w:r>
        <w:rPr>
          <w:rFonts w:eastAsia="Times New Roman"/>
          <w:b/>
          <w:bCs/>
          <w:kern w:val="0"/>
          <w:sz w:val="24"/>
          <w:szCs w:val="24"/>
          <w:lang w:eastAsia="en-GB"/>
        </w:rPr>
        <w:t>Cost-Benefit Analysis</w:t>
      </w:r>
      <w:r>
        <w:rPr>
          <w:rFonts w:eastAsia="Times New Roman"/>
          <w:kern w:val="0"/>
          <w:sz w:val="24"/>
          <w:szCs w:val="24"/>
          <w:lang w:eastAsia="en-GB"/>
        </w:rPr>
        <w:t xml:space="preserve">: Evaluates the financial return of HR initiatives compared to their cost. For example, analysing the return on investment of a training </w:t>
      </w:r>
      <w:r>
        <w:rPr>
          <w:rFonts w:eastAsia="Times New Roman"/>
          <w:kern w:val="0"/>
          <w:sz w:val="24"/>
          <w:szCs w:val="24"/>
          <w:lang w:eastAsia="en-GB"/>
        </w:rPr>
        <w:lastRenderedPageBreak/>
        <w:t>program by comparing the costs with productivity improvements (Armstrong, 2020, p. 231).</w:t>
      </w:r>
    </w:p>
    <w:p w14:paraId="49DC271F" w14:textId="77777777" w:rsidR="009B6B1C" w:rsidRDefault="00F51A9B">
      <w:pPr>
        <w:numPr>
          <w:ilvl w:val="0"/>
          <w:numId w:val="13"/>
        </w:numPr>
        <w:spacing w:before="100" w:after="100" w:line="240" w:lineRule="auto"/>
      </w:pPr>
      <w:r>
        <w:rPr>
          <w:rFonts w:eastAsia="Times New Roman"/>
          <w:b/>
          <w:bCs/>
          <w:kern w:val="0"/>
          <w:sz w:val="24"/>
          <w:szCs w:val="24"/>
          <w:lang w:eastAsia="en-GB"/>
        </w:rPr>
        <w:t>Return on Investment (ROI)</w:t>
      </w:r>
      <w:r>
        <w:rPr>
          <w:rFonts w:eastAsia="Times New Roman"/>
          <w:kern w:val="0"/>
          <w:sz w:val="24"/>
          <w:szCs w:val="24"/>
          <w:lang w:eastAsia="en-GB"/>
        </w:rPr>
        <w:t>: Measures the profitability of HR investments. For instance, calculating the ROI of employee wellness programs by comparing health-related cost savings to program expenses.</w:t>
      </w:r>
    </w:p>
    <w:p w14:paraId="49DC2720" w14:textId="77777777" w:rsidR="009B6B1C" w:rsidRDefault="009B6B1C">
      <w:pPr>
        <w:spacing w:before="100" w:after="100" w:line="240" w:lineRule="auto"/>
        <w:rPr>
          <w:rFonts w:eastAsia="Times New Roman"/>
          <w:kern w:val="0"/>
          <w:sz w:val="24"/>
          <w:szCs w:val="24"/>
          <w:lang w:eastAsia="en-GB"/>
        </w:rPr>
      </w:pPr>
    </w:p>
    <w:p w14:paraId="49DC2721"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For instance, conducting a cost-benefit analysis of a new training program involves calculating the total cost of the program, including productivity, and reduced turnover. If the benefits outweigh the costs, the program is considered a worthwhile investment.</w:t>
      </w:r>
    </w:p>
    <w:p w14:paraId="49DC2722"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Similarly, calculating the ROI of wellness programs includes assessing health-related savings from reduced absenteeism and healthcare costs. Positive ROI shows that the program is beneficial for both employees and the organisation.</w:t>
      </w:r>
    </w:p>
    <w:p w14:paraId="49DC2723" w14:textId="1DA14779"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 xml:space="preserve">Evidence-based practice is crucial in HR for making informed and effective decisions. By integrating various sources of evidence, HR professionals can enhance decision-making, credibility, and outcomes. Utilising tools like predictive analytics and adhering to critical thinking principles ensures decisions are rational and objective. Additionally, understanding ethical perspectives and implementing robust performance measurement methods contribute to overall organisational success. Embracing evidence-based </w:t>
      </w:r>
      <w:r>
        <w:rPr>
          <w:rFonts w:eastAsia="Times New Roman"/>
          <w:kern w:val="0"/>
          <w:sz w:val="24"/>
          <w:szCs w:val="24"/>
          <w:lang w:eastAsia="en-GB"/>
        </w:rPr>
        <w:t>practice adds significant value to people practices and organisational performance</w:t>
      </w:r>
      <w:r w:rsidR="00215BAF">
        <w:rPr>
          <w:rFonts w:eastAsia="Times New Roman"/>
          <w:kern w:val="0"/>
          <w:sz w:val="24"/>
          <w:szCs w:val="24"/>
          <w:lang w:eastAsia="en-GB"/>
        </w:rPr>
        <w:t xml:space="preserve">. </w:t>
      </w:r>
    </w:p>
    <w:p w14:paraId="49DC2724" w14:textId="77777777" w:rsidR="009B6B1C" w:rsidRDefault="009B6B1C">
      <w:pPr>
        <w:spacing w:before="100" w:after="100" w:line="240" w:lineRule="auto"/>
        <w:rPr>
          <w:rFonts w:eastAsia="Times New Roman"/>
          <w:b/>
          <w:bCs/>
          <w:kern w:val="0"/>
          <w:sz w:val="24"/>
          <w:szCs w:val="24"/>
          <w:lang w:eastAsia="en-GB"/>
        </w:rPr>
      </w:pPr>
    </w:p>
    <w:p w14:paraId="49DC2725" w14:textId="77777777" w:rsidR="009B6B1C" w:rsidRDefault="009B6B1C">
      <w:pPr>
        <w:spacing w:before="100" w:after="100" w:line="240" w:lineRule="auto"/>
        <w:rPr>
          <w:rFonts w:eastAsia="Times New Roman"/>
          <w:b/>
          <w:bCs/>
          <w:kern w:val="0"/>
          <w:sz w:val="24"/>
          <w:szCs w:val="24"/>
          <w:lang w:eastAsia="en-GB"/>
        </w:rPr>
      </w:pPr>
    </w:p>
    <w:p w14:paraId="49DC2726" w14:textId="77777777" w:rsidR="009B6B1C" w:rsidRDefault="009B6B1C">
      <w:pPr>
        <w:spacing w:before="100" w:after="100" w:line="240" w:lineRule="auto"/>
        <w:rPr>
          <w:rFonts w:eastAsia="Times New Roman"/>
          <w:b/>
          <w:bCs/>
          <w:kern w:val="0"/>
          <w:sz w:val="24"/>
          <w:szCs w:val="24"/>
          <w:lang w:eastAsia="en-GB"/>
        </w:rPr>
      </w:pPr>
    </w:p>
    <w:p w14:paraId="49DC2727" w14:textId="77777777" w:rsidR="009B6B1C" w:rsidRDefault="009B6B1C">
      <w:pPr>
        <w:spacing w:before="100" w:after="100" w:line="240" w:lineRule="auto"/>
        <w:rPr>
          <w:rFonts w:ascii="Times New Roman" w:eastAsia="Times New Roman" w:hAnsi="Times New Roman"/>
          <w:b/>
          <w:bCs/>
          <w:color w:val="0E2841"/>
          <w:kern w:val="0"/>
          <w:sz w:val="24"/>
          <w:szCs w:val="24"/>
          <w:lang w:eastAsia="en-GB"/>
        </w:rPr>
      </w:pPr>
    </w:p>
    <w:p w14:paraId="49DC2728" w14:textId="77777777" w:rsidR="009B6B1C" w:rsidRDefault="009B6B1C">
      <w:pPr>
        <w:spacing w:before="100" w:after="100" w:line="240" w:lineRule="auto"/>
        <w:rPr>
          <w:rFonts w:eastAsia="Times New Roman"/>
          <w:kern w:val="0"/>
          <w:sz w:val="24"/>
          <w:szCs w:val="24"/>
          <w:lang w:eastAsia="en-GB"/>
        </w:rPr>
      </w:pPr>
    </w:p>
    <w:p w14:paraId="49DC2729" w14:textId="77777777" w:rsidR="009B6B1C" w:rsidRDefault="009B6B1C">
      <w:pPr>
        <w:spacing w:before="100" w:after="100" w:line="240" w:lineRule="auto"/>
        <w:rPr>
          <w:rFonts w:eastAsia="Times New Roman"/>
          <w:kern w:val="0"/>
          <w:sz w:val="24"/>
          <w:szCs w:val="24"/>
          <w:lang w:eastAsia="en-GB"/>
        </w:rPr>
      </w:pPr>
    </w:p>
    <w:p w14:paraId="49DC272A" w14:textId="77777777" w:rsidR="009B6B1C" w:rsidRDefault="009B6B1C"/>
    <w:p w14:paraId="49DC272B" w14:textId="77777777" w:rsidR="009B6B1C" w:rsidRDefault="009B6B1C"/>
    <w:p w14:paraId="49DC272C" w14:textId="77777777" w:rsidR="009B6B1C" w:rsidRDefault="009B6B1C"/>
    <w:p w14:paraId="49DC272D" w14:textId="77777777" w:rsidR="009B6B1C" w:rsidRDefault="00F51A9B">
      <w:pPr>
        <w:rPr>
          <w:b/>
          <w:bCs/>
          <w:sz w:val="28"/>
          <w:szCs w:val="28"/>
        </w:rPr>
      </w:pPr>
      <w:r>
        <w:rPr>
          <w:b/>
          <w:bCs/>
          <w:sz w:val="28"/>
          <w:szCs w:val="28"/>
        </w:rPr>
        <w:t xml:space="preserve">Section 2 – Qualitative and Quantitative Analysis Review </w:t>
      </w:r>
    </w:p>
    <w:p w14:paraId="49DC272E" w14:textId="48105512" w:rsidR="009B6B1C" w:rsidRDefault="00F51A9B">
      <w:r>
        <w:rPr>
          <w:rFonts w:cs="Aptos"/>
          <w:b/>
        </w:rPr>
        <w:t xml:space="preserve">Table 1 – </w:t>
      </w:r>
      <w:r>
        <w:rPr>
          <w:b/>
          <w:bCs/>
        </w:rPr>
        <w:t xml:space="preserve">Equality, </w:t>
      </w:r>
      <w:r w:rsidR="00215BAF">
        <w:rPr>
          <w:b/>
          <w:bCs/>
        </w:rPr>
        <w:t>Diversity,</w:t>
      </w:r>
      <w:r>
        <w:rPr>
          <w:b/>
          <w:bCs/>
        </w:rPr>
        <w:t xml:space="preserve"> and Inclusion Salary Data</w:t>
      </w:r>
    </w:p>
    <w:p w14:paraId="49DC272F" w14:textId="77777777" w:rsidR="009B6B1C" w:rsidRDefault="009B6B1C">
      <w:pPr>
        <w:pStyle w:val="Nornal"/>
        <w:spacing w:after="0"/>
        <w:rPr>
          <w:rFonts w:ascii="Aptos" w:hAnsi="Aptos" w:cs="Aptos"/>
          <w:b/>
          <w:bCs/>
        </w:rPr>
      </w:pPr>
    </w:p>
    <w:p w14:paraId="49DC2730" w14:textId="77777777" w:rsidR="009B6B1C" w:rsidRDefault="00F51A9B">
      <w:pPr>
        <w:pStyle w:val="ListParagraph"/>
        <w:numPr>
          <w:ilvl w:val="0"/>
          <w:numId w:val="14"/>
        </w:numPr>
        <w:spacing w:after="0" w:line="240" w:lineRule="auto"/>
        <w:rPr>
          <w:b/>
          <w:bCs/>
        </w:rPr>
      </w:pPr>
      <w:r>
        <w:rPr>
          <w:b/>
          <w:bCs/>
        </w:rPr>
        <w:t>percentage of each gender by type.</w:t>
      </w:r>
    </w:p>
    <w:p w14:paraId="49DC2731" w14:textId="77777777" w:rsidR="009B6B1C" w:rsidRDefault="009B6B1C"/>
    <w:p w14:paraId="49DC2732" w14:textId="77777777" w:rsidR="009B6B1C" w:rsidRDefault="00F51A9B">
      <w:r>
        <w:rPr>
          <w:noProof/>
        </w:rPr>
        <w:lastRenderedPageBreak/>
        <w:drawing>
          <wp:inline distT="0" distB="0" distL="0" distR="0" wp14:anchorId="49DC26AB" wp14:editId="49DC26AC">
            <wp:extent cx="4572000" cy="2743200"/>
            <wp:effectExtent l="0" t="0" r="0" b="0"/>
            <wp:docPr id="195705303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9DC2733" w14:textId="77777777" w:rsidR="009B6B1C" w:rsidRDefault="009B6B1C">
      <w:pPr>
        <w:rPr>
          <w:sz w:val="24"/>
          <w:szCs w:val="24"/>
        </w:rPr>
      </w:pPr>
    </w:p>
    <w:p w14:paraId="49DC2734" w14:textId="77777777" w:rsidR="009B6B1C" w:rsidRDefault="00F51A9B">
      <w:pPr>
        <w:rPr>
          <w:b/>
          <w:bCs/>
          <w:sz w:val="24"/>
          <w:szCs w:val="24"/>
        </w:rPr>
      </w:pPr>
      <w:r>
        <w:rPr>
          <w:b/>
          <w:bCs/>
          <w:sz w:val="24"/>
          <w:szCs w:val="24"/>
        </w:rPr>
        <w:t>Visualisation of Gender Distribution per Team</w:t>
      </w:r>
    </w:p>
    <w:p w14:paraId="49DC2735" w14:textId="77777777" w:rsidR="009B6B1C" w:rsidRDefault="009B6B1C">
      <w:pPr>
        <w:spacing w:before="100" w:after="100" w:line="240" w:lineRule="auto"/>
        <w:rPr>
          <w:rFonts w:eastAsia="Times New Roman"/>
          <w:b/>
          <w:bCs/>
          <w:kern w:val="0"/>
          <w:sz w:val="24"/>
          <w:szCs w:val="24"/>
          <w:lang w:eastAsia="en-GB"/>
        </w:rPr>
      </w:pPr>
    </w:p>
    <w:p w14:paraId="49DC2736" w14:textId="77777777" w:rsidR="009B6B1C" w:rsidRDefault="00F51A9B">
      <w:pPr>
        <w:spacing w:before="100" w:after="100" w:line="240" w:lineRule="auto"/>
        <w:rPr>
          <w:rFonts w:eastAsia="Times New Roman"/>
          <w:b/>
          <w:bCs/>
          <w:kern w:val="0"/>
          <w:sz w:val="24"/>
          <w:szCs w:val="24"/>
          <w:lang w:eastAsia="en-GB"/>
        </w:rPr>
      </w:pPr>
      <w:r>
        <w:rPr>
          <w:rFonts w:eastAsia="Times New Roman"/>
          <w:b/>
          <w:bCs/>
          <w:kern w:val="0"/>
          <w:sz w:val="24"/>
          <w:szCs w:val="24"/>
          <w:lang w:eastAsia="en-GB"/>
        </w:rPr>
        <w:t xml:space="preserve">Pie Chart </w:t>
      </w:r>
    </w:p>
    <w:p w14:paraId="49DC2737"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The pie chart provides a visual representation of the proportion of each gender within the organisation. It shows that:</w:t>
      </w:r>
    </w:p>
    <w:p w14:paraId="49DC2738" w14:textId="77777777" w:rsidR="009B6B1C" w:rsidRDefault="00F51A9B">
      <w:pPr>
        <w:pStyle w:val="ListParagraph"/>
        <w:numPr>
          <w:ilvl w:val="0"/>
          <w:numId w:val="15"/>
        </w:numPr>
        <w:spacing w:before="100" w:after="100" w:line="240" w:lineRule="auto"/>
        <w:rPr>
          <w:rFonts w:eastAsia="Times New Roman"/>
          <w:kern w:val="0"/>
          <w:sz w:val="24"/>
          <w:szCs w:val="24"/>
          <w:lang w:eastAsia="en-GB"/>
        </w:rPr>
      </w:pPr>
      <w:r>
        <w:rPr>
          <w:rFonts w:eastAsia="Times New Roman"/>
          <w:kern w:val="0"/>
          <w:sz w:val="24"/>
          <w:szCs w:val="24"/>
          <w:lang w:eastAsia="en-GB"/>
        </w:rPr>
        <w:t>53.85% of the employees are Male.</w:t>
      </w:r>
    </w:p>
    <w:p w14:paraId="49DC2739" w14:textId="77777777" w:rsidR="009B6B1C" w:rsidRDefault="00F51A9B">
      <w:pPr>
        <w:pStyle w:val="ListParagraph"/>
        <w:numPr>
          <w:ilvl w:val="0"/>
          <w:numId w:val="15"/>
        </w:numPr>
        <w:spacing w:before="100" w:after="100" w:line="240" w:lineRule="auto"/>
        <w:rPr>
          <w:rFonts w:eastAsia="Times New Roman"/>
          <w:kern w:val="0"/>
          <w:sz w:val="24"/>
          <w:szCs w:val="24"/>
          <w:lang w:eastAsia="en-GB"/>
        </w:rPr>
      </w:pPr>
      <w:r>
        <w:rPr>
          <w:rFonts w:eastAsia="Times New Roman"/>
          <w:kern w:val="0"/>
          <w:sz w:val="24"/>
          <w:szCs w:val="24"/>
          <w:lang w:eastAsia="en-GB"/>
        </w:rPr>
        <w:t>45.38% of the employees are Female.</w:t>
      </w:r>
    </w:p>
    <w:p w14:paraId="49DC273A" w14:textId="77777777" w:rsidR="009B6B1C" w:rsidRDefault="00F51A9B">
      <w:pPr>
        <w:pStyle w:val="ListParagraph"/>
        <w:numPr>
          <w:ilvl w:val="0"/>
          <w:numId w:val="15"/>
        </w:numPr>
        <w:spacing w:before="100" w:after="100" w:line="240" w:lineRule="auto"/>
        <w:rPr>
          <w:rFonts w:eastAsia="Times New Roman"/>
          <w:kern w:val="0"/>
          <w:sz w:val="24"/>
          <w:szCs w:val="24"/>
          <w:lang w:eastAsia="en-GB"/>
        </w:rPr>
      </w:pPr>
      <w:r>
        <w:rPr>
          <w:rFonts w:eastAsia="Times New Roman"/>
          <w:kern w:val="0"/>
          <w:sz w:val="24"/>
          <w:szCs w:val="24"/>
          <w:lang w:eastAsia="en-GB"/>
        </w:rPr>
        <w:t>0.77% of the employees are non-binary.</w:t>
      </w:r>
    </w:p>
    <w:p w14:paraId="49DC273B" w14:textId="77777777" w:rsidR="009B6B1C" w:rsidRDefault="00F51A9B">
      <w:pPr>
        <w:spacing w:before="100" w:after="100" w:line="240" w:lineRule="auto"/>
        <w:rPr>
          <w:rFonts w:eastAsia="Times New Roman"/>
          <w:kern w:val="0"/>
          <w:sz w:val="24"/>
          <w:szCs w:val="24"/>
          <w:lang w:eastAsia="en-GB"/>
        </w:rPr>
      </w:pPr>
      <w:r>
        <w:rPr>
          <w:rFonts w:eastAsia="Times New Roman"/>
          <w:kern w:val="0"/>
          <w:sz w:val="24"/>
          <w:szCs w:val="24"/>
          <w:lang w:eastAsia="en-GB"/>
        </w:rPr>
        <w:t>Based on the gender distribution data, it suggests that:</w:t>
      </w:r>
    </w:p>
    <w:p w14:paraId="49DC273C" w14:textId="77777777" w:rsidR="009B6B1C" w:rsidRDefault="00F51A9B">
      <w:pPr>
        <w:pStyle w:val="ListParagraph"/>
        <w:numPr>
          <w:ilvl w:val="0"/>
          <w:numId w:val="16"/>
        </w:numPr>
        <w:spacing w:before="100" w:after="100" w:line="240" w:lineRule="auto"/>
        <w:rPr>
          <w:rFonts w:eastAsia="Times New Roman"/>
          <w:kern w:val="0"/>
          <w:sz w:val="24"/>
          <w:szCs w:val="24"/>
          <w:lang w:eastAsia="en-GB"/>
        </w:rPr>
      </w:pPr>
      <w:r>
        <w:rPr>
          <w:rFonts w:eastAsia="Times New Roman"/>
          <w:kern w:val="0"/>
          <w:sz w:val="24"/>
          <w:szCs w:val="24"/>
          <w:lang w:eastAsia="en-GB"/>
        </w:rPr>
        <w:t xml:space="preserve">Gender Diversity is balances between both Male and Female employees. </w:t>
      </w:r>
    </w:p>
    <w:p w14:paraId="49DC273D" w14:textId="785481B1" w:rsidR="009B6B1C" w:rsidRDefault="00F51A9B">
      <w:pPr>
        <w:pStyle w:val="ListParagraph"/>
        <w:numPr>
          <w:ilvl w:val="0"/>
          <w:numId w:val="16"/>
        </w:numPr>
        <w:spacing w:before="100" w:after="100" w:line="240" w:lineRule="auto"/>
        <w:rPr>
          <w:rFonts w:eastAsia="Times New Roman"/>
          <w:kern w:val="0"/>
          <w:sz w:val="24"/>
          <w:szCs w:val="24"/>
          <w:lang w:eastAsia="en-GB"/>
        </w:rPr>
      </w:pPr>
      <w:r>
        <w:rPr>
          <w:rFonts w:eastAsia="Times New Roman"/>
          <w:kern w:val="0"/>
          <w:sz w:val="24"/>
          <w:szCs w:val="24"/>
          <w:lang w:eastAsia="en-GB"/>
        </w:rPr>
        <w:t xml:space="preserve">Inclusion Support: with non-binary individuals representing 0.77%, the organisation should consider policies and practices that promote inclusion and support for non-binary employees. This could include the introduction of gender-neutral facilities, inclusive </w:t>
      </w:r>
      <w:r w:rsidR="00215BAF">
        <w:rPr>
          <w:rFonts w:eastAsia="Times New Roman"/>
          <w:kern w:val="0"/>
          <w:sz w:val="24"/>
          <w:szCs w:val="24"/>
          <w:lang w:eastAsia="en-GB"/>
        </w:rPr>
        <w:t>Language,</w:t>
      </w:r>
      <w:r>
        <w:rPr>
          <w:rFonts w:eastAsia="Times New Roman"/>
          <w:kern w:val="0"/>
          <w:sz w:val="24"/>
          <w:szCs w:val="24"/>
          <w:lang w:eastAsia="en-GB"/>
        </w:rPr>
        <w:t xml:space="preserve"> and diversity training.</w:t>
      </w:r>
    </w:p>
    <w:p w14:paraId="49DC273E" w14:textId="77777777" w:rsidR="009B6B1C" w:rsidRDefault="00F51A9B">
      <w:pPr>
        <w:pStyle w:val="ListParagraph"/>
        <w:numPr>
          <w:ilvl w:val="0"/>
          <w:numId w:val="16"/>
        </w:numPr>
        <w:spacing w:before="100" w:after="100" w:line="240" w:lineRule="auto"/>
        <w:rPr>
          <w:rFonts w:eastAsia="Times New Roman"/>
          <w:kern w:val="0"/>
          <w:sz w:val="24"/>
          <w:szCs w:val="24"/>
          <w:lang w:eastAsia="en-GB"/>
        </w:rPr>
      </w:pPr>
      <w:r>
        <w:rPr>
          <w:rFonts w:eastAsia="Times New Roman"/>
          <w:kern w:val="0"/>
          <w:sz w:val="24"/>
          <w:szCs w:val="24"/>
          <w:lang w:eastAsia="en-GB"/>
        </w:rPr>
        <w:t>Regular Monitoring and reporting gender distribution to track progress can identify areas form improvement by helping to maintain transparency and accountability regarding diversity.</w:t>
      </w:r>
    </w:p>
    <w:p w14:paraId="49DC273F" w14:textId="77777777" w:rsidR="009B6B1C" w:rsidRDefault="00F51A9B">
      <w:pPr>
        <w:pStyle w:val="ListParagraph"/>
        <w:numPr>
          <w:ilvl w:val="0"/>
          <w:numId w:val="16"/>
        </w:numPr>
        <w:spacing w:before="100" w:after="100" w:line="240" w:lineRule="auto"/>
        <w:rPr>
          <w:rFonts w:eastAsia="Times New Roman"/>
          <w:kern w:val="0"/>
          <w:sz w:val="24"/>
          <w:szCs w:val="24"/>
          <w:lang w:eastAsia="en-GB"/>
        </w:rPr>
      </w:pPr>
      <w:r>
        <w:rPr>
          <w:rFonts w:eastAsia="Times New Roman"/>
          <w:kern w:val="0"/>
          <w:sz w:val="24"/>
          <w:szCs w:val="24"/>
          <w:lang w:eastAsia="en-GB"/>
        </w:rPr>
        <w:t>Introducing Diversity Programs into the recruitment process, retraining current employees and promoting a diverse workforce can help to improve inclusivity in an organisation.</w:t>
      </w:r>
    </w:p>
    <w:p w14:paraId="49DC2740" w14:textId="77777777" w:rsidR="009B6B1C" w:rsidRDefault="00F51A9B">
      <w:pPr>
        <w:pStyle w:val="ListParagraph"/>
        <w:numPr>
          <w:ilvl w:val="0"/>
          <w:numId w:val="16"/>
        </w:numPr>
        <w:spacing w:before="100" w:after="100" w:line="240" w:lineRule="auto"/>
        <w:rPr>
          <w:rFonts w:eastAsia="Times New Roman"/>
          <w:kern w:val="0"/>
          <w:sz w:val="24"/>
          <w:szCs w:val="24"/>
          <w:lang w:eastAsia="en-GB"/>
        </w:rPr>
      </w:pPr>
      <w:r>
        <w:rPr>
          <w:rFonts w:eastAsia="Times New Roman"/>
          <w:kern w:val="0"/>
          <w:sz w:val="24"/>
          <w:szCs w:val="24"/>
          <w:lang w:eastAsia="en-GB"/>
        </w:rPr>
        <w:t>Encourage feedback from Employees about their experiences and perceptions relating to diversity and inclusion can provide valuable information for making informed decisions and improvements.</w:t>
      </w:r>
    </w:p>
    <w:p w14:paraId="49DC2741" w14:textId="77777777" w:rsidR="009B6B1C" w:rsidRDefault="009B6B1C">
      <w:pPr>
        <w:spacing w:before="100" w:after="100" w:line="240" w:lineRule="auto"/>
        <w:rPr>
          <w:rFonts w:eastAsia="Times New Roman"/>
          <w:kern w:val="0"/>
          <w:sz w:val="24"/>
          <w:szCs w:val="24"/>
          <w:lang w:eastAsia="en-GB"/>
        </w:rPr>
      </w:pPr>
    </w:p>
    <w:p w14:paraId="49DC2742" w14:textId="77777777" w:rsidR="009B6B1C" w:rsidRDefault="00F51A9B">
      <w:pPr>
        <w:pStyle w:val="ListParagraph"/>
        <w:numPr>
          <w:ilvl w:val="0"/>
          <w:numId w:val="14"/>
        </w:numPr>
        <w:spacing w:after="0" w:line="240" w:lineRule="auto"/>
        <w:rPr>
          <w:b/>
          <w:bCs/>
        </w:rPr>
      </w:pPr>
      <w:r>
        <w:rPr>
          <w:b/>
          <w:bCs/>
        </w:rPr>
        <w:t>ethnicity as a percentage per team.</w:t>
      </w:r>
    </w:p>
    <w:p w14:paraId="49DC2743" w14:textId="77777777" w:rsidR="009B6B1C" w:rsidRDefault="009B6B1C">
      <w:pPr>
        <w:spacing w:after="0" w:line="240" w:lineRule="auto"/>
        <w:rPr>
          <w:b/>
          <w:bCs/>
        </w:rPr>
      </w:pPr>
    </w:p>
    <w:p w14:paraId="49DC2744" w14:textId="77777777" w:rsidR="009B6B1C" w:rsidRDefault="009B6B1C">
      <w:pPr>
        <w:spacing w:after="0" w:line="240" w:lineRule="auto"/>
        <w:rPr>
          <w:b/>
          <w:bCs/>
        </w:rPr>
      </w:pPr>
    </w:p>
    <w:p w14:paraId="49DC2745" w14:textId="77777777" w:rsidR="009B6B1C" w:rsidRDefault="00F51A9B">
      <w:pPr>
        <w:pStyle w:val="ListParagraph"/>
        <w:numPr>
          <w:ilvl w:val="0"/>
          <w:numId w:val="17"/>
        </w:numPr>
        <w:spacing w:after="0" w:line="240" w:lineRule="auto"/>
      </w:pPr>
      <w:r>
        <w:t xml:space="preserve">Bar Graph </w:t>
      </w:r>
    </w:p>
    <w:p w14:paraId="49DC2746" w14:textId="77777777" w:rsidR="009B6B1C" w:rsidRDefault="00F51A9B">
      <w:r>
        <w:rPr>
          <w:noProof/>
        </w:rPr>
        <w:drawing>
          <wp:inline distT="0" distB="0" distL="0" distR="0" wp14:anchorId="49DC26AD" wp14:editId="49DC26AE">
            <wp:extent cx="5731514" cy="2281556"/>
            <wp:effectExtent l="0" t="0" r="0" b="0"/>
            <wp:docPr id="17861276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DC2747" w14:textId="77777777" w:rsidR="009B6B1C" w:rsidRDefault="009B6B1C"/>
    <w:p w14:paraId="49DC2748" w14:textId="77777777" w:rsidR="009B6B1C" w:rsidRDefault="009B6B1C">
      <w:pPr>
        <w:pStyle w:val="ListParagraph"/>
        <w:ind w:left="1080"/>
      </w:pPr>
    </w:p>
    <w:p w14:paraId="49DC2749" w14:textId="77777777" w:rsidR="009B6B1C" w:rsidRDefault="009B6B1C">
      <w:pPr>
        <w:pStyle w:val="ListParagraph"/>
        <w:ind w:left="1080"/>
      </w:pPr>
    </w:p>
    <w:p w14:paraId="49DC274A" w14:textId="77777777" w:rsidR="009B6B1C" w:rsidRDefault="009B6B1C">
      <w:pPr>
        <w:pStyle w:val="ListParagraph"/>
        <w:ind w:left="1080"/>
      </w:pPr>
    </w:p>
    <w:p w14:paraId="49DC274B" w14:textId="77777777" w:rsidR="009B6B1C" w:rsidRDefault="009B6B1C">
      <w:pPr>
        <w:pStyle w:val="ListParagraph"/>
        <w:ind w:left="1080"/>
      </w:pPr>
    </w:p>
    <w:p w14:paraId="49DC274C" w14:textId="77777777" w:rsidR="009B6B1C" w:rsidRDefault="009B6B1C">
      <w:pPr>
        <w:pStyle w:val="ListParagraph"/>
        <w:ind w:left="1080"/>
      </w:pPr>
    </w:p>
    <w:p w14:paraId="49DC274D" w14:textId="77777777" w:rsidR="009B6B1C" w:rsidRDefault="009B6B1C">
      <w:pPr>
        <w:pStyle w:val="ListParagraph"/>
        <w:ind w:left="1080"/>
      </w:pPr>
    </w:p>
    <w:p w14:paraId="49DC274E" w14:textId="77777777" w:rsidR="009B6B1C" w:rsidRDefault="009B6B1C">
      <w:pPr>
        <w:pStyle w:val="ListParagraph"/>
        <w:ind w:left="1080"/>
      </w:pPr>
    </w:p>
    <w:p w14:paraId="49DC274F" w14:textId="77777777" w:rsidR="009B6B1C" w:rsidRDefault="009B6B1C">
      <w:pPr>
        <w:pStyle w:val="ListParagraph"/>
        <w:ind w:left="1080"/>
      </w:pPr>
    </w:p>
    <w:p w14:paraId="49DC2750" w14:textId="77777777" w:rsidR="009B6B1C" w:rsidRDefault="009B6B1C">
      <w:pPr>
        <w:pStyle w:val="ListParagraph"/>
        <w:ind w:left="1080"/>
      </w:pPr>
    </w:p>
    <w:p w14:paraId="49DC2751" w14:textId="77777777" w:rsidR="009B6B1C" w:rsidRDefault="009B6B1C">
      <w:pPr>
        <w:pStyle w:val="ListParagraph"/>
        <w:ind w:left="1080"/>
      </w:pPr>
    </w:p>
    <w:p w14:paraId="49DC2752" w14:textId="77777777" w:rsidR="009B6B1C" w:rsidRDefault="009B6B1C">
      <w:pPr>
        <w:pStyle w:val="ListParagraph"/>
        <w:ind w:left="1080"/>
      </w:pPr>
    </w:p>
    <w:p w14:paraId="49DC2753" w14:textId="77777777" w:rsidR="009B6B1C" w:rsidRDefault="009B6B1C">
      <w:pPr>
        <w:pStyle w:val="ListParagraph"/>
        <w:ind w:left="1080"/>
      </w:pPr>
    </w:p>
    <w:p w14:paraId="49DC2754" w14:textId="77777777" w:rsidR="009B6B1C" w:rsidRDefault="009B6B1C">
      <w:pPr>
        <w:pStyle w:val="ListParagraph"/>
        <w:ind w:left="1080"/>
      </w:pPr>
    </w:p>
    <w:p w14:paraId="49DC2755" w14:textId="77777777" w:rsidR="009B6B1C" w:rsidRDefault="009B6B1C">
      <w:pPr>
        <w:pStyle w:val="ListParagraph"/>
        <w:ind w:left="1080"/>
      </w:pPr>
    </w:p>
    <w:p w14:paraId="49DC2756" w14:textId="77777777" w:rsidR="009B6B1C" w:rsidRDefault="009B6B1C">
      <w:pPr>
        <w:pStyle w:val="ListParagraph"/>
        <w:ind w:left="1080"/>
      </w:pPr>
    </w:p>
    <w:p w14:paraId="49DC2757" w14:textId="77777777" w:rsidR="009B6B1C" w:rsidRDefault="009B6B1C">
      <w:pPr>
        <w:pStyle w:val="ListParagraph"/>
        <w:ind w:left="1080"/>
      </w:pPr>
    </w:p>
    <w:p w14:paraId="49DC2758" w14:textId="77777777" w:rsidR="009B6B1C" w:rsidRDefault="00F51A9B">
      <w:pPr>
        <w:pStyle w:val="ListParagraph"/>
        <w:numPr>
          <w:ilvl w:val="0"/>
          <w:numId w:val="17"/>
        </w:numPr>
      </w:pPr>
      <w:r>
        <w:t>Stacked Bar Graph</w:t>
      </w:r>
    </w:p>
    <w:p w14:paraId="49DC2759" w14:textId="77777777" w:rsidR="009B6B1C" w:rsidRDefault="00F51A9B">
      <w:r>
        <w:rPr>
          <w:noProof/>
        </w:rPr>
        <w:lastRenderedPageBreak/>
        <w:drawing>
          <wp:inline distT="0" distB="0" distL="0" distR="0" wp14:anchorId="49DC26AF" wp14:editId="49DC26B0">
            <wp:extent cx="5577840" cy="2743200"/>
            <wp:effectExtent l="0" t="0" r="0" b="0"/>
            <wp:docPr id="64508039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DC275A" w14:textId="77777777" w:rsidR="009B6B1C" w:rsidRDefault="009B6B1C">
      <w:pPr>
        <w:rPr>
          <w:sz w:val="24"/>
          <w:szCs w:val="24"/>
        </w:rPr>
      </w:pPr>
    </w:p>
    <w:p w14:paraId="49DC275B" w14:textId="77777777" w:rsidR="009B6B1C" w:rsidRDefault="009B6B1C">
      <w:pPr>
        <w:rPr>
          <w:sz w:val="24"/>
          <w:szCs w:val="24"/>
        </w:rPr>
      </w:pPr>
    </w:p>
    <w:p w14:paraId="49DC275C" w14:textId="77777777" w:rsidR="009B6B1C" w:rsidRDefault="009B6B1C">
      <w:pPr>
        <w:rPr>
          <w:b/>
          <w:bCs/>
          <w:sz w:val="24"/>
          <w:szCs w:val="24"/>
        </w:rPr>
      </w:pPr>
    </w:p>
    <w:p w14:paraId="49DC275D" w14:textId="77777777" w:rsidR="009B6B1C" w:rsidRDefault="00F51A9B">
      <w:pPr>
        <w:rPr>
          <w:b/>
          <w:bCs/>
          <w:sz w:val="24"/>
          <w:szCs w:val="24"/>
        </w:rPr>
      </w:pPr>
      <w:r>
        <w:rPr>
          <w:b/>
          <w:bCs/>
          <w:sz w:val="24"/>
          <w:szCs w:val="24"/>
        </w:rPr>
        <w:t>Visualisation of Ethnicity Distribution per Team</w:t>
      </w:r>
    </w:p>
    <w:p w14:paraId="49DC275E" w14:textId="77777777" w:rsidR="009B6B1C" w:rsidRDefault="009B6B1C">
      <w:pPr>
        <w:rPr>
          <w:sz w:val="24"/>
          <w:szCs w:val="24"/>
        </w:rPr>
      </w:pPr>
    </w:p>
    <w:p w14:paraId="49DC275F" w14:textId="77777777" w:rsidR="009B6B1C" w:rsidRDefault="00F51A9B">
      <w:r>
        <w:rPr>
          <w:b/>
          <w:bCs/>
          <w:sz w:val="24"/>
          <w:szCs w:val="24"/>
        </w:rPr>
        <w:t>Bar Graph</w:t>
      </w:r>
      <w:r>
        <w:rPr>
          <w:sz w:val="24"/>
          <w:szCs w:val="24"/>
        </w:rPr>
        <w:t xml:space="preserve"> – The bar graph shows the distribution of each ethnicity within different </w:t>
      </w:r>
      <w:r>
        <w:rPr>
          <w:sz w:val="24"/>
          <w:szCs w:val="24"/>
        </w:rPr>
        <w:t>teams. Each bar represents a team, with separate bars for each ethnicity within the team.</w:t>
      </w:r>
    </w:p>
    <w:p w14:paraId="49DC2760" w14:textId="77777777" w:rsidR="009B6B1C" w:rsidRDefault="00F51A9B">
      <w:r>
        <w:rPr>
          <w:b/>
          <w:bCs/>
          <w:sz w:val="24"/>
          <w:szCs w:val="24"/>
        </w:rPr>
        <w:t>Stacked Bar Graph</w:t>
      </w:r>
      <w:r>
        <w:rPr>
          <w:sz w:val="24"/>
          <w:szCs w:val="24"/>
        </w:rPr>
        <w:t xml:space="preserve"> – The stacked bar graph provides a more comprehensive view of the overall structure of each team by stacking the percentages of each </w:t>
      </w:r>
      <w:r>
        <w:rPr>
          <w:sz w:val="24"/>
          <w:szCs w:val="24"/>
        </w:rPr>
        <w:t>ethnicity. This allows for a clearer comparison of diversity across all teams.</w:t>
      </w:r>
    </w:p>
    <w:p w14:paraId="49DC2761" w14:textId="224A8313" w:rsidR="009B6B1C" w:rsidRDefault="00F51A9B">
      <w:pPr>
        <w:jc w:val="both"/>
        <w:rPr>
          <w:sz w:val="24"/>
          <w:szCs w:val="24"/>
        </w:rPr>
      </w:pPr>
      <w:r>
        <w:rPr>
          <w:sz w:val="24"/>
          <w:szCs w:val="24"/>
        </w:rPr>
        <w:t xml:space="preserve">Based on the ethnicity distribution and graphs, this organisation has </w:t>
      </w:r>
      <w:r w:rsidR="00215BAF">
        <w:rPr>
          <w:sz w:val="24"/>
          <w:szCs w:val="24"/>
        </w:rPr>
        <w:t xml:space="preserve">numerous </w:t>
      </w:r>
      <w:r>
        <w:rPr>
          <w:sz w:val="24"/>
          <w:szCs w:val="24"/>
        </w:rPr>
        <w:t xml:space="preserve">teams that have limited or no representation of certain ethnic groups. Introducing </w:t>
      </w:r>
      <w:r>
        <w:rPr>
          <w:sz w:val="24"/>
          <w:szCs w:val="24"/>
        </w:rPr>
        <w:t>initiatives to attract a more diverse applicant can help to improve this data.</w:t>
      </w:r>
    </w:p>
    <w:p w14:paraId="49DC2762" w14:textId="77777777" w:rsidR="009B6B1C" w:rsidRDefault="00F51A9B">
      <w:pPr>
        <w:jc w:val="both"/>
        <w:rPr>
          <w:sz w:val="24"/>
          <w:szCs w:val="24"/>
        </w:rPr>
      </w:pPr>
      <w:r>
        <w:rPr>
          <w:sz w:val="24"/>
          <w:szCs w:val="24"/>
        </w:rPr>
        <w:t>1. Introducing mentorship and support programs would help to support a more inclusive workforce.</w:t>
      </w:r>
    </w:p>
    <w:p w14:paraId="49DC2763" w14:textId="77777777" w:rsidR="009B6B1C" w:rsidRDefault="00F51A9B">
      <w:pPr>
        <w:jc w:val="both"/>
        <w:rPr>
          <w:sz w:val="24"/>
          <w:szCs w:val="24"/>
        </w:rPr>
      </w:pPr>
      <w:r>
        <w:rPr>
          <w:sz w:val="24"/>
          <w:szCs w:val="24"/>
        </w:rPr>
        <w:t>2. Conducting regular audits to monitor diversity within teams and tracking progress over time can help to identify areas needing attention regarding diversity and inclusion.</w:t>
      </w:r>
    </w:p>
    <w:p w14:paraId="49DC2764" w14:textId="77777777" w:rsidR="009B6B1C" w:rsidRDefault="00F51A9B">
      <w:pPr>
        <w:jc w:val="both"/>
        <w:rPr>
          <w:sz w:val="24"/>
          <w:szCs w:val="24"/>
        </w:rPr>
      </w:pPr>
      <w:r>
        <w:rPr>
          <w:sz w:val="24"/>
          <w:szCs w:val="24"/>
        </w:rPr>
        <w:t>3. Training programs for employees to raise awareness about the importance of diversity and inclusion can create a more supportive and inclusive environment.</w:t>
      </w:r>
    </w:p>
    <w:p w14:paraId="49DC2765" w14:textId="77777777" w:rsidR="009B6B1C" w:rsidRDefault="009B6B1C">
      <w:pPr>
        <w:jc w:val="both"/>
        <w:rPr>
          <w:sz w:val="24"/>
          <w:szCs w:val="24"/>
        </w:rPr>
      </w:pPr>
    </w:p>
    <w:p w14:paraId="49DC2766" w14:textId="77777777" w:rsidR="009B6B1C" w:rsidRDefault="00F51A9B">
      <w:pPr>
        <w:jc w:val="both"/>
        <w:rPr>
          <w:sz w:val="24"/>
          <w:szCs w:val="24"/>
        </w:rPr>
      </w:pPr>
      <w:r>
        <w:rPr>
          <w:sz w:val="24"/>
          <w:szCs w:val="24"/>
        </w:rPr>
        <w:t>4. Reviewing and updating recruitment practices to ensure that recruitment practices are inclusive and free of bias. This can include using a diverse interview panel and standardise evaluation criteria.</w:t>
      </w:r>
    </w:p>
    <w:p w14:paraId="49DC2767" w14:textId="77777777" w:rsidR="009B6B1C" w:rsidRDefault="00F51A9B">
      <w:pPr>
        <w:jc w:val="both"/>
        <w:rPr>
          <w:sz w:val="24"/>
          <w:szCs w:val="24"/>
        </w:rPr>
      </w:pPr>
      <w:r>
        <w:rPr>
          <w:sz w:val="24"/>
          <w:szCs w:val="24"/>
        </w:rPr>
        <w:t>5. Employee resource groups for different ethnicities to provide a platform for employees to share experiences and provide a supportive team network.</w:t>
      </w:r>
    </w:p>
    <w:p w14:paraId="49DC2768" w14:textId="77777777" w:rsidR="009B6B1C" w:rsidRDefault="00F51A9B">
      <w:pPr>
        <w:jc w:val="both"/>
        <w:rPr>
          <w:sz w:val="24"/>
          <w:szCs w:val="24"/>
        </w:rPr>
      </w:pPr>
      <w:r>
        <w:rPr>
          <w:sz w:val="24"/>
          <w:szCs w:val="24"/>
        </w:rPr>
        <w:t>By focusing on these areas, the organisation can enhance its diversity and inclusion efforts leading to a more balanced workforce.</w:t>
      </w:r>
    </w:p>
    <w:p w14:paraId="49DC2769" w14:textId="77777777" w:rsidR="009B6B1C" w:rsidRDefault="009B6B1C">
      <w:pPr>
        <w:spacing w:after="0" w:line="240" w:lineRule="auto"/>
        <w:rPr>
          <w:sz w:val="24"/>
          <w:szCs w:val="24"/>
        </w:rPr>
      </w:pPr>
    </w:p>
    <w:p w14:paraId="49DC276A" w14:textId="77777777" w:rsidR="009B6B1C" w:rsidRDefault="009B6B1C">
      <w:pPr>
        <w:spacing w:after="0" w:line="240" w:lineRule="auto"/>
        <w:rPr>
          <w:b/>
          <w:bCs/>
          <w:sz w:val="24"/>
          <w:szCs w:val="24"/>
        </w:rPr>
      </w:pPr>
    </w:p>
    <w:p w14:paraId="49DC276B" w14:textId="77777777" w:rsidR="009B6B1C" w:rsidRDefault="009B6B1C">
      <w:pPr>
        <w:spacing w:after="0" w:line="240" w:lineRule="auto"/>
        <w:rPr>
          <w:b/>
          <w:bCs/>
          <w:sz w:val="24"/>
          <w:szCs w:val="24"/>
        </w:rPr>
      </w:pPr>
    </w:p>
    <w:p w14:paraId="49DC276C" w14:textId="77777777" w:rsidR="009B6B1C" w:rsidRDefault="009B6B1C">
      <w:pPr>
        <w:pStyle w:val="ListParagraph"/>
        <w:spacing w:after="0" w:line="240" w:lineRule="auto"/>
        <w:rPr>
          <w:b/>
          <w:bCs/>
          <w:sz w:val="24"/>
          <w:szCs w:val="24"/>
        </w:rPr>
      </w:pPr>
    </w:p>
    <w:p w14:paraId="49DC276D" w14:textId="77777777" w:rsidR="009B6B1C" w:rsidRDefault="00F51A9B">
      <w:pPr>
        <w:pStyle w:val="ListParagraph"/>
        <w:numPr>
          <w:ilvl w:val="0"/>
          <w:numId w:val="14"/>
        </w:numPr>
        <w:spacing w:after="0" w:line="240" w:lineRule="auto"/>
        <w:rPr>
          <w:b/>
          <w:bCs/>
          <w:sz w:val="24"/>
          <w:szCs w:val="24"/>
        </w:rPr>
      </w:pPr>
      <w:r>
        <w:rPr>
          <w:b/>
          <w:bCs/>
          <w:sz w:val="24"/>
          <w:szCs w:val="24"/>
        </w:rPr>
        <w:t xml:space="preserve">disability percentage as an organisational whole and by teams. </w:t>
      </w:r>
    </w:p>
    <w:p w14:paraId="49DC276E" w14:textId="77777777" w:rsidR="009B6B1C" w:rsidRDefault="009B6B1C"/>
    <w:p w14:paraId="49DC276F" w14:textId="77777777" w:rsidR="009B6B1C" w:rsidRDefault="00F51A9B">
      <w:pPr>
        <w:pStyle w:val="ListParagraph"/>
        <w:numPr>
          <w:ilvl w:val="0"/>
          <w:numId w:val="18"/>
        </w:numPr>
        <w:spacing w:before="240"/>
      </w:pPr>
      <w:r>
        <w:t>Disability per team</w:t>
      </w:r>
    </w:p>
    <w:p w14:paraId="49DC2770" w14:textId="77777777" w:rsidR="009B6B1C" w:rsidRDefault="00F51A9B">
      <w:r>
        <w:rPr>
          <w:noProof/>
        </w:rPr>
        <w:drawing>
          <wp:inline distT="0" distB="0" distL="0" distR="0" wp14:anchorId="49DC26B1" wp14:editId="49DC26B2">
            <wp:extent cx="6240149" cy="2743200"/>
            <wp:effectExtent l="0" t="0" r="0" b="0"/>
            <wp:docPr id="3327217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DC2771" w14:textId="77777777" w:rsidR="009B6B1C" w:rsidRDefault="009B6B1C"/>
    <w:p w14:paraId="49DC2772" w14:textId="77777777" w:rsidR="009B6B1C" w:rsidRDefault="009B6B1C"/>
    <w:p w14:paraId="49DC2773" w14:textId="77777777" w:rsidR="009B6B1C" w:rsidRDefault="009B6B1C"/>
    <w:p w14:paraId="49DC2774" w14:textId="77777777" w:rsidR="009B6B1C" w:rsidRDefault="009B6B1C">
      <w:pPr>
        <w:pStyle w:val="ListParagraph"/>
        <w:ind w:left="1080"/>
      </w:pPr>
    </w:p>
    <w:p w14:paraId="49DC2775" w14:textId="77777777" w:rsidR="009B6B1C" w:rsidRDefault="00F51A9B">
      <w:pPr>
        <w:pStyle w:val="ListParagraph"/>
        <w:numPr>
          <w:ilvl w:val="0"/>
          <w:numId w:val="18"/>
        </w:numPr>
      </w:pPr>
      <w:r>
        <w:t>Disability per Organisation</w:t>
      </w:r>
    </w:p>
    <w:p w14:paraId="49DC2776" w14:textId="77777777" w:rsidR="009B6B1C" w:rsidRDefault="009B6B1C">
      <w:pPr>
        <w:rPr>
          <w:b/>
          <w:bCs/>
        </w:rPr>
      </w:pPr>
    </w:p>
    <w:p w14:paraId="49DC2777" w14:textId="77777777" w:rsidR="009B6B1C" w:rsidRDefault="00F51A9B">
      <w:r>
        <w:rPr>
          <w:noProof/>
        </w:rPr>
        <w:lastRenderedPageBreak/>
        <w:drawing>
          <wp:inline distT="0" distB="0" distL="0" distR="0" wp14:anchorId="49DC26B3" wp14:editId="49DC26B4">
            <wp:extent cx="4572000" cy="2743200"/>
            <wp:effectExtent l="0" t="0" r="0" b="0"/>
            <wp:docPr id="18073483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DC2778" w14:textId="77777777" w:rsidR="009B6B1C" w:rsidRDefault="009B6B1C">
      <w:pPr>
        <w:rPr>
          <w:b/>
          <w:bCs/>
        </w:rPr>
      </w:pPr>
    </w:p>
    <w:tbl>
      <w:tblPr>
        <w:tblW w:w="7900" w:type="dxa"/>
        <w:tblInd w:w="108" w:type="dxa"/>
        <w:tblCellMar>
          <w:left w:w="10" w:type="dxa"/>
          <w:right w:w="10" w:type="dxa"/>
        </w:tblCellMar>
        <w:tblLook w:val="04A0" w:firstRow="1" w:lastRow="0" w:firstColumn="1" w:lastColumn="0" w:noHBand="0" w:noVBand="1"/>
      </w:tblPr>
      <w:tblGrid>
        <w:gridCol w:w="3820"/>
        <w:gridCol w:w="1680"/>
        <w:gridCol w:w="1240"/>
        <w:gridCol w:w="1160"/>
      </w:tblGrid>
      <w:tr w:rsidR="009B6B1C" w14:paraId="49DC277D" w14:textId="77777777">
        <w:tblPrEx>
          <w:tblCellMar>
            <w:top w:w="0" w:type="dxa"/>
            <w:bottom w:w="0" w:type="dxa"/>
          </w:tblCellMar>
        </w:tblPrEx>
        <w:trPr>
          <w:trHeight w:val="288"/>
        </w:trPr>
        <w:tc>
          <w:tcPr>
            <w:tcW w:w="3820" w:type="dxa"/>
            <w:shd w:val="clear" w:color="auto" w:fill="D9E1F2"/>
            <w:noWrap/>
            <w:tcMar>
              <w:top w:w="0" w:type="dxa"/>
              <w:left w:w="108" w:type="dxa"/>
              <w:bottom w:w="0" w:type="dxa"/>
              <w:right w:w="108" w:type="dxa"/>
            </w:tcMar>
            <w:vAlign w:val="bottom"/>
          </w:tcPr>
          <w:p w14:paraId="49DC2779"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Count of Role</w:t>
            </w:r>
          </w:p>
        </w:tc>
        <w:tc>
          <w:tcPr>
            <w:tcW w:w="1680" w:type="dxa"/>
            <w:shd w:val="clear" w:color="auto" w:fill="D9E1F2"/>
            <w:noWrap/>
            <w:tcMar>
              <w:top w:w="0" w:type="dxa"/>
              <w:left w:w="108" w:type="dxa"/>
              <w:bottom w:w="0" w:type="dxa"/>
              <w:right w:w="108" w:type="dxa"/>
            </w:tcMar>
            <w:vAlign w:val="bottom"/>
          </w:tcPr>
          <w:p w14:paraId="49DC277A"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Column Labels</w:t>
            </w:r>
          </w:p>
        </w:tc>
        <w:tc>
          <w:tcPr>
            <w:tcW w:w="1240" w:type="dxa"/>
            <w:shd w:val="clear" w:color="auto" w:fill="D9E1F2"/>
            <w:noWrap/>
            <w:tcMar>
              <w:top w:w="0" w:type="dxa"/>
              <w:left w:w="108" w:type="dxa"/>
              <w:bottom w:w="0" w:type="dxa"/>
              <w:right w:w="108" w:type="dxa"/>
            </w:tcMar>
            <w:vAlign w:val="bottom"/>
          </w:tcPr>
          <w:p w14:paraId="49DC277B" w14:textId="77777777" w:rsidR="009B6B1C" w:rsidRDefault="009B6B1C">
            <w:pPr>
              <w:spacing w:after="0" w:line="240" w:lineRule="auto"/>
              <w:rPr>
                <w:rFonts w:ascii="Calibri" w:eastAsia="Times New Roman" w:hAnsi="Calibri" w:cs="Calibri"/>
                <w:b/>
                <w:bCs/>
                <w:color w:val="000000"/>
                <w:kern w:val="0"/>
                <w:lang w:eastAsia="en-GB"/>
              </w:rPr>
            </w:pPr>
          </w:p>
        </w:tc>
        <w:tc>
          <w:tcPr>
            <w:tcW w:w="1160" w:type="dxa"/>
            <w:shd w:val="clear" w:color="auto" w:fill="D9E1F2"/>
            <w:noWrap/>
            <w:tcMar>
              <w:top w:w="0" w:type="dxa"/>
              <w:left w:w="108" w:type="dxa"/>
              <w:bottom w:w="0" w:type="dxa"/>
              <w:right w:w="108" w:type="dxa"/>
            </w:tcMar>
            <w:vAlign w:val="bottom"/>
          </w:tcPr>
          <w:p w14:paraId="49DC277C" w14:textId="77777777" w:rsidR="009B6B1C" w:rsidRDefault="009B6B1C">
            <w:pPr>
              <w:spacing w:after="0" w:line="240" w:lineRule="auto"/>
              <w:rPr>
                <w:rFonts w:ascii="Times New Roman" w:eastAsia="Times New Roman" w:hAnsi="Times New Roman"/>
                <w:kern w:val="0"/>
                <w:sz w:val="20"/>
                <w:szCs w:val="20"/>
                <w:lang w:eastAsia="en-GB"/>
              </w:rPr>
            </w:pPr>
          </w:p>
        </w:tc>
      </w:tr>
      <w:tr w:rsidR="009B6B1C" w14:paraId="49DC2782" w14:textId="77777777">
        <w:tblPrEx>
          <w:tblCellMar>
            <w:top w:w="0" w:type="dxa"/>
            <w:bottom w:w="0" w:type="dxa"/>
          </w:tblCellMar>
        </w:tblPrEx>
        <w:trPr>
          <w:trHeight w:val="288"/>
        </w:trPr>
        <w:tc>
          <w:tcPr>
            <w:tcW w:w="3820" w:type="dxa"/>
            <w:tcBorders>
              <w:bottom w:val="single" w:sz="4" w:space="0" w:color="8EA9DB"/>
            </w:tcBorders>
            <w:shd w:val="clear" w:color="auto" w:fill="D9E1F2"/>
            <w:noWrap/>
            <w:tcMar>
              <w:top w:w="0" w:type="dxa"/>
              <w:left w:w="108" w:type="dxa"/>
              <w:bottom w:w="0" w:type="dxa"/>
              <w:right w:w="108" w:type="dxa"/>
            </w:tcMar>
            <w:vAlign w:val="bottom"/>
          </w:tcPr>
          <w:p w14:paraId="49DC277E"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Row Labels</w:t>
            </w:r>
          </w:p>
        </w:tc>
        <w:tc>
          <w:tcPr>
            <w:tcW w:w="1680" w:type="dxa"/>
            <w:tcBorders>
              <w:bottom w:val="single" w:sz="4" w:space="0" w:color="8EA9DB"/>
            </w:tcBorders>
            <w:shd w:val="clear" w:color="auto" w:fill="D9E1F2"/>
            <w:noWrap/>
            <w:tcMar>
              <w:top w:w="0" w:type="dxa"/>
              <w:left w:w="108" w:type="dxa"/>
              <w:bottom w:w="0" w:type="dxa"/>
              <w:right w:w="108" w:type="dxa"/>
            </w:tcMar>
            <w:vAlign w:val="bottom"/>
          </w:tcPr>
          <w:p w14:paraId="49DC277F"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Disabled</w:t>
            </w:r>
          </w:p>
        </w:tc>
        <w:tc>
          <w:tcPr>
            <w:tcW w:w="1240" w:type="dxa"/>
            <w:tcBorders>
              <w:bottom w:val="single" w:sz="4" w:space="0" w:color="8EA9DB"/>
            </w:tcBorders>
            <w:shd w:val="clear" w:color="auto" w:fill="D9E1F2"/>
            <w:noWrap/>
            <w:tcMar>
              <w:top w:w="0" w:type="dxa"/>
              <w:left w:w="108" w:type="dxa"/>
              <w:bottom w:w="0" w:type="dxa"/>
              <w:right w:w="108" w:type="dxa"/>
            </w:tcMar>
            <w:vAlign w:val="bottom"/>
          </w:tcPr>
          <w:p w14:paraId="49DC2780"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Not disabled</w:t>
            </w:r>
          </w:p>
        </w:tc>
        <w:tc>
          <w:tcPr>
            <w:tcW w:w="1160" w:type="dxa"/>
            <w:tcBorders>
              <w:bottom w:val="single" w:sz="4" w:space="0" w:color="8EA9DB"/>
            </w:tcBorders>
            <w:shd w:val="clear" w:color="auto" w:fill="D9E1F2"/>
            <w:noWrap/>
            <w:tcMar>
              <w:top w:w="0" w:type="dxa"/>
              <w:left w:w="108" w:type="dxa"/>
              <w:bottom w:w="0" w:type="dxa"/>
              <w:right w:w="108" w:type="dxa"/>
            </w:tcMar>
            <w:vAlign w:val="bottom"/>
          </w:tcPr>
          <w:p w14:paraId="49DC2781"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Grand Total</w:t>
            </w:r>
          </w:p>
        </w:tc>
      </w:tr>
      <w:tr w:rsidR="009B6B1C" w14:paraId="49DC2787"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83"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Business Services</w:t>
            </w:r>
          </w:p>
        </w:tc>
        <w:tc>
          <w:tcPr>
            <w:tcW w:w="1680" w:type="dxa"/>
            <w:shd w:val="clear" w:color="auto" w:fill="auto"/>
            <w:noWrap/>
            <w:tcMar>
              <w:top w:w="0" w:type="dxa"/>
              <w:left w:w="108" w:type="dxa"/>
              <w:bottom w:w="0" w:type="dxa"/>
              <w:right w:w="108" w:type="dxa"/>
            </w:tcMar>
            <w:vAlign w:val="bottom"/>
          </w:tcPr>
          <w:p w14:paraId="49DC2784"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85"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3.46%</w:t>
            </w:r>
          </w:p>
        </w:tc>
        <w:tc>
          <w:tcPr>
            <w:tcW w:w="1160" w:type="dxa"/>
            <w:shd w:val="clear" w:color="auto" w:fill="auto"/>
            <w:noWrap/>
            <w:tcMar>
              <w:top w:w="0" w:type="dxa"/>
              <w:left w:w="108" w:type="dxa"/>
              <w:bottom w:w="0" w:type="dxa"/>
              <w:right w:w="108" w:type="dxa"/>
            </w:tcMar>
            <w:vAlign w:val="bottom"/>
          </w:tcPr>
          <w:p w14:paraId="49DC2786"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3.46%</w:t>
            </w:r>
          </w:p>
        </w:tc>
      </w:tr>
      <w:tr w:rsidR="009B6B1C" w14:paraId="49DC278C"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88"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Community Engagement and </w:t>
            </w:r>
            <w:r>
              <w:rPr>
                <w:rFonts w:ascii="Calibri" w:eastAsia="Times New Roman" w:hAnsi="Calibri" w:cs="Calibri"/>
                <w:color w:val="000000"/>
                <w:kern w:val="0"/>
                <w:lang w:eastAsia="en-GB"/>
              </w:rPr>
              <w:t>Partnerships</w:t>
            </w:r>
          </w:p>
        </w:tc>
        <w:tc>
          <w:tcPr>
            <w:tcW w:w="1680" w:type="dxa"/>
            <w:shd w:val="clear" w:color="auto" w:fill="auto"/>
            <w:noWrap/>
            <w:tcMar>
              <w:top w:w="0" w:type="dxa"/>
              <w:left w:w="108" w:type="dxa"/>
              <w:bottom w:w="0" w:type="dxa"/>
              <w:right w:w="108" w:type="dxa"/>
            </w:tcMar>
            <w:vAlign w:val="bottom"/>
          </w:tcPr>
          <w:p w14:paraId="49DC2789"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0.38%</w:t>
            </w:r>
          </w:p>
        </w:tc>
        <w:tc>
          <w:tcPr>
            <w:tcW w:w="1240" w:type="dxa"/>
            <w:shd w:val="clear" w:color="auto" w:fill="auto"/>
            <w:noWrap/>
            <w:tcMar>
              <w:top w:w="0" w:type="dxa"/>
              <w:left w:w="108" w:type="dxa"/>
              <w:bottom w:w="0" w:type="dxa"/>
              <w:right w:w="108" w:type="dxa"/>
            </w:tcMar>
            <w:vAlign w:val="bottom"/>
          </w:tcPr>
          <w:p w14:paraId="49DC278A"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2.31%</w:t>
            </w:r>
          </w:p>
        </w:tc>
        <w:tc>
          <w:tcPr>
            <w:tcW w:w="1160" w:type="dxa"/>
            <w:shd w:val="clear" w:color="auto" w:fill="auto"/>
            <w:noWrap/>
            <w:tcMar>
              <w:top w:w="0" w:type="dxa"/>
              <w:left w:w="108" w:type="dxa"/>
              <w:bottom w:w="0" w:type="dxa"/>
              <w:right w:w="108" w:type="dxa"/>
            </w:tcMar>
            <w:vAlign w:val="bottom"/>
          </w:tcPr>
          <w:p w14:paraId="49DC278B"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2.69%</w:t>
            </w:r>
          </w:p>
        </w:tc>
      </w:tr>
      <w:tr w:rsidR="009B6B1C" w14:paraId="49DC2791"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8D"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Customer Services</w:t>
            </w:r>
          </w:p>
        </w:tc>
        <w:tc>
          <w:tcPr>
            <w:tcW w:w="1680" w:type="dxa"/>
            <w:shd w:val="clear" w:color="auto" w:fill="auto"/>
            <w:noWrap/>
            <w:tcMar>
              <w:top w:w="0" w:type="dxa"/>
              <w:left w:w="108" w:type="dxa"/>
              <w:bottom w:w="0" w:type="dxa"/>
              <w:right w:w="108" w:type="dxa"/>
            </w:tcMar>
            <w:vAlign w:val="bottom"/>
          </w:tcPr>
          <w:p w14:paraId="49DC278E"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1.15%</w:t>
            </w:r>
          </w:p>
        </w:tc>
        <w:tc>
          <w:tcPr>
            <w:tcW w:w="1240" w:type="dxa"/>
            <w:shd w:val="clear" w:color="auto" w:fill="auto"/>
            <w:noWrap/>
            <w:tcMar>
              <w:top w:w="0" w:type="dxa"/>
              <w:left w:w="108" w:type="dxa"/>
              <w:bottom w:w="0" w:type="dxa"/>
              <w:right w:w="108" w:type="dxa"/>
            </w:tcMar>
            <w:vAlign w:val="bottom"/>
          </w:tcPr>
          <w:p w14:paraId="49DC278F"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4.62%</w:t>
            </w:r>
          </w:p>
        </w:tc>
        <w:tc>
          <w:tcPr>
            <w:tcW w:w="1160" w:type="dxa"/>
            <w:shd w:val="clear" w:color="auto" w:fill="auto"/>
            <w:noWrap/>
            <w:tcMar>
              <w:top w:w="0" w:type="dxa"/>
              <w:left w:w="108" w:type="dxa"/>
              <w:bottom w:w="0" w:type="dxa"/>
              <w:right w:w="108" w:type="dxa"/>
            </w:tcMar>
            <w:vAlign w:val="bottom"/>
          </w:tcPr>
          <w:p w14:paraId="49DC2790"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5.77%</w:t>
            </w:r>
          </w:p>
        </w:tc>
      </w:tr>
      <w:tr w:rsidR="009B6B1C" w14:paraId="49DC2796"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92"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Directors</w:t>
            </w:r>
          </w:p>
        </w:tc>
        <w:tc>
          <w:tcPr>
            <w:tcW w:w="1680" w:type="dxa"/>
            <w:shd w:val="clear" w:color="auto" w:fill="auto"/>
            <w:noWrap/>
            <w:tcMar>
              <w:top w:w="0" w:type="dxa"/>
              <w:left w:w="108" w:type="dxa"/>
              <w:bottom w:w="0" w:type="dxa"/>
              <w:right w:w="108" w:type="dxa"/>
            </w:tcMar>
            <w:vAlign w:val="bottom"/>
          </w:tcPr>
          <w:p w14:paraId="49DC2793"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94"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1.92%</w:t>
            </w:r>
          </w:p>
        </w:tc>
        <w:tc>
          <w:tcPr>
            <w:tcW w:w="1160" w:type="dxa"/>
            <w:shd w:val="clear" w:color="auto" w:fill="auto"/>
            <w:noWrap/>
            <w:tcMar>
              <w:top w:w="0" w:type="dxa"/>
              <w:left w:w="108" w:type="dxa"/>
              <w:bottom w:w="0" w:type="dxa"/>
              <w:right w:w="108" w:type="dxa"/>
            </w:tcMar>
            <w:vAlign w:val="bottom"/>
          </w:tcPr>
          <w:p w14:paraId="49DC2795"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1.92%</w:t>
            </w:r>
          </w:p>
        </w:tc>
      </w:tr>
      <w:tr w:rsidR="009B6B1C" w14:paraId="49DC279B"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97"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Facilities</w:t>
            </w:r>
          </w:p>
        </w:tc>
        <w:tc>
          <w:tcPr>
            <w:tcW w:w="1680" w:type="dxa"/>
            <w:shd w:val="clear" w:color="auto" w:fill="auto"/>
            <w:noWrap/>
            <w:tcMar>
              <w:top w:w="0" w:type="dxa"/>
              <w:left w:w="108" w:type="dxa"/>
              <w:bottom w:w="0" w:type="dxa"/>
              <w:right w:w="108" w:type="dxa"/>
            </w:tcMar>
            <w:vAlign w:val="bottom"/>
          </w:tcPr>
          <w:p w14:paraId="49DC2798"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99"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c>
          <w:tcPr>
            <w:tcW w:w="1160" w:type="dxa"/>
            <w:shd w:val="clear" w:color="auto" w:fill="auto"/>
            <w:noWrap/>
            <w:tcMar>
              <w:top w:w="0" w:type="dxa"/>
              <w:left w:w="108" w:type="dxa"/>
              <w:bottom w:w="0" w:type="dxa"/>
              <w:right w:w="108" w:type="dxa"/>
            </w:tcMar>
            <w:vAlign w:val="bottom"/>
          </w:tcPr>
          <w:p w14:paraId="49DC279A"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r>
      <w:tr w:rsidR="009B6B1C" w14:paraId="49DC27A0"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9C"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Finance</w:t>
            </w:r>
          </w:p>
        </w:tc>
        <w:tc>
          <w:tcPr>
            <w:tcW w:w="1680" w:type="dxa"/>
            <w:shd w:val="clear" w:color="auto" w:fill="auto"/>
            <w:noWrap/>
            <w:tcMar>
              <w:top w:w="0" w:type="dxa"/>
              <w:left w:w="108" w:type="dxa"/>
              <w:bottom w:w="0" w:type="dxa"/>
              <w:right w:w="108" w:type="dxa"/>
            </w:tcMar>
            <w:vAlign w:val="bottom"/>
          </w:tcPr>
          <w:p w14:paraId="49DC279D"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c>
          <w:tcPr>
            <w:tcW w:w="1240" w:type="dxa"/>
            <w:shd w:val="clear" w:color="auto" w:fill="auto"/>
            <w:noWrap/>
            <w:tcMar>
              <w:top w:w="0" w:type="dxa"/>
              <w:left w:w="108" w:type="dxa"/>
              <w:bottom w:w="0" w:type="dxa"/>
              <w:right w:w="108" w:type="dxa"/>
            </w:tcMar>
            <w:vAlign w:val="bottom"/>
          </w:tcPr>
          <w:p w14:paraId="49DC279E"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3.08%</w:t>
            </w:r>
          </w:p>
        </w:tc>
        <w:tc>
          <w:tcPr>
            <w:tcW w:w="1160" w:type="dxa"/>
            <w:shd w:val="clear" w:color="auto" w:fill="auto"/>
            <w:noWrap/>
            <w:tcMar>
              <w:top w:w="0" w:type="dxa"/>
              <w:left w:w="108" w:type="dxa"/>
              <w:bottom w:w="0" w:type="dxa"/>
              <w:right w:w="108" w:type="dxa"/>
            </w:tcMar>
            <w:vAlign w:val="bottom"/>
          </w:tcPr>
          <w:p w14:paraId="49DC279F"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3.85%</w:t>
            </w:r>
          </w:p>
        </w:tc>
      </w:tr>
      <w:tr w:rsidR="009B6B1C" w14:paraId="49DC27A5"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A1"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Governance</w:t>
            </w:r>
          </w:p>
        </w:tc>
        <w:tc>
          <w:tcPr>
            <w:tcW w:w="1680" w:type="dxa"/>
            <w:shd w:val="clear" w:color="auto" w:fill="auto"/>
            <w:noWrap/>
            <w:tcMar>
              <w:top w:w="0" w:type="dxa"/>
              <w:left w:w="108" w:type="dxa"/>
              <w:bottom w:w="0" w:type="dxa"/>
              <w:right w:w="108" w:type="dxa"/>
            </w:tcMar>
            <w:vAlign w:val="bottom"/>
          </w:tcPr>
          <w:p w14:paraId="49DC27A2"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A3"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1.15%</w:t>
            </w:r>
          </w:p>
        </w:tc>
        <w:tc>
          <w:tcPr>
            <w:tcW w:w="1160" w:type="dxa"/>
            <w:shd w:val="clear" w:color="auto" w:fill="auto"/>
            <w:noWrap/>
            <w:tcMar>
              <w:top w:w="0" w:type="dxa"/>
              <w:left w:w="108" w:type="dxa"/>
              <w:bottom w:w="0" w:type="dxa"/>
              <w:right w:w="108" w:type="dxa"/>
            </w:tcMar>
            <w:vAlign w:val="bottom"/>
          </w:tcPr>
          <w:p w14:paraId="49DC27A4"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1.15%</w:t>
            </w:r>
          </w:p>
        </w:tc>
      </w:tr>
      <w:tr w:rsidR="009B6B1C" w14:paraId="49DC27AA"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A6"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Green Spaces</w:t>
            </w:r>
          </w:p>
        </w:tc>
        <w:tc>
          <w:tcPr>
            <w:tcW w:w="1680" w:type="dxa"/>
            <w:shd w:val="clear" w:color="auto" w:fill="auto"/>
            <w:noWrap/>
            <w:tcMar>
              <w:top w:w="0" w:type="dxa"/>
              <w:left w:w="108" w:type="dxa"/>
              <w:bottom w:w="0" w:type="dxa"/>
              <w:right w:w="108" w:type="dxa"/>
            </w:tcMar>
            <w:vAlign w:val="bottom"/>
          </w:tcPr>
          <w:p w14:paraId="49DC27A7"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0.38%</w:t>
            </w:r>
          </w:p>
        </w:tc>
        <w:tc>
          <w:tcPr>
            <w:tcW w:w="1240" w:type="dxa"/>
            <w:shd w:val="clear" w:color="auto" w:fill="auto"/>
            <w:noWrap/>
            <w:tcMar>
              <w:top w:w="0" w:type="dxa"/>
              <w:left w:w="108" w:type="dxa"/>
              <w:bottom w:w="0" w:type="dxa"/>
              <w:right w:w="108" w:type="dxa"/>
            </w:tcMar>
            <w:vAlign w:val="bottom"/>
          </w:tcPr>
          <w:p w14:paraId="49DC27A8"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4.23%</w:t>
            </w:r>
          </w:p>
        </w:tc>
        <w:tc>
          <w:tcPr>
            <w:tcW w:w="1160" w:type="dxa"/>
            <w:shd w:val="clear" w:color="auto" w:fill="auto"/>
            <w:noWrap/>
            <w:tcMar>
              <w:top w:w="0" w:type="dxa"/>
              <w:left w:w="108" w:type="dxa"/>
              <w:bottom w:w="0" w:type="dxa"/>
              <w:right w:w="108" w:type="dxa"/>
            </w:tcMar>
            <w:vAlign w:val="bottom"/>
          </w:tcPr>
          <w:p w14:paraId="49DC27A9"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4.62%</w:t>
            </w:r>
          </w:p>
        </w:tc>
      </w:tr>
      <w:tr w:rsidR="009B6B1C" w14:paraId="49DC27AF"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AB"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Housing</w:t>
            </w:r>
          </w:p>
        </w:tc>
        <w:tc>
          <w:tcPr>
            <w:tcW w:w="1680" w:type="dxa"/>
            <w:shd w:val="clear" w:color="auto" w:fill="auto"/>
            <w:noWrap/>
            <w:tcMar>
              <w:top w:w="0" w:type="dxa"/>
              <w:left w:w="108" w:type="dxa"/>
              <w:bottom w:w="0" w:type="dxa"/>
              <w:right w:w="108" w:type="dxa"/>
            </w:tcMar>
            <w:vAlign w:val="bottom"/>
          </w:tcPr>
          <w:p w14:paraId="49DC27AC"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c>
          <w:tcPr>
            <w:tcW w:w="1240" w:type="dxa"/>
            <w:shd w:val="clear" w:color="auto" w:fill="auto"/>
            <w:noWrap/>
            <w:tcMar>
              <w:top w:w="0" w:type="dxa"/>
              <w:left w:w="108" w:type="dxa"/>
              <w:bottom w:w="0" w:type="dxa"/>
              <w:right w:w="108" w:type="dxa"/>
            </w:tcMar>
            <w:vAlign w:val="bottom"/>
          </w:tcPr>
          <w:p w14:paraId="49DC27AD"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6.15%</w:t>
            </w:r>
          </w:p>
        </w:tc>
        <w:tc>
          <w:tcPr>
            <w:tcW w:w="1160" w:type="dxa"/>
            <w:shd w:val="clear" w:color="auto" w:fill="auto"/>
            <w:noWrap/>
            <w:tcMar>
              <w:top w:w="0" w:type="dxa"/>
              <w:left w:w="108" w:type="dxa"/>
              <w:bottom w:w="0" w:type="dxa"/>
              <w:right w:w="108" w:type="dxa"/>
            </w:tcMar>
            <w:vAlign w:val="bottom"/>
          </w:tcPr>
          <w:p w14:paraId="49DC27AE"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6.92%</w:t>
            </w:r>
          </w:p>
        </w:tc>
      </w:tr>
      <w:tr w:rsidR="009B6B1C" w14:paraId="49DC27B4"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B0"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Income </w:t>
            </w:r>
            <w:r>
              <w:rPr>
                <w:rFonts w:ascii="Calibri" w:eastAsia="Times New Roman" w:hAnsi="Calibri" w:cs="Calibri"/>
                <w:color w:val="000000"/>
                <w:kern w:val="0"/>
                <w:lang w:eastAsia="en-GB"/>
              </w:rPr>
              <w:t>Team</w:t>
            </w:r>
          </w:p>
        </w:tc>
        <w:tc>
          <w:tcPr>
            <w:tcW w:w="1680" w:type="dxa"/>
            <w:shd w:val="clear" w:color="auto" w:fill="auto"/>
            <w:noWrap/>
            <w:tcMar>
              <w:top w:w="0" w:type="dxa"/>
              <w:left w:w="108" w:type="dxa"/>
              <w:bottom w:w="0" w:type="dxa"/>
              <w:right w:w="108" w:type="dxa"/>
            </w:tcMar>
            <w:vAlign w:val="bottom"/>
          </w:tcPr>
          <w:p w14:paraId="49DC27B1"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0.38%</w:t>
            </w:r>
          </w:p>
        </w:tc>
        <w:tc>
          <w:tcPr>
            <w:tcW w:w="1240" w:type="dxa"/>
            <w:shd w:val="clear" w:color="auto" w:fill="auto"/>
            <w:noWrap/>
            <w:tcMar>
              <w:top w:w="0" w:type="dxa"/>
              <w:left w:w="108" w:type="dxa"/>
              <w:bottom w:w="0" w:type="dxa"/>
              <w:right w:w="108" w:type="dxa"/>
            </w:tcMar>
            <w:vAlign w:val="bottom"/>
          </w:tcPr>
          <w:p w14:paraId="49DC27B2"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6.92%</w:t>
            </w:r>
          </w:p>
        </w:tc>
        <w:tc>
          <w:tcPr>
            <w:tcW w:w="1160" w:type="dxa"/>
            <w:shd w:val="clear" w:color="auto" w:fill="auto"/>
            <w:noWrap/>
            <w:tcMar>
              <w:top w:w="0" w:type="dxa"/>
              <w:left w:w="108" w:type="dxa"/>
              <w:bottom w:w="0" w:type="dxa"/>
              <w:right w:w="108" w:type="dxa"/>
            </w:tcMar>
            <w:vAlign w:val="bottom"/>
          </w:tcPr>
          <w:p w14:paraId="49DC27B3"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7.31%</w:t>
            </w:r>
          </w:p>
        </w:tc>
      </w:tr>
      <w:tr w:rsidR="009B6B1C" w14:paraId="49DC27B9"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B5"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IT</w:t>
            </w:r>
          </w:p>
        </w:tc>
        <w:tc>
          <w:tcPr>
            <w:tcW w:w="1680" w:type="dxa"/>
            <w:shd w:val="clear" w:color="auto" w:fill="auto"/>
            <w:noWrap/>
            <w:tcMar>
              <w:top w:w="0" w:type="dxa"/>
              <w:left w:w="108" w:type="dxa"/>
              <w:bottom w:w="0" w:type="dxa"/>
              <w:right w:w="108" w:type="dxa"/>
            </w:tcMar>
            <w:vAlign w:val="bottom"/>
          </w:tcPr>
          <w:p w14:paraId="49DC27B6"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c>
          <w:tcPr>
            <w:tcW w:w="1240" w:type="dxa"/>
            <w:shd w:val="clear" w:color="auto" w:fill="auto"/>
            <w:noWrap/>
            <w:tcMar>
              <w:top w:w="0" w:type="dxa"/>
              <w:left w:w="108" w:type="dxa"/>
              <w:bottom w:w="0" w:type="dxa"/>
              <w:right w:w="108" w:type="dxa"/>
            </w:tcMar>
            <w:vAlign w:val="bottom"/>
          </w:tcPr>
          <w:p w14:paraId="49DC27B7"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2.69%</w:t>
            </w:r>
          </w:p>
        </w:tc>
        <w:tc>
          <w:tcPr>
            <w:tcW w:w="1160" w:type="dxa"/>
            <w:shd w:val="clear" w:color="auto" w:fill="auto"/>
            <w:noWrap/>
            <w:tcMar>
              <w:top w:w="0" w:type="dxa"/>
              <w:left w:w="108" w:type="dxa"/>
              <w:bottom w:w="0" w:type="dxa"/>
              <w:right w:w="108" w:type="dxa"/>
            </w:tcMar>
            <w:vAlign w:val="bottom"/>
          </w:tcPr>
          <w:p w14:paraId="49DC27B8"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3.46%</w:t>
            </w:r>
          </w:p>
        </w:tc>
      </w:tr>
      <w:tr w:rsidR="009B6B1C" w14:paraId="49DC27BE"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BA"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Lettings</w:t>
            </w:r>
          </w:p>
        </w:tc>
        <w:tc>
          <w:tcPr>
            <w:tcW w:w="1680" w:type="dxa"/>
            <w:shd w:val="clear" w:color="auto" w:fill="auto"/>
            <w:noWrap/>
            <w:tcMar>
              <w:top w:w="0" w:type="dxa"/>
              <w:left w:w="108" w:type="dxa"/>
              <w:bottom w:w="0" w:type="dxa"/>
              <w:right w:w="108" w:type="dxa"/>
            </w:tcMar>
            <w:vAlign w:val="bottom"/>
          </w:tcPr>
          <w:p w14:paraId="49DC27BB"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0.38%</w:t>
            </w:r>
          </w:p>
        </w:tc>
        <w:tc>
          <w:tcPr>
            <w:tcW w:w="1240" w:type="dxa"/>
            <w:shd w:val="clear" w:color="auto" w:fill="auto"/>
            <w:noWrap/>
            <w:tcMar>
              <w:top w:w="0" w:type="dxa"/>
              <w:left w:w="108" w:type="dxa"/>
              <w:bottom w:w="0" w:type="dxa"/>
              <w:right w:w="108" w:type="dxa"/>
            </w:tcMar>
            <w:vAlign w:val="bottom"/>
          </w:tcPr>
          <w:p w14:paraId="49DC27BC"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3.46%</w:t>
            </w:r>
          </w:p>
        </w:tc>
        <w:tc>
          <w:tcPr>
            <w:tcW w:w="1160" w:type="dxa"/>
            <w:shd w:val="clear" w:color="auto" w:fill="auto"/>
            <w:noWrap/>
            <w:tcMar>
              <w:top w:w="0" w:type="dxa"/>
              <w:left w:w="108" w:type="dxa"/>
              <w:bottom w:w="0" w:type="dxa"/>
              <w:right w:w="108" w:type="dxa"/>
            </w:tcMar>
            <w:vAlign w:val="bottom"/>
          </w:tcPr>
          <w:p w14:paraId="49DC27BD"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3.85%</w:t>
            </w:r>
          </w:p>
        </w:tc>
      </w:tr>
      <w:tr w:rsidR="009B6B1C" w14:paraId="49DC27C3"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BF"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Marketing</w:t>
            </w:r>
          </w:p>
        </w:tc>
        <w:tc>
          <w:tcPr>
            <w:tcW w:w="1680" w:type="dxa"/>
            <w:shd w:val="clear" w:color="auto" w:fill="auto"/>
            <w:noWrap/>
            <w:tcMar>
              <w:top w:w="0" w:type="dxa"/>
              <w:left w:w="108" w:type="dxa"/>
              <w:bottom w:w="0" w:type="dxa"/>
              <w:right w:w="108" w:type="dxa"/>
            </w:tcMar>
            <w:vAlign w:val="bottom"/>
          </w:tcPr>
          <w:p w14:paraId="49DC27C0"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C1"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1.54%</w:t>
            </w:r>
          </w:p>
        </w:tc>
        <w:tc>
          <w:tcPr>
            <w:tcW w:w="1160" w:type="dxa"/>
            <w:shd w:val="clear" w:color="auto" w:fill="auto"/>
            <w:noWrap/>
            <w:tcMar>
              <w:top w:w="0" w:type="dxa"/>
              <w:left w:w="108" w:type="dxa"/>
              <w:bottom w:w="0" w:type="dxa"/>
              <w:right w:w="108" w:type="dxa"/>
            </w:tcMar>
            <w:vAlign w:val="bottom"/>
          </w:tcPr>
          <w:p w14:paraId="49DC27C2"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1.54%</w:t>
            </w:r>
          </w:p>
        </w:tc>
      </w:tr>
      <w:tr w:rsidR="009B6B1C" w14:paraId="49DC27C8"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C4"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People Services</w:t>
            </w:r>
          </w:p>
        </w:tc>
        <w:tc>
          <w:tcPr>
            <w:tcW w:w="1680" w:type="dxa"/>
            <w:shd w:val="clear" w:color="auto" w:fill="auto"/>
            <w:noWrap/>
            <w:tcMar>
              <w:top w:w="0" w:type="dxa"/>
              <w:left w:w="108" w:type="dxa"/>
              <w:bottom w:w="0" w:type="dxa"/>
              <w:right w:w="108" w:type="dxa"/>
            </w:tcMar>
            <w:vAlign w:val="bottom"/>
          </w:tcPr>
          <w:p w14:paraId="49DC27C5"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0.77%</w:t>
            </w:r>
          </w:p>
        </w:tc>
        <w:tc>
          <w:tcPr>
            <w:tcW w:w="1240" w:type="dxa"/>
            <w:shd w:val="clear" w:color="auto" w:fill="auto"/>
            <w:noWrap/>
            <w:tcMar>
              <w:top w:w="0" w:type="dxa"/>
              <w:left w:w="108" w:type="dxa"/>
              <w:bottom w:w="0" w:type="dxa"/>
              <w:right w:w="108" w:type="dxa"/>
            </w:tcMar>
            <w:vAlign w:val="bottom"/>
          </w:tcPr>
          <w:p w14:paraId="49DC27C6"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3.46%</w:t>
            </w:r>
          </w:p>
        </w:tc>
        <w:tc>
          <w:tcPr>
            <w:tcW w:w="1160" w:type="dxa"/>
            <w:shd w:val="clear" w:color="auto" w:fill="auto"/>
            <w:noWrap/>
            <w:tcMar>
              <w:top w:w="0" w:type="dxa"/>
              <w:left w:w="108" w:type="dxa"/>
              <w:bottom w:w="0" w:type="dxa"/>
              <w:right w:w="108" w:type="dxa"/>
            </w:tcMar>
            <w:vAlign w:val="bottom"/>
          </w:tcPr>
          <w:p w14:paraId="49DC27C7"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4.23%</w:t>
            </w:r>
          </w:p>
        </w:tc>
      </w:tr>
      <w:tr w:rsidR="009B6B1C" w14:paraId="49DC27CD"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C9"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Property Team</w:t>
            </w:r>
          </w:p>
        </w:tc>
        <w:tc>
          <w:tcPr>
            <w:tcW w:w="1680" w:type="dxa"/>
            <w:shd w:val="clear" w:color="auto" w:fill="auto"/>
            <w:noWrap/>
            <w:tcMar>
              <w:top w:w="0" w:type="dxa"/>
              <w:left w:w="108" w:type="dxa"/>
              <w:bottom w:w="0" w:type="dxa"/>
              <w:right w:w="108" w:type="dxa"/>
            </w:tcMar>
            <w:vAlign w:val="bottom"/>
          </w:tcPr>
          <w:p w14:paraId="49DC27CA"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1.92%</w:t>
            </w:r>
          </w:p>
        </w:tc>
        <w:tc>
          <w:tcPr>
            <w:tcW w:w="1240" w:type="dxa"/>
            <w:shd w:val="clear" w:color="auto" w:fill="auto"/>
            <w:noWrap/>
            <w:tcMar>
              <w:top w:w="0" w:type="dxa"/>
              <w:left w:w="108" w:type="dxa"/>
              <w:bottom w:w="0" w:type="dxa"/>
              <w:right w:w="108" w:type="dxa"/>
            </w:tcMar>
            <w:vAlign w:val="bottom"/>
          </w:tcPr>
          <w:p w14:paraId="49DC27CB"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36.15%</w:t>
            </w:r>
          </w:p>
        </w:tc>
        <w:tc>
          <w:tcPr>
            <w:tcW w:w="1160" w:type="dxa"/>
            <w:shd w:val="clear" w:color="auto" w:fill="auto"/>
            <w:noWrap/>
            <w:tcMar>
              <w:top w:w="0" w:type="dxa"/>
              <w:left w:w="108" w:type="dxa"/>
              <w:bottom w:w="0" w:type="dxa"/>
              <w:right w:w="108" w:type="dxa"/>
            </w:tcMar>
            <w:vAlign w:val="bottom"/>
          </w:tcPr>
          <w:p w14:paraId="49DC27CC"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38.08%</w:t>
            </w:r>
          </w:p>
        </w:tc>
      </w:tr>
      <w:tr w:rsidR="009B6B1C" w14:paraId="49DC27D2"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CE"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Regeneration</w:t>
            </w:r>
          </w:p>
        </w:tc>
        <w:tc>
          <w:tcPr>
            <w:tcW w:w="1680" w:type="dxa"/>
            <w:shd w:val="clear" w:color="auto" w:fill="auto"/>
            <w:noWrap/>
            <w:tcMar>
              <w:top w:w="0" w:type="dxa"/>
              <w:left w:w="108" w:type="dxa"/>
              <w:bottom w:w="0" w:type="dxa"/>
              <w:right w:w="108" w:type="dxa"/>
            </w:tcMar>
            <w:vAlign w:val="bottom"/>
          </w:tcPr>
          <w:p w14:paraId="49DC27CF"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D0"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1.92%</w:t>
            </w:r>
          </w:p>
        </w:tc>
        <w:tc>
          <w:tcPr>
            <w:tcW w:w="1160" w:type="dxa"/>
            <w:shd w:val="clear" w:color="auto" w:fill="auto"/>
            <w:noWrap/>
            <w:tcMar>
              <w:top w:w="0" w:type="dxa"/>
              <w:left w:w="108" w:type="dxa"/>
              <w:bottom w:w="0" w:type="dxa"/>
              <w:right w:w="108" w:type="dxa"/>
            </w:tcMar>
            <w:vAlign w:val="bottom"/>
          </w:tcPr>
          <w:p w14:paraId="49DC27D1"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1.92%</w:t>
            </w:r>
          </w:p>
        </w:tc>
      </w:tr>
      <w:tr w:rsidR="009B6B1C" w14:paraId="49DC27D7"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D3"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Supported Housing</w:t>
            </w:r>
          </w:p>
        </w:tc>
        <w:tc>
          <w:tcPr>
            <w:tcW w:w="1680" w:type="dxa"/>
            <w:shd w:val="clear" w:color="auto" w:fill="auto"/>
            <w:noWrap/>
            <w:tcMar>
              <w:top w:w="0" w:type="dxa"/>
              <w:left w:w="108" w:type="dxa"/>
              <w:bottom w:w="0" w:type="dxa"/>
              <w:right w:w="108" w:type="dxa"/>
            </w:tcMar>
            <w:vAlign w:val="bottom"/>
          </w:tcPr>
          <w:p w14:paraId="49DC27D4"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0.00%</w:t>
            </w:r>
          </w:p>
        </w:tc>
        <w:tc>
          <w:tcPr>
            <w:tcW w:w="1240" w:type="dxa"/>
            <w:shd w:val="clear" w:color="auto" w:fill="auto"/>
            <w:noWrap/>
            <w:tcMar>
              <w:top w:w="0" w:type="dxa"/>
              <w:left w:w="108" w:type="dxa"/>
              <w:bottom w:w="0" w:type="dxa"/>
              <w:right w:w="108" w:type="dxa"/>
            </w:tcMar>
            <w:vAlign w:val="bottom"/>
          </w:tcPr>
          <w:p w14:paraId="49DC27D5"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4.23%</w:t>
            </w:r>
          </w:p>
        </w:tc>
        <w:tc>
          <w:tcPr>
            <w:tcW w:w="1160" w:type="dxa"/>
            <w:shd w:val="clear" w:color="auto" w:fill="auto"/>
            <w:noWrap/>
            <w:tcMar>
              <w:top w:w="0" w:type="dxa"/>
              <w:left w:w="108" w:type="dxa"/>
              <w:bottom w:w="0" w:type="dxa"/>
              <w:right w:w="108" w:type="dxa"/>
            </w:tcMar>
            <w:vAlign w:val="bottom"/>
          </w:tcPr>
          <w:p w14:paraId="49DC27D6"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4.23%</w:t>
            </w:r>
          </w:p>
        </w:tc>
      </w:tr>
      <w:tr w:rsidR="009B6B1C" w14:paraId="49DC27DC" w14:textId="77777777">
        <w:tblPrEx>
          <w:tblCellMar>
            <w:top w:w="0" w:type="dxa"/>
            <w:bottom w:w="0" w:type="dxa"/>
          </w:tblCellMar>
        </w:tblPrEx>
        <w:trPr>
          <w:trHeight w:val="288"/>
        </w:trPr>
        <w:tc>
          <w:tcPr>
            <w:tcW w:w="3820" w:type="dxa"/>
            <w:shd w:val="clear" w:color="auto" w:fill="auto"/>
            <w:noWrap/>
            <w:tcMar>
              <w:top w:w="0" w:type="dxa"/>
              <w:left w:w="108" w:type="dxa"/>
              <w:bottom w:w="0" w:type="dxa"/>
              <w:right w:w="108" w:type="dxa"/>
            </w:tcMar>
            <w:vAlign w:val="bottom"/>
          </w:tcPr>
          <w:p w14:paraId="49DC27D8"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Tenancy </w:t>
            </w:r>
            <w:r>
              <w:rPr>
                <w:rFonts w:ascii="Calibri" w:eastAsia="Times New Roman" w:hAnsi="Calibri" w:cs="Calibri"/>
                <w:color w:val="000000"/>
                <w:kern w:val="0"/>
                <w:lang w:eastAsia="en-GB"/>
              </w:rPr>
              <w:t>Team</w:t>
            </w:r>
          </w:p>
        </w:tc>
        <w:tc>
          <w:tcPr>
            <w:tcW w:w="1680" w:type="dxa"/>
            <w:shd w:val="clear" w:color="auto" w:fill="auto"/>
            <w:noWrap/>
            <w:tcMar>
              <w:top w:w="0" w:type="dxa"/>
              <w:left w:w="108" w:type="dxa"/>
              <w:bottom w:w="0" w:type="dxa"/>
              <w:right w:w="108" w:type="dxa"/>
            </w:tcMar>
            <w:vAlign w:val="bottom"/>
          </w:tcPr>
          <w:p w14:paraId="49DC27D9"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0.38%</w:t>
            </w:r>
          </w:p>
        </w:tc>
        <w:tc>
          <w:tcPr>
            <w:tcW w:w="1240" w:type="dxa"/>
            <w:shd w:val="clear" w:color="auto" w:fill="auto"/>
            <w:noWrap/>
            <w:tcMar>
              <w:top w:w="0" w:type="dxa"/>
              <w:left w:w="108" w:type="dxa"/>
              <w:bottom w:w="0" w:type="dxa"/>
              <w:right w:w="108" w:type="dxa"/>
            </w:tcMar>
            <w:vAlign w:val="bottom"/>
          </w:tcPr>
          <w:p w14:paraId="49DC27DA"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3.85%</w:t>
            </w:r>
          </w:p>
        </w:tc>
        <w:tc>
          <w:tcPr>
            <w:tcW w:w="1160" w:type="dxa"/>
            <w:shd w:val="clear" w:color="auto" w:fill="auto"/>
            <w:noWrap/>
            <w:tcMar>
              <w:top w:w="0" w:type="dxa"/>
              <w:left w:w="108" w:type="dxa"/>
              <w:bottom w:w="0" w:type="dxa"/>
              <w:right w:w="108" w:type="dxa"/>
            </w:tcMar>
            <w:vAlign w:val="bottom"/>
          </w:tcPr>
          <w:p w14:paraId="49DC27DB" w14:textId="77777777" w:rsidR="009B6B1C" w:rsidRDefault="00F51A9B">
            <w:pPr>
              <w:spacing w:after="0" w:line="240" w:lineRule="auto"/>
              <w:jc w:val="right"/>
              <w:rPr>
                <w:rFonts w:ascii="Calibri" w:eastAsia="Times New Roman" w:hAnsi="Calibri" w:cs="Calibri"/>
                <w:color w:val="000000"/>
                <w:kern w:val="0"/>
                <w:lang w:eastAsia="en-GB"/>
              </w:rPr>
            </w:pPr>
            <w:r>
              <w:rPr>
                <w:rFonts w:ascii="Calibri" w:eastAsia="Times New Roman" w:hAnsi="Calibri" w:cs="Calibri"/>
                <w:color w:val="000000"/>
                <w:kern w:val="0"/>
                <w:lang w:eastAsia="en-GB"/>
              </w:rPr>
              <w:t>4.23%</w:t>
            </w:r>
          </w:p>
        </w:tc>
      </w:tr>
      <w:tr w:rsidR="009B6B1C" w14:paraId="49DC27E1" w14:textId="77777777">
        <w:tblPrEx>
          <w:tblCellMar>
            <w:top w:w="0" w:type="dxa"/>
            <w:bottom w:w="0" w:type="dxa"/>
          </w:tblCellMar>
        </w:tblPrEx>
        <w:trPr>
          <w:trHeight w:val="288"/>
        </w:trPr>
        <w:tc>
          <w:tcPr>
            <w:tcW w:w="3820" w:type="dxa"/>
            <w:tcBorders>
              <w:top w:val="single" w:sz="4" w:space="0" w:color="8EA9DB"/>
            </w:tcBorders>
            <w:shd w:val="clear" w:color="auto" w:fill="D9E1F2"/>
            <w:noWrap/>
            <w:tcMar>
              <w:top w:w="0" w:type="dxa"/>
              <w:left w:w="108" w:type="dxa"/>
              <w:bottom w:w="0" w:type="dxa"/>
              <w:right w:w="108" w:type="dxa"/>
            </w:tcMar>
            <w:vAlign w:val="bottom"/>
          </w:tcPr>
          <w:p w14:paraId="49DC27DD"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Grand Total</w:t>
            </w:r>
          </w:p>
        </w:tc>
        <w:tc>
          <w:tcPr>
            <w:tcW w:w="1680" w:type="dxa"/>
            <w:tcBorders>
              <w:top w:val="single" w:sz="4" w:space="0" w:color="8EA9DB"/>
            </w:tcBorders>
            <w:shd w:val="clear" w:color="auto" w:fill="D9E1F2"/>
            <w:noWrap/>
            <w:tcMar>
              <w:top w:w="0" w:type="dxa"/>
              <w:left w:w="108" w:type="dxa"/>
              <w:bottom w:w="0" w:type="dxa"/>
              <w:right w:w="108" w:type="dxa"/>
            </w:tcMar>
            <w:vAlign w:val="bottom"/>
          </w:tcPr>
          <w:p w14:paraId="49DC27DE" w14:textId="77777777" w:rsidR="009B6B1C" w:rsidRDefault="00F51A9B">
            <w:pPr>
              <w:spacing w:after="0" w:line="240" w:lineRule="auto"/>
              <w:jc w:val="right"/>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8.08%</w:t>
            </w:r>
          </w:p>
        </w:tc>
        <w:tc>
          <w:tcPr>
            <w:tcW w:w="1240" w:type="dxa"/>
            <w:tcBorders>
              <w:top w:val="single" w:sz="4" w:space="0" w:color="8EA9DB"/>
            </w:tcBorders>
            <w:shd w:val="clear" w:color="auto" w:fill="D9E1F2"/>
            <w:noWrap/>
            <w:tcMar>
              <w:top w:w="0" w:type="dxa"/>
              <w:left w:w="108" w:type="dxa"/>
              <w:bottom w:w="0" w:type="dxa"/>
              <w:right w:w="108" w:type="dxa"/>
            </w:tcMar>
            <w:vAlign w:val="bottom"/>
          </w:tcPr>
          <w:p w14:paraId="49DC27DF" w14:textId="77777777" w:rsidR="009B6B1C" w:rsidRDefault="00F51A9B">
            <w:pPr>
              <w:spacing w:after="0" w:line="240" w:lineRule="auto"/>
              <w:jc w:val="right"/>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91.92%</w:t>
            </w:r>
          </w:p>
        </w:tc>
        <w:tc>
          <w:tcPr>
            <w:tcW w:w="1160" w:type="dxa"/>
            <w:tcBorders>
              <w:top w:val="single" w:sz="4" w:space="0" w:color="8EA9DB"/>
            </w:tcBorders>
            <w:shd w:val="clear" w:color="auto" w:fill="D9E1F2"/>
            <w:noWrap/>
            <w:tcMar>
              <w:top w:w="0" w:type="dxa"/>
              <w:left w:w="108" w:type="dxa"/>
              <w:bottom w:w="0" w:type="dxa"/>
              <w:right w:w="108" w:type="dxa"/>
            </w:tcMar>
            <w:vAlign w:val="bottom"/>
          </w:tcPr>
          <w:p w14:paraId="49DC27E0" w14:textId="77777777" w:rsidR="009B6B1C" w:rsidRDefault="00F51A9B">
            <w:pPr>
              <w:spacing w:after="0" w:line="240" w:lineRule="auto"/>
              <w:jc w:val="right"/>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100.00%</w:t>
            </w:r>
          </w:p>
        </w:tc>
      </w:tr>
    </w:tbl>
    <w:p w14:paraId="49DC27E2" w14:textId="77777777" w:rsidR="009B6B1C" w:rsidRDefault="009B6B1C">
      <w:pPr>
        <w:rPr>
          <w:b/>
          <w:bCs/>
        </w:rPr>
      </w:pPr>
    </w:p>
    <w:p w14:paraId="49DC27E3" w14:textId="77777777" w:rsidR="009B6B1C" w:rsidRDefault="00F51A9B">
      <w:pPr>
        <w:rPr>
          <w:b/>
          <w:bCs/>
          <w:sz w:val="24"/>
          <w:szCs w:val="24"/>
        </w:rPr>
      </w:pPr>
      <w:r>
        <w:rPr>
          <w:b/>
          <w:bCs/>
          <w:sz w:val="24"/>
          <w:szCs w:val="24"/>
        </w:rPr>
        <w:t>Visualisation of Disability Distribution per Team and Organisation</w:t>
      </w:r>
    </w:p>
    <w:p w14:paraId="49DC27E4" w14:textId="77777777" w:rsidR="009B6B1C" w:rsidRDefault="009B6B1C">
      <w:pPr>
        <w:jc w:val="both"/>
        <w:rPr>
          <w:sz w:val="24"/>
          <w:szCs w:val="24"/>
        </w:rPr>
      </w:pPr>
    </w:p>
    <w:p w14:paraId="49DC27E5" w14:textId="77777777" w:rsidR="009B6B1C" w:rsidRDefault="00F51A9B">
      <w:pPr>
        <w:pStyle w:val="NormalWeb"/>
      </w:pPr>
      <w:r>
        <w:rPr>
          <w:rFonts w:ascii="Aptos" w:hAnsi="Aptos"/>
          <w:b/>
          <w:bCs/>
        </w:rPr>
        <w:t>Bar Graph</w:t>
      </w:r>
      <w:r>
        <w:rPr>
          <w:rFonts w:ascii="Aptos" w:hAnsi="Aptos"/>
        </w:rPr>
        <w:t xml:space="preserve"> - The bar chart shows the percentage of disabled and not disabled employees within each team. Each bar </w:t>
      </w:r>
      <w:r>
        <w:rPr>
          <w:rFonts w:ascii="Aptos" w:hAnsi="Aptos"/>
        </w:rPr>
        <w:t>represents a team, with separate bars for disabled and not disabled employees.</w:t>
      </w:r>
    </w:p>
    <w:p w14:paraId="49DC27E6" w14:textId="77777777" w:rsidR="009B6B1C" w:rsidRDefault="00F51A9B">
      <w:pPr>
        <w:pStyle w:val="NormalWeb"/>
      </w:pPr>
      <w:r>
        <w:rPr>
          <w:rFonts w:ascii="Aptos" w:hAnsi="Aptos"/>
          <w:b/>
          <w:bCs/>
        </w:rPr>
        <w:t>The stacked bar graph</w:t>
      </w:r>
      <w:r>
        <w:rPr>
          <w:rFonts w:ascii="Aptos" w:hAnsi="Aptos"/>
        </w:rPr>
        <w:t xml:space="preserve"> - provides a view of the overall composition of each team by stacking the percentages of disabled and not disabled employees. This allows for a clear comparison of the disability representation across different team’s organisation.</w:t>
      </w:r>
    </w:p>
    <w:p w14:paraId="49DC27E7" w14:textId="77777777" w:rsidR="009B6B1C" w:rsidRDefault="00F51A9B">
      <w:pPr>
        <w:pStyle w:val="NormalWeb"/>
      </w:pPr>
      <w:r>
        <w:rPr>
          <w:rFonts w:ascii="Aptos" w:hAnsi="Aptos"/>
          <w:b/>
          <w:bCs/>
        </w:rPr>
        <w:t>The Pivot Table</w:t>
      </w:r>
      <w:r>
        <w:rPr>
          <w:rFonts w:ascii="Aptos" w:hAnsi="Aptos"/>
        </w:rPr>
        <w:t xml:space="preserve"> – Provides the overall data in percentage for an overall view of disabled and not disabled employees to provide the statistics.</w:t>
      </w:r>
    </w:p>
    <w:p w14:paraId="49DC27E8" w14:textId="77777777" w:rsidR="009B6B1C" w:rsidRDefault="00F51A9B">
      <w:pPr>
        <w:pStyle w:val="NormalWeb"/>
        <w:rPr>
          <w:rFonts w:ascii="Aptos" w:hAnsi="Aptos"/>
        </w:rPr>
      </w:pPr>
      <w:r>
        <w:rPr>
          <w:rFonts w:ascii="Aptos" w:hAnsi="Aptos"/>
        </w:rPr>
        <w:t>Based on the disability distribution within the organisation, these improvements could be introduced:</w:t>
      </w:r>
    </w:p>
    <w:p w14:paraId="49DC27E9" w14:textId="77777777" w:rsidR="009B6B1C" w:rsidRDefault="00F51A9B">
      <w:pPr>
        <w:pStyle w:val="NormalWeb"/>
        <w:rPr>
          <w:rFonts w:ascii="Aptos" w:hAnsi="Aptos"/>
        </w:rPr>
      </w:pPr>
      <w:r>
        <w:rPr>
          <w:rFonts w:ascii="Aptos" w:hAnsi="Aptos"/>
        </w:rPr>
        <w:t>1.Accommdations, adaptions to the workplace and providing support programs to make the work environment more accessible and inclusive for disabled employees.</w:t>
      </w:r>
    </w:p>
    <w:p w14:paraId="49DC27EA" w14:textId="77777777" w:rsidR="009B6B1C" w:rsidRDefault="00F51A9B">
      <w:pPr>
        <w:pStyle w:val="NormalWeb"/>
        <w:rPr>
          <w:rFonts w:ascii="Aptos" w:hAnsi="Aptos"/>
        </w:rPr>
      </w:pPr>
      <w:r>
        <w:rPr>
          <w:rFonts w:ascii="Aptos" w:hAnsi="Aptos"/>
        </w:rPr>
        <w:t>2.Raising awareness and provide training on disability and inclusion to foster a more understanding and work culture.</w:t>
      </w:r>
    </w:p>
    <w:p w14:paraId="49DC27EB" w14:textId="59301622" w:rsidR="009B6B1C" w:rsidRDefault="00F51A9B">
      <w:pPr>
        <w:pStyle w:val="NormalWeb"/>
        <w:rPr>
          <w:rFonts w:ascii="Aptos" w:hAnsi="Aptos"/>
        </w:rPr>
      </w:pPr>
      <w:r>
        <w:rPr>
          <w:rFonts w:ascii="Aptos" w:hAnsi="Aptos"/>
        </w:rPr>
        <w:t xml:space="preserve">3. Conducting regular reviews, </w:t>
      </w:r>
      <w:r w:rsidR="00215BAF">
        <w:rPr>
          <w:rFonts w:ascii="Aptos" w:hAnsi="Aptos"/>
        </w:rPr>
        <w:t>surveys,</w:t>
      </w:r>
      <w:r>
        <w:rPr>
          <w:rFonts w:ascii="Aptos" w:hAnsi="Aptos"/>
        </w:rPr>
        <w:t xml:space="preserve"> and audits to monitor the representation and satisfaction of disabled employees which can then be used for company policies and procedures.</w:t>
      </w:r>
    </w:p>
    <w:p w14:paraId="49DC27EC" w14:textId="77777777" w:rsidR="009B6B1C" w:rsidRDefault="00F51A9B">
      <w:pPr>
        <w:pStyle w:val="NormalWeb"/>
        <w:rPr>
          <w:rFonts w:ascii="Aptos" w:hAnsi="Aptos"/>
        </w:rPr>
      </w:pPr>
      <w:r>
        <w:rPr>
          <w:rFonts w:ascii="Aptos" w:hAnsi="Aptos"/>
        </w:rPr>
        <w:t>4. Reviewing and updating recruitment practices to ensure they are inclusive of candidates with disabilities. This could include an updated application processes and accommodations during interviews.</w:t>
      </w:r>
    </w:p>
    <w:p w14:paraId="49DC27ED" w14:textId="77777777" w:rsidR="009B6B1C" w:rsidRDefault="00F51A9B">
      <w:pPr>
        <w:pStyle w:val="NormalWeb"/>
        <w:rPr>
          <w:rFonts w:ascii="Aptos" w:hAnsi="Aptos"/>
        </w:rPr>
      </w:pPr>
      <w:r>
        <w:rPr>
          <w:rFonts w:ascii="Aptos" w:hAnsi="Aptos"/>
        </w:rPr>
        <w:t>5. Introducing employee resource groups for inclusivity and support.</w:t>
      </w:r>
    </w:p>
    <w:p w14:paraId="49DC27EE" w14:textId="77777777" w:rsidR="009B6B1C" w:rsidRDefault="00F51A9B">
      <w:pPr>
        <w:pStyle w:val="NormalWeb"/>
        <w:rPr>
          <w:rFonts w:ascii="Aptos" w:hAnsi="Aptos"/>
        </w:rPr>
      </w:pPr>
      <w:r>
        <w:rPr>
          <w:rFonts w:ascii="Aptos" w:hAnsi="Aptos"/>
        </w:rPr>
        <w:t>6. Providing a mental health resources and support system to ensure employees know how and where to access support if needed.</w:t>
      </w:r>
    </w:p>
    <w:p w14:paraId="49DC27EF" w14:textId="77777777" w:rsidR="009B6B1C" w:rsidRDefault="00F51A9B">
      <w:pPr>
        <w:pStyle w:val="NormalWeb"/>
        <w:rPr>
          <w:rFonts w:ascii="Aptos" w:hAnsi="Aptos"/>
        </w:rPr>
      </w:pPr>
      <w:r>
        <w:rPr>
          <w:rFonts w:ascii="Aptos" w:hAnsi="Aptos"/>
        </w:rPr>
        <w:t>By focusing on these areas, the organisation can enhance its efforts in supporting disabled employees and fostering an inclusive and diverse workplace.</w:t>
      </w:r>
    </w:p>
    <w:p w14:paraId="49DC27F0" w14:textId="77777777" w:rsidR="009B6B1C" w:rsidRDefault="009B6B1C">
      <w:pPr>
        <w:pStyle w:val="NormalWeb"/>
        <w:rPr>
          <w:rFonts w:ascii="Aptos" w:hAnsi="Aptos"/>
        </w:rPr>
      </w:pPr>
    </w:p>
    <w:p w14:paraId="49DC27F1" w14:textId="77777777" w:rsidR="009B6B1C" w:rsidRDefault="009B6B1C">
      <w:pPr>
        <w:pStyle w:val="NormalWeb"/>
        <w:rPr>
          <w:rFonts w:ascii="Aptos" w:hAnsi="Aptos"/>
        </w:rPr>
      </w:pPr>
    </w:p>
    <w:p w14:paraId="49DC27F2" w14:textId="77777777" w:rsidR="009B6B1C" w:rsidRDefault="009B6B1C">
      <w:pPr>
        <w:pStyle w:val="NormalWeb"/>
        <w:rPr>
          <w:rFonts w:ascii="Aptos" w:hAnsi="Aptos"/>
        </w:rPr>
      </w:pPr>
    </w:p>
    <w:p w14:paraId="49DC27F3" w14:textId="77777777" w:rsidR="009B6B1C" w:rsidRDefault="009B6B1C">
      <w:pPr>
        <w:pStyle w:val="NormalWeb"/>
        <w:rPr>
          <w:rFonts w:ascii="Aptos" w:hAnsi="Aptos"/>
        </w:rPr>
      </w:pPr>
    </w:p>
    <w:p w14:paraId="49DC27F4" w14:textId="77777777" w:rsidR="009B6B1C" w:rsidRDefault="009B6B1C">
      <w:pPr>
        <w:pStyle w:val="NormalWeb"/>
        <w:rPr>
          <w:rFonts w:ascii="Aptos" w:hAnsi="Aptos"/>
        </w:rPr>
      </w:pPr>
    </w:p>
    <w:p w14:paraId="49DC27F5" w14:textId="77777777" w:rsidR="009B6B1C" w:rsidRDefault="009B6B1C">
      <w:pPr>
        <w:pStyle w:val="NormalWeb"/>
        <w:rPr>
          <w:rFonts w:ascii="Aptos" w:hAnsi="Aptos"/>
        </w:rPr>
      </w:pPr>
    </w:p>
    <w:p w14:paraId="49DC27F6" w14:textId="77777777" w:rsidR="009B6B1C" w:rsidRDefault="009B6B1C">
      <w:pPr>
        <w:pStyle w:val="NormalWeb"/>
        <w:rPr>
          <w:rFonts w:ascii="Aptos" w:hAnsi="Aptos"/>
        </w:rPr>
      </w:pPr>
    </w:p>
    <w:p w14:paraId="49DC27F7" w14:textId="77777777" w:rsidR="009B6B1C" w:rsidRDefault="009B6B1C">
      <w:pPr>
        <w:pStyle w:val="NormalWeb"/>
        <w:rPr>
          <w:rFonts w:ascii="Aptos" w:hAnsi="Aptos"/>
        </w:rPr>
      </w:pPr>
    </w:p>
    <w:p w14:paraId="49DC27F8" w14:textId="77777777" w:rsidR="009B6B1C" w:rsidRDefault="00F51A9B">
      <w:pPr>
        <w:pStyle w:val="ListParagraph"/>
        <w:numPr>
          <w:ilvl w:val="0"/>
          <w:numId w:val="14"/>
        </w:numPr>
        <w:rPr>
          <w:b/>
          <w:bCs/>
        </w:rPr>
      </w:pPr>
      <w:r>
        <w:rPr>
          <w:b/>
          <w:bCs/>
        </w:rPr>
        <w:t>Salary Across Genders and overall salary paid by the organisation.</w:t>
      </w:r>
    </w:p>
    <w:p w14:paraId="49DC27F9" w14:textId="77777777" w:rsidR="009B6B1C" w:rsidRDefault="009B6B1C">
      <w:pPr>
        <w:pStyle w:val="ListParagraph"/>
        <w:ind w:left="1080"/>
      </w:pPr>
    </w:p>
    <w:p w14:paraId="49DC27FA" w14:textId="77777777" w:rsidR="009B6B1C" w:rsidRDefault="00F51A9B">
      <w:pPr>
        <w:pStyle w:val="ListParagraph"/>
        <w:numPr>
          <w:ilvl w:val="0"/>
          <w:numId w:val="19"/>
        </w:numPr>
      </w:pPr>
      <w:r>
        <w:lastRenderedPageBreak/>
        <w:t xml:space="preserve">Salary across Genders </w:t>
      </w:r>
      <w:r>
        <w:rPr>
          <w:noProof/>
        </w:rPr>
        <w:drawing>
          <wp:inline distT="0" distB="0" distL="0" distR="0" wp14:anchorId="49DC26B5" wp14:editId="49DC26B6">
            <wp:extent cx="4572000" cy="2743200"/>
            <wp:effectExtent l="0" t="0" r="0" b="0"/>
            <wp:docPr id="201943000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9DC27FB" w14:textId="77777777" w:rsidR="009B6B1C" w:rsidRDefault="009B6B1C">
      <w:pPr>
        <w:pStyle w:val="ListParagraph"/>
        <w:ind w:left="1080"/>
      </w:pPr>
    </w:p>
    <w:p w14:paraId="49DC27FC" w14:textId="77777777" w:rsidR="009B6B1C" w:rsidRDefault="009B6B1C">
      <w:pPr>
        <w:pStyle w:val="ListParagraph"/>
      </w:pPr>
    </w:p>
    <w:tbl>
      <w:tblPr>
        <w:tblW w:w="8789" w:type="dxa"/>
        <w:tblInd w:w="108" w:type="dxa"/>
        <w:tblCellMar>
          <w:left w:w="10" w:type="dxa"/>
          <w:right w:w="10" w:type="dxa"/>
        </w:tblCellMar>
        <w:tblLook w:val="04A0" w:firstRow="1" w:lastRow="0" w:firstColumn="1" w:lastColumn="0" w:noHBand="0" w:noVBand="1"/>
      </w:tblPr>
      <w:tblGrid>
        <w:gridCol w:w="1360"/>
        <w:gridCol w:w="7429"/>
      </w:tblGrid>
      <w:tr w:rsidR="009B6B1C" w14:paraId="49DC27FF" w14:textId="77777777">
        <w:tblPrEx>
          <w:tblCellMar>
            <w:top w:w="0" w:type="dxa"/>
            <w:bottom w:w="0" w:type="dxa"/>
          </w:tblCellMar>
        </w:tblPrEx>
        <w:trPr>
          <w:trHeight w:val="288"/>
        </w:trPr>
        <w:tc>
          <w:tcPr>
            <w:tcW w:w="1360" w:type="dxa"/>
            <w:tcBorders>
              <w:bottom w:val="single" w:sz="4" w:space="0" w:color="8EA9DB"/>
            </w:tcBorders>
            <w:shd w:val="clear" w:color="auto" w:fill="D9E1F2"/>
            <w:noWrap/>
            <w:tcMar>
              <w:top w:w="0" w:type="dxa"/>
              <w:left w:w="108" w:type="dxa"/>
              <w:bottom w:w="0" w:type="dxa"/>
              <w:right w:w="108" w:type="dxa"/>
            </w:tcMar>
            <w:vAlign w:val="bottom"/>
          </w:tcPr>
          <w:p w14:paraId="49DC27FD"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Salary FTE</w:t>
            </w:r>
          </w:p>
        </w:tc>
        <w:tc>
          <w:tcPr>
            <w:tcW w:w="7429" w:type="dxa"/>
            <w:tcBorders>
              <w:bottom w:val="single" w:sz="4" w:space="0" w:color="8EA9DB"/>
            </w:tcBorders>
            <w:shd w:val="clear" w:color="auto" w:fill="D9E1F2"/>
            <w:noWrap/>
            <w:tcMar>
              <w:top w:w="0" w:type="dxa"/>
              <w:left w:w="108" w:type="dxa"/>
              <w:bottom w:w="0" w:type="dxa"/>
              <w:right w:w="108" w:type="dxa"/>
            </w:tcMar>
            <w:vAlign w:val="bottom"/>
          </w:tcPr>
          <w:p w14:paraId="49DC27FE"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(All)</w:t>
            </w:r>
          </w:p>
        </w:tc>
      </w:tr>
      <w:tr w:rsidR="009B6B1C" w14:paraId="49DC2802"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00" w14:textId="77777777" w:rsidR="009B6B1C" w:rsidRDefault="009B6B1C">
            <w:pPr>
              <w:spacing w:after="0" w:line="240" w:lineRule="auto"/>
              <w:rPr>
                <w:rFonts w:ascii="Calibri" w:eastAsia="Times New Roman" w:hAnsi="Calibri" w:cs="Calibri"/>
                <w:color w:val="000000"/>
                <w:kern w:val="0"/>
                <w:lang w:eastAsia="en-GB"/>
              </w:rPr>
            </w:pPr>
          </w:p>
        </w:tc>
        <w:tc>
          <w:tcPr>
            <w:tcW w:w="7429" w:type="dxa"/>
            <w:shd w:val="clear" w:color="auto" w:fill="auto"/>
            <w:noWrap/>
            <w:tcMar>
              <w:top w:w="0" w:type="dxa"/>
              <w:left w:w="108" w:type="dxa"/>
              <w:bottom w:w="0" w:type="dxa"/>
              <w:right w:w="108" w:type="dxa"/>
            </w:tcMar>
            <w:vAlign w:val="bottom"/>
          </w:tcPr>
          <w:p w14:paraId="49DC2801" w14:textId="77777777" w:rsidR="009B6B1C" w:rsidRDefault="009B6B1C">
            <w:pPr>
              <w:spacing w:after="0" w:line="240" w:lineRule="auto"/>
              <w:rPr>
                <w:rFonts w:ascii="Times New Roman" w:eastAsia="Times New Roman" w:hAnsi="Times New Roman"/>
                <w:kern w:val="0"/>
                <w:sz w:val="20"/>
                <w:szCs w:val="20"/>
                <w:lang w:eastAsia="en-GB"/>
              </w:rPr>
            </w:pPr>
          </w:p>
        </w:tc>
      </w:tr>
      <w:tr w:rsidR="009B6B1C" w14:paraId="49DC2805" w14:textId="77777777">
        <w:tblPrEx>
          <w:tblCellMar>
            <w:top w:w="0" w:type="dxa"/>
            <w:bottom w:w="0" w:type="dxa"/>
          </w:tblCellMar>
        </w:tblPrEx>
        <w:trPr>
          <w:trHeight w:val="288"/>
        </w:trPr>
        <w:tc>
          <w:tcPr>
            <w:tcW w:w="1360" w:type="dxa"/>
            <w:tcBorders>
              <w:bottom w:val="single" w:sz="4" w:space="0" w:color="8EA9DB"/>
            </w:tcBorders>
            <w:shd w:val="clear" w:color="auto" w:fill="D9E1F2"/>
            <w:noWrap/>
            <w:tcMar>
              <w:top w:w="0" w:type="dxa"/>
              <w:left w:w="108" w:type="dxa"/>
              <w:bottom w:w="0" w:type="dxa"/>
              <w:right w:w="108" w:type="dxa"/>
            </w:tcMar>
            <w:vAlign w:val="bottom"/>
          </w:tcPr>
          <w:p w14:paraId="49DC2803"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Row Labels</w:t>
            </w:r>
          </w:p>
        </w:tc>
        <w:tc>
          <w:tcPr>
            <w:tcW w:w="7429" w:type="dxa"/>
            <w:tcBorders>
              <w:bottom w:val="single" w:sz="4" w:space="0" w:color="8EA9DB"/>
            </w:tcBorders>
            <w:shd w:val="clear" w:color="auto" w:fill="D9E1F2"/>
            <w:noWrap/>
            <w:tcMar>
              <w:top w:w="0" w:type="dxa"/>
              <w:left w:w="108" w:type="dxa"/>
              <w:bottom w:w="0" w:type="dxa"/>
              <w:right w:w="108" w:type="dxa"/>
            </w:tcMar>
            <w:vAlign w:val="bottom"/>
          </w:tcPr>
          <w:p w14:paraId="49DC2804"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Sum of Salary FTE</w:t>
            </w:r>
          </w:p>
        </w:tc>
      </w:tr>
      <w:tr w:rsidR="009B6B1C" w14:paraId="49DC2808"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06"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Female</w:t>
            </w:r>
          </w:p>
        </w:tc>
        <w:tc>
          <w:tcPr>
            <w:tcW w:w="7429" w:type="dxa"/>
            <w:shd w:val="clear" w:color="auto" w:fill="auto"/>
            <w:noWrap/>
            <w:tcMar>
              <w:top w:w="0" w:type="dxa"/>
              <w:left w:w="108" w:type="dxa"/>
              <w:bottom w:w="0" w:type="dxa"/>
              <w:right w:w="108" w:type="dxa"/>
            </w:tcMar>
            <w:vAlign w:val="bottom"/>
          </w:tcPr>
          <w:p w14:paraId="49DC2807"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3,764,235.00 </w:t>
            </w:r>
          </w:p>
        </w:tc>
      </w:tr>
      <w:tr w:rsidR="009B6B1C" w14:paraId="49DC280B"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09"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Male</w:t>
            </w:r>
          </w:p>
        </w:tc>
        <w:tc>
          <w:tcPr>
            <w:tcW w:w="7429" w:type="dxa"/>
            <w:shd w:val="clear" w:color="auto" w:fill="auto"/>
            <w:noWrap/>
            <w:tcMar>
              <w:top w:w="0" w:type="dxa"/>
              <w:left w:w="108" w:type="dxa"/>
              <w:bottom w:w="0" w:type="dxa"/>
              <w:right w:w="108" w:type="dxa"/>
            </w:tcMar>
            <w:vAlign w:val="bottom"/>
          </w:tcPr>
          <w:p w14:paraId="49DC280A"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w:t>
            </w:r>
            <w:r>
              <w:rPr>
                <w:rFonts w:ascii="Calibri" w:eastAsia="Times New Roman" w:hAnsi="Calibri" w:cs="Calibri"/>
                <w:color w:val="000000"/>
                <w:kern w:val="0"/>
                <w:lang w:eastAsia="en-GB"/>
              </w:rPr>
              <w:t xml:space="preserve">4,453,705.00 </w:t>
            </w:r>
          </w:p>
        </w:tc>
      </w:tr>
      <w:tr w:rsidR="009B6B1C" w14:paraId="49DC280E"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0C"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Non-binary</w:t>
            </w:r>
          </w:p>
        </w:tc>
        <w:tc>
          <w:tcPr>
            <w:tcW w:w="7429" w:type="dxa"/>
            <w:shd w:val="clear" w:color="auto" w:fill="auto"/>
            <w:noWrap/>
            <w:tcMar>
              <w:top w:w="0" w:type="dxa"/>
              <w:left w:w="108" w:type="dxa"/>
              <w:bottom w:w="0" w:type="dxa"/>
              <w:right w:w="108" w:type="dxa"/>
            </w:tcMar>
            <w:vAlign w:val="bottom"/>
          </w:tcPr>
          <w:p w14:paraId="49DC280D"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39,000.00 </w:t>
            </w:r>
          </w:p>
        </w:tc>
      </w:tr>
      <w:tr w:rsidR="009B6B1C" w14:paraId="49DC2811" w14:textId="77777777">
        <w:tblPrEx>
          <w:tblCellMar>
            <w:top w:w="0" w:type="dxa"/>
            <w:bottom w:w="0" w:type="dxa"/>
          </w:tblCellMar>
        </w:tblPrEx>
        <w:trPr>
          <w:trHeight w:val="288"/>
        </w:trPr>
        <w:tc>
          <w:tcPr>
            <w:tcW w:w="1360" w:type="dxa"/>
            <w:tcBorders>
              <w:top w:val="single" w:sz="4" w:space="0" w:color="8EA9DB"/>
            </w:tcBorders>
            <w:shd w:val="clear" w:color="auto" w:fill="D9E1F2"/>
            <w:noWrap/>
            <w:tcMar>
              <w:top w:w="0" w:type="dxa"/>
              <w:left w:w="108" w:type="dxa"/>
              <w:bottom w:w="0" w:type="dxa"/>
              <w:right w:w="108" w:type="dxa"/>
            </w:tcMar>
            <w:vAlign w:val="bottom"/>
          </w:tcPr>
          <w:p w14:paraId="49DC280F"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Grand Total</w:t>
            </w:r>
          </w:p>
        </w:tc>
        <w:tc>
          <w:tcPr>
            <w:tcW w:w="7429" w:type="dxa"/>
            <w:tcBorders>
              <w:top w:val="single" w:sz="4" w:space="0" w:color="8EA9DB"/>
            </w:tcBorders>
            <w:shd w:val="clear" w:color="auto" w:fill="D9E1F2"/>
            <w:noWrap/>
            <w:tcMar>
              <w:top w:w="0" w:type="dxa"/>
              <w:left w:w="108" w:type="dxa"/>
              <w:bottom w:w="0" w:type="dxa"/>
              <w:right w:w="108" w:type="dxa"/>
            </w:tcMar>
            <w:vAlign w:val="bottom"/>
          </w:tcPr>
          <w:p w14:paraId="49DC2810"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 xml:space="preserve"> £      8,256,940.00 </w:t>
            </w:r>
          </w:p>
        </w:tc>
      </w:tr>
    </w:tbl>
    <w:p w14:paraId="49DC2812" w14:textId="77777777" w:rsidR="009B6B1C" w:rsidRDefault="009B6B1C">
      <w:pPr>
        <w:pStyle w:val="ListParagraph"/>
      </w:pPr>
    </w:p>
    <w:p w14:paraId="49DC2813" w14:textId="77777777" w:rsidR="009B6B1C" w:rsidRDefault="009B6B1C">
      <w:pPr>
        <w:pStyle w:val="ListParagraph"/>
      </w:pPr>
    </w:p>
    <w:p w14:paraId="49DC2814" w14:textId="77777777" w:rsidR="009B6B1C" w:rsidRDefault="009B6B1C">
      <w:pPr>
        <w:pStyle w:val="ListParagraph"/>
      </w:pPr>
    </w:p>
    <w:p w14:paraId="49DC2815" w14:textId="77777777" w:rsidR="009B6B1C" w:rsidRDefault="009B6B1C">
      <w:pPr>
        <w:pStyle w:val="ListParagraph"/>
      </w:pPr>
    </w:p>
    <w:p w14:paraId="49DC2816" w14:textId="77777777" w:rsidR="009B6B1C" w:rsidRDefault="009B6B1C">
      <w:pPr>
        <w:pStyle w:val="ListParagraph"/>
      </w:pPr>
    </w:p>
    <w:p w14:paraId="49DC2817" w14:textId="77777777" w:rsidR="009B6B1C" w:rsidRDefault="009B6B1C">
      <w:pPr>
        <w:pStyle w:val="ListParagraph"/>
      </w:pPr>
    </w:p>
    <w:p w14:paraId="49DC2818" w14:textId="77777777" w:rsidR="009B6B1C" w:rsidRDefault="009B6B1C">
      <w:pPr>
        <w:pStyle w:val="ListParagraph"/>
      </w:pPr>
    </w:p>
    <w:p w14:paraId="49DC2819" w14:textId="77777777" w:rsidR="009B6B1C" w:rsidRDefault="009B6B1C">
      <w:pPr>
        <w:pStyle w:val="ListParagraph"/>
      </w:pPr>
    </w:p>
    <w:p w14:paraId="49DC281A" w14:textId="77777777" w:rsidR="009B6B1C" w:rsidRDefault="009B6B1C">
      <w:pPr>
        <w:pStyle w:val="ListParagraph"/>
      </w:pPr>
    </w:p>
    <w:p w14:paraId="49DC281B" w14:textId="77777777" w:rsidR="009B6B1C" w:rsidRDefault="009B6B1C">
      <w:pPr>
        <w:pStyle w:val="ListParagraph"/>
      </w:pPr>
    </w:p>
    <w:p w14:paraId="49DC281C" w14:textId="77777777" w:rsidR="009B6B1C" w:rsidRDefault="009B6B1C">
      <w:pPr>
        <w:pStyle w:val="ListParagraph"/>
      </w:pPr>
    </w:p>
    <w:p w14:paraId="49DC281D" w14:textId="77777777" w:rsidR="009B6B1C" w:rsidRDefault="009B6B1C">
      <w:pPr>
        <w:pStyle w:val="ListParagraph"/>
      </w:pPr>
    </w:p>
    <w:p w14:paraId="49DC281E" w14:textId="77777777" w:rsidR="009B6B1C" w:rsidRDefault="009B6B1C">
      <w:pPr>
        <w:pStyle w:val="ListParagraph"/>
      </w:pPr>
    </w:p>
    <w:p w14:paraId="49DC281F" w14:textId="77777777" w:rsidR="009B6B1C" w:rsidRDefault="009B6B1C">
      <w:pPr>
        <w:pStyle w:val="ListParagraph"/>
      </w:pPr>
    </w:p>
    <w:p w14:paraId="49DC2820" w14:textId="77777777" w:rsidR="009B6B1C" w:rsidRDefault="009B6B1C">
      <w:pPr>
        <w:pStyle w:val="ListParagraph"/>
      </w:pPr>
    </w:p>
    <w:p w14:paraId="49DC2821" w14:textId="77777777" w:rsidR="009B6B1C" w:rsidRDefault="009B6B1C">
      <w:pPr>
        <w:pStyle w:val="ListParagraph"/>
      </w:pPr>
    </w:p>
    <w:p w14:paraId="49DC2822" w14:textId="77777777" w:rsidR="009B6B1C" w:rsidRDefault="00F51A9B">
      <w:pPr>
        <w:ind w:left="360"/>
      </w:pPr>
      <w:r>
        <w:t>ii)Overall salary paid by the organisation.</w:t>
      </w:r>
    </w:p>
    <w:p w14:paraId="49DC2823" w14:textId="77777777" w:rsidR="009B6B1C" w:rsidRDefault="00F51A9B">
      <w:r>
        <w:rPr>
          <w:noProof/>
        </w:rPr>
        <w:lastRenderedPageBreak/>
        <w:drawing>
          <wp:inline distT="0" distB="0" distL="0" distR="0" wp14:anchorId="49DC26B7" wp14:editId="49DC26B8">
            <wp:extent cx="4069080" cy="1302389"/>
            <wp:effectExtent l="0" t="0" r="0" b="0"/>
            <wp:docPr id="35352995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DC2824" w14:textId="77777777" w:rsidR="009B6B1C" w:rsidRDefault="009B6B1C"/>
    <w:tbl>
      <w:tblPr>
        <w:tblW w:w="8505" w:type="dxa"/>
        <w:tblCellMar>
          <w:left w:w="10" w:type="dxa"/>
          <w:right w:w="10" w:type="dxa"/>
        </w:tblCellMar>
        <w:tblLook w:val="04A0" w:firstRow="1" w:lastRow="0" w:firstColumn="1" w:lastColumn="0" w:noHBand="0" w:noVBand="1"/>
      </w:tblPr>
      <w:tblGrid>
        <w:gridCol w:w="8505"/>
      </w:tblGrid>
      <w:tr w:rsidR="009B6B1C" w14:paraId="49DC2826" w14:textId="77777777">
        <w:tblPrEx>
          <w:tblCellMar>
            <w:top w:w="0" w:type="dxa"/>
            <w:bottom w:w="0" w:type="dxa"/>
          </w:tblCellMar>
        </w:tblPrEx>
        <w:trPr>
          <w:trHeight w:val="288"/>
        </w:trPr>
        <w:tc>
          <w:tcPr>
            <w:tcW w:w="8505" w:type="dxa"/>
            <w:tcBorders>
              <w:bottom w:val="single" w:sz="4" w:space="0" w:color="8EA9DB"/>
            </w:tcBorders>
            <w:shd w:val="clear" w:color="auto" w:fill="D9E1F2"/>
            <w:noWrap/>
            <w:tcMar>
              <w:top w:w="0" w:type="dxa"/>
              <w:left w:w="108" w:type="dxa"/>
              <w:bottom w:w="0" w:type="dxa"/>
              <w:right w:w="108" w:type="dxa"/>
            </w:tcMar>
            <w:vAlign w:val="bottom"/>
          </w:tcPr>
          <w:p w14:paraId="49DC2825"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Salary FTE</w:t>
            </w:r>
          </w:p>
        </w:tc>
      </w:tr>
      <w:tr w:rsidR="009B6B1C" w14:paraId="49DC2828" w14:textId="77777777">
        <w:tblPrEx>
          <w:tblCellMar>
            <w:top w:w="0" w:type="dxa"/>
            <w:bottom w:w="0" w:type="dxa"/>
          </w:tblCellMar>
        </w:tblPrEx>
        <w:trPr>
          <w:trHeight w:val="288"/>
        </w:trPr>
        <w:tc>
          <w:tcPr>
            <w:tcW w:w="8505" w:type="dxa"/>
            <w:shd w:val="clear" w:color="auto" w:fill="auto"/>
            <w:noWrap/>
            <w:tcMar>
              <w:top w:w="0" w:type="dxa"/>
              <w:left w:w="108" w:type="dxa"/>
              <w:bottom w:w="0" w:type="dxa"/>
              <w:right w:w="108" w:type="dxa"/>
            </w:tcMar>
            <w:vAlign w:val="bottom"/>
          </w:tcPr>
          <w:p w14:paraId="49DC2827" w14:textId="77777777" w:rsidR="009B6B1C" w:rsidRDefault="009B6B1C">
            <w:pPr>
              <w:spacing w:after="0" w:line="240" w:lineRule="auto"/>
              <w:rPr>
                <w:rFonts w:ascii="Calibri" w:eastAsia="Times New Roman" w:hAnsi="Calibri" w:cs="Calibri"/>
                <w:color w:val="000000"/>
                <w:kern w:val="0"/>
                <w:lang w:eastAsia="en-GB"/>
              </w:rPr>
            </w:pPr>
          </w:p>
        </w:tc>
      </w:tr>
      <w:tr w:rsidR="009B6B1C" w14:paraId="49DC282A" w14:textId="77777777">
        <w:tblPrEx>
          <w:tblCellMar>
            <w:top w:w="0" w:type="dxa"/>
            <w:bottom w:w="0" w:type="dxa"/>
          </w:tblCellMar>
        </w:tblPrEx>
        <w:trPr>
          <w:trHeight w:val="288"/>
        </w:trPr>
        <w:tc>
          <w:tcPr>
            <w:tcW w:w="8505" w:type="dxa"/>
            <w:tcBorders>
              <w:bottom w:val="single" w:sz="4" w:space="0" w:color="8EA9DB"/>
            </w:tcBorders>
            <w:shd w:val="clear" w:color="auto" w:fill="D9E1F2"/>
            <w:noWrap/>
            <w:tcMar>
              <w:top w:w="0" w:type="dxa"/>
              <w:left w:w="108" w:type="dxa"/>
              <w:bottom w:w="0" w:type="dxa"/>
              <w:right w:w="108" w:type="dxa"/>
            </w:tcMar>
            <w:vAlign w:val="bottom"/>
          </w:tcPr>
          <w:p w14:paraId="49DC2829"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Sum of Salary FTE</w:t>
            </w:r>
          </w:p>
        </w:tc>
      </w:tr>
      <w:tr w:rsidR="009B6B1C" w14:paraId="49DC282C" w14:textId="77777777">
        <w:tblPrEx>
          <w:tblCellMar>
            <w:top w:w="0" w:type="dxa"/>
            <w:bottom w:w="0" w:type="dxa"/>
          </w:tblCellMar>
        </w:tblPrEx>
        <w:trPr>
          <w:trHeight w:val="288"/>
        </w:trPr>
        <w:tc>
          <w:tcPr>
            <w:tcW w:w="8505" w:type="dxa"/>
            <w:shd w:val="clear" w:color="auto" w:fill="auto"/>
            <w:noWrap/>
            <w:tcMar>
              <w:top w:w="0" w:type="dxa"/>
              <w:left w:w="108" w:type="dxa"/>
              <w:bottom w:w="0" w:type="dxa"/>
              <w:right w:w="108" w:type="dxa"/>
            </w:tcMar>
            <w:vAlign w:val="bottom"/>
          </w:tcPr>
          <w:p w14:paraId="49DC282B"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8,256,940.00 </w:t>
            </w:r>
          </w:p>
        </w:tc>
      </w:tr>
    </w:tbl>
    <w:p w14:paraId="49DC282D" w14:textId="77777777" w:rsidR="009B6B1C" w:rsidRDefault="009B6B1C"/>
    <w:p w14:paraId="49DC282E" w14:textId="77777777" w:rsidR="009B6B1C" w:rsidRDefault="00F51A9B">
      <w:pPr>
        <w:pStyle w:val="ListParagraph"/>
        <w:numPr>
          <w:ilvl w:val="0"/>
          <w:numId w:val="19"/>
        </w:numPr>
      </w:pPr>
      <w:r>
        <w:t xml:space="preserve">Average Salary </w:t>
      </w:r>
    </w:p>
    <w:p w14:paraId="49DC282F" w14:textId="77777777" w:rsidR="009B6B1C" w:rsidRDefault="00F51A9B">
      <w:r>
        <w:rPr>
          <w:noProof/>
        </w:rPr>
        <w:drawing>
          <wp:inline distT="0" distB="0" distL="0" distR="0" wp14:anchorId="49DC26B9" wp14:editId="49DC26BA">
            <wp:extent cx="4708529" cy="2910206"/>
            <wp:effectExtent l="0" t="0" r="0" b="0"/>
            <wp:docPr id="45168932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DC2830" w14:textId="77777777" w:rsidR="009B6B1C" w:rsidRDefault="009B6B1C"/>
    <w:tbl>
      <w:tblPr>
        <w:tblW w:w="7513" w:type="dxa"/>
        <w:tblCellMar>
          <w:left w:w="10" w:type="dxa"/>
          <w:right w:w="10" w:type="dxa"/>
        </w:tblCellMar>
        <w:tblLook w:val="04A0" w:firstRow="1" w:lastRow="0" w:firstColumn="1" w:lastColumn="0" w:noHBand="0" w:noVBand="1"/>
      </w:tblPr>
      <w:tblGrid>
        <w:gridCol w:w="1360"/>
        <w:gridCol w:w="6153"/>
      </w:tblGrid>
      <w:tr w:rsidR="009B6B1C" w14:paraId="49DC2833" w14:textId="77777777">
        <w:tblPrEx>
          <w:tblCellMar>
            <w:top w:w="0" w:type="dxa"/>
            <w:bottom w:w="0" w:type="dxa"/>
          </w:tblCellMar>
        </w:tblPrEx>
        <w:trPr>
          <w:trHeight w:val="288"/>
        </w:trPr>
        <w:tc>
          <w:tcPr>
            <w:tcW w:w="1360" w:type="dxa"/>
            <w:tcBorders>
              <w:bottom w:val="single" w:sz="4" w:space="0" w:color="8EA9DB"/>
            </w:tcBorders>
            <w:shd w:val="clear" w:color="auto" w:fill="D9E1F2"/>
            <w:noWrap/>
            <w:tcMar>
              <w:top w:w="0" w:type="dxa"/>
              <w:left w:w="108" w:type="dxa"/>
              <w:bottom w:w="0" w:type="dxa"/>
              <w:right w:w="108" w:type="dxa"/>
            </w:tcMar>
            <w:vAlign w:val="bottom"/>
          </w:tcPr>
          <w:p w14:paraId="49DC2831"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Row Labels</w:t>
            </w:r>
          </w:p>
        </w:tc>
        <w:tc>
          <w:tcPr>
            <w:tcW w:w="6153" w:type="dxa"/>
            <w:tcBorders>
              <w:bottom w:val="single" w:sz="4" w:space="0" w:color="8EA9DB"/>
            </w:tcBorders>
            <w:shd w:val="clear" w:color="auto" w:fill="D9E1F2"/>
            <w:noWrap/>
            <w:tcMar>
              <w:top w:w="0" w:type="dxa"/>
              <w:left w:w="108" w:type="dxa"/>
              <w:bottom w:w="0" w:type="dxa"/>
              <w:right w:w="108" w:type="dxa"/>
            </w:tcMar>
            <w:vAlign w:val="bottom"/>
          </w:tcPr>
          <w:p w14:paraId="49DC2832"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 xml:space="preserve">Average of </w:t>
            </w:r>
            <w:r>
              <w:rPr>
                <w:rFonts w:ascii="Calibri" w:eastAsia="Times New Roman" w:hAnsi="Calibri" w:cs="Calibri"/>
                <w:b/>
                <w:bCs/>
                <w:color w:val="000000"/>
                <w:kern w:val="0"/>
                <w:lang w:eastAsia="en-GB"/>
              </w:rPr>
              <w:t>Salary FTE2</w:t>
            </w:r>
          </w:p>
        </w:tc>
      </w:tr>
      <w:tr w:rsidR="009B6B1C" w14:paraId="49DC2836"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34"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Female</w:t>
            </w:r>
          </w:p>
        </w:tc>
        <w:tc>
          <w:tcPr>
            <w:tcW w:w="6153" w:type="dxa"/>
            <w:shd w:val="clear" w:color="auto" w:fill="auto"/>
            <w:noWrap/>
            <w:tcMar>
              <w:top w:w="0" w:type="dxa"/>
              <w:left w:w="108" w:type="dxa"/>
              <w:bottom w:w="0" w:type="dxa"/>
              <w:right w:w="108" w:type="dxa"/>
            </w:tcMar>
            <w:vAlign w:val="bottom"/>
          </w:tcPr>
          <w:p w14:paraId="49DC2835"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31,900.30 </w:t>
            </w:r>
          </w:p>
        </w:tc>
      </w:tr>
      <w:tr w:rsidR="009B6B1C" w14:paraId="49DC2839"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37"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Male</w:t>
            </w:r>
          </w:p>
        </w:tc>
        <w:tc>
          <w:tcPr>
            <w:tcW w:w="6153" w:type="dxa"/>
            <w:shd w:val="clear" w:color="auto" w:fill="auto"/>
            <w:noWrap/>
            <w:tcMar>
              <w:top w:w="0" w:type="dxa"/>
              <w:left w:w="108" w:type="dxa"/>
              <w:bottom w:w="0" w:type="dxa"/>
              <w:right w:w="108" w:type="dxa"/>
            </w:tcMar>
            <w:vAlign w:val="bottom"/>
          </w:tcPr>
          <w:p w14:paraId="49DC2838"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31,812.18 </w:t>
            </w:r>
          </w:p>
        </w:tc>
      </w:tr>
      <w:tr w:rsidR="009B6B1C" w14:paraId="49DC283C" w14:textId="77777777">
        <w:tblPrEx>
          <w:tblCellMar>
            <w:top w:w="0" w:type="dxa"/>
            <w:bottom w:w="0" w:type="dxa"/>
          </w:tblCellMar>
        </w:tblPrEx>
        <w:trPr>
          <w:trHeight w:val="288"/>
        </w:trPr>
        <w:tc>
          <w:tcPr>
            <w:tcW w:w="1360" w:type="dxa"/>
            <w:shd w:val="clear" w:color="auto" w:fill="auto"/>
            <w:noWrap/>
            <w:tcMar>
              <w:top w:w="0" w:type="dxa"/>
              <w:left w:w="108" w:type="dxa"/>
              <w:bottom w:w="0" w:type="dxa"/>
              <w:right w:w="108" w:type="dxa"/>
            </w:tcMar>
            <w:vAlign w:val="bottom"/>
          </w:tcPr>
          <w:p w14:paraId="49DC283A"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Non-binary</w:t>
            </w:r>
          </w:p>
        </w:tc>
        <w:tc>
          <w:tcPr>
            <w:tcW w:w="6153" w:type="dxa"/>
            <w:shd w:val="clear" w:color="auto" w:fill="auto"/>
            <w:noWrap/>
            <w:tcMar>
              <w:top w:w="0" w:type="dxa"/>
              <w:left w:w="108" w:type="dxa"/>
              <w:bottom w:w="0" w:type="dxa"/>
              <w:right w:w="108" w:type="dxa"/>
            </w:tcMar>
            <w:vAlign w:val="bottom"/>
          </w:tcPr>
          <w:p w14:paraId="49DC283B" w14:textId="77777777" w:rsidR="009B6B1C" w:rsidRDefault="00F51A9B">
            <w:pPr>
              <w:spacing w:after="0" w:line="240" w:lineRule="auto"/>
              <w:rPr>
                <w:rFonts w:ascii="Calibri" w:eastAsia="Times New Roman" w:hAnsi="Calibri" w:cs="Calibri"/>
                <w:color w:val="000000"/>
                <w:kern w:val="0"/>
                <w:lang w:eastAsia="en-GB"/>
              </w:rPr>
            </w:pPr>
            <w:r>
              <w:rPr>
                <w:rFonts w:ascii="Calibri" w:eastAsia="Times New Roman" w:hAnsi="Calibri" w:cs="Calibri"/>
                <w:color w:val="000000"/>
                <w:kern w:val="0"/>
                <w:lang w:eastAsia="en-GB"/>
              </w:rPr>
              <w:t xml:space="preserve"> £                     19,500.00 </w:t>
            </w:r>
          </w:p>
        </w:tc>
      </w:tr>
      <w:tr w:rsidR="009B6B1C" w14:paraId="49DC283F" w14:textId="77777777">
        <w:tblPrEx>
          <w:tblCellMar>
            <w:top w:w="0" w:type="dxa"/>
            <w:bottom w:w="0" w:type="dxa"/>
          </w:tblCellMar>
        </w:tblPrEx>
        <w:trPr>
          <w:trHeight w:val="288"/>
        </w:trPr>
        <w:tc>
          <w:tcPr>
            <w:tcW w:w="1360" w:type="dxa"/>
            <w:tcBorders>
              <w:top w:val="single" w:sz="4" w:space="0" w:color="8EA9DB"/>
            </w:tcBorders>
            <w:shd w:val="clear" w:color="auto" w:fill="D9E1F2"/>
            <w:noWrap/>
            <w:tcMar>
              <w:top w:w="0" w:type="dxa"/>
              <w:left w:w="108" w:type="dxa"/>
              <w:bottom w:w="0" w:type="dxa"/>
              <w:right w:w="108" w:type="dxa"/>
            </w:tcMar>
            <w:vAlign w:val="bottom"/>
          </w:tcPr>
          <w:p w14:paraId="49DC283D"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Grand Total</w:t>
            </w:r>
          </w:p>
        </w:tc>
        <w:tc>
          <w:tcPr>
            <w:tcW w:w="6153" w:type="dxa"/>
            <w:tcBorders>
              <w:top w:val="single" w:sz="4" w:space="0" w:color="8EA9DB"/>
            </w:tcBorders>
            <w:shd w:val="clear" w:color="auto" w:fill="D9E1F2"/>
            <w:noWrap/>
            <w:tcMar>
              <w:top w:w="0" w:type="dxa"/>
              <w:left w:w="108" w:type="dxa"/>
              <w:bottom w:w="0" w:type="dxa"/>
              <w:right w:w="108" w:type="dxa"/>
            </w:tcMar>
            <w:vAlign w:val="bottom"/>
          </w:tcPr>
          <w:p w14:paraId="49DC283E" w14:textId="77777777" w:rsidR="009B6B1C" w:rsidRDefault="00F51A9B">
            <w:pPr>
              <w:spacing w:after="0" w:line="240" w:lineRule="auto"/>
              <w:rPr>
                <w:rFonts w:ascii="Calibri" w:eastAsia="Times New Roman" w:hAnsi="Calibri" w:cs="Calibri"/>
                <w:b/>
                <w:bCs/>
                <w:color w:val="000000"/>
                <w:kern w:val="0"/>
                <w:lang w:eastAsia="en-GB"/>
              </w:rPr>
            </w:pPr>
            <w:r>
              <w:rPr>
                <w:rFonts w:ascii="Calibri" w:eastAsia="Times New Roman" w:hAnsi="Calibri" w:cs="Calibri"/>
                <w:b/>
                <w:bCs/>
                <w:color w:val="000000"/>
                <w:kern w:val="0"/>
                <w:lang w:eastAsia="en-GB"/>
              </w:rPr>
              <w:t xml:space="preserve"> £                     31,757.46 </w:t>
            </w:r>
          </w:p>
        </w:tc>
      </w:tr>
    </w:tbl>
    <w:p w14:paraId="49DC2840" w14:textId="77777777" w:rsidR="009B6B1C" w:rsidRDefault="009B6B1C">
      <w:pPr>
        <w:rPr>
          <w:sz w:val="24"/>
          <w:szCs w:val="24"/>
        </w:rPr>
      </w:pPr>
    </w:p>
    <w:p w14:paraId="49DC2841" w14:textId="77777777" w:rsidR="009B6B1C" w:rsidRDefault="009B6B1C">
      <w:pPr>
        <w:rPr>
          <w:b/>
          <w:bCs/>
          <w:sz w:val="24"/>
          <w:szCs w:val="24"/>
        </w:rPr>
      </w:pPr>
    </w:p>
    <w:p w14:paraId="49DC2842" w14:textId="77777777" w:rsidR="009B6B1C" w:rsidRDefault="00F51A9B">
      <w:pPr>
        <w:rPr>
          <w:b/>
          <w:bCs/>
          <w:sz w:val="24"/>
          <w:szCs w:val="24"/>
        </w:rPr>
      </w:pPr>
      <w:r>
        <w:rPr>
          <w:b/>
          <w:bCs/>
          <w:sz w:val="24"/>
          <w:szCs w:val="24"/>
        </w:rPr>
        <w:t>Analysis of Data</w:t>
      </w:r>
    </w:p>
    <w:p w14:paraId="49DC2843" w14:textId="77777777" w:rsidR="009B6B1C" w:rsidRDefault="00F51A9B">
      <w:r>
        <w:rPr>
          <w:sz w:val="24"/>
          <w:szCs w:val="24"/>
        </w:rPr>
        <w:lastRenderedPageBreak/>
        <w:t>1.</w:t>
      </w:r>
      <w:r>
        <w:rPr>
          <w:b/>
          <w:bCs/>
          <w:sz w:val="24"/>
          <w:szCs w:val="24"/>
        </w:rPr>
        <w:t>Female vs. Male</w:t>
      </w:r>
      <w:r>
        <w:rPr>
          <w:sz w:val="24"/>
          <w:szCs w:val="24"/>
        </w:rPr>
        <w:t xml:space="preserve"> – The total salary for </w:t>
      </w:r>
      <w:r>
        <w:rPr>
          <w:sz w:val="24"/>
          <w:szCs w:val="24"/>
        </w:rPr>
        <w:t>females is slightly lower than that for males. This could be due to a variety of factors such as the number of employees, their work roles and pay differences.</w:t>
      </w:r>
    </w:p>
    <w:p w14:paraId="49DC2844" w14:textId="77777777" w:rsidR="009B6B1C" w:rsidRDefault="00F51A9B">
      <w:r>
        <w:rPr>
          <w:sz w:val="24"/>
          <w:szCs w:val="24"/>
        </w:rPr>
        <w:t xml:space="preserve">-  </w:t>
      </w:r>
      <w:r>
        <w:rPr>
          <w:b/>
          <w:bCs/>
          <w:sz w:val="24"/>
          <w:szCs w:val="24"/>
        </w:rPr>
        <w:t>Female Total Salary</w:t>
      </w:r>
      <w:r>
        <w:rPr>
          <w:sz w:val="24"/>
          <w:szCs w:val="24"/>
        </w:rPr>
        <w:t xml:space="preserve"> is £3764,235 but averaged to £31,900.30.</w:t>
      </w:r>
    </w:p>
    <w:p w14:paraId="49DC2845" w14:textId="77777777" w:rsidR="009B6B1C" w:rsidRDefault="00F51A9B">
      <w:r>
        <w:rPr>
          <w:sz w:val="24"/>
          <w:szCs w:val="24"/>
        </w:rPr>
        <w:t xml:space="preserve">-  </w:t>
      </w:r>
      <w:r>
        <w:rPr>
          <w:b/>
          <w:bCs/>
          <w:sz w:val="24"/>
          <w:szCs w:val="24"/>
        </w:rPr>
        <w:t>Male Total Salary</w:t>
      </w:r>
      <w:r>
        <w:rPr>
          <w:sz w:val="24"/>
          <w:szCs w:val="24"/>
        </w:rPr>
        <w:t xml:space="preserve"> is £4453.705.00 averaged to £31812.18. </w:t>
      </w:r>
    </w:p>
    <w:p w14:paraId="49DC2846" w14:textId="77777777" w:rsidR="009B6B1C" w:rsidRDefault="00F51A9B">
      <w:r>
        <w:rPr>
          <w:sz w:val="24"/>
          <w:szCs w:val="24"/>
        </w:rPr>
        <w:t xml:space="preserve">2. </w:t>
      </w:r>
      <w:r>
        <w:rPr>
          <w:b/>
          <w:bCs/>
          <w:sz w:val="24"/>
          <w:szCs w:val="24"/>
        </w:rPr>
        <w:t>Non-binary Total Salary</w:t>
      </w:r>
      <w:r>
        <w:rPr>
          <w:sz w:val="24"/>
          <w:szCs w:val="24"/>
        </w:rPr>
        <w:t xml:space="preserve"> – The total salary for non-binary individuals is significantly lower, Indicating wither fewer employees or lower paid employees</w:t>
      </w:r>
    </w:p>
    <w:p w14:paraId="49DC2847" w14:textId="77777777" w:rsidR="009B6B1C" w:rsidRDefault="00F51A9B">
      <w:r>
        <w:rPr>
          <w:sz w:val="24"/>
          <w:szCs w:val="24"/>
        </w:rPr>
        <w:t xml:space="preserve">- </w:t>
      </w:r>
      <w:r>
        <w:rPr>
          <w:b/>
          <w:bCs/>
          <w:sz w:val="24"/>
          <w:szCs w:val="24"/>
        </w:rPr>
        <w:t>Non-binary total salary is £39,000.00</w:t>
      </w:r>
      <w:r>
        <w:rPr>
          <w:sz w:val="24"/>
          <w:szCs w:val="24"/>
        </w:rPr>
        <w:t xml:space="preserve"> giving an average of £19,500.00</w:t>
      </w:r>
    </w:p>
    <w:p w14:paraId="49DC2848" w14:textId="77777777" w:rsidR="009B6B1C" w:rsidRDefault="00F51A9B">
      <w:r>
        <w:rPr>
          <w:sz w:val="24"/>
          <w:szCs w:val="24"/>
        </w:rPr>
        <w:t xml:space="preserve">The overall </w:t>
      </w:r>
      <w:r>
        <w:rPr>
          <w:b/>
          <w:bCs/>
          <w:sz w:val="24"/>
          <w:szCs w:val="24"/>
        </w:rPr>
        <w:t>grand total of all salaries paid by the organisation</w:t>
      </w:r>
      <w:r>
        <w:rPr>
          <w:sz w:val="24"/>
          <w:szCs w:val="24"/>
        </w:rPr>
        <w:t xml:space="preserve"> is £8,256,940.00.</w:t>
      </w:r>
    </w:p>
    <w:p w14:paraId="49DC2849" w14:textId="00FBAAE2" w:rsidR="009B6B1C" w:rsidRDefault="00F51A9B">
      <w:pPr>
        <w:rPr>
          <w:sz w:val="24"/>
          <w:szCs w:val="24"/>
        </w:rPr>
      </w:pPr>
      <w:r>
        <w:rPr>
          <w:sz w:val="24"/>
          <w:szCs w:val="24"/>
        </w:rPr>
        <w:t xml:space="preserve">On average, there is </w:t>
      </w:r>
      <w:r w:rsidR="00215BAF">
        <w:rPr>
          <w:sz w:val="24"/>
          <w:szCs w:val="24"/>
        </w:rPr>
        <w:t>slight difference</w:t>
      </w:r>
      <w:r>
        <w:rPr>
          <w:sz w:val="24"/>
          <w:szCs w:val="24"/>
        </w:rPr>
        <w:t xml:space="preserve"> between Male and Female salaries. However, the non-binary average is going to be significantly lower due to the fact there are </w:t>
      </w:r>
      <w:r>
        <w:rPr>
          <w:sz w:val="24"/>
          <w:szCs w:val="24"/>
        </w:rPr>
        <w:t xml:space="preserve">only two people working for the organisation and both at entry level so unless one of the employees were promoted to a more senior position, the average </w:t>
      </w:r>
      <w:r w:rsidR="00215BAF">
        <w:rPr>
          <w:sz w:val="24"/>
          <w:szCs w:val="24"/>
        </w:rPr>
        <w:t>cannot</w:t>
      </w:r>
      <w:r>
        <w:rPr>
          <w:sz w:val="24"/>
          <w:szCs w:val="24"/>
        </w:rPr>
        <w:t xml:space="preserve"> be compared and taken into consideration when analysing this data.</w:t>
      </w:r>
    </w:p>
    <w:p w14:paraId="49DC284A" w14:textId="77777777" w:rsidR="009B6B1C" w:rsidRDefault="009B6B1C">
      <w:pPr>
        <w:rPr>
          <w:sz w:val="24"/>
          <w:szCs w:val="24"/>
        </w:rPr>
      </w:pPr>
    </w:p>
    <w:p w14:paraId="49DC284B" w14:textId="77777777" w:rsidR="009B6B1C" w:rsidRDefault="00F51A9B">
      <w:pPr>
        <w:rPr>
          <w:b/>
          <w:bCs/>
          <w:sz w:val="24"/>
          <w:szCs w:val="24"/>
        </w:rPr>
      </w:pPr>
      <w:r>
        <w:rPr>
          <w:b/>
          <w:bCs/>
          <w:sz w:val="24"/>
          <w:szCs w:val="24"/>
        </w:rPr>
        <w:t xml:space="preserve">Recommendations for improvement </w:t>
      </w:r>
    </w:p>
    <w:p w14:paraId="49DC284C" w14:textId="77777777" w:rsidR="009B6B1C" w:rsidRDefault="00F51A9B">
      <w:pPr>
        <w:rPr>
          <w:sz w:val="24"/>
          <w:szCs w:val="24"/>
        </w:rPr>
      </w:pPr>
      <w:r>
        <w:rPr>
          <w:sz w:val="24"/>
          <w:szCs w:val="24"/>
        </w:rPr>
        <w:t>1.Conduct a thorough pay review analysis to ensure there is no gender-based pay disparity and implement corrective action if any are found.</w:t>
      </w:r>
    </w:p>
    <w:p w14:paraId="49DC284D" w14:textId="77777777" w:rsidR="009B6B1C" w:rsidRDefault="00F51A9B">
      <w:pPr>
        <w:rPr>
          <w:sz w:val="24"/>
          <w:szCs w:val="24"/>
        </w:rPr>
      </w:pPr>
      <w:r>
        <w:rPr>
          <w:sz w:val="24"/>
          <w:szCs w:val="24"/>
        </w:rPr>
        <w:t>2. Enhance recruitment and support around non-binary individuals to ensure equitable pay structures.</w:t>
      </w:r>
    </w:p>
    <w:p w14:paraId="49DC284E" w14:textId="77777777" w:rsidR="009B6B1C" w:rsidRDefault="00F51A9B">
      <w:pPr>
        <w:rPr>
          <w:sz w:val="24"/>
          <w:szCs w:val="24"/>
        </w:rPr>
      </w:pPr>
      <w:r>
        <w:rPr>
          <w:sz w:val="24"/>
          <w:szCs w:val="24"/>
        </w:rPr>
        <w:t>3. Regular monitoring by establishing an audit routine of salary data across different genders to ensure pay equity within the organisation.</w:t>
      </w:r>
    </w:p>
    <w:p w14:paraId="49DC284F" w14:textId="77777777" w:rsidR="009B6B1C" w:rsidRDefault="00F51A9B">
      <w:pPr>
        <w:rPr>
          <w:sz w:val="24"/>
          <w:szCs w:val="24"/>
        </w:rPr>
      </w:pPr>
      <w:r>
        <w:rPr>
          <w:sz w:val="24"/>
          <w:szCs w:val="24"/>
        </w:rPr>
        <w:t>By addressing these areas, the organisation can promote a fair and equal work environment for all employees.</w:t>
      </w:r>
    </w:p>
    <w:p w14:paraId="49DC2850" w14:textId="77777777" w:rsidR="009B6B1C" w:rsidRDefault="009B6B1C">
      <w:pPr>
        <w:pStyle w:val="ListParagraph"/>
        <w:ind w:left="2880"/>
        <w:rPr>
          <w:sz w:val="24"/>
          <w:szCs w:val="24"/>
        </w:rPr>
      </w:pPr>
    </w:p>
    <w:p w14:paraId="49DC2851" w14:textId="77777777" w:rsidR="009B6B1C" w:rsidRDefault="009B6B1C">
      <w:pPr>
        <w:pStyle w:val="ListParagraph"/>
        <w:ind w:left="2880"/>
        <w:rPr>
          <w:sz w:val="24"/>
          <w:szCs w:val="24"/>
        </w:rPr>
      </w:pPr>
    </w:p>
    <w:p w14:paraId="49DC2852" w14:textId="77777777" w:rsidR="009B6B1C" w:rsidRDefault="009B6B1C">
      <w:pPr>
        <w:pStyle w:val="ListParagraph"/>
        <w:ind w:left="2880"/>
        <w:rPr>
          <w:sz w:val="24"/>
          <w:szCs w:val="24"/>
        </w:rPr>
      </w:pPr>
    </w:p>
    <w:p w14:paraId="49DC2853" w14:textId="77777777" w:rsidR="009B6B1C" w:rsidRDefault="009B6B1C">
      <w:pPr>
        <w:pStyle w:val="ListParagraph"/>
        <w:ind w:left="2880"/>
        <w:rPr>
          <w:sz w:val="24"/>
          <w:szCs w:val="24"/>
        </w:rPr>
      </w:pPr>
    </w:p>
    <w:p w14:paraId="49DC2854" w14:textId="77777777" w:rsidR="009B6B1C" w:rsidRDefault="009B6B1C">
      <w:pPr>
        <w:pStyle w:val="ListParagraph"/>
        <w:ind w:left="2880"/>
        <w:rPr>
          <w:sz w:val="24"/>
          <w:szCs w:val="24"/>
        </w:rPr>
      </w:pPr>
    </w:p>
    <w:p w14:paraId="49DC2855" w14:textId="77777777" w:rsidR="009B6B1C" w:rsidRDefault="009B6B1C">
      <w:pPr>
        <w:pStyle w:val="NormalWeb"/>
        <w:rPr>
          <w:rFonts w:ascii="Aptos" w:hAnsi="Aptos"/>
        </w:rPr>
      </w:pPr>
    </w:p>
    <w:p w14:paraId="49DC2856" w14:textId="77777777" w:rsidR="009B6B1C" w:rsidRDefault="009B6B1C">
      <w:pPr>
        <w:pStyle w:val="NormalWeb"/>
        <w:rPr>
          <w:rFonts w:ascii="Aptos" w:hAnsi="Aptos"/>
        </w:rPr>
      </w:pPr>
    </w:p>
    <w:p w14:paraId="49DC2857" w14:textId="77777777" w:rsidR="009B6B1C" w:rsidRDefault="009B6B1C">
      <w:pPr>
        <w:pStyle w:val="NormalWeb"/>
        <w:rPr>
          <w:rFonts w:ascii="Aptos" w:hAnsi="Aptos"/>
        </w:rPr>
      </w:pPr>
    </w:p>
    <w:p w14:paraId="49DC2858" w14:textId="77777777" w:rsidR="009B6B1C" w:rsidRDefault="009B6B1C">
      <w:pPr>
        <w:pStyle w:val="NormalWeb"/>
        <w:rPr>
          <w:rFonts w:ascii="Aptos" w:hAnsi="Aptos"/>
        </w:rPr>
      </w:pPr>
    </w:p>
    <w:p w14:paraId="49DC2859" w14:textId="77777777" w:rsidR="009B6B1C" w:rsidRDefault="00F51A9B">
      <w:pPr>
        <w:pStyle w:val="Listparag"/>
        <w:spacing w:after="0"/>
        <w:ind w:left="0" w:firstLine="0"/>
      </w:pPr>
      <w:r>
        <w:rPr>
          <w:rFonts w:ascii="Aptos" w:hAnsi="Aptos"/>
          <w:b/>
          <w:bCs/>
          <w:sz w:val="24"/>
        </w:rPr>
        <w:t xml:space="preserve">AC </w:t>
      </w:r>
      <w:r>
        <w:rPr>
          <w:rFonts w:ascii="Aptos" w:hAnsi="Aptos"/>
          <w:b/>
          <w:bCs/>
          <w:sz w:val="24"/>
        </w:rPr>
        <w:t xml:space="preserve">2.1: </w:t>
      </w:r>
      <w:r>
        <w:rPr>
          <w:b/>
          <w:sz w:val="24"/>
        </w:rPr>
        <w:t xml:space="preserve">Table 2 – Feedback scores from a recent employee survey on hybrid working practices. </w:t>
      </w:r>
    </w:p>
    <w:p w14:paraId="49DC285A" w14:textId="77777777" w:rsidR="009B6B1C" w:rsidRDefault="00F51A9B">
      <w:pPr>
        <w:pStyle w:val="NormalWeb"/>
        <w:rPr>
          <w:rFonts w:ascii="Aptos" w:hAnsi="Aptos"/>
        </w:rPr>
      </w:pPr>
      <w:r>
        <w:rPr>
          <w:rFonts w:ascii="Aptos" w:hAnsi="Aptos"/>
        </w:rPr>
        <w:t>After analysing the data from Table 2, the data summary and key insights from the survey are as follows:</w:t>
      </w:r>
    </w:p>
    <w:p w14:paraId="49DC285B" w14:textId="77777777" w:rsidR="009B6B1C" w:rsidRDefault="00F51A9B">
      <w:pPr>
        <w:numPr>
          <w:ilvl w:val="0"/>
          <w:numId w:val="20"/>
        </w:numPr>
        <w:spacing w:before="100" w:after="100" w:line="240" w:lineRule="auto"/>
      </w:pPr>
      <w:r>
        <w:rPr>
          <w:rFonts w:eastAsia="Times New Roman"/>
          <w:b/>
          <w:bCs/>
          <w:kern w:val="0"/>
          <w:sz w:val="24"/>
          <w:szCs w:val="24"/>
          <w:lang w:eastAsia="en-GB"/>
        </w:rPr>
        <w:t>I enjoy working from home on some days of the week</w:t>
      </w:r>
      <w:r>
        <w:rPr>
          <w:rFonts w:eastAsia="Times New Roman"/>
          <w:kern w:val="0"/>
          <w:sz w:val="24"/>
          <w:szCs w:val="24"/>
          <w:lang w:eastAsia="en-GB"/>
        </w:rPr>
        <w:t>:</w:t>
      </w:r>
    </w:p>
    <w:p w14:paraId="49DC285C"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Fully Agree (1)</w:t>
      </w:r>
      <w:r>
        <w:rPr>
          <w:rFonts w:eastAsia="Times New Roman"/>
          <w:kern w:val="0"/>
          <w:sz w:val="24"/>
          <w:szCs w:val="24"/>
          <w:lang w:eastAsia="en-GB"/>
        </w:rPr>
        <w:t>: 112</w:t>
      </w:r>
    </w:p>
    <w:p w14:paraId="49DC285D"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Agree (2)</w:t>
      </w:r>
      <w:r>
        <w:rPr>
          <w:rFonts w:eastAsia="Times New Roman"/>
          <w:kern w:val="0"/>
          <w:sz w:val="24"/>
          <w:szCs w:val="24"/>
          <w:lang w:eastAsia="en-GB"/>
        </w:rPr>
        <w:t>: 57</w:t>
      </w:r>
    </w:p>
    <w:p w14:paraId="49DC285E"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Not Sure (3)</w:t>
      </w:r>
      <w:r>
        <w:rPr>
          <w:rFonts w:eastAsia="Times New Roman"/>
          <w:kern w:val="0"/>
          <w:sz w:val="24"/>
          <w:szCs w:val="24"/>
          <w:lang w:eastAsia="en-GB"/>
        </w:rPr>
        <w:t>: 19</w:t>
      </w:r>
    </w:p>
    <w:p w14:paraId="49DC285F"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Disagree (4)</w:t>
      </w:r>
      <w:r>
        <w:rPr>
          <w:rFonts w:eastAsia="Times New Roman"/>
          <w:kern w:val="0"/>
          <w:sz w:val="24"/>
          <w:szCs w:val="24"/>
          <w:lang w:eastAsia="en-GB"/>
        </w:rPr>
        <w:t>: 94</w:t>
      </w:r>
    </w:p>
    <w:p w14:paraId="49DC2860"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Strongly Disagree (5)</w:t>
      </w:r>
      <w:r>
        <w:rPr>
          <w:rFonts w:eastAsia="Times New Roman"/>
          <w:kern w:val="0"/>
          <w:sz w:val="24"/>
          <w:szCs w:val="24"/>
          <w:lang w:eastAsia="en-GB"/>
        </w:rPr>
        <w:t>: 18</w:t>
      </w:r>
    </w:p>
    <w:p w14:paraId="49DC2861" w14:textId="77777777" w:rsidR="009B6B1C" w:rsidRDefault="009B6B1C">
      <w:pPr>
        <w:spacing w:before="100" w:after="100" w:line="240" w:lineRule="auto"/>
        <w:rPr>
          <w:rFonts w:eastAsia="Times New Roman"/>
          <w:b/>
          <w:bCs/>
          <w:kern w:val="0"/>
          <w:sz w:val="24"/>
          <w:szCs w:val="24"/>
          <w:lang w:eastAsia="en-GB"/>
        </w:rPr>
      </w:pPr>
    </w:p>
    <w:p w14:paraId="49DC2862" w14:textId="7F3EA953" w:rsidR="009B6B1C" w:rsidRDefault="00F51A9B">
      <w:pPr>
        <w:spacing w:before="100" w:after="100" w:line="240" w:lineRule="auto"/>
      </w:pPr>
      <w:r>
        <w:rPr>
          <w:rFonts w:eastAsia="Times New Roman"/>
          <w:b/>
          <w:bCs/>
          <w:kern w:val="0"/>
          <w:sz w:val="24"/>
          <w:szCs w:val="24"/>
          <w:lang w:eastAsia="en-GB"/>
        </w:rPr>
        <w:t>Insight</w:t>
      </w:r>
      <w:r>
        <w:rPr>
          <w:rFonts w:eastAsia="Times New Roman"/>
          <w:kern w:val="0"/>
          <w:sz w:val="24"/>
          <w:szCs w:val="24"/>
          <w:lang w:eastAsia="en-GB"/>
        </w:rPr>
        <w:t xml:space="preserve">: Most employees enjoy working from home on some days, with </w:t>
      </w:r>
      <w:r w:rsidR="00215BAF">
        <w:rPr>
          <w:rFonts w:eastAsia="Times New Roman"/>
          <w:kern w:val="0"/>
          <w:sz w:val="24"/>
          <w:szCs w:val="24"/>
          <w:lang w:eastAsia="en-GB"/>
        </w:rPr>
        <w:t>a sizeable portion</w:t>
      </w:r>
      <w:r>
        <w:rPr>
          <w:rFonts w:eastAsia="Times New Roman"/>
          <w:kern w:val="0"/>
          <w:sz w:val="24"/>
          <w:szCs w:val="24"/>
          <w:lang w:eastAsia="en-GB"/>
        </w:rPr>
        <w:t xml:space="preserve"> (169) expressing positive sentiments.</w:t>
      </w:r>
    </w:p>
    <w:p w14:paraId="49DC2863" w14:textId="77777777" w:rsidR="009B6B1C" w:rsidRDefault="00F51A9B">
      <w:pPr>
        <w:numPr>
          <w:ilvl w:val="0"/>
          <w:numId w:val="20"/>
        </w:numPr>
        <w:spacing w:before="100" w:after="100" w:line="240" w:lineRule="auto"/>
      </w:pPr>
      <w:r>
        <w:rPr>
          <w:rFonts w:eastAsia="Times New Roman"/>
          <w:b/>
          <w:bCs/>
          <w:kern w:val="0"/>
          <w:sz w:val="24"/>
          <w:szCs w:val="24"/>
          <w:lang w:eastAsia="en-GB"/>
        </w:rPr>
        <w:t>Hybrid working practices support my work-life balance and well-being</w:t>
      </w:r>
      <w:r>
        <w:rPr>
          <w:rFonts w:eastAsia="Times New Roman"/>
          <w:kern w:val="0"/>
          <w:sz w:val="24"/>
          <w:szCs w:val="24"/>
          <w:lang w:eastAsia="en-GB"/>
        </w:rPr>
        <w:t>:</w:t>
      </w:r>
    </w:p>
    <w:p w14:paraId="49DC2864"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Fully Agree (1)</w:t>
      </w:r>
      <w:r>
        <w:rPr>
          <w:rFonts w:eastAsia="Times New Roman"/>
          <w:kern w:val="0"/>
          <w:sz w:val="24"/>
          <w:szCs w:val="24"/>
          <w:lang w:eastAsia="en-GB"/>
        </w:rPr>
        <w:t>: 161</w:t>
      </w:r>
    </w:p>
    <w:p w14:paraId="49DC2865"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Agree (2)</w:t>
      </w:r>
      <w:r>
        <w:rPr>
          <w:rFonts w:eastAsia="Times New Roman"/>
          <w:kern w:val="0"/>
          <w:sz w:val="24"/>
          <w:szCs w:val="24"/>
          <w:lang w:eastAsia="en-GB"/>
        </w:rPr>
        <w:t>: 86</w:t>
      </w:r>
    </w:p>
    <w:p w14:paraId="49DC2866"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Not Sure (3)</w:t>
      </w:r>
      <w:r>
        <w:rPr>
          <w:rFonts w:eastAsia="Times New Roman"/>
          <w:kern w:val="0"/>
          <w:sz w:val="24"/>
          <w:szCs w:val="24"/>
          <w:lang w:eastAsia="en-GB"/>
        </w:rPr>
        <w:t>: 11</w:t>
      </w:r>
    </w:p>
    <w:p w14:paraId="49DC2867"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Disagree (4)</w:t>
      </w:r>
      <w:r>
        <w:rPr>
          <w:rFonts w:eastAsia="Times New Roman"/>
          <w:kern w:val="0"/>
          <w:sz w:val="24"/>
          <w:szCs w:val="24"/>
          <w:lang w:eastAsia="en-GB"/>
        </w:rPr>
        <w:t>: 34</w:t>
      </w:r>
    </w:p>
    <w:p w14:paraId="49DC2868"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Strongly Disagree (5)</w:t>
      </w:r>
      <w:r>
        <w:rPr>
          <w:rFonts w:eastAsia="Times New Roman"/>
          <w:kern w:val="0"/>
          <w:sz w:val="24"/>
          <w:szCs w:val="24"/>
          <w:lang w:eastAsia="en-GB"/>
        </w:rPr>
        <w:t>: 8</w:t>
      </w:r>
    </w:p>
    <w:p w14:paraId="49DC2869" w14:textId="77777777" w:rsidR="009B6B1C" w:rsidRDefault="009B6B1C">
      <w:pPr>
        <w:pStyle w:val="ListParagraph"/>
        <w:spacing w:before="100" w:after="100" w:line="240" w:lineRule="auto"/>
        <w:rPr>
          <w:rFonts w:eastAsia="Times New Roman"/>
          <w:kern w:val="0"/>
          <w:sz w:val="24"/>
          <w:szCs w:val="24"/>
          <w:lang w:eastAsia="en-GB"/>
        </w:rPr>
      </w:pPr>
    </w:p>
    <w:p w14:paraId="49DC286A" w14:textId="77777777" w:rsidR="009B6B1C" w:rsidRDefault="00F51A9B">
      <w:pPr>
        <w:spacing w:before="100" w:after="100" w:line="240" w:lineRule="auto"/>
      </w:pPr>
      <w:r>
        <w:rPr>
          <w:rFonts w:eastAsia="Times New Roman"/>
          <w:b/>
          <w:bCs/>
          <w:kern w:val="0"/>
          <w:sz w:val="24"/>
          <w:szCs w:val="24"/>
          <w:lang w:eastAsia="en-GB"/>
        </w:rPr>
        <w:t>Insight</w:t>
      </w:r>
      <w:r>
        <w:rPr>
          <w:rFonts w:eastAsia="Times New Roman"/>
          <w:kern w:val="0"/>
          <w:sz w:val="24"/>
          <w:szCs w:val="24"/>
          <w:lang w:eastAsia="en-GB"/>
        </w:rPr>
        <w:t>: A majority feel that hybrid working supports their work-life balance, with very few disagreeing.</w:t>
      </w:r>
    </w:p>
    <w:p w14:paraId="49DC286B" w14:textId="77777777" w:rsidR="009B6B1C" w:rsidRDefault="00F51A9B">
      <w:pPr>
        <w:numPr>
          <w:ilvl w:val="0"/>
          <w:numId w:val="20"/>
        </w:numPr>
        <w:spacing w:before="100" w:after="100" w:line="240" w:lineRule="auto"/>
      </w:pPr>
      <w:r>
        <w:rPr>
          <w:rFonts w:eastAsia="Times New Roman"/>
          <w:b/>
          <w:bCs/>
          <w:kern w:val="0"/>
          <w:sz w:val="24"/>
          <w:szCs w:val="24"/>
          <w:lang w:eastAsia="en-GB"/>
        </w:rPr>
        <w:t xml:space="preserve">I miss engaging with my </w:t>
      </w:r>
      <w:r>
        <w:rPr>
          <w:rFonts w:eastAsia="Times New Roman"/>
          <w:b/>
          <w:bCs/>
          <w:kern w:val="0"/>
          <w:sz w:val="24"/>
          <w:szCs w:val="24"/>
          <w:lang w:eastAsia="en-GB"/>
        </w:rPr>
        <w:t>colleagues in the workplace</w:t>
      </w:r>
      <w:r>
        <w:rPr>
          <w:rFonts w:eastAsia="Times New Roman"/>
          <w:kern w:val="0"/>
          <w:sz w:val="24"/>
          <w:szCs w:val="24"/>
          <w:lang w:eastAsia="en-GB"/>
        </w:rPr>
        <w:t>:</w:t>
      </w:r>
    </w:p>
    <w:p w14:paraId="49DC286C"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Fully Agree (1)</w:t>
      </w:r>
      <w:r>
        <w:rPr>
          <w:rFonts w:eastAsia="Times New Roman"/>
          <w:kern w:val="0"/>
          <w:sz w:val="24"/>
          <w:szCs w:val="24"/>
          <w:lang w:eastAsia="en-GB"/>
        </w:rPr>
        <w:t>: 7</w:t>
      </w:r>
    </w:p>
    <w:p w14:paraId="49DC286D"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Agree (2)</w:t>
      </w:r>
      <w:r>
        <w:rPr>
          <w:rFonts w:eastAsia="Times New Roman"/>
          <w:kern w:val="0"/>
          <w:sz w:val="24"/>
          <w:szCs w:val="24"/>
          <w:lang w:eastAsia="en-GB"/>
        </w:rPr>
        <w:t>: 14</w:t>
      </w:r>
    </w:p>
    <w:p w14:paraId="49DC286E"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Not Sure (3)</w:t>
      </w:r>
      <w:r>
        <w:rPr>
          <w:rFonts w:eastAsia="Times New Roman"/>
          <w:kern w:val="0"/>
          <w:sz w:val="24"/>
          <w:szCs w:val="24"/>
          <w:lang w:eastAsia="en-GB"/>
        </w:rPr>
        <w:t>: 30</w:t>
      </w:r>
    </w:p>
    <w:p w14:paraId="49DC286F"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Disagree (4)</w:t>
      </w:r>
      <w:r>
        <w:rPr>
          <w:rFonts w:eastAsia="Times New Roman"/>
          <w:kern w:val="0"/>
          <w:sz w:val="24"/>
          <w:szCs w:val="24"/>
          <w:lang w:eastAsia="en-GB"/>
        </w:rPr>
        <w:t>: 155</w:t>
      </w:r>
    </w:p>
    <w:p w14:paraId="49DC2870"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Strongly Disagree (5)</w:t>
      </w:r>
      <w:r>
        <w:rPr>
          <w:rFonts w:eastAsia="Times New Roman"/>
          <w:kern w:val="0"/>
          <w:sz w:val="24"/>
          <w:szCs w:val="24"/>
          <w:lang w:eastAsia="en-GB"/>
        </w:rPr>
        <w:t>: 94</w:t>
      </w:r>
    </w:p>
    <w:p w14:paraId="49DC2871" w14:textId="77777777" w:rsidR="009B6B1C" w:rsidRDefault="00F51A9B">
      <w:pPr>
        <w:spacing w:before="100" w:after="100" w:line="240" w:lineRule="auto"/>
      </w:pPr>
      <w:r>
        <w:rPr>
          <w:rFonts w:eastAsia="Times New Roman"/>
          <w:b/>
          <w:bCs/>
          <w:kern w:val="0"/>
          <w:sz w:val="24"/>
          <w:szCs w:val="24"/>
          <w:lang w:eastAsia="en-GB"/>
        </w:rPr>
        <w:t>Insight</w:t>
      </w:r>
      <w:r>
        <w:rPr>
          <w:rFonts w:eastAsia="Times New Roman"/>
          <w:kern w:val="0"/>
          <w:sz w:val="24"/>
          <w:szCs w:val="24"/>
          <w:lang w:eastAsia="en-GB"/>
        </w:rPr>
        <w:t>: Many employees miss engaging with colleagues, indicating a need for better remote engagement strategies.</w:t>
      </w:r>
    </w:p>
    <w:p w14:paraId="49DC2872" w14:textId="77777777" w:rsidR="009B6B1C" w:rsidRDefault="009B6B1C">
      <w:pPr>
        <w:spacing w:before="100" w:after="100" w:line="240" w:lineRule="auto"/>
        <w:rPr>
          <w:rFonts w:eastAsia="Times New Roman"/>
          <w:kern w:val="0"/>
          <w:sz w:val="24"/>
          <w:szCs w:val="24"/>
          <w:lang w:eastAsia="en-GB"/>
        </w:rPr>
      </w:pPr>
    </w:p>
    <w:p w14:paraId="49DC2873" w14:textId="77777777" w:rsidR="009B6B1C" w:rsidRDefault="009B6B1C">
      <w:pPr>
        <w:spacing w:before="100" w:after="100" w:line="240" w:lineRule="auto"/>
        <w:rPr>
          <w:rFonts w:eastAsia="Times New Roman"/>
          <w:kern w:val="0"/>
          <w:sz w:val="24"/>
          <w:szCs w:val="24"/>
          <w:lang w:eastAsia="en-GB"/>
        </w:rPr>
      </w:pPr>
    </w:p>
    <w:p w14:paraId="49DC2874" w14:textId="77777777" w:rsidR="009B6B1C" w:rsidRDefault="00F51A9B">
      <w:pPr>
        <w:numPr>
          <w:ilvl w:val="0"/>
          <w:numId w:val="20"/>
        </w:numPr>
        <w:spacing w:before="100" w:after="100" w:line="240" w:lineRule="auto"/>
      </w:pPr>
      <w:r>
        <w:rPr>
          <w:rFonts w:eastAsia="Times New Roman"/>
          <w:b/>
          <w:bCs/>
          <w:kern w:val="0"/>
          <w:sz w:val="24"/>
          <w:szCs w:val="24"/>
          <w:lang w:eastAsia="en-GB"/>
        </w:rPr>
        <w:t>I feel fully supported when working at home</w:t>
      </w:r>
      <w:r>
        <w:rPr>
          <w:rFonts w:eastAsia="Times New Roman"/>
          <w:kern w:val="0"/>
          <w:sz w:val="24"/>
          <w:szCs w:val="24"/>
          <w:lang w:eastAsia="en-GB"/>
        </w:rPr>
        <w:t>:</w:t>
      </w:r>
    </w:p>
    <w:p w14:paraId="49DC2875"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Fully Agree (1)</w:t>
      </w:r>
      <w:r>
        <w:rPr>
          <w:rFonts w:eastAsia="Times New Roman"/>
          <w:kern w:val="0"/>
          <w:sz w:val="24"/>
          <w:szCs w:val="24"/>
          <w:lang w:eastAsia="en-GB"/>
        </w:rPr>
        <w:t>: 22</w:t>
      </w:r>
    </w:p>
    <w:p w14:paraId="49DC2876"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Agree (2)</w:t>
      </w:r>
      <w:r>
        <w:rPr>
          <w:rFonts w:eastAsia="Times New Roman"/>
          <w:kern w:val="0"/>
          <w:sz w:val="24"/>
          <w:szCs w:val="24"/>
          <w:lang w:eastAsia="en-GB"/>
        </w:rPr>
        <w:t>: 20</w:t>
      </w:r>
    </w:p>
    <w:p w14:paraId="49DC2877"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Not Sure (3)</w:t>
      </w:r>
      <w:r>
        <w:rPr>
          <w:rFonts w:eastAsia="Times New Roman"/>
          <w:kern w:val="0"/>
          <w:sz w:val="24"/>
          <w:szCs w:val="24"/>
          <w:lang w:eastAsia="en-GB"/>
        </w:rPr>
        <w:t>: 18</w:t>
      </w:r>
    </w:p>
    <w:p w14:paraId="49DC2878"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lastRenderedPageBreak/>
        <w:t>Disagree (4)</w:t>
      </w:r>
      <w:r>
        <w:rPr>
          <w:rFonts w:eastAsia="Times New Roman"/>
          <w:kern w:val="0"/>
          <w:sz w:val="24"/>
          <w:szCs w:val="24"/>
          <w:lang w:eastAsia="en-GB"/>
        </w:rPr>
        <w:t>: 138</w:t>
      </w:r>
    </w:p>
    <w:p w14:paraId="49DC2879"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Strongly Disagree (5)</w:t>
      </w:r>
      <w:r>
        <w:rPr>
          <w:rFonts w:eastAsia="Times New Roman"/>
          <w:kern w:val="0"/>
          <w:sz w:val="24"/>
          <w:szCs w:val="24"/>
          <w:lang w:eastAsia="en-GB"/>
        </w:rPr>
        <w:t>: 102</w:t>
      </w:r>
    </w:p>
    <w:p w14:paraId="49DC287A" w14:textId="77777777" w:rsidR="009B6B1C" w:rsidRDefault="00F51A9B">
      <w:pPr>
        <w:spacing w:before="100" w:after="100" w:line="240" w:lineRule="auto"/>
        <w:ind w:left="360"/>
      </w:pPr>
      <w:r>
        <w:rPr>
          <w:rFonts w:eastAsia="Times New Roman"/>
          <w:b/>
          <w:bCs/>
          <w:kern w:val="0"/>
          <w:sz w:val="24"/>
          <w:szCs w:val="24"/>
          <w:lang w:eastAsia="en-GB"/>
        </w:rPr>
        <w:t>Insight</w:t>
      </w:r>
      <w:r>
        <w:rPr>
          <w:rFonts w:eastAsia="Times New Roman"/>
          <w:kern w:val="0"/>
          <w:sz w:val="24"/>
          <w:szCs w:val="24"/>
          <w:lang w:eastAsia="en-GB"/>
        </w:rPr>
        <w:t>: Many employees feel unsupported when working from home, highlighting an area for improvement.</w:t>
      </w:r>
    </w:p>
    <w:p w14:paraId="49DC287B" w14:textId="77777777" w:rsidR="009B6B1C" w:rsidRDefault="00F51A9B">
      <w:pPr>
        <w:numPr>
          <w:ilvl w:val="0"/>
          <w:numId w:val="20"/>
        </w:numPr>
        <w:spacing w:before="100" w:after="100" w:line="240" w:lineRule="auto"/>
      </w:pPr>
      <w:r>
        <w:rPr>
          <w:rFonts w:eastAsia="Times New Roman"/>
          <w:b/>
          <w:bCs/>
          <w:kern w:val="0"/>
          <w:sz w:val="24"/>
          <w:szCs w:val="24"/>
          <w:lang w:eastAsia="en-GB"/>
        </w:rPr>
        <w:t>I feel less stressed when away from the workplace</w:t>
      </w:r>
      <w:r>
        <w:rPr>
          <w:rFonts w:eastAsia="Times New Roman"/>
          <w:kern w:val="0"/>
          <w:sz w:val="24"/>
          <w:szCs w:val="24"/>
          <w:lang w:eastAsia="en-GB"/>
        </w:rPr>
        <w:t>:</w:t>
      </w:r>
    </w:p>
    <w:p w14:paraId="49DC287C"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Fully Agree (1)</w:t>
      </w:r>
      <w:r>
        <w:rPr>
          <w:rFonts w:eastAsia="Times New Roman"/>
          <w:kern w:val="0"/>
          <w:sz w:val="24"/>
          <w:szCs w:val="24"/>
          <w:lang w:eastAsia="en-GB"/>
        </w:rPr>
        <w:t>: 41</w:t>
      </w:r>
    </w:p>
    <w:p w14:paraId="49DC287D"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Agree (2)</w:t>
      </w:r>
      <w:r>
        <w:rPr>
          <w:rFonts w:eastAsia="Times New Roman"/>
          <w:kern w:val="0"/>
          <w:sz w:val="24"/>
          <w:szCs w:val="24"/>
          <w:lang w:eastAsia="en-GB"/>
        </w:rPr>
        <w:t>: 4</w:t>
      </w:r>
    </w:p>
    <w:p w14:paraId="49DC287E"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Not Sure (3)</w:t>
      </w:r>
      <w:r>
        <w:rPr>
          <w:rFonts w:eastAsia="Times New Roman"/>
          <w:kern w:val="0"/>
          <w:sz w:val="24"/>
          <w:szCs w:val="24"/>
          <w:lang w:eastAsia="en-GB"/>
        </w:rPr>
        <w:t>: 0</w:t>
      </w:r>
    </w:p>
    <w:p w14:paraId="49DC287F"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Disagree (4)</w:t>
      </w:r>
      <w:r>
        <w:rPr>
          <w:rFonts w:eastAsia="Times New Roman"/>
          <w:kern w:val="0"/>
          <w:sz w:val="24"/>
          <w:szCs w:val="24"/>
          <w:lang w:eastAsia="en-GB"/>
        </w:rPr>
        <w:t>: 5</w:t>
      </w:r>
    </w:p>
    <w:p w14:paraId="49DC2880" w14:textId="77777777" w:rsidR="009B6B1C" w:rsidRDefault="00F51A9B">
      <w:pPr>
        <w:pStyle w:val="ListParagraph"/>
        <w:numPr>
          <w:ilvl w:val="0"/>
          <w:numId w:val="15"/>
        </w:numPr>
        <w:spacing w:before="100" w:after="100" w:line="240" w:lineRule="auto"/>
      </w:pPr>
      <w:r>
        <w:rPr>
          <w:rFonts w:eastAsia="Times New Roman"/>
          <w:b/>
          <w:bCs/>
          <w:kern w:val="0"/>
          <w:sz w:val="24"/>
          <w:szCs w:val="24"/>
          <w:lang w:eastAsia="en-GB"/>
        </w:rPr>
        <w:t>Strongly Disagree (5)</w:t>
      </w:r>
      <w:r>
        <w:rPr>
          <w:rFonts w:eastAsia="Times New Roman"/>
          <w:kern w:val="0"/>
          <w:sz w:val="24"/>
          <w:szCs w:val="24"/>
          <w:lang w:eastAsia="en-GB"/>
        </w:rPr>
        <w:t>: 250</w:t>
      </w:r>
    </w:p>
    <w:p w14:paraId="49DC2881" w14:textId="76891D39" w:rsidR="009B6B1C" w:rsidRDefault="00F51A9B">
      <w:pPr>
        <w:spacing w:before="100" w:after="100" w:line="240" w:lineRule="auto"/>
      </w:pPr>
      <w:r>
        <w:rPr>
          <w:rFonts w:eastAsia="Times New Roman"/>
          <w:b/>
          <w:bCs/>
          <w:kern w:val="0"/>
          <w:sz w:val="24"/>
          <w:szCs w:val="24"/>
          <w:lang w:eastAsia="en-GB"/>
        </w:rPr>
        <w:t>Insight</w:t>
      </w:r>
      <w:r>
        <w:rPr>
          <w:rFonts w:eastAsia="Times New Roman"/>
          <w:kern w:val="0"/>
          <w:sz w:val="24"/>
          <w:szCs w:val="24"/>
          <w:lang w:eastAsia="en-GB"/>
        </w:rPr>
        <w:t xml:space="preserve">: A </w:t>
      </w:r>
      <w:r w:rsidR="00215BAF">
        <w:rPr>
          <w:rFonts w:eastAsia="Times New Roman"/>
          <w:kern w:val="0"/>
          <w:sz w:val="24"/>
          <w:szCs w:val="24"/>
          <w:lang w:eastAsia="en-GB"/>
        </w:rPr>
        <w:t>considerable number</w:t>
      </w:r>
      <w:r>
        <w:rPr>
          <w:rFonts w:eastAsia="Times New Roman"/>
          <w:kern w:val="0"/>
          <w:sz w:val="24"/>
          <w:szCs w:val="24"/>
          <w:lang w:eastAsia="en-GB"/>
        </w:rPr>
        <w:t xml:space="preserve"> of employees feel more stressed when away from the workplace, indicating high stress levels associated with </w:t>
      </w:r>
      <w:r>
        <w:rPr>
          <w:rFonts w:eastAsia="Times New Roman"/>
          <w:kern w:val="0"/>
          <w:sz w:val="24"/>
          <w:szCs w:val="24"/>
          <w:lang w:eastAsia="en-GB"/>
        </w:rPr>
        <w:t>remote work.</w:t>
      </w:r>
    </w:p>
    <w:p w14:paraId="49DC2882" w14:textId="77777777" w:rsidR="009B6B1C" w:rsidRDefault="00F51A9B">
      <w:pPr>
        <w:spacing w:before="100" w:after="100" w:line="240" w:lineRule="auto"/>
      </w:pPr>
      <w:r>
        <w:rPr>
          <w:noProof/>
        </w:rPr>
        <w:lastRenderedPageBreak/>
        <w:drawing>
          <wp:inline distT="0" distB="0" distL="0" distR="0" wp14:anchorId="49DC26BB" wp14:editId="49DC26BC">
            <wp:extent cx="4497705" cy="8863334"/>
            <wp:effectExtent l="0" t="0" r="0" b="0"/>
            <wp:docPr id="99074940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9DC2883" w14:textId="77777777" w:rsidR="009B6B1C" w:rsidRDefault="00F51A9B">
      <w:pPr>
        <w:spacing w:before="100" w:after="100" w:line="240" w:lineRule="auto"/>
      </w:pPr>
      <w:r>
        <w:rPr>
          <w:noProof/>
        </w:rPr>
        <w:lastRenderedPageBreak/>
        <w:drawing>
          <wp:inline distT="0" distB="0" distL="0" distR="0" wp14:anchorId="49DC26BD" wp14:editId="49DC26BE">
            <wp:extent cx="4497705" cy="8863334"/>
            <wp:effectExtent l="0" t="0" r="0" b="0"/>
            <wp:docPr id="143436027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DC2884" w14:textId="77777777" w:rsidR="009B6B1C" w:rsidRDefault="00F51A9B">
      <w:pPr>
        <w:spacing w:before="100" w:after="100" w:line="240" w:lineRule="auto"/>
      </w:pPr>
      <w:r>
        <w:rPr>
          <w:rFonts w:eastAsia="Times New Roman"/>
          <w:b/>
          <w:bCs/>
          <w:kern w:val="0"/>
          <w:sz w:val="24"/>
          <w:szCs w:val="24"/>
          <w:lang w:eastAsia="en-GB"/>
        </w:rPr>
        <w:lastRenderedPageBreak/>
        <w:t>Visualisation and Presentation</w:t>
      </w:r>
      <w:r>
        <w:rPr>
          <w:rFonts w:eastAsia="Times New Roman"/>
          <w:kern w:val="0"/>
          <w:sz w:val="24"/>
          <w:szCs w:val="24"/>
          <w:lang w:eastAsia="en-GB"/>
        </w:rPr>
        <w:t>:</w:t>
      </w:r>
    </w:p>
    <w:p w14:paraId="49DC2885" w14:textId="77777777" w:rsidR="009B6B1C" w:rsidRDefault="00F51A9B">
      <w:pPr>
        <w:numPr>
          <w:ilvl w:val="0"/>
          <w:numId w:val="21"/>
        </w:numPr>
        <w:spacing w:before="100" w:after="100" w:line="240" w:lineRule="auto"/>
      </w:pPr>
      <w:r>
        <w:rPr>
          <w:rFonts w:eastAsia="Times New Roman"/>
          <w:b/>
          <w:bCs/>
          <w:kern w:val="0"/>
          <w:sz w:val="24"/>
          <w:szCs w:val="24"/>
          <w:lang w:eastAsia="en-GB"/>
        </w:rPr>
        <w:t>Bar Charts</w:t>
      </w:r>
      <w:r>
        <w:rPr>
          <w:rFonts w:eastAsia="Times New Roman"/>
          <w:kern w:val="0"/>
          <w:sz w:val="24"/>
          <w:szCs w:val="24"/>
          <w:lang w:eastAsia="en-GB"/>
        </w:rPr>
        <w:t>: Create bar charts for each statement to show the distribution of responses.</w:t>
      </w:r>
    </w:p>
    <w:p w14:paraId="49DC2886" w14:textId="77777777" w:rsidR="009B6B1C" w:rsidRDefault="00F51A9B">
      <w:pPr>
        <w:numPr>
          <w:ilvl w:val="0"/>
          <w:numId w:val="21"/>
        </w:numPr>
        <w:spacing w:before="100" w:after="100" w:line="240" w:lineRule="auto"/>
      </w:pPr>
      <w:r>
        <w:rPr>
          <w:rFonts w:eastAsia="Times New Roman"/>
          <w:b/>
          <w:bCs/>
          <w:kern w:val="0"/>
          <w:sz w:val="24"/>
          <w:szCs w:val="24"/>
          <w:lang w:eastAsia="en-GB"/>
        </w:rPr>
        <w:t>Pie Charts</w:t>
      </w:r>
      <w:r>
        <w:rPr>
          <w:rFonts w:eastAsia="Times New Roman"/>
          <w:kern w:val="0"/>
          <w:sz w:val="24"/>
          <w:szCs w:val="24"/>
          <w:lang w:eastAsia="en-GB"/>
        </w:rPr>
        <w:t xml:space="preserve">: Use pie charts to represent overall positive (Fully Agree + Agree) vs. negative (Disagree + </w:t>
      </w:r>
      <w:r>
        <w:rPr>
          <w:rFonts w:eastAsia="Times New Roman"/>
          <w:kern w:val="0"/>
          <w:sz w:val="24"/>
          <w:szCs w:val="24"/>
          <w:lang w:eastAsia="en-GB"/>
        </w:rPr>
        <w:t>Strongly Disagree) sentiments for each statement.</w:t>
      </w:r>
    </w:p>
    <w:p w14:paraId="49DC2887" w14:textId="77777777" w:rsidR="009B6B1C" w:rsidRDefault="00F51A9B">
      <w:pPr>
        <w:spacing w:before="100" w:after="100" w:line="240" w:lineRule="auto"/>
      </w:pPr>
      <w:r>
        <w:rPr>
          <w:rFonts w:eastAsia="Times New Roman"/>
          <w:b/>
          <w:bCs/>
          <w:kern w:val="0"/>
          <w:sz w:val="24"/>
          <w:szCs w:val="24"/>
          <w:lang w:eastAsia="en-GB"/>
        </w:rPr>
        <w:t>Key Findings</w:t>
      </w:r>
      <w:r>
        <w:rPr>
          <w:rFonts w:eastAsia="Times New Roman"/>
          <w:kern w:val="0"/>
          <w:sz w:val="24"/>
          <w:szCs w:val="24"/>
          <w:lang w:eastAsia="en-GB"/>
        </w:rPr>
        <w:t>:</w:t>
      </w:r>
    </w:p>
    <w:p w14:paraId="49DC2888" w14:textId="77777777" w:rsidR="009B6B1C" w:rsidRDefault="00F51A9B">
      <w:pPr>
        <w:numPr>
          <w:ilvl w:val="0"/>
          <w:numId w:val="22"/>
        </w:numPr>
        <w:spacing w:before="100" w:after="100" w:line="240" w:lineRule="auto"/>
      </w:pPr>
      <w:r>
        <w:rPr>
          <w:rFonts w:eastAsia="Times New Roman"/>
          <w:b/>
          <w:bCs/>
          <w:kern w:val="0"/>
          <w:sz w:val="24"/>
          <w:szCs w:val="24"/>
          <w:lang w:eastAsia="en-GB"/>
        </w:rPr>
        <w:t>Positive Findings</w:t>
      </w:r>
      <w:r>
        <w:rPr>
          <w:rFonts w:eastAsia="Times New Roman"/>
          <w:kern w:val="0"/>
          <w:sz w:val="24"/>
          <w:szCs w:val="24"/>
          <w:lang w:eastAsia="en-GB"/>
        </w:rPr>
        <w:t>:</w:t>
      </w:r>
    </w:p>
    <w:p w14:paraId="49DC2889"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Hybrid working supports work-life balance (247 positive responses).</w:t>
      </w:r>
    </w:p>
    <w:p w14:paraId="49DC288A"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Enjoy working from home on some days (169 positive responses).</w:t>
      </w:r>
    </w:p>
    <w:p w14:paraId="49DC288B" w14:textId="77777777" w:rsidR="009B6B1C" w:rsidRDefault="009B6B1C">
      <w:pPr>
        <w:spacing w:before="100" w:after="100" w:line="240" w:lineRule="auto"/>
        <w:ind w:left="1440"/>
        <w:rPr>
          <w:rFonts w:eastAsia="Times New Roman"/>
          <w:kern w:val="0"/>
          <w:sz w:val="24"/>
          <w:szCs w:val="24"/>
          <w:lang w:eastAsia="en-GB"/>
        </w:rPr>
      </w:pPr>
    </w:p>
    <w:p w14:paraId="49DC288C" w14:textId="77777777" w:rsidR="009B6B1C" w:rsidRDefault="00F51A9B">
      <w:pPr>
        <w:numPr>
          <w:ilvl w:val="0"/>
          <w:numId w:val="22"/>
        </w:numPr>
        <w:spacing w:before="100" w:after="100" w:line="240" w:lineRule="auto"/>
      </w:pPr>
      <w:r>
        <w:rPr>
          <w:rFonts w:eastAsia="Times New Roman"/>
          <w:b/>
          <w:bCs/>
          <w:kern w:val="0"/>
          <w:sz w:val="24"/>
          <w:szCs w:val="24"/>
          <w:lang w:eastAsia="en-GB"/>
        </w:rPr>
        <w:t>Negative Findings</w:t>
      </w:r>
      <w:r>
        <w:rPr>
          <w:rFonts w:eastAsia="Times New Roman"/>
          <w:kern w:val="0"/>
          <w:sz w:val="24"/>
          <w:szCs w:val="24"/>
          <w:lang w:eastAsia="en-GB"/>
        </w:rPr>
        <w:t>:</w:t>
      </w:r>
    </w:p>
    <w:p w14:paraId="49DC288D"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Feeling unsupported when working from home (240 negative responses).</w:t>
      </w:r>
    </w:p>
    <w:p w14:paraId="49DC288E"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High stress levels when away from the workplace (255 negative responses).</w:t>
      </w:r>
    </w:p>
    <w:p w14:paraId="49DC288F" w14:textId="77777777" w:rsidR="009B6B1C" w:rsidRDefault="00F51A9B">
      <w:pPr>
        <w:numPr>
          <w:ilvl w:val="0"/>
          <w:numId w:val="23"/>
        </w:numPr>
        <w:spacing w:before="100" w:after="100" w:line="240" w:lineRule="auto"/>
      </w:pPr>
      <w:r>
        <w:rPr>
          <w:rFonts w:eastAsia="Times New Roman"/>
          <w:b/>
          <w:bCs/>
          <w:kern w:val="0"/>
          <w:sz w:val="24"/>
          <w:szCs w:val="24"/>
          <w:lang w:eastAsia="en-GB"/>
        </w:rPr>
        <w:t>Support for Work-Life Balance</w:t>
      </w:r>
      <w:r>
        <w:rPr>
          <w:rFonts w:eastAsia="Times New Roman"/>
          <w:kern w:val="0"/>
          <w:sz w:val="24"/>
          <w:szCs w:val="24"/>
          <w:lang w:eastAsia="en-GB"/>
        </w:rPr>
        <w:t>:</w:t>
      </w:r>
    </w:p>
    <w:p w14:paraId="49DC2890"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Bar chart showing a high number of "Fully Agree" and "Agree" responses.</w:t>
      </w:r>
    </w:p>
    <w:p w14:paraId="49DC2891" w14:textId="77777777" w:rsidR="009B6B1C" w:rsidRDefault="00F51A9B">
      <w:pPr>
        <w:numPr>
          <w:ilvl w:val="0"/>
          <w:numId w:val="23"/>
        </w:numPr>
        <w:spacing w:before="100" w:after="100" w:line="240" w:lineRule="auto"/>
      </w:pPr>
      <w:r>
        <w:rPr>
          <w:rFonts w:eastAsia="Times New Roman"/>
          <w:b/>
          <w:bCs/>
          <w:kern w:val="0"/>
          <w:sz w:val="24"/>
          <w:szCs w:val="24"/>
          <w:lang w:eastAsia="en-GB"/>
        </w:rPr>
        <w:t>Feeling Supported at Home</w:t>
      </w:r>
      <w:r>
        <w:rPr>
          <w:rFonts w:eastAsia="Times New Roman"/>
          <w:kern w:val="0"/>
          <w:sz w:val="24"/>
          <w:szCs w:val="24"/>
          <w:lang w:eastAsia="en-GB"/>
        </w:rPr>
        <w:t>:</w:t>
      </w:r>
    </w:p>
    <w:p w14:paraId="49DC2892"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Bar chart highlighting the high number of "Disagree" and "Strongly Disagree" responses.</w:t>
      </w:r>
    </w:p>
    <w:p w14:paraId="49DC2893" w14:textId="77777777" w:rsidR="009B6B1C" w:rsidRDefault="00F51A9B">
      <w:pPr>
        <w:pStyle w:val="ListParagraph"/>
        <w:numPr>
          <w:ilvl w:val="2"/>
          <w:numId w:val="22"/>
        </w:numPr>
        <w:spacing w:before="100" w:after="100" w:line="240" w:lineRule="auto"/>
        <w:rPr>
          <w:rFonts w:eastAsia="Times New Roman"/>
          <w:kern w:val="0"/>
          <w:sz w:val="24"/>
          <w:szCs w:val="24"/>
          <w:lang w:eastAsia="en-GB"/>
        </w:rPr>
      </w:pPr>
      <w:r>
        <w:rPr>
          <w:rFonts w:eastAsia="Times New Roman"/>
          <w:kern w:val="0"/>
          <w:sz w:val="24"/>
          <w:szCs w:val="24"/>
          <w:lang w:eastAsia="en-GB"/>
        </w:rPr>
        <w:t>Bar chart highlighting the high number of "Disagree" and "Strongly Disagree" responses.</w:t>
      </w:r>
    </w:p>
    <w:p w14:paraId="49DC2894" w14:textId="77777777" w:rsidR="009B6B1C" w:rsidRDefault="00F51A9B">
      <w:pPr>
        <w:spacing w:before="100" w:after="100" w:line="240" w:lineRule="auto"/>
        <w:rPr>
          <w:rFonts w:eastAsia="Times New Roman"/>
          <w:b/>
          <w:bCs/>
          <w:kern w:val="0"/>
          <w:sz w:val="28"/>
          <w:szCs w:val="28"/>
          <w:lang w:eastAsia="en-GB"/>
        </w:rPr>
      </w:pPr>
      <w:r>
        <w:rPr>
          <w:rFonts w:eastAsia="Times New Roman"/>
          <w:b/>
          <w:bCs/>
          <w:kern w:val="0"/>
          <w:sz w:val="28"/>
          <w:szCs w:val="28"/>
          <w:lang w:eastAsia="en-GB"/>
        </w:rPr>
        <w:t xml:space="preserve">Making Recommendations </w:t>
      </w:r>
    </w:p>
    <w:p w14:paraId="49DC2895" w14:textId="77777777" w:rsidR="009B6B1C" w:rsidRDefault="00F51A9B">
      <w:pPr>
        <w:spacing w:before="100" w:after="100" w:line="240" w:lineRule="auto"/>
        <w:rPr>
          <w:rFonts w:eastAsia="Times New Roman"/>
          <w:b/>
          <w:bCs/>
          <w:kern w:val="0"/>
          <w:lang w:eastAsia="en-GB"/>
        </w:rPr>
      </w:pPr>
      <w:r>
        <w:rPr>
          <w:rFonts w:eastAsia="Times New Roman"/>
          <w:b/>
          <w:bCs/>
          <w:kern w:val="0"/>
          <w:lang w:eastAsia="en-GB"/>
        </w:rPr>
        <w:t xml:space="preserve">Evaluations &amp; Recommendations </w:t>
      </w:r>
    </w:p>
    <w:p w14:paraId="49DC2896" w14:textId="77777777" w:rsidR="009B6B1C" w:rsidRDefault="00F51A9B">
      <w:pPr>
        <w:numPr>
          <w:ilvl w:val="0"/>
          <w:numId w:val="24"/>
        </w:numPr>
        <w:spacing w:before="100" w:after="100" w:line="240" w:lineRule="auto"/>
      </w:pPr>
      <w:r>
        <w:rPr>
          <w:rFonts w:eastAsia="Times New Roman"/>
          <w:b/>
          <w:bCs/>
          <w:kern w:val="0"/>
          <w:sz w:val="24"/>
          <w:szCs w:val="24"/>
          <w:lang w:eastAsia="en-GB"/>
        </w:rPr>
        <w:t>Support Systems</w:t>
      </w:r>
      <w:r>
        <w:rPr>
          <w:rFonts w:eastAsia="Times New Roman"/>
          <w:kern w:val="0"/>
          <w:sz w:val="24"/>
          <w:szCs w:val="24"/>
          <w:lang w:eastAsia="en-GB"/>
        </w:rPr>
        <w:t>:</w:t>
      </w:r>
    </w:p>
    <w:p w14:paraId="49DC2897"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Finding</w:t>
      </w:r>
      <w:r>
        <w:rPr>
          <w:rFonts w:eastAsia="Times New Roman"/>
          <w:kern w:val="0"/>
          <w:sz w:val="24"/>
          <w:szCs w:val="24"/>
          <w:lang w:eastAsia="en-GB"/>
        </w:rPr>
        <w:t>: Many employees feel unsupported when working from home.</w:t>
      </w:r>
    </w:p>
    <w:p w14:paraId="49DC2898"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Recommendation</w:t>
      </w:r>
      <w:r>
        <w:rPr>
          <w:rFonts w:eastAsia="Times New Roman"/>
          <w:kern w:val="0"/>
          <w:sz w:val="24"/>
          <w:szCs w:val="24"/>
          <w:lang w:eastAsia="en-GB"/>
        </w:rPr>
        <w:t>: Implement regular check-ins, provide virtual support groups, and ensure managers are trained to support remote teams effectively.</w:t>
      </w:r>
    </w:p>
    <w:p w14:paraId="49DC2899"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Benefits</w:t>
      </w:r>
      <w:r>
        <w:rPr>
          <w:rFonts w:eastAsia="Times New Roman"/>
          <w:kern w:val="0"/>
          <w:sz w:val="24"/>
          <w:szCs w:val="24"/>
          <w:lang w:eastAsia="en-GB"/>
        </w:rPr>
        <w:t xml:space="preserve">: Improved employee </w:t>
      </w:r>
      <w:r>
        <w:rPr>
          <w:rFonts w:eastAsia="Times New Roman"/>
          <w:kern w:val="0"/>
          <w:sz w:val="24"/>
          <w:szCs w:val="24"/>
          <w:lang w:eastAsia="en-GB"/>
        </w:rPr>
        <w:t>satisfaction and reduced feelings of isolation.</w:t>
      </w:r>
    </w:p>
    <w:p w14:paraId="49DC289A"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Risks</w:t>
      </w:r>
      <w:r>
        <w:rPr>
          <w:rFonts w:eastAsia="Times New Roman"/>
          <w:kern w:val="0"/>
          <w:sz w:val="24"/>
          <w:szCs w:val="24"/>
          <w:lang w:eastAsia="en-GB"/>
        </w:rPr>
        <w:t>: Potential costs for training and support resources.</w:t>
      </w:r>
    </w:p>
    <w:p w14:paraId="49DC289B"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Financial Implications</w:t>
      </w:r>
      <w:r>
        <w:rPr>
          <w:rFonts w:eastAsia="Times New Roman"/>
          <w:kern w:val="0"/>
          <w:sz w:val="24"/>
          <w:szCs w:val="24"/>
          <w:lang w:eastAsia="en-GB"/>
        </w:rPr>
        <w:t>: Initial investment in support systems but potential long-term gains through higher productivity and retention.</w:t>
      </w:r>
    </w:p>
    <w:p w14:paraId="49DC289C" w14:textId="77777777" w:rsidR="009B6B1C" w:rsidRDefault="00F51A9B">
      <w:pPr>
        <w:numPr>
          <w:ilvl w:val="0"/>
          <w:numId w:val="24"/>
        </w:numPr>
        <w:spacing w:before="100" w:after="100" w:line="240" w:lineRule="auto"/>
      </w:pPr>
      <w:r>
        <w:rPr>
          <w:rFonts w:eastAsia="Times New Roman"/>
          <w:b/>
          <w:bCs/>
          <w:kern w:val="0"/>
          <w:sz w:val="24"/>
          <w:szCs w:val="24"/>
          <w:lang w:eastAsia="en-GB"/>
        </w:rPr>
        <w:t>Stress Management</w:t>
      </w:r>
      <w:r>
        <w:rPr>
          <w:rFonts w:eastAsia="Times New Roman"/>
          <w:kern w:val="0"/>
          <w:sz w:val="24"/>
          <w:szCs w:val="24"/>
          <w:lang w:eastAsia="en-GB"/>
        </w:rPr>
        <w:t>:</w:t>
      </w:r>
    </w:p>
    <w:p w14:paraId="49DC289D" w14:textId="0EAD344F"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Finding</w:t>
      </w:r>
      <w:r>
        <w:rPr>
          <w:rFonts w:eastAsia="Times New Roman"/>
          <w:kern w:val="0"/>
          <w:sz w:val="24"/>
          <w:szCs w:val="24"/>
          <w:lang w:eastAsia="en-GB"/>
        </w:rPr>
        <w:t xml:space="preserve">: </w:t>
      </w:r>
      <w:r w:rsidR="00215BAF">
        <w:rPr>
          <w:rFonts w:eastAsia="Times New Roman"/>
          <w:kern w:val="0"/>
          <w:sz w:val="24"/>
          <w:szCs w:val="24"/>
          <w:lang w:eastAsia="en-GB"/>
        </w:rPr>
        <w:t>Elevated levels</w:t>
      </w:r>
      <w:r>
        <w:rPr>
          <w:rFonts w:eastAsia="Times New Roman"/>
          <w:kern w:val="0"/>
          <w:sz w:val="24"/>
          <w:szCs w:val="24"/>
          <w:lang w:eastAsia="en-GB"/>
        </w:rPr>
        <w:t xml:space="preserve"> of stress when away from the workplace.</w:t>
      </w:r>
    </w:p>
    <w:p w14:paraId="49DC289E"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lastRenderedPageBreak/>
        <w:t>Recommendation</w:t>
      </w:r>
      <w:r>
        <w:rPr>
          <w:rFonts w:eastAsia="Times New Roman"/>
          <w:kern w:val="0"/>
          <w:sz w:val="24"/>
          <w:szCs w:val="24"/>
          <w:lang w:eastAsia="en-GB"/>
        </w:rPr>
        <w:t>: Introduce stress management programs, offer resources for mental health support, and encourage regular breaks and flexible working hours.</w:t>
      </w:r>
    </w:p>
    <w:p w14:paraId="49DC289F"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Benefits</w:t>
      </w:r>
      <w:r>
        <w:rPr>
          <w:rFonts w:eastAsia="Times New Roman"/>
          <w:kern w:val="0"/>
          <w:sz w:val="24"/>
          <w:szCs w:val="24"/>
          <w:lang w:eastAsia="en-GB"/>
        </w:rPr>
        <w:t>: Reduced stress levels, better mental health, and higher overall productivity.</w:t>
      </w:r>
    </w:p>
    <w:p w14:paraId="49DC28A0" w14:textId="6B8B9D4D" w:rsidR="009B6B1C" w:rsidRDefault="00F51A9B">
      <w:pPr>
        <w:pStyle w:val="ListParagraph"/>
        <w:numPr>
          <w:ilvl w:val="0"/>
          <w:numId w:val="22"/>
        </w:numPr>
        <w:spacing w:before="100" w:after="100" w:line="240" w:lineRule="auto"/>
      </w:pPr>
      <w:r>
        <w:rPr>
          <w:rFonts w:eastAsia="Times New Roman"/>
          <w:b/>
          <w:bCs/>
          <w:kern w:val="0"/>
          <w:sz w:val="24"/>
          <w:szCs w:val="24"/>
          <w:lang w:eastAsia="en-GB"/>
        </w:rPr>
        <w:t>Risks</w:t>
      </w:r>
      <w:r>
        <w:rPr>
          <w:rFonts w:eastAsia="Times New Roman"/>
          <w:kern w:val="0"/>
          <w:sz w:val="24"/>
          <w:szCs w:val="24"/>
          <w:lang w:eastAsia="en-GB"/>
        </w:rPr>
        <w:t xml:space="preserve">: Costs associated with implementing </w:t>
      </w:r>
      <w:r w:rsidR="00215BAF">
        <w:rPr>
          <w:rFonts w:eastAsia="Times New Roman"/>
          <w:kern w:val="0"/>
          <w:sz w:val="24"/>
          <w:szCs w:val="24"/>
          <w:lang w:eastAsia="en-GB"/>
        </w:rPr>
        <w:t>innovative programs</w:t>
      </w:r>
      <w:r>
        <w:rPr>
          <w:rFonts w:eastAsia="Times New Roman"/>
          <w:kern w:val="0"/>
          <w:sz w:val="24"/>
          <w:szCs w:val="24"/>
          <w:lang w:eastAsia="en-GB"/>
        </w:rPr>
        <w:t>.</w:t>
      </w:r>
    </w:p>
    <w:p w14:paraId="49DC28A1"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Financial Implications</w:t>
      </w:r>
      <w:r>
        <w:rPr>
          <w:rFonts w:eastAsia="Times New Roman"/>
          <w:kern w:val="0"/>
          <w:sz w:val="24"/>
          <w:szCs w:val="24"/>
          <w:lang w:eastAsia="en-GB"/>
        </w:rPr>
        <w:t>: Investing in employee well-being can lead to lower absenteeism and higher engagement.</w:t>
      </w:r>
    </w:p>
    <w:p w14:paraId="49DC28A2" w14:textId="77777777" w:rsidR="009B6B1C" w:rsidRDefault="00F51A9B">
      <w:pPr>
        <w:numPr>
          <w:ilvl w:val="0"/>
          <w:numId w:val="24"/>
        </w:numPr>
        <w:spacing w:before="100" w:after="100" w:line="240" w:lineRule="auto"/>
      </w:pPr>
      <w:r>
        <w:rPr>
          <w:rFonts w:eastAsia="Times New Roman"/>
          <w:b/>
          <w:bCs/>
          <w:kern w:val="0"/>
          <w:sz w:val="24"/>
          <w:szCs w:val="24"/>
          <w:lang w:eastAsia="en-GB"/>
        </w:rPr>
        <w:t>Improved Communication Tools</w:t>
      </w:r>
      <w:r>
        <w:rPr>
          <w:rFonts w:eastAsia="Times New Roman"/>
          <w:kern w:val="0"/>
          <w:sz w:val="24"/>
          <w:szCs w:val="24"/>
          <w:lang w:eastAsia="en-GB"/>
        </w:rPr>
        <w:t>:</w:t>
      </w:r>
    </w:p>
    <w:p w14:paraId="49DC28A3"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Finding</w:t>
      </w:r>
      <w:r>
        <w:rPr>
          <w:rFonts w:eastAsia="Times New Roman"/>
          <w:kern w:val="0"/>
          <w:sz w:val="24"/>
          <w:szCs w:val="24"/>
          <w:lang w:eastAsia="en-GB"/>
        </w:rPr>
        <w:t>: Employees miss engaging with colleagues.</w:t>
      </w:r>
    </w:p>
    <w:p w14:paraId="49DC28A4"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Recommendation</w:t>
      </w:r>
      <w:r>
        <w:rPr>
          <w:rFonts w:eastAsia="Times New Roman"/>
          <w:kern w:val="0"/>
          <w:sz w:val="24"/>
          <w:szCs w:val="24"/>
          <w:lang w:eastAsia="en-GB"/>
        </w:rPr>
        <w:t>: Invest in advanced communication and collaboration tools to facilitate better interaction among remote teams.</w:t>
      </w:r>
    </w:p>
    <w:p w14:paraId="49DC28A5"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Benefits</w:t>
      </w:r>
      <w:r>
        <w:rPr>
          <w:rFonts w:eastAsia="Times New Roman"/>
          <w:kern w:val="0"/>
          <w:sz w:val="24"/>
          <w:szCs w:val="24"/>
          <w:lang w:eastAsia="en-GB"/>
        </w:rPr>
        <w:t>: Enhanced team collaboration, better communication, and reduced feelings of isolation.</w:t>
      </w:r>
    </w:p>
    <w:p w14:paraId="49DC28A6"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Risks</w:t>
      </w:r>
      <w:r>
        <w:rPr>
          <w:rFonts w:eastAsia="Times New Roman"/>
          <w:kern w:val="0"/>
          <w:sz w:val="24"/>
          <w:szCs w:val="24"/>
          <w:lang w:eastAsia="en-GB"/>
        </w:rPr>
        <w:t>: Financial cost of new tools and the learning curve associated with them.</w:t>
      </w:r>
    </w:p>
    <w:p w14:paraId="49DC28A7" w14:textId="77777777" w:rsidR="009B6B1C" w:rsidRDefault="00F51A9B">
      <w:pPr>
        <w:pStyle w:val="ListParagraph"/>
        <w:numPr>
          <w:ilvl w:val="0"/>
          <w:numId w:val="22"/>
        </w:numPr>
        <w:spacing w:before="100" w:after="100" w:line="240" w:lineRule="auto"/>
      </w:pPr>
      <w:r>
        <w:rPr>
          <w:rFonts w:eastAsia="Times New Roman"/>
          <w:b/>
          <w:bCs/>
          <w:kern w:val="0"/>
          <w:sz w:val="24"/>
          <w:szCs w:val="24"/>
          <w:lang w:eastAsia="en-GB"/>
        </w:rPr>
        <w:t>Financial Implications</w:t>
      </w:r>
      <w:r>
        <w:rPr>
          <w:rFonts w:eastAsia="Times New Roman"/>
          <w:kern w:val="0"/>
          <w:sz w:val="24"/>
          <w:szCs w:val="24"/>
          <w:lang w:eastAsia="en-GB"/>
        </w:rPr>
        <w:t>: Upfront costs for tools but potential for improved teamwork and productivity.</w:t>
      </w:r>
    </w:p>
    <w:p w14:paraId="49DC28A8" w14:textId="77777777" w:rsidR="009B6B1C" w:rsidRDefault="009B6B1C">
      <w:pPr>
        <w:pStyle w:val="ListParagraph"/>
        <w:spacing w:before="100" w:after="100" w:line="240" w:lineRule="auto"/>
        <w:rPr>
          <w:rFonts w:eastAsia="Times New Roman"/>
          <w:kern w:val="0"/>
          <w:sz w:val="24"/>
          <w:szCs w:val="24"/>
          <w:lang w:eastAsia="en-GB"/>
        </w:rPr>
      </w:pPr>
    </w:p>
    <w:p w14:paraId="49DC28A9" w14:textId="77777777" w:rsidR="009B6B1C" w:rsidRDefault="00F51A9B">
      <w:pPr>
        <w:pStyle w:val="ListParagraph"/>
        <w:spacing w:before="100" w:after="100" w:line="240" w:lineRule="auto"/>
        <w:rPr>
          <w:rFonts w:eastAsia="Times New Roman"/>
          <w:kern w:val="0"/>
          <w:sz w:val="24"/>
          <w:szCs w:val="24"/>
          <w:lang w:eastAsia="en-GB"/>
        </w:rPr>
      </w:pPr>
      <w:r>
        <w:rPr>
          <w:rFonts w:eastAsia="Times New Roman"/>
          <w:kern w:val="0"/>
          <w:sz w:val="24"/>
          <w:szCs w:val="24"/>
          <w:lang w:eastAsia="en-GB"/>
        </w:rPr>
        <w:t>By analysing the provided data, we can draw meaningful insights into employee thoughts regarding hybrid working practices. Presenting these findings visually will help stakeholders to understand the key issues and positive aspects. Finally, making justified recommendations with a clear evaluation of benefits, risks, and financial implications ensures that stakeholders can make informed decisions to improve employee experiences and outcomes.</w:t>
      </w:r>
    </w:p>
    <w:bookmarkEnd w:id="0"/>
    <w:p w14:paraId="49DC28AA" w14:textId="77777777" w:rsidR="009B6B1C" w:rsidRDefault="009B6B1C">
      <w:pPr>
        <w:spacing w:before="100" w:after="100" w:line="240" w:lineRule="auto"/>
        <w:rPr>
          <w:rFonts w:eastAsia="Times New Roman"/>
          <w:b/>
          <w:bCs/>
          <w:kern w:val="0"/>
          <w:sz w:val="24"/>
          <w:szCs w:val="24"/>
          <w:lang w:eastAsia="en-GB"/>
        </w:rPr>
      </w:pPr>
    </w:p>
    <w:p w14:paraId="49DC28AB" w14:textId="77777777" w:rsidR="009B6B1C" w:rsidRDefault="009B6B1C">
      <w:pPr>
        <w:spacing w:before="100" w:after="100" w:line="240" w:lineRule="auto"/>
        <w:rPr>
          <w:rFonts w:eastAsia="Times New Roman"/>
          <w:b/>
          <w:bCs/>
          <w:kern w:val="0"/>
          <w:sz w:val="24"/>
          <w:szCs w:val="24"/>
          <w:lang w:eastAsia="en-GB"/>
        </w:rPr>
      </w:pPr>
    </w:p>
    <w:p w14:paraId="49DC28AC" w14:textId="77777777" w:rsidR="009B6B1C" w:rsidRDefault="00F51A9B">
      <w:pPr>
        <w:spacing w:before="100" w:after="100" w:line="240" w:lineRule="auto"/>
      </w:pPr>
      <w:r>
        <w:rPr>
          <w:rFonts w:eastAsia="Times New Roman"/>
          <w:b/>
          <w:bCs/>
          <w:kern w:val="0"/>
          <w:sz w:val="24"/>
          <w:szCs w:val="24"/>
          <w:lang w:eastAsia="en-GB"/>
        </w:rPr>
        <w:t>Bibliography</w:t>
      </w:r>
    </w:p>
    <w:p w14:paraId="49DC28AD"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Armstrong, M. (2020). </w:t>
      </w:r>
      <w:r>
        <w:rPr>
          <w:rFonts w:ascii="Times New Roman" w:eastAsia="Times New Roman" w:hAnsi="Times New Roman"/>
          <w:i/>
          <w:iCs/>
          <w:kern w:val="0"/>
          <w:sz w:val="24"/>
          <w:szCs w:val="24"/>
          <w:lang w:eastAsia="en-GB"/>
        </w:rPr>
        <w:t>Armstrong's Handbook of Human Resource Management Practice</w:t>
      </w:r>
      <w:r>
        <w:rPr>
          <w:rFonts w:ascii="Times New Roman" w:eastAsia="Times New Roman" w:hAnsi="Times New Roman"/>
          <w:kern w:val="0"/>
          <w:sz w:val="24"/>
          <w:szCs w:val="24"/>
          <w:lang w:eastAsia="en-GB"/>
        </w:rPr>
        <w:t>. Kogan Page.</w:t>
      </w:r>
    </w:p>
    <w:p w14:paraId="49DC28AE"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Bratton, J., &amp; </w:t>
      </w:r>
      <w:r>
        <w:rPr>
          <w:rFonts w:ascii="Times New Roman" w:eastAsia="Times New Roman" w:hAnsi="Times New Roman"/>
          <w:kern w:val="0"/>
          <w:sz w:val="24"/>
          <w:szCs w:val="24"/>
          <w:lang w:eastAsia="en-GB"/>
        </w:rPr>
        <w:t xml:space="preserve">Gold, J. (2017). </w:t>
      </w:r>
      <w:r>
        <w:rPr>
          <w:rFonts w:ascii="Times New Roman" w:eastAsia="Times New Roman" w:hAnsi="Times New Roman"/>
          <w:i/>
          <w:iCs/>
          <w:kern w:val="0"/>
          <w:sz w:val="24"/>
          <w:szCs w:val="24"/>
          <w:lang w:eastAsia="en-GB"/>
        </w:rPr>
        <w:t>Human Resource Management: Theory and Practice</w:t>
      </w:r>
      <w:r>
        <w:rPr>
          <w:rFonts w:ascii="Times New Roman" w:eastAsia="Times New Roman" w:hAnsi="Times New Roman"/>
          <w:kern w:val="0"/>
          <w:sz w:val="24"/>
          <w:szCs w:val="24"/>
          <w:lang w:eastAsia="en-GB"/>
        </w:rPr>
        <w:t>. Palgrave.</w:t>
      </w:r>
    </w:p>
    <w:p w14:paraId="49DC28AF"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Briner, R. (2018). What is Evidence-Based Practice? [YouTube Video]. Retrieved from </w:t>
      </w:r>
      <w:hyperlink r:id="rId17" w:history="1">
        <w:r>
          <w:rPr>
            <w:rFonts w:ascii="Times New Roman" w:eastAsia="Times New Roman" w:hAnsi="Times New Roman"/>
            <w:color w:val="0000FF"/>
            <w:kern w:val="0"/>
            <w:sz w:val="24"/>
            <w:szCs w:val="24"/>
            <w:u w:val="single"/>
            <w:lang w:eastAsia="en-GB"/>
          </w:rPr>
          <w:t>https://www.youtube.com/watch?v=_ht8YXU8s-o</w:t>
        </w:r>
      </w:hyperlink>
      <w:r>
        <w:rPr>
          <w:rFonts w:ascii="Times New Roman" w:eastAsia="Times New Roman" w:hAnsi="Times New Roman"/>
          <w:color w:val="0000FF"/>
          <w:kern w:val="0"/>
          <w:sz w:val="24"/>
          <w:szCs w:val="24"/>
          <w:u w:val="single"/>
          <w:lang w:eastAsia="en-GB"/>
        </w:rPr>
        <w:t xml:space="preserve"> (</w:t>
      </w:r>
      <w:r>
        <w:rPr>
          <w:rFonts w:ascii="Times New Roman" w:eastAsia="Times New Roman" w:hAnsi="Times New Roman"/>
          <w:kern w:val="0"/>
          <w:sz w:val="24"/>
          <w:szCs w:val="24"/>
          <w:lang w:eastAsia="en-GB"/>
        </w:rPr>
        <w:t>Accessed 5</w:t>
      </w:r>
      <w:r>
        <w:rPr>
          <w:rFonts w:ascii="Times New Roman" w:eastAsia="Times New Roman" w:hAnsi="Times New Roman"/>
          <w:kern w:val="0"/>
          <w:sz w:val="24"/>
          <w:szCs w:val="24"/>
          <w:vertAlign w:val="superscript"/>
          <w:lang w:eastAsia="en-GB"/>
        </w:rPr>
        <w:t>th</w:t>
      </w:r>
      <w:r>
        <w:rPr>
          <w:rFonts w:ascii="Times New Roman" w:eastAsia="Times New Roman" w:hAnsi="Times New Roman"/>
          <w:kern w:val="0"/>
          <w:sz w:val="24"/>
          <w:szCs w:val="24"/>
          <w:lang w:eastAsia="en-GB"/>
        </w:rPr>
        <w:t xml:space="preserve"> June 2024)</w:t>
      </w:r>
    </w:p>
    <w:p w14:paraId="49DC28B0"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Briner, R., Denyer, D., &amp; Rousseau, D. M. (2009). Evidence-Based Management: Concept Cleanup Time? </w:t>
      </w:r>
      <w:r>
        <w:rPr>
          <w:rFonts w:ascii="Times New Roman" w:eastAsia="Times New Roman" w:hAnsi="Times New Roman"/>
          <w:i/>
          <w:iCs/>
          <w:kern w:val="0"/>
          <w:sz w:val="24"/>
          <w:szCs w:val="24"/>
          <w:lang w:eastAsia="en-GB"/>
        </w:rPr>
        <w:t>Academy of Management Perspectives</w:t>
      </w:r>
      <w:r>
        <w:rPr>
          <w:rFonts w:ascii="Times New Roman" w:eastAsia="Times New Roman" w:hAnsi="Times New Roman"/>
          <w:kern w:val="0"/>
          <w:sz w:val="24"/>
          <w:szCs w:val="24"/>
          <w:lang w:eastAsia="en-GB"/>
        </w:rPr>
        <w:t>, 23(4), 19-32.</w:t>
      </w:r>
    </w:p>
    <w:p w14:paraId="49DC28B1"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Cottrell, S. (2017). </w:t>
      </w:r>
      <w:r>
        <w:rPr>
          <w:rFonts w:ascii="Times New Roman" w:eastAsia="Times New Roman" w:hAnsi="Times New Roman"/>
          <w:i/>
          <w:iCs/>
          <w:kern w:val="0"/>
          <w:sz w:val="24"/>
          <w:szCs w:val="24"/>
          <w:lang w:eastAsia="en-GB"/>
        </w:rPr>
        <w:t>Critical Thinking Skills: Effective Analysis, Argument and Reflection</w:t>
      </w:r>
      <w:r>
        <w:rPr>
          <w:rFonts w:ascii="Times New Roman" w:eastAsia="Times New Roman" w:hAnsi="Times New Roman"/>
          <w:kern w:val="0"/>
          <w:sz w:val="24"/>
          <w:szCs w:val="24"/>
          <w:lang w:eastAsia="en-GB"/>
        </w:rPr>
        <w:t>. Palgrave.</w:t>
      </w:r>
    </w:p>
    <w:p w14:paraId="49DC28B2"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De Bono, E. (1985). </w:t>
      </w:r>
      <w:r>
        <w:rPr>
          <w:rFonts w:ascii="Times New Roman" w:eastAsia="Times New Roman" w:hAnsi="Times New Roman"/>
          <w:i/>
          <w:iCs/>
          <w:kern w:val="0"/>
          <w:sz w:val="24"/>
          <w:szCs w:val="24"/>
          <w:lang w:eastAsia="en-GB"/>
        </w:rPr>
        <w:t>Six Thinking Hats: An Essential Approach to Business Management</w:t>
      </w:r>
      <w:r>
        <w:rPr>
          <w:rFonts w:ascii="Times New Roman" w:eastAsia="Times New Roman" w:hAnsi="Times New Roman"/>
          <w:kern w:val="0"/>
          <w:sz w:val="24"/>
          <w:szCs w:val="24"/>
          <w:lang w:eastAsia="en-GB"/>
        </w:rPr>
        <w:t>. Little, Brown, and Company.</w:t>
      </w:r>
    </w:p>
    <w:p w14:paraId="49DC28B3"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lastRenderedPageBreak/>
        <w:t xml:space="preserve">Marchington, M., Wilkinson, A., Donnelly, R., &amp; Kynighou, A. (2016). </w:t>
      </w:r>
      <w:r>
        <w:rPr>
          <w:rFonts w:ascii="Times New Roman" w:eastAsia="Times New Roman" w:hAnsi="Times New Roman"/>
          <w:i/>
          <w:iCs/>
          <w:kern w:val="0"/>
          <w:sz w:val="24"/>
          <w:szCs w:val="24"/>
          <w:lang w:eastAsia="en-GB"/>
        </w:rPr>
        <w:t>Human Resource Management at Work</w:t>
      </w:r>
      <w:r>
        <w:rPr>
          <w:rFonts w:ascii="Times New Roman" w:eastAsia="Times New Roman" w:hAnsi="Times New Roman"/>
          <w:kern w:val="0"/>
          <w:sz w:val="24"/>
          <w:szCs w:val="24"/>
          <w:lang w:eastAsia="en-GB"/>
        </w:rPr>
        <w:t>. Kogan Page.</w:t>
      </w:r>
    </w:p>
    <w:p w14:paraId="49DC28B4"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Rees, G., &amp; Smith, P. E. (2017). </w:t>
      </w:r>
      <w:r>
        <w:rPr>
          <w:rFonts w:ascii="Times New Roman" w:eastAsia="Times New Roman" w:hAnsi="Times New Roman"/>
          <w:i/>
          <w:iCs/>
          <w:kern w:val="0"/>
          <w:sz w:val="24"/>
          <w:szCs w:val="24"/>
          <w:lang w:eastAsia="en-GB"/>
        </w:rPr>
        <w:t>Strategic Human Resource Management: An International Perspective</w:t>
      </w:r>
      <w:r>
        <w:rPr>
          <w:rFonts w:ascii="Times New Roman" w:eastAsia="Times New Roman" w:hAnsi="Times New Roman"/>
          <w:kern w:val="0"/>
          <w:sz w:val="24"/>
          <w:szCs w:val="24"/>
          <w:lang w:eastAsia="en-GB"/>
        </w:rPr>
        <w:t>. SAGE Publications.</w:t>
      </w:r>
    </w:p>
    <w:p w14:paraId="49DC28B5"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Taylor, S. (2020). </w:t>
      </w:r>
      <w:r>
        <w:rPr>
          <w:rFonts w:ascii="Times New Roman" w:eastAsia="Times New Roman" w:hAnsi="Times New Roman"/>
          <w:i/>
          <w:iCs/>
          <w:kern w:val="0"/>
          <w:sz w:val="24"/>
          <w:szCs w:val="24"/>
          <w:lang w:eastAsia="en-GB"/>
        </w:rPr>
        <w:t>Resourcing and Talent Management</w:t>
      </w:r>
      <w:r>
        <w:rPr>
          <w:rFonts w:ascii="Times New Roman" w:eastAsia="Times New Roman" w:hAnsi="Times New Roman"/>
          <w:kern w:val="0"/>
          <w:sz w:val="24"/>
          <w:szCs w:val="24"/>
          <w:lang w:eastAsia="en-GB"/>
        </w:rPr>
        <w:t>. CIPD Publishing.</w:t>
      </w:r>
    </w:p>
    <w:p w14:paraId="49DC28B6" w14:textId="77777777" w:rsidR="009B6B1C"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Torrington, D., Hall, L., &amp; Taylor, S. (2020). </w:t>
      </w:r>
      <w:r>
        <w:rPr>
          <w:rFonts w:ascii="Times New Roman" w:eastAsia="Times New Roman" w:hAnsi="Times New Roman"/>
          <w:i/>
          <w:iCs/>
          <w:kern w:val="0"/>
          <w:sz w:val="24"/>
          <w:szCs w:val="24"/>
          <w:lang w:eastAsia="en-GB"/>
        </w:rPr>
        <w:t>Human Resource Management</w:t>
      </w:r>
      <w:r>
        <w:rPr>
          <w:rFonts w:ascii="Times New Roman" w:eastAsia="Times New Roman" w:hAnsi="Times New Roman"/>
          <w:kern w:val="0"/>
          <w:sz w:val="24"/>
          <w:szCs w:val="24"/>
          <w:lang w:eastAsia="en-GB"/>
        </w:rPr>
        <w:t>. Pearson.</w:t>
      </w:r>
    </w:p>
    <w:p w14:paraId="49DC28B7" w14:textId="77777777" w:rsidR="009B6B1C" w:rsidRPr="00401021" w:rsidRDefault="00F51A9B">
      <w:pPr>
        <w:numPr>
          <w:ilvl w:val="0"/>
          <w:numId w:val="25"/>
        </w:numPr>
        <w:spacing w:before="100" w:after="100" w:line="240" w:lineRule="auto"/>
      </w:pPr>
      <w:r>
        <w:rPr>
          <w:rFonts w:ascii="Times New Roman" w:eastAsia="Times New Roman" w:hAnsi="Times New Roman"/>
          <w:kern w:val="0"/>
          <w:sz w:val="24"/>
          <w:szCs w:val="24"/>
          <w:lang w:eastAsia="en-GB"/>
        </w:rPr>
        <w:t xml:space="preserve">Taylor, S., &amp; Woodhams, C. (2016). </w:t>
      </w:r>
      <w:r>
        <w:rPr>
          <w:rFonts w:ascii="Times New Roman" w:eastAsia="Times New Roman" w:hAnsi="Times New Roman"/>
          <w:i/>
          <w:iCs/>
          <w:kern w:val="0"/>
          <w:sz w:val="24"/>
          <w:szCs w:val="24"/>
          <w:lang w:eastAsia="en-GB"/>
        </w:rPr>
        <w:t>Studying Human Resource Management: A Guide to the Study, Context and Practice of HR</w:t>
      </w:r>
      <w:r>
        <w:rPr>
          <w:rFonts w:ascii="Times New Roman" w:eastAsia="Times New Roman" w:hAnsi="Times New Roman"/>
          <w:kern w:val="0"/>
          <w:sz w:val="24"/>
          <w:szCs w:val="24"/>
          <w:lang w:eastAsia="en-GB"/>
        </w:rPr>
        <w:t>. CIPD Publishing</w:t>
      </w:r>
    </w:p>
    <w:p w14:paraId="192E1141" w14:textId="77777777" w:rsidR="00401021" w:rsidRDefault="00401021" w:rsidP="00401021">
      <w:pPr>
        <w:pStyle w:val="ListParagraph"/>
        <w:numPr>
          <w:ilvl w:val="0"/>
          <w:numId w:val="25"/>
        </w:numPr>
        <w:suppressAutoHyphens w:val="0"/>
        <w:autoSpaceDN/>
        <w:spacing w:before="100" w:beforeAutospacing="1" w:after="100" w:afterAutospacing="1" w:line="240" w:lineRule="auto"/>
        <w:rPr>
          <w:rFonts w:ascii="Times New Roman" w:eastAsia="Times New Roman" w:hAnsi="Times New Roman"/>
          <w:color w:val="FF0000"/>
          <w:kern w:val="0"/>
          <w:sz w:val="24"/>
          <w:szCs w:val="24"/>
          <w:lang w:eastAsia="en-GB"/>
        </w:rPr>
      </w:pPr>
      <w:r w:rsidRPr="00401021">
        <w:rPr>
          <w:rFonts w:ascii="Times New Roman" w:eastAsia="Times New Roman" w:hAnsi="Times New Roman"/>
          <w:color w:val="FF0000"/>
          <w:kern w:val="0"/>
          <w:sz w:val="24"/>
          <w:szCs w:val="24"/>
          <w:lang w:eastAsia="en-GB"/>
        </w:rPr>
        <w:t xml:space="preserve">Hann, S. (2024) </w:t>
      </w:r>
      <w:r w:rsidRPr="00401021">
        <w:rPr>
          <w:rFonts w:ascii="Times New Roman" w:eastAsia="Times New Roman" w:hAnsi="Times New Roman"/>
          <w:i/>
          <w:iCs/>
          <w:color w:val="FF0000"/>
          <w:kern w:val="0"/>
          <w:sz w:val="24"/>
          <w:szCs w:val="24"/>
          <w:lang w:eastAsia="en-GB"/>
        </w:rPr>
        <w:t>SWOT analysis: Factsheets</w:t>
      </w:r>
      <w:r w:rsidRPr="00401021">
        <w:rPr>
          <w:rFonts w:ascii="Times New Roman" w:eastAsia="Times New Roman" w:hAnsi="Times New Roman"/>
          <w:color w:val="FF0000"/>
          <w:kern w:val="0"/>
          <w:sz w:val="24"/>
          <w:szCs w:val="24"/>
          <w:lang w:eastAsia="en-GB"/>
        </w:rPr>
        <w:t xml:space="preserve">, </w:t>
      </w:r>
      <w:r w:rsidRPr="00401021">
        <w:rPr>
          <w:rFonts w:ascii="Times New Roman" w:eastAsia="Times New Roman" w:hAnsi="Times New Roman"/>
          <w:i/>
          <w:iCs/>
          <w:color w:val="FF0000"/>
          <w:kern w:val="0"/>
          <w:sz w:val="24"/>
          <w:szCs w:val="24"/>
          <w:lang w:eastAsia="en-GB"/>
        </w:rPr>
        <w:t>CIPD</w:t>
      </w:r>
      <w:r w:rsidRPr="00401021">
        <w:rPr>
          <w:rFonts w:ascii="Times New Roman" w:eastAsia="Times New Roman" w:hAnsi="Times New Roman"/>
          <w:color w:val="FF0000"/>
          <w:kern w:val="0"/>
          <w:sz w:val="24"/>
          <w:szCs w:val="24"/>
          <w:lang w:eastAsia="en-GB"/>
        </w:rPr>
        <w:t xml:space="preserve">. Available at: https://www.cipd.org/uk/knowledge/factsheets/swot-analysis-factsheet/ (Accessed: 06 July 2024). </w:t>
      </w:r>
    </w:p>
    <w:p w14:paraId="58FE6875" w14:textId="271209A1" w:rsidR="00303775" w:rsidRPr="00303775" w:rsidRDefault="00303775" w:rsidP="00303775">
      <w:pPr>
        <w:pStyle w:val="ListParagraph"/>
        <w:numPr>
          <w:ilvl w:val="0"/>
          <w:numId w:val="25"/>
        </w:numPr>
        <w:spacing w:before="100" w:beforeAutospacing="1" w:after="100" w:afterAutospacing="1"/>
        <w:rPr>
          <w:rFonts w:ascii="Times New Roman" w:eastAsia="Times New Roman" w:hAnsi="Times New Roman"/>
          <w:color w:val="FF0000"/>
          <w:kern w:val="0"/>
          <w:sz w:val="24"/>
          <w:szCs w:val="24"/>
          <w:lang w:eastAsia="en-GB"/>
        </w:rPr>
      </w:pPr>
      <w:r w:rsidRPr="00303775">
        <w:rPr>
          <w:rFonts w:ascii="Times New Roman" w:eastAsia="Times New Roman" w:hAnsi="Times New Roman"/>
          <w:color w:val="FF0000"/>
          <w:kern w:val="0"/>
          <w:sz w:val="24"/>
          <w:szCs w:val="24"/>
          <w:lang w:eastAsia="en-GB"/>
        </w:rPr>
        <w:t xml:space="preserve"> CIPD (n.d.) Diversity and inclusion. Available at: https://www.cipd.co.uk/knowledge/fundamentals/relations/diversity/factsheet (Accessed: 5 July 2024).</w:t>
      </w:r>
    </w:p>
    <w:p w14:paraId="68AE653F" w14:textId="26A3AB85" w:rsidR="00303775" w:rsidRPr="00401021" w:rsidRDefault="00303775" w:rsidP="00303775">
      <w:pPr>
        <w:pStyle w:val="ListParagraph"/>
        <w:numPr>
          <w:ilvl w:val="0"/>
          <w:numId w:val="25"/>
        </w:numPr>
        <w:suppressAutoHyphens w:val="0"/>
        <w:autoSpaceDN/>
        <w:spacing w:before="100" w:beforeAutospacing="1" w:after="100" w:afterAutospacing="1" w:line="240" w:lineRule="auto"/>
        <w:rPr>
          <w:rFonts w:ascii="Times New Roman" w:eastAsia="Times New Roman" w:hAnsi="Times New Roman"/>
          <w:color w:val="FF0000"/>
          <w:kern w:val="0"/>
          <w:sz w:val="24"/>
          <w:szCs w:val="24"/>
          <w:lang w:eastAsia="en-GB"/>
        </w:rPr>
      </w:pPr>
      <w:r w:rsidRPr="00303775">
        <w:rPr>
          <w:rFonts w:ascii="Times New Roman" w:eastAsia="Times New Roman" w:hAnsi="Times New Roman"/>
          <w:color w:val="FF0000"/>
          <w:kern w:val="0"/>
          <w:sz w:val="24"/>
          <w:szCs w:val="24"/>
          <w:lang w:eastAsia="en-GB"/>
        </w:rPr>
        <w:t xml:space="preserve"> CIPD (n.d.) Recruitment and selection. Available at: https://www.cipd.co.uk/knowledge/fundamentals/people/recruitment/factsheet (Accessed: 5 July 2024).</w:t>
      </w:r>
    </w:p>
    <w:p w14:paraId="4435A22B" w14:textId="77777777" w:rsidR="00401021" w:rsidRDefault="00401021">
      <w:pPr>
        <w:numPr>
          <w:ilvl w:val="0"/>
          <w:numId w:val="25"/>
        </w:numPr>
        <w:spacing w:before="100" w:after="100" w:line="240" w:lineRule="auto"/>
      </w:pPr>
    </w:p>
    <w:p w14:paraId="49DC28B8" w14:textId="77777777" w:rsidR="009B6B1C" w:rsidRDefault="00F51A9B">
      <w:pPr>
        <w:spacing w:before="100" w:after="100" w:line="240" w:lineRule="auto"/>
        <w:rPr>
          <w:rFonts w:ascii="Times New Roman" w:eastAsia="Times New Roman" w:hAnsi="Times New Roman"/>
          <w:b/>
          <w:bCs/>
          <w:kern w:val="0"/>
          <w:sz w:val="24"/>
          <w:szCs w:val="24"/>
          <w:lang w:eastAsia="en-GB"/>
        </w:rPr>
      </w:pPr>
      <w:r>
        <w:rPr>
          <w:rFonts w:ascii="Times New Roman" w:eastAsia="Times New Roman" w:hAnsi="Times New Roman"/>
          <w:b/>
          <w:bCs/>
          <w:kern w:val="0"/>
          <w:sz w:val="24"/>
          <w:szCs w:val="24"/>
          <w:lang w:eastAsia="en-GB"/>
        </w:rPr>
        <w:t>Additional References:</w:t>
      </w:r>
    </w:p>
    <w:p w14:paraId="49DC28B9" w14:textId="77777777" w:rsidR="009B6B1C" w:rsidRDefault="00F51A9B">
      <w:pPr>
        <w:numPr>
          <w:ilvl w:val="0"/>
          <w:numId w:val="15"/>
        </w:numPr>
        <w:spacing w:before="100" w:after="100" w:line="240" w:lineRule="auto"/>
      </w:pPr>
      <w:r>
        <w:rPr>
          <w:rFonts w:ascii="Times New Roman" w:eastAsia="Times New Roman" w:hAnsi="Times New Roman"/>
          <w:kern w:val="0"/>
          <w:sz w:val="24"/>
          <w:szCs w:val="24"/>
          <w:lang w:eastAsia="en-GB"/>
        </w:rPr>
        <w:t xml:space="preserve">CIPD (2023). Technology and data use in </w:t>
      </w:r>
      <w:r>
        <w:rPr>
          <w:rFonts w:ascii="Times New Roman" w:eastAsia="Times New Roman" w:hAnsi="Times New Roman"/>
          <w:kern w:val="0"/>
          <w:sz w:val="24"/>
          <w:szCs w:val="24"/>
          <w:lang w:eastAsia="en-GB"/>
        </w:rPr>
        <w:t xml:space="preserve">HR functions. Retrieved from </w:t>
      </w:r>
      <w:hyperlink r:id="rId18" w:history="1">
        <w:r>
          <w:rPr>
            <w:rFonts w:ascii="Times New Roman" w:eastAsia="Times New Roman" w:hAnsi="Times New Roman"/>
            <w:color w:val="0000FF"/>
            <w:kern w:val="0"/>
            <w:sz w:val="24"/>
            <w:szCs w:val="24"/>
            <w:u w:val="single"/>
            <w:lang w:eastAsia="en-GB"/>
          </w:rPr>
          <w:t>https://www.cipd.co.uk/knowledge/work/technology/workplace-people-management/technology-data-hr-functions</w:t>
        </w:r>
      </w:hyperlink>
    </w:p>
    <w:p w14:paraId="49DC28BA" w14:textId="77777777" w:rsidR="009B6B1C" w:rsidRDefault="00F51A9B">
      <w:pPr>
        <w:numPr>
          <w:ilvl w:val="0"/>
          <w:numId w:val="15"/>
        </w:numPr>
        <w:spacing w:before="100" w:after="100" w:line="240" w:lineRule="auto"/>
      </w:pPr>
      <w:r>
        <w:rPr>
          <w:rFonts w:ascii="Times New Roman" w:eastAsia="Times New Roman" w:hAnsi="Times New Roman"/>
          <w:kern w:val="0"/>
          <w:sz w:val="24"/>
          <w:szCs w:val="24"/>
          <w:lang w:eastAsia="en-GB"/>
        </w:rPr>
        <w:t xml:space="preserve">CIPD (2022). Evidence-based practice for effective decision-making. Retrieved from </w:t>
      </w:r>
      <w:hyperlink r:id="rId19" w:history="1">
        <w:r>
          <w:rPr>
            <w:rStyle w:val="Hyperlink"/>
            <w:rFonts w:ascii="Times New Roman" w:eastAsia="Times New Roman" w:hAnsi="Times New Roman"/>
            <w:kern w:val="0"/>
            <w:sz w:val="24"/>
            <w:szCs w:val="24"/>
            <w:lang w:eastAsia="en-GB"/>
          </w:rPr>
          <w:t>https://www.cipd.co.uk/knowledge/strategy/analytics/evidence-based-practice-factsh</w:t>
        </w:r>
        <w:bookmarkStart w:id="2" w:name="_Hlt169354391"/>
        <w:bookmarkStart w:id="3" w:name="_Hlt169354392"/>
        <w:r>
          <w:rPr>
            <w:rStyle w:val="Hyperlink"/>
            <w:rFonts w:ascii="Times New Roman" w:eastAsia="Times New Roman" w:hAnsi="Times New Roman"/>
            <w:kern w:val="0"/>
            <w:sz w:val="24"/>
            <w:szCs w:val="24"/>
            <w:lang w:eastAsia="en-GB"/>
          </w:rPr>
          <w:t>e</w:t>
        </w:r>
        <w:bookmarkEnd w:id="2"/>
        <w:bookmarkEnd w:id="3"/>
        <w:r>
          <w:rPr>
            <w:rStyle w:val="Hyperlink"/>
            <w:rFonts w:ascii="Times New Roman" w:eastAsia="Times New Roman" w:hAnsi="Times New Roman"/>
            <w:kern w:val="0"/>
            <w:sz w:val="24"/>
            <w:szCs w:val="24"/>
            <w:lang w:eastAsia="en-GB"/>
          </w:rPr>
          <w:t>et</w:t>
        </w:r>
      </w:hyperlink>
    </w:p>
    <w:p w14:paraId="49DC28BB" w14:textId="77777777" w:rsidR="009B6B1C" w:rsidRDefault="00F51A9B">
      <w:pPr>
        <w:numPr>
          <w:ilvl w:val="0"/>
          <w:numId w:val="15"/>
        </w:numPr>
        <w:spacing w:before="100" w:after="100" w:line="240" w:lineRule="auto"/>
      </w:pPr>
      <w:r>
        <w:rPr>
          <w:rFonts w:ascii="Times New Roman" w:eastAsia="Times New Roman" w:hAnsi="Times New Roman"/>
          <w:kern w:val="0"/>
          <w:sz w:val="24"/>
          <w:szCs w:val="24"/>
          <w:lang w:eastAsia="en-GB"/>
        </w:rPr>
        <w:t xml:space="preserve">CIPD (2021). People analytics. Retrieved from </w:t>
      </w:r>
      <w:hyperlink r:id="rId20" w:history="1">
        <w:r>
          <w:rPr>
            <w:rFonts w:ascii="Times New Roman" w:eastAsia="Times New Roman" w:hAnsi="Times New Roman"/>
            <w:color w:val="0000FF"/>
            <w:kern w:val="0"/>
            <w:sz w:val="24"/>
            <w:szCs w:val="24"/>
            <w:u w:val="single"/>
            <w:lang w:eastAsia="en-GB"/>
          </w:rPr>
          <w:t>https://www.cipd.co.uk/knowledge/strategy/analytics/factsheet</w:t>
        </w:r>
      </w:hyperlink>
    </w:p>
    <w:p w14:paraId="49DC28BC" w14:textId="77777777" w:rsidR="009B6B1C" w:rsidRDefault="00F51A9B">
      <w:pPr>
        <w:numPr>
          <w:ilvl w:val="0"/>
          <w:numId w:val="15"/>
        </w:numPr>
        <w:spacing w:before="100" w:after="100" w:line="240" w:lineRule="auto"/>
      </w:pPr>
      <w:r>
        <w:rPr>
          <w:rFonts w:ascii="Times New Roman" w:eastAsia="Times New Roman" w:hAnsi="Times New Roman"/>
          <w:kern w:val="0"/>
          <w:sz w:val="24"/>
          <w:szCs w:val="24"/>
          <w:lang w:eastAsia="en-GB"/>
        </w:rPr>
        <w:t xml:space="preserve">Pfeffer, J and Sutton, R I (2006) </w:t>
      </w:r>
      <w:r>
        <w:rPr>
          <w:rFonts w:ascii="Times New Roman" w:eastAsia="Times New Roman" w:hAnsi="Times New Roman"/>
          <w:i/>
          <w:iCs/>
          <w:kern w:val="0"/>
          <w:sz w:val="24"/>
          <w:szCs w:val="24"/>
          <w:lang w:eastAsia="en-GB"/>
        </w:rPr>
        <w:t xml:space="preserve">Hard Facts: Dangerous Hard-Truths and Total Nonsense: Profiting from Evidence-Based Management, Boston: Harvard Business School Press </w:t>
      </w:r>
    </w:p>
    <w:p w14:paraId="49DC28BD" w14:textId="77777777" w:rsidR="009B6B1C" w:rsidRDefault="00F51A9B">
      <w:pPr>
        <w:numPr>
          <w:ilvl w:val="0"/>
          <w:numId w:val="15"/>
        </w:numPr>
        <w:spacing w:before="100" w:after="100" w:line="240" w:lineRule="auto"/>
      </w:pPr>
      <w:r>
        <w:rPr>
          <w:rFonts w:ascii="Times New Roman" w:eastAsia="Times New Roman" w:hAnsi="Times New Roman"/>
          <w:kern w:val="0"/>
          <w:sz w:val="24"/>
          <w:szCs w:val="24"/>
          <w:lang w:eastAsia="en-GB"/>
        </w:rPr>
        <w:t xml:space="preserve">Rousseau, D. M., &amp; Barends, E. G. R. (2011). Becoming an evidence-based HR practitioner. </w:t>
      </w:r>
      <w:r>
        <w:rPr>
          <w:rFonts w:ascii="Times New Roman" w:eastAsia="Times New Roman" w:hAnsi="Times New Roman"/>
          <w:i/>
          <w:iCs/>
          <w:kern w:val="0"/>
          <w:sz w:val="24"/>
          <w:szCs w:val="24"/>
          <w:lang w:eastAsia="en-GB"/>
        </w:rPr>
        <w:t>Human Resource Management Journal</w:t>
      </w:r>
      <w:r>
        <w:rPr>
          <w:rFonts w:ascii="Times New Roman" w:eastAsia="Times New Roman" w:hAnsi="Times New Roman"/>
          <w:kern w:val="0"/>
          <w:sz w:val="24"/>
          <w:szCs w:val="24"/>
          <w:lang w:eastAsia="en-GB"/>
        </w:rPr>
        <w:t xml:space="preserve">, </w:t>
      </w:r>
      <w:r>
        <w:rPr>
          <w:rFonts w:ascii="Times New Roman" w:eastAsia="Times New Roman" w:hAnsi="Times New Roman"/>
          <w:i/>
          <w:iCs/>
          <w:kern w:val="0"/>
          <w:sz w:val="24"/>
          <w:szCs w:val="24"/>
          <w:lang w:eastAsia="en-GB"/>
        </w:rPr>
        <w:t>21</w:t>
      </w:r>
      <w:r>
        <w:rPr>
          <w:rFonts w:ascii="Times New Roman" w:eastAsia="Times New Roman" w:hAnsi="Times New Roman"/>
          <w:kern w:val="0"/>
          <w:sz w:val="24"/>
          <w:szCs w:val="24"/>
          <w:lang w:eastAsia="en-GB"/>
        </w:rPr>
        <w:t xml:space="preserve">(3), 221–235. </w:t>
      </w:r>
      <w:hyperlink r:id="rId21" w:history="1">
        <w:r>
          <w:rPr>
            <w:rStyle w:val="Hyperlink"/>
            <w:rFonts w:ascii="Times New Roman" w:eastAsia="Times New Roman" w:hAnsi="Times New Roman"/>
            <w:kern w:val="0"/>
            <w:sz w:val="24"/>
            <w:szCs w:val="24"/>
            <w:lang w:eastAsia="en-GB"/>
          </w:rPr>
          <w:t>https://doi.org/10.1111/j.1748-8583.2011.00173.x</w:t>
        </w:r>
      </w:hyperlink>
    </w:p>
    <w:p w14:paraId="49DC28BE" w14:textId="158EEA6F" w:rsidR="009B6B1C" w:rsidRDefault="00F51A9B">
      <w:pPr>
        <w:numPr>
          <w:ilvl w:val="0"/>
          <w:numId w:val="15"/>
        </w:numPr>
        <w:spacing w:before="100" w:after="100" w:line="240" w:lineRule="auto"/>
      </w:pPr>
      <w:r>
        <w:rPr>
          <w:color w:val="000000"/>
        </w:rPr>
        <w:t xml:space="preserve">Taylorism - </w:t>
      </w:r>
      <w:hyperlink r:id="rId22" w:history="1">
        <w:r>
          <w:rPr>
            <w:rStyle w:val="Hyperlink"/>
          </w:rPr>
          <w:t>CH 4 Scientific Management - Plus Two (realinfo.tv)</w:t>
        </w:r>
      </w:hyperlink>
      <w:r>
        <w:rPr>
          <w:color w:val="000000"/>
        </w:rPr>
        <w:t>,</w:t>
      </w:r>
      <w:r>
        <w:t xml:space="preserve"> </w:t>
      </w:r>
      <w:hyperlink r:id="rId23" w:history="1">
        <w:r>
          <w:rPr>
            <w:rStyle w:val="Hyperlink"/>
            <w:rFonts w:ascii="Helvetica" w:hAnsi="Helvetica"/>
            <w:sz w:val="18"/>
            <w:szCs w:val="18"/>
            <w:shd w:val="clear" w:color="auto" w:fill="FFFFFF"/>
          </w:rPr>
          <w:t>https://12.realinfo.tv/2021/01/04-scientific-management.html?m=1</w:t>
        </w:r>
      </w:hyperlink>
      <w:r>
        <w:rPr>
          <w:rFonts w:ascii="Helvetica" w:hAnsi="Helvetica"/>
          <w:color w:val="0E2841"/>
          <w:sz w:val="18"/>
          <w:szCs w:val="18"/>
          <w:shd w:val="clear" w:color="auto" w:fill="FFFFFF"/>
        </w:rPr>
        <w:t xml:space="preserve"> Accessed 15</w:t>
      </w:r>
      <w:r>
        <w:rPr>
          <w:rFonts w:ascii="Helvetica" w:hAnsi="Helvetica"/>
          <w:color w:val="0E2841"/>
          <w:sz w:val="18"/>
          <w:szCs w:val="18"/>
          <w:shd w:val="clear" w:color="auto" w:fill="FFFFFF"/>
          <w:vertAlign w:val="superscript"/>
        </w:rPr>
        <w:t>th</w:t>
      </w:r>
      <w:r>
        <w:rPr>
          <w:rFonts w:ascii="Helvetica" w:hAnsi="Helvetica"/>
          <w:color w:val="0E2841"/>
          <w:sz w:val="18"/>
          <w:szCs w:val="18"/>
          <w:shd w:val="clear" w:color="auto" w:fill="FFFFFF"/>
        </w:rPr>
        <w:t xml:space="preserve"> June 2024</w:t>
      </w:r>
    </w:p>
    <w:p w14:paraId="49DC28BF" w14:textId="77777777" w:rsidR="009B6B1C" w:rsidRDefault="009B6B1C">
      <w:pPr>
        <w:spacing w:before="100" w:after="100" w:line="240" w:lineRule="auto"/>
        <w:rPr>
          <w:rFonts w:eastAsia="Times New Roman"/>
          <w:b/>
          <w:bCs/>
          <w:kern w:val="0"/>
          <w:sz w:val="24"/>
          <w:szCs w:val="24"/>
          <w:lang w:eastAsia="en-GB"/>
        </w:rPr>
      </w:pPr>
    </w:p>
    <w:p w14:paraId="49DC28C0" w14:textId="77777777" w:rsidR="009B6B1C" w:rsidRDefault="009B6B1C"/>
    <w:sectPr w:rsidR="009B6B1C">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C26C3" w14:textId="77777777" w:rsidR="00F51A9B" w:rsidRDefault="00F51A9B">
      <w:pPr>
        <w:spacing w:after="0" w:line="240" w:lineRule="auto"/>
      </w:pPr>
      <w:r>
        <w:separator/>
      </w:r>
    </w:p>
  </w:endnote>
  <w:endnote w:type="continuationSeparator" w:id="0">
    <w:p w14:paraId="49DC26C5" w14:textId="77777777" w:rsidR="00F51A9B" w:rsidRDefault="00F5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A53B8" w14:textId="77777777" w:rsidR="00A72FB0" w:rsidRDefault="00A72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667E5" w14:textId="77777777" w:rsidR="00A72FB0" w:rsidRDefault="00A72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B644B" w14:textId="77777777" w:rsidR="00A72FB0" w:rsidRDefault="00A72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DC26BF" w14:textId="77777777" w:rsidR="00F51A9B" w:rsidRDefault="00F51A9B">
      <w:pPr>
        <w:spacing w:after="0" w:line="240" w:lineRule="auto"/>
      </w:pPr>
      <w:r>
        <w:rPr>
          <w:color w:val="000000"/>
        </w:rPr>
        <w:separator/>
      </w:r>
    </w:p>
  </w:footnote>
  <w:footnote w:type="continuationSeparator" w:id="0">
    <w:p w14:paraId="49DC26C1" w14:textId="77777777" w:rsidR="00F51A9B" w:rsidRDefault="00F51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CF7A2" w14:textId="77777777" w:rsidR="00A72FB0" w:rsidRDefault="00A72F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C26C7" w14:textId="57AC973A" w:rsidR="00F51A9B" w:rsidRDefault="00F51A9B">
    <w:pPr>
      <w:pStyle w:val="Header"/>
      <w:rPr>
        <w:sz w:val="24"/>
        <w:szCs w:val="24"/>
      </w:rPr>
    </w:pPr>
    <w:r>
      <w:rPr>
        <w:sz w:val="24"/>
        <w:szCs w:val="24"/>
      </w:rPr>
      <w:t>Sarah Francis-Davies</w:t>
    </w:r>
  </w:p>
  <w:p w14:paraId="49DC26C8" w14:textId="77777777" w:rsidR="00F51A9B" w:rsidRDefault="00F51A9B">
    <w:pPr>
      <w:pStyle w:val="Header"/>
      <w:rPr>
        <w:sz w:val="24"/>
        <w:szCs w:val="24"/>
      </w:rPr>
    </w:pPr>
    <w:r>
      <w:rPr>
        <w:sz w:val="24"/>
        <w:szCs w:val="24"/>
      </w:rPr>
      <w:t>Student Number: 2327336</w:t>
    </w:r>
  </w:p>
  <w:p w14:paraId="49DC26C9" w14:textId="77777777" w:rsidR="00F51A9B" w:rsidRDefault="00F51A9B">
    <w:pPr>
      <w:pStyle w:val="Header"/>
      <w:rPr>
        <w:sz w:val="24"/>
        <w:szCs w:val="24"/>
      </w:rPr>
    </w:pPr>
    <w:r>
      <w:rPr>
        <w:sz w:val="24"/>
        <w:szCs w:val="24"/>
      </w:rPr>
      <w:t>CIPD Level 5</w:t>
    </w:r>
  </w:p>
  <w:p w14:paraId="49DC26CA" w14:textId="77777777" w:rsidR="00F51A9B" w:rsidRDefault="00F51A9B">
    <w:pPr>
      <w:pStyle w:val="Header"/>
      <w:rPr>
        <w:sz w:val="24"/>
        <w:szCs w:val="24"/>
      </w:rPr>
    </w:pPr>
    <w:r>
      <w:rPr>
        <w:sz w:val="24"/>
        <w:szCs w:val="24"/>
      </w:rPr>
      <w:t>Cohort 9</w:t>
    </w:r>
  </w:p>
  <w:p w14:paraId="49DC26CB" w14:textId="77777777" w:rsidR="00F51A9B" w:rsidRDefault="00F51A9B">
    <w:pPr>
      <w:pStyle w:val="Header"/>
      <w:rPr>
        <w:sz w:val="24"/>
        <w:szCs w:val="24"/>
      </w:rPr>
    </w:pPr>
    <w:r>
      <w:rPr>
        <w:sz w:val="24"/>
        <w:szCs w:val="24"/>
      </w:rPr>
      <w:t xml:space="preserve">Evidence Based Practice </w:t>
    </w:r>
  </w:p>
  <w:p w14:paraId="49DC26CC" w14:textId="77777777" w:rsidR="00F51A9B" w:rsidRDefault="00F51A9B">
    <w:pPr>
      <w:pStyle w:val="Header"/>
      <w:rPr>
        <w:sz w:val="24"/>
        <w:szCs w:val="24"/>
      </w:rPr>
    </w:pPr>
    <w:r>
      <w:rPr>
        <w:sz w:val="24"/>
        <w:szCs w:val="24"/>
      </w:rPr>
      <w:t>Date: 17/06/2024</w:t>
    </w:r>
  </w:p>
  <w:p w14:paraId="49DC26CD" w14:textId="39584238" w:rsidR="00F51A9B" w:rsidRDefault="00F51A9B">
    <w:pPr>
      <w:pStyle w:val="Header"/>
    </w:pPr>
    <w:r>
      <w:rPr>
        <w:sz w:val="24"/>
        <w:szCs w:val="24"/>
      </w:rPr>
      <w:t>Word Count</w:t>
    </w:r>
    <w:r>
      <w:t xml:space="preserve"> </w:t>
    </w:r>
    <w:r>
      <w:rPr>
        <w:sz w:val="24"/>
        <w:szCs w:val="24"/>
      </w:rPr>
      <w:t>42</w:t>
    </w:r>
    <w:r w:rsidR="00A72FB0">
      <w:rPr>
        <w:sz w:val="24"/>
        <w:szCs w:val="24"/>
      </w:rPr>
      <w:t>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8E651" w14:textId="77777777" w:rsidR="00A72FB0" w:rsidRDefault="00A72F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32EEF"/>
    <w:multiLevelType w:val="multilevel"/>
    <w:tmpl w:val="914448A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0C2B7D93"/>
    <w:multiLevelType w:val="multilevel"/>
    <w:tmpl w:val="8AA66EB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Aptos" w:eastAsia="Times New Roman" w:hAnsi="Aptos" w:cs="Times New Roman"/>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15471BD"/>
    <w:multiLevelType w:val="multilevel"/>
    <w:tmpl w:val="415E339E"/>
    <w:lvl w:ilvl="0">
      <w:start w:val="1"/>
      <w:numFmt w:val="lowerRoman"/>
      <w:lvlText w:val="%1)"/>
      <w:lvlJc w:val="left"/>
      <w:pPr>
        <w:ind w:left="1080" w:hanging="72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16A60B32"/>
    <w:multiLevelType w:val="multilevel"/>
    <w:tmpl w:val="527CF3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82325CD"/>
    <w:multiLevelType w:val="multilevel"/>
    <w:tmpl w:val="DA8CA7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D200B86"/>
    <w:multiLevelType w:val="multilevel"/>
    <w:tmpl w:val="78CED37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234B23F2"/>
    <w:multiLevelType w:val="hybridMultilevel"/>
    <w:tmpl w:val="03AE669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2B2E8F"/>
    <w:multiLevelType w:val="multilevel"/>
    <w:tmpl w:val="A9406980"/>
    <w:lvl w:ilvl="0">
      <w:start w:val="1"/>
      <w:numFmt w:val="lowerRoman"/>
      <w:lvlText w:val="%1)"/>
      <w:lvlJc w:val="left"/>
      <w:pPr>
        <w:ind w:left="1080" w:hanging="72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2BAB030A"/>
    <w:multiLevelType w:val="multilevel"/>
    <w:tmpl w:val="8EC4703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9" w15:restartNumberingAfterBreak="0">
    <w:nsid w:val="2E3729DE"/>
    <w:multiLevelType w:val="multilevel"/>
    <w:tmpl w:val="CE566070"/>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0" w15:restartNumberingAfterBreak="0">
    <w:nsid w:val="2F1C7C3B"/>
    <w:multiLevelType w:val="hybridMultilevel"/>
    <w:tmpl w:val="EACAEF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A743A"/>
    <w:multiLevelType w:val="multilevel"/>
    <w:tmpl w:val="65DAC4C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2" w15:restartNumberingAfterBreak="0">
    <w:nsid w:val="30A02282"/>
    <w:multiLevelType w:val="multilevel"/>
    <w:tmpl w:val="FBB02536"/>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3" w15:restartNumberingAfterBreak="0">
    <w:nsid w:val="35FB144C"/>
    <w:multiLevelType w:val="multilevel"/>
    <w:tmpl w:val="D4BA8D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3C944576"/>
    <w:multiLevelType w:val="multilevel"/>
    <w:tmpl w:val="19AAF87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3CC1020D"/>
    <w:multiLevelType w:val="multilevel"/>
    <w:tmpl w:val="9CB0BA8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51991604"/>
    <w:multiLevelType w:val="multilevel"/>
    <w:tmpl w:val="A74A3AC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52746CDB"/>
    <w:multiLevelType w:val="multilevel"/>
    <w:tmpl w:val="BCB0607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58ED55C4"/>
    <w:multiLevelType w:val="multilevel"/>
    <w:tmpl w:val="32A0897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9" w15:restartNumberingAfterBreak="0">
    <w:nsid w:val="5E11727F"/>
    <w:multiLevelType w:val="hybridMultilevel"/>
    <w:tmpl w:val="0262E334"/>
    <w:lvl w:ilvl="0" w:tplc="6EA0898A">
      <w:numFmt w:val="bullet"/>
      <w:lvlText w:val=""/>
      <w:lvlJc w:val="left"/>
      <w:pPr>
        <w:ind w:left="720" w:hanging="360"/>
      </w:pPr>
      <w:rPr>
        <w:rFonts w:ascii="Symbol" w:eastAsia="Apto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37307"/>
    <w:multiLevelType w:val="multilevel"/>
    <w:tmpl w:val="60EA7A4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6C764B9C"/>
    <w:multiLevelType w:val="multilevel"/>
    <w:tmpl w:val="D0F265E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6F41615B"/>
    <w:multiLevelType w:val="hybridMultilevel"/>
    <w:tmpl w:val="CE1EE3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AE75D8"/>
    <w:multiLevelType w:val="multilevel"/>
    <w:tmpl w:val="6352E0CA"/>
    <w:lvl w:ilvl="0">
      <w:numFmt w:val="bullet"/>
      <w:lvlText w:val=""/>
      <w:lvlJc w:val="left"/>
      <w:pPr>
        <w:ind w:left="720" w:hanging="360"/>
      </w:pPr>
      <w:rPr>
        <w:rFonts w:ascii="Symbol" w:hAnsi="Symbol"/>
        <w:sz w:val="20"/>
      </w:rPr>
    </w:lvl>
    <w:lvl w:ilvl="1">
      <w:start w:val="1"/>
      <w:numFmt w:val="decimal"/>
      <w:lvlText w:val=""/>
      <w:lvlJc w:val="left"/>
      <w:pPr>
        <w:ind w:left="1440" w:hanging="360"/>
      </w:pPr>
    </w:lvl>
    <w:lvl w:ilvl="2">
      <w:start w:val="1"/>
      <w:numFmt w:val="decimal"/>
      <w:lvlText w:val=")"/>
      <w:lvlJc w:val="left"/>
      <w:pPr>
        <w:ind w:left="2160" w:hanging="360"/>
      </w:p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48A2A3B"/>
    <w:multiLevelType w:val="multilevel"/>
    <w:tmpl w:val="9E8844B4"/>
    <w:lvl w:ilvl="0">
      <w:start w:val="1"/>
      <w:numFmt w:val="lowerRoman"/>
      <w:lvlText w:val="%1)"/>
      <w:lvlJc w:val="left"/>
      <w:pPr>
        <w:ind w:left="1080" w:hanging="72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5" w15:restartNumberingAfterBreak="0">
    <w:nsid w:val="77B2295F"/>
    <w:multiLevelType w:val="multilevel"/>
    <w:tmpl w:val="C7CC6AF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6" w15:restartNumberingAfterBreak="0">
    <w:nsid w:val="77DE5550"/>
    <w:multiLevelType w:val="hybridMultilevel"/>
    <w:tmpl w:val="0AFE27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A26565"/>
    <w:multiLevelType w:val="multilevel"/>
    <w:tmpl w:val="44002916"/>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Symbol" w:eastAsia="Times New Roman" w:hAnsi="Symbol" w:cs="Times New Roman"/>
      </w:r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8" w15:restartNumberingAfterBreak="0">
    <w:nsid w:val="7B3E479A"/>
    <w:multiLevelType w:val="multilevel"/>
    <w:tmpl w:val="5D7E459A"/>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9" w15:restartNumberingAfterBreak="0">
    <w:nsid w:val="7E1421A0"/>
    <w:multiLevelType w:val="multilevel"/>
    <w:tmpl w:val="4D6EE66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419445501">
    <w:abstractNumId w:val="11"/>
  </w:num>
  <w:num w:numId="2" w16cid:durableId="1932622367">
    <w:abstractNumId w:val="29"/>
  </w:num>
  <w:num w:numId="3" w16cid:durableId="1435977778">
    <w:abstractNumId w:val="14"/>
  </w:num>
  <w:num w:numId="4" w16cid:durableId="1305890623">
    <w:abstractNumId w:val="27"/>
  </w:num>
  <w:num w:numId="5" w16cid:durableId="428738398">
    <w:abstractNumId w:val="18"/>
  </w:num>
  <w:num w:numId="6" w16cid:durableId="1182276355">
    <w:abstractNumId w:val="5"/>
  </w:num>
  <w:num w:numId="7" w16cid:durableId="593779602">
    <w:abstractNumId w:val="21"/>
  </w:num>
  <w:num w:numId="8" w16cid:durableId="1806580284">
    <w:abstractNumId w:val="20"/>
  </w:num>
  <w:num w:numId="9" w16cid:durableId="312149162">
    <w:abstractNumId w:val="16"/>
  </w:num>
  <w:num w:numId="10" w16cid:durableId="2146314203">
    <w:abstractNumId w:val="4"/>
  </w:num>
  <w:num w:numId="11" w16cid:durableId="1387677907">
    <w:abstractNumId w:val="15"/>
  </w:num>
  <w:num w:numId="12" w16cid:durableId="684982370">
    <w:abstractNumId w:val="25"/>
  </w:num>
  <w:num w:numId="13" w16cid:durableId="48266816">
    <w:abstractNumId w:val="0"/>
  </w:num>
  <w:num w:numId="14" w16cid:durableId="1884709365">
    <w:abstractNumId w:val="12"/>
  </w:num>
  <w:num w:numId="15" w16cid:durableId="711078835">
    <w:abstractNumId w:val="23"/>
  </w:num>
  <w:num w:numId="16" w16cid:durableId="1250384789">
    <w:abstractNumId w:val="28"/>
  </w:num>
  <w:num w:numId="17" w16cid:durableId="460615017">
    <w:abstractNumId w:val="24"/>
  </w:num>
  <w:num w:numId="18" w16cid:durableId="1160078217">
    <w:abstractNumId w:val="2"/>
  </w:num>
  <w:num w:numId="19" w16cid:durableId="1886024833">
    <w:abstractNumId w:val="7"/>
  </w:num>
  <w:num w:numId="20" w16cid:durableId="50278655">
    <w:abstractNumId w:val="9"/>
  </w:num>
  <w:num w:numId="21" w16cid:durableId="806628179">
    <w:abstractNumId w:val="13"/>
  </w:num>
  <w:num w:numId="22" w16cid:durableId="1317882790">
    <w:abstractNumId w:val="1"/>
  </w:num>
  <w:num w:numId="23" w16cid:durableId="641156049">
    <w:abstractNumId w:val="17"/>
  </w:num>
  <w:num w:numId="24" w16cid:durableId="348726909">
    <w:abstractNumId w:val="8"/>
  </w:num>
  <w:num w:numId="25" w16cid:durableId="1574586590">
    <w:abstractNumId w:val="3"/>
  </w:num>
  <w:num w:numId="26" w16cid:durableId="2071878069">
    <w:abstractNumId w:val="19"/>
  </w:num>
  <w:num w:numId="27" w16cid:durableId="538472598">
    <w:abstractNumId w:val="26"/>
  </w:num>
  <w:num w:numId="28" w16cid:durableId="435708553">
    <w:abstractNumId w:val="22"/>
  </w:num>
  <w:num w:numId="29" w16cid:durableId="1016152811">
    <w:abstractNumId w:val="10"/>
  </w:num>
  <w:num w:numId="30" w16cid:durableId="4372644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B6B1C"/>
    <w:rsid w:val="00061B0A"/>
    <w:rsid w:val="000957D4"/>
    <w:rsid w:val="001337C6"/>
    <w:rsid w:val="00215BAF"/>
    <w:rsid w:val="002421D0"/>
    <w:rsid w:val="002F1A83"/>
    <w:rsid w:val="00303775"/>
    <w:rsid w:val="00307FC3"/>
    <w:rsid w:val="003F4E1C"/>
    <w:rsid w:val="003F7045"/>
    <w:rsid w:val="00401021"/>
    <w:rsid w:val="00470A17"/>
    <w:rsid w:val="004726B9"/>
    <w:rsid w:val="00627111"/>
    <w:rsid w:val="007170D4"/>
    <w:rsid w:val="009B6B1C"/>
    <w:rsid w:val="009D1AE2"/>
    <w:rsid w:val="00A055D9"/>
    <w:rsid w:val="00A24328"/>
    <w:rsid w:val="00A72FB0"/>
    <w:rsid w:val="00B22808"/>
    <w:rsid w:val="00B65900"/>
    <w:rsid w:val="00BA5A83"/>
    <w:rsid w:val="00BC4A0D"/>
    <w:rsid w:val="00C0294C"/>
    <w:rsid w:val="00DE5238"/>
    <w:rsid w:val="00E90E20"/>
    <w:rsid w:val="00ED2CDD"/>
    <w:rsid w:val="00F51A9B"/>
    <w:rsid w:val="00F72B1E"/>
    <w:rsid w:val="00FB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C26AB"/>
  <w15:docId w15:val="{1C2F0409-E7C6-4EB2-9970-D96DF444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ListParagraphChar">
    <w:name w:val="List Paragraph Char"/>
    <w:basedOn w:val="DefaultParagraphFont"/>
  </w:style>
  <w:style w:type="character" w:customStyle="1" w:styleId="NornalChar">
    <w:name w:val="Nornal Char"/>
    <w:basedOn w:val="DefaultParagraphFont"/>
    <w:rPr>
      <w:rFonts w:ascii="Arial" w:hAnsi="Arial" w:cs="Arial"/>
    </w:rPr>
  </w:style>
  <w:style w:type="paragraph" w:customStyle="1" w:styleId="Nornal">
    <w:name w:val="Nornal"/>
    <w:basedOn w:val="Normal"/>
    <w:pPr>
      <w:spacing w:line="264" w:lineRule="auto"/>
    </w:pPr>
    <w:rPr>
      <w:rFonts w:ascii="Arial" w:hAnsi="Arial" w:cs="Arial"/>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customStyle="1" w:styleId="Listparag">
    <w:name w:val="List parag"/>
    <w:basedOn w:val="ListParagraph"/>
    <w:pPr>
      <w:spacing w:after="120" w:line="264" w:lineRule="auto"/>
      <w:ind w:hanging="360"/>
      <w:contextualSpacing w:val="0"/>
    </w:pPr>
    <w:rPr>
      <w:rFonts w:ascii="Arial" w:eastAsia="Times New Roman" w:hAnsi="Arial" w:cs="Arial"/>
      <w:kern w:val="0"/>
      <w:szCs w:val="24"/>
      <w:lang w:eastAsia="en-GB"/>
    </w:rPr>
  </w:style>
  <w:style w:type="character" w:customStyle="1" w:styleId="ListparagChar">
    <w:name w:val="List parag Char"/>
    <w:basedOn w:val="DefaultParagraphFont"/>
    <w:rPr>
      <w:rFonts w:ascii="Arial" w:eastAsia="Times New Roman" w:hAnsi="Arial" w:cs="Arial"/>
      <w:kern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035905">
      <w:bodyDiv w:val="1"/>
      <w:marLeft w:val="0"/>
      <w:marRight w:val="0"/>
      <w:marTop w:val="0"/>
      <w:marBottom w:val="0"/>
      <w:divBdr>
        <w:top w:val="none" w:sz="0" w:space="0" w:color="auto"/>
        <w:left w:val="none" w:sz="0" w:space="0" w:color="auto"/>
        <w:bottom w:val="none" w:sz="0" w:space="0" w:color="auto"/>
        <w:right w:val="none" w:sz="0" w:space="0" w:color="auto"/>
      </w:divBdr>
    </w:div>
    <w:div w:id="1867672718">
      <w:bodyDiv w:val="1"/>
      <w:marLeft w:val="0"/>
      <w:marRight w:val="0"/>
      <w:marTop w:val="0"/>
      <w:marBottom w:val="0"/>
      <w:divBdr>
        <w:top w:val="none" w:sz="0" w:space="0" w:color="auto"/>
        <w:left w:val="none" w:sz="0" w:space="0" w:color="auto"/>
        <w:bottom w:val="none" w:sz="0" w:space="0" w:color="auto"/>
        <w:right w:val="none" w:sz="0" w:space="0" w:color="auto"/>
      </w:divBdr>
    </w:div>
    <w:div w:id="1889150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cipd.co.uk/knowledge/work/technology/workplace-people-management/technology-data-hr-function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1111/j.1748-8583.2011.00173.x"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ww.youtube.com/watch?v=_ht8YXU8s-o"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hyperlink" Target="https://www.cipd.co.uk/knowledge/strategy/analytics/factsheet"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yperlink" Target="https://12.realinfo.tv/2021/01/04-scientific-management.html?m=1" TargetMode="External"/><Relationship Id="rId28" Type="http://schemas.openxmlformats.org/officeDocument/2006/relationships/header" Target="header3.xml"/><Relationship Id="rId10" Type="http://schemas.openxmlformats.org/officeDocument/2006/relationships/chart" Target="charts/chart4.xml"/><Relationship Id="rId19" Type="http://schemas.openxmlformats.org/officeDocument/2006/relationships/hyperlink" Target="https://www.cipd.co.uk/knowledge/strategy/analytics/evidence-based-practice-factshee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athenacaregroup-my.sharepoint.com/personal/sarah_francis-davies_athenacaregroup_co_uk/Documents/Sarah%20CIPD/CH%204%20Scientific%20Management%20-%20Plus%20Two%20(realinfo.tv)" TargetMode="External"/><Relationship Id="rId27" Type="http://schemas.openxmlformats.org/officeDocument/2006/relationships/footer" Target="foot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Total</a:t>
            </a:r>
          </a:p>
        </c:rich>
      </c:tx>
      <c:overlay val="0"/>
      <c:spPr>
        <a:noFill/>
        <a:ln>
          <a:noFill/>
        </a:ln>
      </c:spPr>
    </c:title>
    <c:autoTitleDeleted val="0"/>
    <c:plotArea>
      <c:layout/>
      <c:pieChart>
        <c:varyColors val="1"/>
        <c:ser>
          <c:idx val="0"/>
          <c:order val="0"/>
          <c:tx>
            <c:v>Total</c:v>
          </c:tx>
          <c:dPt>
            <c:idx val="0"/>
            <c:bubble3D val="0"/>
            <c:spPr>
              <a:solidFill>
                <a:srgbClr val="156082"/>
              </a:solidFill>
              <a:ln>
                <a:noFill/>
              </a:ln>
            </c:spPr>
            <c:extLst>
              <c:ext xmlns:c16="http://schemas.microsoft.com/office/drawing/2014/chart" uri="{C3380CC4-5D6E-409C-BE32-E72D297353CC}">
                <c16:uniqueId val="{00000001-40CB-4AA7-BFDD-A08C762B90F5}"/>
              </c:ext>
            </c:extLst>
          </c:dPt>
          <c:dPt>
            <c:idx val="1"/>
            <c:bubble3D val="0"/>
            <c:spPr>
              <a:solidFill>
                <a:srgbClr val="E97132"/>
              </a:solidFill>
              <a:ln>
                <a:noFill/>
              </a:ln>
            </c:spPr>
            <c:extLst>
              <c:ext xmlns:c16="http://schemas.microsoft.com/office/drawing/2014/chart" uri="{C3380CC4-5D6E-409C-BE32-E72D297353CC}">
                <c16:uniqueId val="{00000002-40CB-4AA7-BFDD-A08C762B90F5}"/>
              </c:ext>
            </c:extLst>
          </c:dPt>
          <c:dPt>
            <c:idx val="2"/>
            <c:bubble3D val="0"/>
            <c:spPr>
              <a:solidFill>
                <a:srgbClr val="196B24"/>
              </a:solidFill>
              <a:ln>
                <a:noFill/>
              </a:ln>
            </c:spPr>
            <c:extLst>
              <c:ext xmlns:c16="http://schemas.microsoft.com/office/drawing/2014/chart" uri="{C3380CC4-5D6E-409C-BE32-E72D297353CC}">
                <c16:uniqueId val="{00000003-40CB-4AA7-BFDD-A08C762B90F5}"/>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3"/>
              <c:pt idx="0">
                <c:v>Female</c:v>
              </c:pt>
              <c:pt idx="1">
                <c:v>Male</c:v>
              </c:pt>
              <c:pt idx="2">
                <c:v>Non-binary</c:v>
              </c:pt>
            </c:strLit>
          </c:cat>
          <c:val>
            <c:numLit>
              <c:formatCode>General</c:formatCode>
              <c:ptCount val="3"/>
              <c:pt idx="0">
                <c:v>0.45384615384615384</c:v>
              </c:pt>
              <c:pt idx="1">
                <c:v>0.53846153846153844</c:v>
              </c:pt>
              <c:pt idx="2">
                <c:v>7.6923076923076927E-3</c:v>
              </c:pt>
            </c:numLit>
          </c:val>
          <c:extLst>
            <c:ext xmlns:c16="http://schemas.microsoft.com/office/drawing/2014/chart" uri="{C3380CC4-5D6E-409C-BE32-E72D297353CC}">
              <c16:uniqueId val="{00000000-40CB-4AA7-BFDD-A08C762B90F5}"/>
            </c:ext>
          </c:extLst>
        </c:ser>
        <c:dLbls>
          <c:showLegendKey val="0"/>
          <c:showVal val="0"/>
          <c:showCatName val="0"/>
          <c:showSerName val="0"/>
          <c:showPercent val="0"/>
          <c:showBubbleSize val="0"/>
          <c:showLeaderLines val="1"/>
        </c:dLbls>
        <c:firstSliceAng val="0"/>
      </c:pieChart>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autoTitleDeleted val="1"/>
    <c:plotArea>
      <c:layout/>
      <c:barChart>
        <c:barDir val="col"/>
        <c:grouping val="clustered"/>
        <c:varyColors val="0"/>
        <c:ser>
          <c:idx val="0"/>
          <c:order val="0"/>
          <c:tx>
            <c:v>Asian - Bangladesh</c:v>
          </c:tx>
          <c:spPr>
            <a:solidFill>
              <a:srgbClr val="15608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9399-4ABA-8524-D6418F84CF55}"/>
            </c:ext>
          </c:extLst>
        </c:ser>
        <c:ser>
          <c:idx val="1"/>
          <c:order val="1"/>
          <c:tx>
            <c:v>Black - Other</c:v>
          </c:tx>
          <c:spPr>
            <a:solidFill>
              <a:srgbClr val="E9713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c:v>
              </c:pt>
              <c:pt idx="3">
                <c:v>0</c:v>
              </c:pt>
              <c:pt idx="4">
                <c:v>0</c:v>
              </c:pt>
              <c:pt idx="5">
                <c:v>0.5</c:v>
              </c:pt>
              <c:pt idx="6">
                <c:v>0</c:v>
              </c:pt>
              <c:pt idx="7">
                <c:v>0</c:v>
              </c:pt>
              <c:pt idx="8">
                <c:v>0</c:v>
              </c:pt>
              <c:pt idx="9">
                <c:v>0</c:v>
              </c:pt>
              <c:pt idx="10">
                <c:v>0.5</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1-9399-4ABA-8524-D6418F84CF55}"/>
            </c:ext>
          </c:extLst>
        </c:ser>
        <c:ser>
          <c:idx val="2"/>
          <c:order val="2"/>
          <c:tx>
            <c:v>Chinese</c:v>
          </c:tx>
          <c:spPr>
            <a:solidFill>
              <a:srgbClr val="196B24"/>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0.5</c:v>
              </c:pt>
              <c:pt idx="3">
                <c:v>0</c:v>
              </c:pt>
              <c:pt idx="4">
                <c:v>0</c:v>
              </c:pt>
              <c:pt idx="5">
                <c:v>0</c:v>
              </c:pt>
              <c:pt idx="6">
                <c:v>0</c:v>
              </c:pt>
              <c:pt idx="7">
                <c:v>0</c:v>
              </c:pt>
              <c:pt idx="8">
                <c:v>0</c:v>
              </c:pt>
              <c:pt idx="9">
                <c:v>0</c:v>
              </c:pt>
              <c:pt idx="10">
                <c:v>0</c:v>
              </c:pt>
              <c:pt idx="11">
                <c:v>0</c:v>
              </c:pt>
              <c:pt idx="12">
                <c:v>0</c:v>
              </c:pt>
              <c:pt idx="13">
                <c:v>0.5</c:v>
              </c:pt>
              <c:pt idx="14">
                <c:v>0</c:v>
              </c:pt>
              <c:pt idx="15">
                <c:v>0</c:v>
              </c:pt>
              <c:pt idx="16">
                <c:v>0</c:v>
              </c:pt>
              <c:pt idx="17">
                <c:v>0</c:v>
              </c:pt>
            </c:numLit>
          </c:val>
          <c:extLst>
            <c:ext xmlns:c16="http://schemas.microsoft.com/office/drawing/2014/chart" uri="{C3380CC4-5D6E-409C-BE32-E72D297353CC}">
              <c16:uniqueId val="{00000002-9399-4ABA-8524-D6418F84CF55}"/>
            </c:ext>
          </c:extLst>
        </c:ser>
        <c:ser>
          <c:idx val="3"/>
          <c:order val="3"/>
          <c:tx>
            <c:v>Indian</c:v>
          </c:tx>
          <c:spPr>
            <a:solidFill>
              <a:srgbClr val="0F9ED5"/>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0.25</c:v>
              </c:pt>
              <c:pt idx="2">
                <c:v>0</c:v>
              </c:pt>
              <c:pt idx="3">
                <c:v>0.25</c:v>
              </c:pt>
              <c:pt idx="4">
                <c:v>0</c:v>
              </c:pt>
              <c:pt idx="5">
                <c:v>0.25</c:v>
              </c:pt>
              <c:pt idx="6">
                <c:v>0.25</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3-9399-4ABA-8524-D6418F84CF55}"/>
            </c:ext>
          </c:extLst>
        </c:ser>
        <c:ser>
          <c:idx val="4"/>
          <c:order val="4"/>
          <c:tx>
            <c:v>Mixed - Other</c:v>
          </c:tx>
          <c:spPr>
            <a:solidFill>
              <a:srgbClr val="A02B93"/>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4-9399-4ABA-8524-D6418F84CF55}"/>
            </c:ext>
          </c:extLst>
        </c:ser>
        <c:ser>
          <c:idx val="5"/>
          <c:order val="5"/>
          <c:tx>
            <c:v>Pakistani</c:v>
          </c:tx>
          <c:spPr>
            <a:solidFill>
              <a:srgbClr val="4EA72E"/>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0.66666666666666663</c:v>
              </c:pt>
              <c:pt idx="3">
                <c:v>0</c:v>
              </c:pt>
              <c:pt idx="4">
                <c:v>0</c:v>
              </c:pt>
              <c:pt idx="5">
                <c:v>0</c:v>
              </c:pt>
              <c:pt idx="6">
                <c:v>0</c:v>
              </c:pt>
              <c:pt idx="7">
                <c:v>0</c:v>
              </c:pt>
              <c:pt idx="8">
                <c:v>0</c:v>
              </c:pt>
              <c:pt idx="9">
                <c:v>0</c:v>
              </c:pt>
              <c:pt idx="10">
                <c:v>0</c:v>
              </c:pt>
              <c:pt idx="11">
                <c:v>0</c:v>
              </c:pt>
              <c:pt idx="12">
                <c:v>0</c:v>
              </c:pt>
              <c:pt idx="13">
                <c:v>0</c:v>
              </c:pt>
              <c:pt idx="14">
                <c:v>0.33333333333333331</c:v>
              </c:pt>
              <c:pt idx="15">
                <c:v>0</c:v>
              </c:pt>
              <c:pt idx="16">
                <c:v>0</c:v>
              </c:pt>
              <c:pt idx="17">
                <c:v>0</c:v>
              </c:pt>
            </c:numLit>
          </c:val>
          <c:extLst>
            <c:ext xmlns:c16="http://schemas.microsoft.com/office/drawing/2014/chart" uri="{C3380CC4-5D6E-409C-BE32-E72D297353CC}">
              <c16:uniqueId val="{00000005-9399-4ABA-8524-D6418F84CF55}"/>
            </c:ext>
          </c:extLst>
        </c:ser>
        <c:ser>
          <c:idx val="6"/>
          <c:order val="6"/>
          <c:tx>
            <c:v>White and Black Caribbean</c:v>
          </c:tx>
          <c:spPr>
            <a:solidFill>
              <a:srgbClr val="0D3A4E"/>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0.33333333333333331</c:v>
              </c:pt>
              <c:pt idx="2">
                <c:v>0</c:v>
              </c:pt>
              <c:pt idx="3">
                <c:v>0</c:v>
              </c:pt>
              <c:pt idx="4">
                <c:v>0</c:v>
              </c:pt>
              <c:pt idx="5">
                <c:v>0</c:v>
              </c:pt>
              <c:pt idx="6">
                <c:v>0</c:v>
              </c:pt>
              <c:pt idx="7">
                <c:v>0</c:v>
              </c:pt>
              <c:pt idx="8">
                <c:v>0.33333333333333331</c:v>
              </c:pt>
              <c:pt idx="9">
                <c:v>0</c:v>
              </c:pt>
              <c:pt idx="10">
                <c:v>0</c:v>
              </c:pt>
              <c:pt idx="11">
                <c:v>0</c:v>
              </c:pt>
              <c:pt idx="12">
                <c:v>0</c:v>
              </c:pt>
              <c:pt idx="13">
                <c:v>0</c:v>
              </c:pt>
              <c:pt idx="14">
                <c:v>0</c:v>
              </c:pt>
              <c:pt idx="15">
                <c:v>0</c:v>
              </c:pt>
              <c:pt idx="16">
                <c:v>0.33333333333333331</c:v>
              </c:pt>
              <c:pt idx="17">
                <c:v>0</c:v>
              </c:pt>
            </c:numLit>
          </c:val>
          <c:extLst>
            <c:ext xmlns:c16="http://schemas.microsoft.com/office/drawing/2014/chart" uri="{C3380CC4-5D6E-409C-BE32-E72D297353CC}">
              <c16:uniqueId val="{00000006-9399-4ABA-8524-D6418F84CF55}"/>
            </c:ext>
          </c:extLst>
        </c:ser>
        <c:ser>
          <c:idx val="7"/>
          <c:order val="7"/>
          <c:tx>
            <c:v>White British</c:v>
          </c:tx>
          <c:spPr>
            <a:solidFill>
              <a:srgbClr val="994010"/>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2.9535864978902954E-2</c:v>
              </c:pt>
              <c:pt idx="1">
                <c:v>1.6877637130801686E-2</c:v>
              </c:pt>
              <c:pt idx="2">
                <c:v>5.0632911392405063E-2</c:v>
              </c:pt>
              <c:pt idx="3">
                <c:v>1.6877637130801686E-2</c:v>
              </c:pt>
              <c:pt idx="4">
                <c:v>8.4388185654008432E-3</c:v>
              </c:pt>
              <c:pt idx="5">
                <c:v>3.3755274261603373E-2</c:v>
              </c:pt>
              <c:pt idx="6">
                <c:v>8.4388185654008432E-3</c:v>
              </c:pt>
              <c:pt idx="7">
                <c:v>4.6413502109704644E-2</c:v>
              </c:pt>
              <c:pt idx="8">
                <c:v>6.7510548523206745E-2</c:v>
              </c:pt>
              <c:pt idx="9">
                <c:v>7.1729957805907171E-2</c:v>
              </c:pt>
              <c:pt idx="10">
                <c:v>3.3755274261603373E-2</c:v>
              </c:pt>
              <c:pt idx="11">
                <c:v>4.2194092827004218E-2</c:v>
              </c:pt>
              <c:pt idx="12">
                <c:v>1.6877637130801686E-2</c:v>
              </c:pt>
              <c:pt idx="13">
                <c:v>4.2194092827004218E-2</c:v>
              </c:pt>
              <c:pt idx="14">
                <c:v>0.41350210970464135</c:v>
              </c:pt>
              <c:pt idx="15">
                <c:v>2.1097046413502109E-2</c:v>
              </c:pt>
              <c:pt idx="16">
                <c:v>4.2194092827004218E-2</c:v>
              </c:pt>
              <c:pt idx="17">
                <c:v>3.7974683544303799E-2</c:v>
              </c:pt>
            </c:numLit>
          </c:val>
          <c:extLst>
            <c:ext xmlns:c16="http://schemas.microsoft.com/office/drawing/2014/chart" uri="{C3380CC4-5D6E-409C-BE32-E72D297353CC}">
              <c16:uniqueId val="{00000007-9399-4ABA-8524-D6418F84CF55}"/>
            </c:ext>
          </c:extLst>
        </c:ser>
        <c:ser>
          <c:idx val="8"/>
          <c:order val="8"/>
          <c:tx>
            <c:v>White Irish</c:v>
          </c:tx>
          <c:spPr>
            <a:solidFill>
              <a:srgbClr val="0F4016"/>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0.5</c:v>
              </c:pt>
              <c:pt idx="1">
                <c:v>0</c:v>
              </c:pt>
              <c:pt idx="2">
                <c:v>0</c:v>
              </c:pt>
              <c:pt idx="3">
                <c:v>0</c:v>
              </c:pt>
              <c:pt idx="4">
                <c:v>0</c:v>
              </c:pt>
              <c:pt idx="5">
                <c:v>0</c:v>
              </c:pt>
              <c:pt idx="6">
                <c:v>0</c:v>
              </c:pt>
              <c:pt idx="7">
                <c:v>0</c:v>
              </c:pt>
              <c:pt idx="8">
                <c:v>0</c:v>
              </c:pt>
              <c:pt idx="9">
                <c:v>0.5</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8-9399-4ABA-8524-D6418F84CF55}"/>
            </c:ext>
          </c:extLst>
        </c:ser>
        <c:ser>
          <c:idx val="9"/>
          <c:order val="9"/>
          <c:tx>
            <c:v>White Other</c:v>
          </c:tx>
          <c:spPr>
            <a:solidFill>
              <a:srgbClr val="095F80"/>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0.2</c:v>
              </c:pt>
              <c:pt idx="1">
                <c:v>0</c:v>
              </c:pt>
              <c:pt idx="2">
                <c:v>0</c:v>
              </c:pt>
              <c:pt idx="3">
                <c:v>0</c:v>
              </c:pt>
              <c:pt idx="4">
                <c:v>0</c:v>
              </c:pt>
              <c:pt idx="5">
                <c:v>0</c:v>
              </c:pt>
              <c:pt idx="6">
                <c:v>0</c:v>
              </c:pt>
              <c:pt idx="7">
                <c:v>0.2</c:v>
              </c:pt>
              <c:pt idx="8">
                <c:v>0</c:v>
              </c:pt>
              <c:pt idx="9">
                <c:v>0.2</c:v>
              </c:pt>
              <c:pt idx="10">
                <c:v>0</c:v>
              </c:pt>
              <c:pt idx="11">
                <c:v>0</c:v>
              </c:pt>
              <c:pt idx="12">
                <c:v>0</c:v>
              </c:pt>
              <c:pt idx="13">
                <c:v>0</c:v>
              </c:pt>
              <c:pt idx="14">
                <c:v>0</c:v>
              </c:pt>
              <c:pt idx="15">
                <c:v>0</c:v>
              </c:pt>
              <c:pt idx="16">
                <c:v>0</c:v>
              </c:pt>
              <c:pt idx="17">
                <c:v>0.4</c:v>
              </c:pt>
            </c:numLit>
          </c:val>
          <c:extLst>
            <c:ext xmlns:c16="http://schemas.microsoft.com/office/drawing/2014/chart" uri="{C3380CC4-5D6E-409C-BE32-E72D297353CC}">
              <c16:uniqueId val="{00000009-9399-4ABA-8524-D6418F84CF55}"/>
            </c:ext>
          </c:extLst>
        </c:ser>
        <c:dLbls>
          <c:showLegendKey val="0"/>
          <c:showVal val="0"/>
          <c:showCatName val="0"/>
          <c:showSerName val="0"/>
          <c:showPercent val="0"/>
          <c:showBubbleSize val="0"/>
        </c:dLbls>
        <c:gapWidth val="219"/>
        <c:overlap val="-27"/>
        <c:axId val="67145407"/>
        <c:axId val="67144447"/>
      </c:barChart>
      <c:valAx>
        <c:axId val="67144447"/>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7145407"/>
        <c:crosses val="autoZero"/>
        <c:crossBetween val="between"/>
      </c:valAx>
      <c:catAx>
        <c:axId val="67145407"/>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7144447"/>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autoTitleDeleted val="1"/>
    <c:plotArea>
      <c:layout/>
      <c:barChart>
        <c:barDir val="col"/>
        <c:grouping val="stacked"/>
        <c:varyColors val="0"/>
        <c:ser>
          <c:idx val="0"/>
          <c:order val="0"/>
          <c:tx>
            <c:v>Asian - Bangladesh</c:v>
          </c:tx>
          <c:spPr>
            <a:solidFill>
              <a:srgbClr val="15608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0-1126-4319-8F93-6E16888DF861}"/>
            </c:ext>
          </c:extLst>
        </c:ser>
        <c:ser>
          <c:idx val="1"/>
          <c:order val="1"/>
          <c:tx>
            <c:v>Black - Other</c:v>
          </c:tx>
          <c:spPr>
            <a:solidFill>
              <a:srgbClr val="E9713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c:v>
              </c:pt>
              <c:pt idx="3">
                <c:v>0</c:v>
              </c:pt>
              <c:pt idx="4">
                <c:v>0</c:v>
              </c:pt>
              <c:pt idx="5">
                <c:v>0.5</c:v>
              </c:pt>
              <c:pt idx="6">
                <c:v>0</c:v>
              </c:pt>
              <c:pt idx="7">
                <c:v>0</c:v>
              </c:pt>
              <c:pt idx="8">
                <c:v>0</c:v>
              </c:pt>
              <c:pt idx="9">
                <c:v>0</c:v>
              </c:pt>
              <c:pt idx="10">
                <c:v>0.5</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1-1126-4319-8F93-6E16888DF861}"/>
            </c:ext>
          </c:extLst>
        </c:ser>
        <c:ser>
          <c:idx val="2"/>
          <c:order val="2"/>
          <c:tx>
            <c:v>Chinese</c:v>
          </c:tx>
          <c:spPr>
            <a:solidFill>
              <a:srgbClr val="196B24"/>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0.5</c:v>
              </c:pt>
              <c:pt idx="3">
                <c:v>0</c:v>
              </c:pt>
              <c:pt idx="4">
                <c:v>0</c:v>
              </c:pt>
              <c:pt idx="5">
                <c:v>0</c:v>
              </c:pt>
              <c:pt idx="6">
                <c:v>0</c:v>
              </c:pt>
              <c:pt idx="7">
                <c:v>0</c:v>
              </c:pt>
              <c:pt idx="8">
                <c:v>0</c:v>
              </c:pt>
              <c:pt idx="9">
                <c:v>0</c:v>
              </c:pt>
              <c:pt idx="10">
                <c:v>0</c:v>
              </c:pt>
              <c:pt idx="11">
                <c:v>0</c:v>
              </c:pt>
              <c:pt idx="12">
                <c:v>0</c:v>
              </c:pt>
              <c:pt idx="13">
                <c:v>0.5</c:v>
              </c:pt>
              <c:pt idx="14">
                <c:v>0</c:v>
              </c:pt>
              <c:pt idx="15">
                <c:v>0</c:v>
              </c:pt>
              <c:pt idx="16">
                <c:v>0</c:v>
              </c:pt>
              <c:pt idx="17">
                <c:v>0</c:v>
              </c:pt>
            </c:numLit>
          </c:val>
          <c:extLst>
            <c:ext xmlns:c16="http://schemas.microsoft.com/office/drawing/2014/chart" uri="{C3380CC4-5D6E-409C-BE32-E72D297353CC}">
              <c16:uniqueId val="{00000002-1126-4319-8F93-6E16888DF861}"/>
            </c:ext>
          </c:extLst>
        </c:ser>
        <c:ser>
          <c:idx val="3"/>
          <c:order val="3"/>
          <c:tx>
            <c:v>Indian</c:v>
          </c:tx>
          <c:spPr>
            <a:solidFill>
              <a:srgbClr val="0F9ED5"/>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0.25</c:v>
              </c:pt>
              <c:pt idx="2">
                <c:v>0</c:v>
              </c:pt>
              <c:pt idx="3">
                <c:v>0.25</c:v>
              </c:pt>
              <c:pt idx="4">
                <c:v>0</c:v>
              </c:pt>
              <c:pt idx="5">
                <c:v>0.25</c:v>
              </c:pt>
              <c:pt idx="6">
                <c:v>0.25</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3-1126-4319-8F93-6E16888DF861}"/>
            </c:ext>
          </c:extLst>
        </c:ser>
        <c:ser>
          <c:idx val="4"/>
          <c:order val="4"/>
          <c:tx>
            <c:v>Mixed - Other</c:v>
          </c:tx>
          <c:spPr>
            <a:solidFill>
              <a:srgbClr val="A02B93"/>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4-1126-4319-8F93-6E16888DF861}"/>
            </c:ext>
          </c:extLst>
        </c:ser>
        <c:ser>
          <c:idx val="5"/>
          <c:order val="5"/>
          <c:tx>
            <c:v>Pakistani</c:v>
          </c:tx>
          <c:spPr>
            <a:solidFill>
              <a:srgbClr val="4EA72E"/>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c:v>
              </c:pt>
              <c:pt idx="2">
                <c:v>0.66666666666666663</c:v>
              </c:pt>
              <c:pt idx="3">
                <c:v>0</c:v>
              </c:pt>
              <c:pt idx="4">
                <c:v>0</c:v>
              </c:pt>
              <c:pt idx="5">
                <c:v>0</c:v>
              </c:pt>
              <c:pt idx="6">
                <c:v>0</c:v>
              </c:pt>
              <c:pt idx="7">
                <c:v>0</c:v>
              </c:pt>
              <c:pt idx="8">
                <c:v>0</c:v>
              </c:pt>
              <c:pt idx="9">
                <c:v>0</c:v>
              </c:pt>
              <c:pt idx="10">
                <c:v>0</c:v>
              </c:pt>
              <c:pt idx="11">
                <c:v>0</c:v>
              </c:pt>
              <c:pt idx="12">
                <c:v>0</c:v>
              </c:pt>
              <c:pt idx="13">
                <c:v>0</c:v>
              </c:pt>
              <c:pt idx="14">
                <c:v>0.33333333333333331</c:v>
              </c:pt>
              <c:pt idx="15">
                <c:v>0</c:v>
              </c:pt>
              <c:pt idx="16">
                <c:v>0</c:v>
              </c:pt>
              <c:pt idx="17">
                <c:v>0</c:v>
              </c:pt>
            </c:numLit>
          </c:val>
          <c:extLst>
            <c:ext xmlns:c16="http://schemas.microsoft.com/office/drawing/2014/chart" uri="{C3380CC4-5D6E-409C-BE32-E72D297353CC}">
              <c16:uniqueId val="{00000005-1126-4319-8F93-6E16888DF861}"/>
            </c:ext>
          </c:extLst>
        </c:ser>
        <c:ser>
          <c:idx val="6"/>
          <c:order val="6"/>
          <c:tx>
            <c:v>White and Black Caribbean</c:v>
          </c:tx>
          <c:spPr>
            <a:solidFill>
              <a:srgbClr val="0D3A4E"/>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0.33333333333333331</c:v>
              </c:pt>
              <c:pt idx="2">
                <c:v>0</c:v>
              </c:pt>
              <c:pt idx="3">
                <c:v>0</c:v>
              </c:pt>
              <c:pt idx="4">
                <c:v>0</c:v>
              </c:pt>
              <c:pt idx="5">
                <c:v>0</c:v>
              </c:pt>
              <c:pt idx="6">
                <c:v>0</c:v>
              </c:pt>
              <c:pt idx="7">
                <c:v>0</c:v>
              </c:pt>
              <c:pt idx="8">
                <c:v>0.33333333333333331</c:v>
              </c:pt>
              <c:pt idx="9">
                <c:v>0</c:v>
              </c:pt>
              <c:pt idx="10">
                <c:v>0</c:v>
              </c:pt>
              <c:pt idx="11">
                <c:v>0</c:v>
              </c:pt>
              <c:pt idx="12">
                <c:v>0</c:v>
              </c:pt>
              <c:pt idx="13">
                <c:v>0</c:v>
              </c:pt>
              <c:pt idx="14">
                <c:v>0</c:v>
              </c:pt>
              <c:pt idx="15">
                <c:v>0</c:v>
              </c:pt>
              <c:pt idx="16">
                <c:v>0.33333333333333331</c:v>
              </c:pt>
              <c:pt idx="17">
                <c:v>0</c:v>
              </c:pt>
            </c:numLit>
          </c:val>
          <c:extLst>
            <c:ext xmlns:c16="http://schemas.microsoft.com/office/drawing/2014/chart" uri="{C3380CC4-5D6E-409C-BE32-E72D297353CC}">
              <c16:uniqueId val="{00000006-1126-4319-8F93-6E16888DF861}"/>
            </c:ext>
          </c:extLst>
        </c:ser>
        <c:ser>
          <c:idx val="7"/>
          <c:order val="7"/>
          <c:tx>
            <c:v>White British</c:v>
          </c:tx>
          <c:spPr>
            <a:solidFill>
              <a:srgbClr val="994010"/>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2.9535864978902954E-2</c:v>
              </c:pt>
              <c:pt idx="1">
                <c:v>1.6877637130801686E-2</c:v>
              </c:pt>
              <c:pt idx="2">
                <c:v>5.0632911392405063E-2</c:v>
              </c:pt>
              <c:pt idx="3">
                <c:v>1.6877637130801686E-2</c:v>
              </c:pt>
              <c:pt idx="4">
                <c:v>8.4388185654008432E-3</c:v>
              </c:pt>
              <c:pt idx="5">
                <c:v>3.3755274261603373E-2</c:v>
              </c:pt>
              <c:pt idx="6">
                <c:v>8.4388185654008432E-3</c:v>
              </c:pt>
              <c:pt idx="7">
                <c:v>4.6413502109704644E-2</c:v>
              </c:pt>
              <c:pt idx="8">
                <c:v>6.7510548523206745E-2</c:v>
              </c:pt>
              <c:pt idx="9">
                <c:v>7.1729957805907171E-2</c:v>
              </c:pt>
              <c:pt idx="10">
                <c:v>3.3755274261603373E-2</c:v>
              </c:pt>
              <c:pt idx="11">
                <c:v>4.2194092827004218E-2</c:v>
              </c:pt>
              <c:pt idx="12">
                <c:v>1.6877637130801686E-2</c:v>
              </c:pt>
              <c:pt idx="13">
                <c:v>4.2194092827004218E-2</c:v>
              </c:pt>
              <c:pt idx="14">
                <c:v>0.41350210970464135</c:v>
              </c:pt>
              <c:pt idx="15">
                <c:v>2.1097046413502109E-2</c:v>
              </c:pt>
              <c:pt idx="16">
                <c:v>4.2194092827004218E-2</c:v>
              </c:pt>
              <c:pt idx="17">
                <c:v>3.7974683544303799E-2</c:v>
              </c:pt>
            </c:numLit>
          </c:val>
          <c:extLst>
            <c:ext xmlns:c16="http://schemas.microsoft.com/office/drawing/2014/chart" uri="{C3380CC4-5D6E-409C-BE32-E72D297353CC}">
              <c16:uniqueId val="{00000007-1126-4319-8F93-6E16888DF861}"/>
            </c:ext>
          </c:extLst>
        </c:ser>
        <c:ser>
          <c:idx val="8"/>
          <c:order val="8"/>
          <c:tx>
            <c:v>White Irish</c:v>
          </c:tx>
          <c:spPr>
            <a:solidFill>
              <a:srgbClr val="0F4016"/>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0.5</c:v>
              </c:pt>
              <c:pt idx="1">
                <c:v>0</c:v>
              </c:pt>
              <c:pt idx="2">
                <c:v>0</c:v>
              </c:pt>
              <c:pt idx="3">
                <c:v>0</c:v>
              </c:pt>
              <c:pt idx="4">
                <c:v>0</c:v>
              </c:pt>
              <c:pt idx="5">
                <c:v>0</c:v>
              </c:pt>
              <c:pt idx="6">
                <c:v>0</c:v>
              </c:pt>
              <c:pt idx="7">
                <c:v>0</c:v>
              </c:pt>
              <c:pt idx="8">
                <c:v>0</c:v>
              </c:pt>
              <c:pt idx="9">
                <c:v>0.5</c:v>
              </c:pt>
              <c:pt idx="10">
                <c:v>0</c:v>
              </c:pt>
              <c:pt idx="11">
                <c:v>0</c:v>
              </c:pt>
              <c:pt idx="12">
                <c:v>0</c:v>
              </c:pt>
              <c:pt idx="13">
                <c:v>0</c:v>
              </c:pt>
              <c:pt idx="14">
                <c:v>0</c:v>
              </c:pt>
              <c:pt idx="15">
                <c:v>0</c:v>
              </c:pt>
              <c:pt idx="16">
                <c:v>0</c:v>
              </c:pt>
              <c:pt idx="17">
                <c:v>0</c:v>
              </c:pt>
            </c:numLit>
          </c:val>
          <c:extLst>
            <c:ext xmlns:c16="http://schemas.microsoft.com/office/drawing/2014/chart" uri="{C3380CC4-5D6E-409C-BE32-E72D297353CC}">
              <c16:uniqueId val="{00000008-1126-4319-8F93-6E16888DF861}"/>
            </c:ext>
          </c:extLst>
        </c:ser>
        <c:ser>
          <c:idx val="9"/>
          <c:order val="9"/>
          <c:tx>
            <c:v>White Other</c:v>
          </c:tx>
          <c:spPr>
            <a:solidFill>
              <a:srgbClr val="095F80"/>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0.2</c:v>
              </c:pt>
              <c:pt idx="1">
                <c:v>0</c:v>
              </c:pt>
              <c:pt idx="2">
                <c:v>0</c:v>
              </c:pt>
              <c:pt idx="3">
                <c:v>0</c:v>
              </c:pt>
              <c:pt idx="4">
                <c:v>0</c:v>
              </c:pt>
              <c:pt idx="5">
                <c:v>0</c:v>
              </c:pt>
              <c:pt idx="6">
                <c:v>0</c:v>
              </c:pt>
              <c:pt idx="7">
                <c:v>0.2</c:v>
              </c:pt>
              <c:pt idx="8">
                <c:v>0</c:v>
              </c:pt>
              <c:pt idx="9">
                <c:v>0.2</c:v>
              </c:pt>
              <c:pt idx="10">
                <c:v>0</c:v>
              </c:pt>
              <c:pt idx="11">
                <c:v>0</c:v>
              </c:pt>
              <c:pt idx="12">
                <c:v>0</c:v>
              </c:pt>
              <c:pt idx="13">
                <c:v>0</c:v>
              </c:pt>
              <c:pt idx="14">
                <c:v>0</c:v>
              </c:pt>
              <c:pt idx="15">
                <c:v>0</c:v>
              </c:pt>
              <c:pt idx="16">
                <c:v>0</c:v>
              </c:pt>
              <c:pt idx="17">
                <c:v>0.4</c:v>
              </c:pt>
            </c:numLit>
          </c:val>
          <c:extLst>
            <c:ext xmlns:c16="http://schemas.microsoft.com/office/drawing/2014/chart" uri="{C3380CC4-5D6E-409C-BE32-E72D297353CC}">
              <c16:uniqueId val="{00000009-1126-4319-8F93-6E16888DF861}"/>
            </c:ext>
          </c:extLst>
        </c:ser>
        <c:dLbls>
          <c:showLegendKey val="0"/>
          <c:showVal val="0"/>
          <c:showCatName val="0"/>
          <c:showSerName val="0"/>
          <c:showPercent val="0"/>
          <c:showBubbleSize val="0"/>
        </c:dLbls>
        <c:gapWidth val="150"/>
        <c:overlap val="100"/>
        <c:axId val="6277295"/>
        <c:axId val="6269615"/>
      </c:barChart>
      <c:valAx>
        <c:axId val="6269615"/>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77295"/>
        <c:crosses val="autoZero"/>
        <c:crossBetween val="between"/>
      </c:valAx>
      <c:catAx>
        <c:axId val="627729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6961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autoTitleDeleted val="1"/>
    <c:plotArea>
      <c:layout/>
      <c:barChart>
        <c:barDir val="col"/>
        <c:grouping val="clustered"/>
        <c:varyColors val="0"/>
        <c:ser>
          <c:idx val="0"/>
          <c:order val="0"/>
          <c:tx>
            <c:v>Disabled</c:v>
          </c:tx>
          <c:spPr>
            <a:solidFill>
              <a:srgbClr val="15608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3.8461538461538464E-3</c:v>
              </c:pt>
              <c:pt idx="2">
                <c:v>1.1538461538461539E-2</c:v>
              </c:pt>
              <c:pt idx="3">
                <c:v>0</c:v>
              </c:pt>
              <c:pt idx="4">
                <c:v>0</c:v>
              </c:pt>
              <c:pt idx="5">
                <c:v>7.6923076923076927E-3</c:v>
              </c:pt>
              <c:pt idx="6">
                <c:v>0</c:v>
              </c:pt>
              <c:pt idx="7">
                <c:v>3.8461538461538464E-3</c:v>
              </c:pt>
              <c:pt idx="8">
                <c:v>7.6923076923076927E-3</c:v>
              </c:pt>
              <c:pt idx="9">
                <c:v>3.8461538461538464E-3</c:v>
              </c:pt>
              <c:pt idx="10">
                <c:v>7.6923076923076927E-3</c:v>
              </c:pt>
              <c:pt idx="11">
                <c:v>3.8461538461538464E-3</c:v>
              </c:pt>
              <c:pt idx="12">
                <c:v>0</c:v>
              </c:pt>
              <c:pt idx="13">
                <c:v>7.6923076923076927E-3</c:v>
              </c:pt>
              <c:pt idx="14">
                <c:v>1.9230769230769232E-2</c:v>
              </c:pt>
              <c:pt idx="15">
                <c:v>0</c:v>
              </c:pt>
              <c:pt idx="16">
                <c:v>0</c:v>
              </c:pt>
              <c:pt idx="17">
                <c:v>3.8461538461538464E-3</c:v>
              </c:pt>
            </c:numLit>
          </c:val>
          <c:extLst>
            <c:ext xmlns:c16="http://schemas.microsoft.com/office/drawing/2014/chart" uri="{C3380CC4-5D6E-409C-BE32-E72D297353CC}">
              <c16:uniqueId val="{00000000-963F-4422-98A1-5CCD27B37CC4}"/>
            </c:ext>
          </c:extLst>
        </c:ser>
        <c:ser>
          <c:idx val="1"/>
          <c:order val="1"/>
          <c:tx>
            <c:v>Not disabled</c:v>
          </c:tx>
          <c:spPr>
            <a:solidFill>
              <a:srgbClr val="E9713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3.4615384615384617E-2</c:v>
              </c:pt>
              <c:pt idx="1">
                <c:v>2.3076923076923078E-2</c:v>
              </c:pt>
              <c:pt idx="2">
                <c:v>4.6153846153846156E-2</c:v>
              </c:pt>
              <c:pt idx="3">
                <c:v>1.9230769230769232E-2</c:v>
              </c:pt>
              <c:pt idx="4">
                <c:v>7.6923076923076927E-3</c:v>
              </c:pt>
              <c:pt idx="5">
                <c:v>3.0769230769230771E-2</c:v>
              </c:pt>
              <c:pt idx="6">
                <c:v>1.1538461538461539E-2</c:v>
              </c:pt>
              <c:pt idx="7">
                <c:v>4.230769230769231E-2</c:v>
              </c:pt>
              <c:pt idx="8">
                <c:v>6.1538461538461542E-2</c:v>
              </c:pt>
              <c:pt idx="9">
                <c:v>6.9230769230769235E-2</c:v>
              </c:pt>
              <c:pt idx="10">
                <c:v>2.6923076923076925E-2</c:v>
              </c:pt>
              <c:pt idx="11">
                <c:v>3.4615384615384617E-2</c:v>
              </c:pt>
              <c:pt idx="12">
                <c:v>1.5384615384615385E-2</c:v>
              </c:pt>
              <c:pt idx="13">
                <c:v>3.4615384615384617E-2</c:v>
              </c:pt>
              <c:pt idx="14">
                <c:v>0.36153846153846153</c:v>
              </c:pt>
              <c:pt idx="15">
                <c:v>1.9230769230769232E-2</c:v>
              </c:pt>
              <c:pt idx="16">
                <c:v>4.230769230769231E-2</c:v>
              </c:pt>
              <c:pt idx="17">
                <c:v>3.8461538461538464E-2</c:v>
              </c:pt>
            </c:numLit>
          </c:val>
          <c:extLst>
            <c:ext xmlns:c16="http://schemas.microsoft.com/office/drawing/2014/chart" uri="{C3380CC4-5D6E-409C-BE32-E72D297353CC}">
              <c16:uniqueId val="{00000001-963F-4422-98A1-5CCD27B37CC4}"/>
            </c:ext>
          </c:extLst>
        </c:ser>
        <c:dLbls>
          <c:showLegendKey val="0"/>
          <c:showVal val="0"/>
          <c:showCatName val="0"/>
          <c:showSerName val="0"/>
          <c:showPercent val="0"/>
          <c:showBubbleSize val="0"/>
        </c:dLbls>
        <c:gapWidth val="219"/>
        <c:overlap val="-27"/>
        <c:axId val="6275855"/>
        <c:axId val="6272975"/>
      </c:barChart>
      <c:valAx>
        <c:axId val="6272975"/>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75855"/>
        <c:crosses val="autoZero"/>
        <c:crossBetween val="between"/>
      </c:valAx>
      <c:catAx>
        <c:axId val="627585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7297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autoTitleDeleted val="1"/>
    <c:plotArea>
      <c:layout/>
      <c:barChart>
        <c:barDir val="col"/>
        <c:grouping val="stacked"/>
        <c:varyColors val="0"/>
        <c:ser>
          <c:idx val="0"/>
          <c:order val="0"/>
          <c:tx>
            <c:v>Disabled</c:v>
          </c:tx>
          <c:spPr>
            <a:solidFill>
              <a:srgbClr val="15608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0</c:v>
              </c:pt>
              <c:pt idx="1">
                <c:v>3.8461538461538464E-3</c:v>
              </c:pt>
              <c:pt idx="2">
                <c:v>1.1538461538461539E-2</c:v>
              </c:pt>
              <c:pt idx="3">
                <c:v>0</c:v>
              </c:pt>
              <c:pt idx="4">
                <c:v>0</c:v>
              </c:pt>
              <c:pt idx="5">
                <c:v>7.6923076923076927E-3</c:v>
              </c:pt>
              <c:pt idx="6">
                <c:v>0</c:v>
              </c:pt>
              <c:pt idx="7">
                <c:v>3.8461538461538464E-3</c:v>
              </c:pt>
              <c:pt idx="8">
                <c:v>7.6923076923076927E-3</c:v>
              </c:pt>
              <c:pt idx="9">
                <c:v>3.8461538461538464E-3</c:v>
              </c:pt>
              <c:pt idx="10">
                <c:v>7.6923076923076927E-3</c:v>
              </c:pt>
              <c:pt idx="11">
                <c:v>3.8461538461538464E-3</c:v>
              </c:pt>
              <c:pt idx="12">
                <c:v>0</c:v>
              </c:pt>
              <c:pt idx="13">
                <c:v>7.6923076923076927E-3</c:v>
              </c:pt>
              <c:pt idx="14">
                <c:v>1.9230769230769232E-2</c:v>
              </c:pt>
              <c:pt idx="15">
                <c:v>0</c:v>
              </c:pt>
              <c:pt idx="16">
                <c:v>0</c:v>
              </c:pt>
              <c:pt idx="17">
                <c:v>3.8461538461538464E-3</c:v>
              </c:pt>
            </c:numLit>
          </c:val>
          <c:extLst>
            <c:ext xmlns:c16="http://schemas.microsoft.com/office/drawing/2014/chart" uri="{C3380CC4-5D6E-409C-BE32-E72D297353CC}">
              <c16:uniqueId val="{00000000-C194-4D2A-BB08-EB807BE278CA}"/>
            </c:ext>
          </c:extLst>
        </c:ser>
        <c:ser>
          <c:idx val="1"/>
          <c:order val="1"/>
          <c:tx>
            <c:v>Not disabled</c:v>
          </c:tx>
          <c:spPr>
            <a:solidFill>
              <a:srgbClr val="E97132"/>
            </a:solidFill>
            <a:ln>
              <a:noFill/>
            </a:ln>
          </c:spPr>
          <c:invertIfNegative val="0"/>
          <c:cat>
            <c:strLit>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Lit>
          </c:cat>
          <c:val>
            <c:numLit>
              <c:formatCode>General</c:formatCode>
              <c:ptCount val="18"/>
              <c:pt idx="0">
                <c:v>3.4615384615384617E-2</c:v>
              </c:pt>
              <c:pt idx="1">
                <c:v>2.3076923076923078E-2</c:v>
              </c:pt>
              <c:pt idx="2">
                <c:v>4.6153846153846156E-2</c:v>
              </c:pt>
              <c:pt idx="3">
                <c:v>1.9230769230769232E-2</c:v>
              </c:pt>
              <c:pt idx="4">
                <c:v>7.6923076923076927E-3</c:v>
              </c:pt>
              <c:pt idx="5">
                <c:v>3.0769230769230771E-2</c:v>
              </c:pt>
              <c:pt idx="6">
                <c:v>1.1538461538461539E-2</c:v>
              </c:pt>
              <c:pt idx="7">
                <c:v>4.230769230769231E-2</c:v>
              </c:pt>
              <c:pt idx="8">
                <c:v>6.1538461538461542E-2</c:v>
              </c:pt>
              <c:pt idx="9">
                <c:v>6.9230769230769235E-2</c:v>
              </c:pt>
              <c:pt idx="10">
                <c:v>2.6923076923076925E-2</c:v>
              </c:pt>
              <c:pt idx="11">
                <c:v>3.4615384615384617E-2</c:v>
              </c:pt>
              <c:pt idx="12">
                <c:v>1.5384615384615385E-2</c:v>
              </c:pt>
              <c:pt idx="13">
                <c:v>3.4615384615384617E-2</c:v>
              </c:pt>
              <c:pt idx="14">
                <c:v>0.36153846153846153</c:v>
              </c:pt>
              <c:pt idx="15">
                <c:v>1.9230769230769232E-2</c:v>
              </c:pt>
              <c:pt idx="16">
                <c:v>4.230769230769231E-2</c:v>
              </c:pt>
              <c:pt idx="17">
                <c:v>3.8461538461538464E-2</c:v>
              </c:pt>
            </c:numLit>
          </c:val>
          <c:extLst>
            <c:ext xmlns:c16="http://schemas.microsoft.com/office/drawing/2014/chart" uri="{C3380CC4-5D6E-409C-BE32-E72D297353CC}">
              <c16:uniqueId val="{00000001-C194-4D2A-BB08-EB807BE278CA}"/>
            </c:ext>
          </c:extLst>
        </c:ser>
        <c:dLbls>
          <c:showLegendKey val="0"/>
          <c:showVal val="0"/>
          <c:showCatName val="0"/>
          <c:showSerName val="0"/>
          <c:showPercent val="0"/>
          <c:showBubbleSize val="0"/>
        </c:dLbls>
        <c:gapWidth val="219"/>
        <c:overlap val="100"/>
        <c:axId val="6303215"/>
        <c:axId val="6302735"/>
      </c:barChart>
      <c:valAx>
        <c:axId val="6302735"/>
        <c:scaling>
          <c:orientation val="minMax"/>
        </c:scaling>
        <c:delete val="0"/>
        <c:axPos val="l"/>
        <c:majorGridlines>
          <c:spPr>
            <a:ln w="9528" cap="flat">
              <a:solidFill>
                <a:srgbClr val="D9D9D9"/>
              </a:solidFill>
              <a:prstDash val="solid"/>
              <a:round/>
            </a:ln>
          </c:spPr>
        </c:majorGridlines>
        <c:numFmt formatCode="0.0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03215"/>
        <c:crosses val="autoZero"/>
        <c:crossBetween val="between"/>
      </c:valAx>
      <c:catAx>
        <c:axId val="630321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0273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Total</a:t>
            </a:r>
          </a:p>
        </c:rich>
      </c:tx>
      <c:overlay val="0"/>
      <c:spPr>
        <a:noFill/>
        <a:ln>
          <a:noFill/>
        </a:ln>
      </c:spPr>
    </c:title>
    <c:autoTitleDeleted val="0"/>
    <c:plotArea>
      <c:layout/>
      <c:barChart>
        <c:barDir val="col"/>
        <c:grouping val="clustered"/>
        <c:varyColors val="0"/>
        <c:ser>
          <c:idx val="0"/>
          <c:order val="0"/>
          <c:tx>
            <c:v>Total</c:v>
          </c:tx>
          <c:spPr>
            <a:solidFill>
              <a:srgbClr val="156082"/>
            </a:solidFill>
            <a:ln>
              <a:noFill/>
            </a:ln>
          </c:spPr>
          <c:invertIfNegative val="0"/>
          <c:cat>
            <c:strLit>
              <c:ptCount val="3"/>
              <c:pt idx="0">
                <c:v>Female</c:v>
              </c:pt>
              <c:pt idx="1">
                <c:v>Male</c:v>
              </c:pt>
              <c:pt idx="2">
                <c:v>Non-binary</c:v>
              </c:pt>
            </c:strLit>
          </c:cat>
          <c:val>
            <c:numLit>
              <c:formatCode>General</c:formatCode>
              <c:ptCount val="3"/>
              <c:pt idx="0">
                <c:v>3764235</c:v>
              </c:pt>
              <c:pt idx="1">
                <c:v>4453705</c:v>
              </c:pt>
              <c:pt idx="2">
                <c:v>39000</c:v>
              </c:pt>
            </c:numLit>
          </c:val>
          <c:extLst>
            <c:ext xmlns:c16="http://schemas.microsoft.com/office/drawing/2014/chart" uri="{C3380CC4-5D6E-409C-BE32-E72D297353CC}">
              <c16:uniqueId val="{00000000-3BB8-4F44-A368-051F214604A7}"/>
            </c:ext>
          </c:extLst>
        </c:ser>
        <c:dLbls>
          <c:showLegendKey val="0"/>
          <c:showVal val="0"/>
          <c:showCatName val="0"/>
          <c:showSerName val="0"/>
          <c:showPercent val="0"/>
          <c:showBubbleSize val="0"/>
        </c:dLbls>
        <c:gapWidth val="219"/>
        <c:overlap val="-27"/>
        <c:axId val="6308495"/>
        <c:axId val="6288335"/>
      </c:barChart>
      <c:valAx>
        <c:axId val="6288335"/>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08495"/>
        <c:crosses val="autoZero"/>
        <c:crossBetween val="between"/>
      </c:valAx>
      <c:catAx>
        <c:axId val="630849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8833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Total</a:t>
            </a:r>
          </a:p>
        </c:rich>
      </c:tx>
      <c:overlay val="0"/>
      <c:spPr>
        <a:noFill/>
        <a:ln>
          <a:noFill/>
        </a:ln>
      </c:spPr>
    </c:title>
    <c:autoTitleDeleted val="0"/>
    <c:plotArea>
      <c:layout/>
      <c:barChart>
        <c:barDir val="col"/>
        <c:grouping val="clustered"/>
        <c:varyColors val="0"/>
        <c:ser>
          <c:idx val="0"/>
          <c:order val="0"/>
          <c:tx>
            <c:v>Total</c:v>
          </c:tx>
          <c:spPr>
            <a:solidFill>
              <a:srgbClr val="156082"/>
            </a:solidFill>
            <a:ln w="19046">
              <a:solidFill>
                <a:srgbClr val="FFFFFF"/>
              </a:solidFill>
              <a:prstDash val="solid"/>
            </a:ln>
          </c:spPr>
          <c:invertIfNegative val="0"/>
          <c:cat>
            <c:strLit>
              <c:ptCount val="1"/>
              <c:pt idx="0">
                <c:v>Total</c:v>
              </c:pt>
            </c:strLit>
          </c:cat>
          <c:val>
            <c:numLit>
              <c:formatCode>General</c:formatCode>
              <c:ptCount val="1"/>
              <c:pt idx="0">
                <c:v>8256940</c:v>
              </c:pt>
            </c:numLit>
          </c:val>
          <c:extLst>
            <c:ext xmlns:c16="http://schemas.microsoft.com/office/drawing/2014/chart" uri="{C3380CC4-5D6E-409C-BE32-E72D297353CC}">
              <c16:uniqueId val="{00000000-8F2C-4434-B48F-5D0CA00F8EB4}"/>
            </c:ext>
          </c:extLst>
        </c:ser>
        <c:dLbls>
          <c:showLegendKey val="0"/>
          <c:showVal val="0"/>
          <c:showCatName val="0"/>
          <c:showSerName val="0"/>
          <c:showPercent val="0"/>
          <c:showBubbleSize val="0"/>
        </c:dLbls>
        <c:gapWidth val="150"/>
        <c:axId val="6288815"/>
        <c:axId val="6307055"/>
      </c:barChart>
      <c:valAx>
        <c:axId val="6307055"/>
        <c:scaling>
          <c:orientation val="minMax"/>
        </c:scaling>
        <c:delete val="0"/>
        <c:axPos val="l"/>
        <c:majorGridlines>
          <c:spPr>
            <a:ln w="9528" cap="flat">
              <a:solidFill>
                <a:srgbClr val="D9D9D9"/>
              </a:solidFill>
              <a:prstDash val="solid"/>
              <a:round/>
            </a:ln>
          </c:spPr>
        </c:majorGridlines>
        <c:numFmt formatCode="&quot; &quot;[$£-809];&quot; &quot;[$£-809];&quot; &quot;[$£-809];&quot; &quot;" sourceLinked="0"/>
        <c:majorTickMark val="out"/>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88815"/>
        <c:crosses val="autoZero"/>
        <c:crossBetween val="between"/>
      </c:valAx>
      <c:catAx>
        <c:axId val="6288815"/>
        <c:scaling>
          <c:orientation val="minMax"/>
        </c:scaling>
        <c:delete val="0"/>
        <c:axPos val="b"/>
        <c:numFmt formatCode="General" sourceLinked="0"/>
        <c:majorTickMark val="out"/>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0705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Aptos"/>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Total</a:t>
            </a:r>
          </a:p>
        </c:rich>
      </c:tx>
      <c:overlay val="0"/>
      <c:spPr>
        <a:noFill/>
        <a:ln>
          <a:noFill/>
        </a:ln>
      </c:spPr>
    </c:title>
    <c:autoTitleDeleted val="0"/>
    <c:plotArea>
      <c:layout/>
      <c:barChart>
        <c:barDir val="col"/>
        <c:grouping val="clustered"/>
        <c:varyColors val="0"/>
        <c:ser>
          <c:idx val="0"/>
          <c:order val="0"/>
          <c:tx>
            <c:v>Total</c:v>
          </c:tx>
          <c:spPr>
            <a:solidFill>
              <a:srgbClr val="156082"/>
            </a:solidFill>
            <a:ln>
              <a:noFill/>
            </a:ln>
          </c:spPr>
          <c:invertIfNegative val="0"/>
          <c:cat>
            <c:strLit>
              <c:ptCount val="3"/>
              <c:pt idx="0">
                <c:v>Female</c:v>
              </c:pt>
              <c:pt idx="1">
                <c:v>Male</c:v>
              </c:pt>
              <c:pt idx="2">
                <c:v>Non-binary</c:v>
              </c:pt>
            </c:strLit>
          </c:cat>
          <c:val>
            <c:numLit>
              <c:formatCode>General</c:formatCode>
              <c:ptCount val="3"/>
              <c:pt idx="0">
                <c:v>31900.296610169491</c:v>
              </c:pt>
              <c:pt idx="1">
                <c:v>31812.178571428572</c:v>
              </c:pt>
              <c:pt idx="2">
                <c:v>19500</c:v>
              </c:pt>
            </c:numLit>
          </c:val>
          <c:extLst>
            <c:ext xmlns:c16="http://schemas.microsoft.com/office/drawing/2014/chart" uri="{C3380CC4-5D6E-409C-BE32-E72D297353CC}">
              <c16:uniqueId val="{00000000-6621-4BFB-86A0-09821B566AE7}"/>
            </c:ext>
          </c:extLst>
        </c:ser>
        <c:dLbls>
          <c:showLegendKey val="0"/>
          <c:showVal val="0"/>
          <c:showCatName val="0"/>
          <c:showSerName val="0"/>
          <c:showPercent val="0"/>
          <c:showBubbleSize val="0"/>
        </c:dLbls>
        <c:gapWidth val="219"/>
        <c:overlap val="-27"/>
        <c:axId val="6314255"/>
        <c:axId val="6289295"/>
      </c:barChart>
      <c:valAx>
        <c:axId val="6289295"/>
        <c:scaling>
          <c:orientation val="minMax"/>
        </c:scaling>
        <c:delete val="0"/>
        <c:axPos val="l"/>
        <c:majorGridlines>
          <c:spPr>
            <a:ln w="9528" cap="flat">
              <a:solidFill>
                <a:srgbClr val="D9D9D9"/>
              </a:solidFill>
              <a:prstDash val="solid"/>
              <a:round/>
            </a:ln>
          </c:spPr>
        </c:majorGridlines>
        <c:numFmt formatCode="&quot; &quot;[$£-809];&quot; &quot;[$£-809];&quot; &quot;[$£-809];&quot; &quot;"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14255"/>
        <c:crosses val="autoZero"/>
        <c:crossBetween val="between"/>
      </c:valAx>
      <c:catAx>
        <c:axId val="6314255"/>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89295"/>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Chart Title</a:t>
            </a:r>
          </a:p>
        </c:rich>
      </c:tx>
      <c:overlay val="0"/>
      <c:spPr>
        <a:noFill/>
        <a:ln>
          <a:noFill/>
        </a:ln>
      </c:spPr>
    </c:title>
    <c:autoTitleDeleted val="0"/>
    <c:plotArea>
      <c:layout/>
      <c:barChart>
        <c:barDir val="bar"/>
        <c:grouping val="clustered"/>
        <c:varyColors val="0"/>
        <c:ser>
          <c:idx val="0"/>
          <c:order val="0"/>
          <c:tx>
            <c:v>Series4</c:v>
          </c:tx>
          <c:spPr>
            <a:solidFill>
              <a:srgbClr val="0F9ED5"/>
            </a:solidFill>
            <a:ln>
              <a:noFill/>
            </a:ln>
          </c:spPr>
          <c:invertIfNegative val="0"/>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112</c:v>
              </c:pt>
              <c:pt idx="1">
                <c:v>161</c:v>
              </c:pt>
              <c:pt idx="2">
                <c:v>7</c:v>
              </c:pt>
              <c:pt idx="3">
                <c:v>22</c:v>
              </c:pt>
              <c:pt idx="4">
                <c:v>10</c:v>
              </c:pt>
              <c:pt idx="5">
                <c:v>98</c:v>
              </c:pt>
              <c:pt idx="6">
                <c:v>69</c:v>
              </c:pt>
              <c:pt idx="7">
                <c:v>62</c:v>
              </c:pt>
              <c:pt idx="8">
                <c:v>8</c:v>
              </c:pt>
              <c:pt idx="9">
                <c:v>40</c:v>
              </c:pt>
              <c:pt idx="10">
                <c:v>47</c:v>
              </c:pt>
              <c:pt idx="11">
                <c:v>90</c:v>
              </c:pt>
              <c:pt idx="12">
                <c:v>41</c:v>
              </c:pt>
              <c:pt idx="13">
                <c:v>70</c:v>
              </c:pt>
            </c:numLit>
          </c:val>
          <c:extLst>
            <c:ext xmlns:c16="http://schemas.microsoft.com/office/drawing/2014/chart" uri="{C3380CC4-5D6E-409C-BE32-E72D297353CC}">
              <c16:uniqueId val="{00000000-86E9-41D6-80BF-530E53139E3C}"/>
            </c:ext>
          </c:extLst>
        </c:ser>
        <c:ser>
          <c:idx val="1"/>
          <c:order val="1"/>
          <c:tx>
            <c:v>Series5</c:v>
          </c:tx>
          <c:spPr>
            <a:solidFill>
              <a:srgbClr val="A02B93"/>
            </a:solidFill>
            <a:ln>
              <a:noFill/>
            </a:ln>
          </c:spPr>
          <c:invertIfNegative val="0"/>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Lit>
          </c:val>
          <c:extLst>
            <c:ext xmlns:c16="http://schemas.microsoft.com/office/drawing/2014/chart" uri="{C3380CC4-5D6E-409C-BE32-E72D297353CC}">
              <c16:uniqueId val="{00000001-86E9-41D6-80BF-530E53139E3C}"/>
            </c:ext>
          </c:extLst>
        </c:ser>
        <c:ser>
          <c:idx val="2"/>
          <c:order val="2"/>
          <c:tx>
            <c:v>Series6</c:v>
          </c:tx>
          <c:spPr>
            <a:solidFill>
              <a:srgbClr val="4EA72E"/>
            </a:solidFill>
            <a:ln>
              <a:noFill/>
            </a:ln>
          </c:spPr>
          <c:invertIfNegative val="0"/>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Lit>
          </c:val>
          <c:extLst>
            <c:ext xmlns:c16="http://schemas.microsoft.com/office/drawing/2014/chart" uri="{C3380CC4-5D6E-409C-BE32-E72D297353CC}">
              <c16:uniqueId val="{00000002-86E9-41D6-80BF-530E53139E3C}"/>
            </c:ext>
          </c:extLst>
        </c:ser>
        <c:ser>
          <c:idx val="3"/>
          <c:order val="3"/>
          <c:tx>
            <c:v>Series7</c:v>
          </c:tx>
          <c:spPr>
            <a:solidFill>
              <a:srgbClr val="0D3A4E"/>
            </a:solidFill>
            <a:ln>
              <a:noFill/>
            </a:ln>
          </c:spPr>
          <c:invertIfNegative val="0"/>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Lit>
          </c:val>
          <c:extLst>
            <c:ext xmlns:c16="http://schemas.microsoft.com/office/drawing/2014/chart" uri="{C3380CC4-5D6E-409C-BE32-E72D297353CC}">
              <c16:uniqueId val="{00000003-86E9-41D6-80BF-530E53139E3C}"/>
            </c:ext>
          </c:extLst>
        </c:ser>
        <c:ser>
          <c:idx val="4"/>
          <c:order val="4"/>
          <c:tx>
            <c:v>Series8</c:v>
          </c:tx>
          <c:spPr>
            <a:solidFill>
              <a:srgbClr val="994010"/>
            </a:solidFill>
            <a:ln>
              <a:noFill/>
            </a:ln>
          </c:spPr>
          <c:invertIfNegative val="0"/>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Lit>
          </c:val>
          <c:extLst>
            <c:ext xmlns:c16="http://schemas.microsoft.com/office/drawing/2014/chart" uri="{C3380CC4-5D6E-409C-BE32-E72D297353CC}">
              <c16:uniqueId val="{00000004-86E9-41D6-80BF-530E53139E3C}"/>
            </c:ext>
          </c:extLst>
        </c:ser>
        <c:dLbls>
          <c:showLegendKey val="0"/>
          <c:showVal val="0"/>
          <c:showCatName val="0"/>
          <c:showSerName val="0"/>
          <c:showPercent val="0"/>
          <c:showBubbleSize val="0"/>
        </c:dLbls>
        <c:gapWidth val="219"/>
        <c:axId val="6306575"/>
        <c:axId val="6289775"/>
      </c:barChart>
      <c:valAx>
        <c:axId val="6289775"/>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306575"/>
        <c:crosses val="autoZero"/>
        <c:crossBetween val="between"/>
      </c:valAx>
      <c:catAx>
        <c:axId val="6306575"/>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6289775"/>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Chart Title</a:t>
            </a:r>
          </a:p>
        </c:rich>
      </c:tx>
      <c:overlay val="0"/>
      <c:spPr>
        <a:noFill/>
        <a:ln>
          <a:noFill/>
        </a:ln>
      </c:spPr>
    </c:title>
    <c:autoTitleDeleted val="0"/>
    <c:plotArea>
      <c:layout/>
      <c:pieChart>
        <c:varyColors val="1"/>
        <c:ser>
          <c:idx val="0"/>
          <c:order val="0"/>
          <c:tx>
            <c:v>Series4</c:v>
          </c:tx>
          <c:dPt>
            <c:idx val="0"/>
            <c:bubble3D val="0"/>
            <c:spPr>
              <a:solidFill>
                <a:srgbClr val="156082"/>
              </a:solidFill>
              <a:ln>
                <a:noFill/>
              </a:ln>
            </c:spPr>
            <c:extLst>
              <c:ext xmlns:c16="http://schemas.microsoft.com/office/drawing/2014/chart" uri="{C3380CC4-5D6E-409C-BE32-E72D297353CC}">
                <c16:uniqueId val="{00000001-A077-45A3-8317-891567FD75CE}"/>
              </c:ext>
            </c:extLst>
          </c:dPt>
          <c:dPt>
            <c:idx val="1"/>
            <c:bubble3D val="0"/>
            <c:spPr>
              <a:solidFill>
                <a:srgbClr val="E97132"/>
              </a:solidFill>
              <a:ln>
                <a:noFill/>
              </a:ln>
            </c:spPr>
            <c:extLst>
              <c:ext xmlns:c16="http://schemas.microsoft.com/office/drawing/2014/chart" uri="{C3380CC4-5D6E-409C-BE32-E72D297353CC}">
                <c16:uniqueId val="{00000002-A077-45A3-8317-891567FD75CE}"/>
              </c:ext>
            </c:extLst>
          </c:dPt>
          <c:dPt>
            <c:idx val="2"/>
            <c:bubble3D val="0"/>
            <c:spPr>
              <a:solidFill>
                <a:srgbClr val="196B24"/>
              </a:solidFill>
              <a:ln>
                <a:noFill/>
              </a:ln>
            </c:spPr>
            <c:extLst>
              <c:ext xmlns:c16="http://schemas.microsoft.com/office/drawing/2014/chart" uri="{C3380CC4-5D6E-409C-BE32-E72D297353CC}">
                <c16:uniqueId val="{00000003-A077-45A3-8317-891567FD75CE}"/>
              </c:ext>
            </c:extLst>
          </c:dPt>
          <c:dPt>
            <c:idx val="3"/>
            <c:bubble3D val="0"/>
            <c:spPr>
              <a:solidFill>
                <a:srgbClr val="0F9ED5"/>
              </a:solidFill>
              <a:ln>
                <a:noFill/>
              </a:ln>
            </c:spPr>
            <c:extLst>
              <c:ext xmlns:c16="http://schemas.microsoft.com/office/drawing/2014/chart" uri="{C3380CC4-5D6E-409C-BE32-E72D297353CC}">
                <c16:uniqueId val="{00000004-A077-45A3-8317-891567FD75CE}"/>
              </c:ext>
            </c:extLst>
          </c:dPt>
          <c:dPt>
            <c:idx val="4"/>
            <c:bubble3D val="0"/>
            <c:spPr>
              <a:solidFill>
                <a:srgbClr val="A02B93"/>
              </a:solidFill>
              <a:ln>
                <a:noFill/>
              </a:ln>
            </c:spPr>
            <c:extLst>
              <c:ext xmlns:c16="http://schemas.microsoft.com/office/drawing/2014/chart" uri="{C3380CC4-5D6E-409C-BE32-E72D297353CC}">
                <c16:uniqueId val="{00000005-A077-45A3-8317-891567FD75CE}"/>
              </c:ext>
            </c:extLst>
          </c:dPt>
          <c:dPt>
            <c:idx val="5"/>
            <c:bubble3D val="0"/>
            <c:spPr>
              <a:solidFill>
                <a:srgbClr val="4EA72E"/>
              </a:solidFill>
              <a:ln>
                <a:noFill/>
              </a:ln>
            </c:spPr>
            <c:extLst>
              <c:ext xmlns:c16="http://schemas.microsoft.com/office/drawing/2014/chart" uri="{C3380CC4-5D6E-409C-BE32-E72D297353CC}">
                <c16:uniqueId val="{00000006-A077-45A3-8317-891567FD75CE}"/>
              </c:ext>
            </c:extLst>
          </c:dPt>
          <c:dPt>
            <c:idx val="6"/>
            <c:bubble3D val="0"/>
            <c:spPr>
              <a:solidFill>
                <a:srgbClr val="0D3A4E"/>
              </a:solidFill>
              <a:ln>
                <a:noFill/>
              </a:ln>
            </c:spPr>
            <c:extLst>
              <c:ext xmlns:c16="http://schemas.microsoft.com/office/drawing/2014/chart" uri="{C3380CC4-5D6E-409C-BE32-E72D297353CC}">
                <c16:uniqueId val="{00000007-A077-45A3-8317-891567FD75CE}"/>
              </c:ext>
            </c:extLst>
          </c:dPt>
          <c:dPt>
            <c:idx val="7"/>
            <c:bubble3D val="0"/>
            <c:spPr>
              <a:solidFill>
                <a:srgbClr val="994010"/>
              </a:solidFill>
              <a:ln>
                <a:noFill/>
              </a:ln>
            </c:spPr>
            <c:extLst>
              <c:ext xmlns:c16="http://schemas.microsoft.com/office/drawing/2014/chart" uri="{C3380CC4-5D6E-409C-BE32-E72D297353CC}">
                <c16:uniqueId val="{00000008-A077-45A3-8317-891567FD75CE}"/>
              </c:ext>
            </c:extLst>
          </c:dPt>
          <c:dPt>
            <c:idx val="8"/>
            <c:bubble3D val="0"/>
            <c:spPr>
              <a:solidFill>
                <a:srgbClr val="0F4016"/>
              </a:solidFill>
              <a:ln>
                <a:noFill/>
              </a:ln>
            </c:spPr>
            <c:extLst>
              <c:ext xmlns:c16="http://schemas.microsoft.com/office/drawing/2014/chart" uri="{C3380CC4-5D6E-409C-BE32-E72D297353CC}">
                <c16:uniqueId val="{00000009-A077-45A3-8317-891567FD75CE}"/>
              </c:ext>
            </c:extLst>
          </c:dPt>
          <c:dPt>
            <c:idx val="9"/>
            <c:bubble3D val="0"/>
            <c:spPr>
              <a:solidFill>
                <a:srgbClr val="095F80"/>
              </a:solidFill>
              <a:ln>
                <a:noFill/>
              </a:ln>
            </c:spPr>
            <c:extLst>
              <c:ext xmlns:c16="http://schemas.microsoft.com/office/drawing/2014/chart" uri="{C3380CC4-5D6E-409C-BE32-E72D297353CC}">
                <c16:uniqueId val="{0000000A-A077-45A3-8317-891567FD75CE}"/>
              </c:ext>
            </c:extLst>
          </c:dPt>
          <c:dPt>
            <c:idx val="10"/>
            <c:bubble3D val="0"/>
            <c:spPr>
              <a:solidFill>
                <a:srgbClr val="601A58"/>
              </a:solidFill>
              <a:ln>
                <a:noFill/>
              </a:ln>
            </c:spPr>
            <c:extLst>
              <c:ext xmlns:c16="http://schemas.microsoft.com/office/drawing/2014/chart" uri="{C3380CC4-5D6E-409C-BE32-E72D297353CC}">
                <c16:uniqueId val="{0000000B-A077-45A3-8317-891567FD75CE}"/>
              </c:ext>
            </c:extLst>
          </c:dPt>
          <c:dPt>
            <c:idx val="11"/>
            <c:bubble3D val="0"/>
            <c:spPr>
              <a:solidFill>
                <a:srgbClr val="2F641C"/>
              </a:solidFill>
              <a:ln>
                <a:noFill/>
              </a:ln>
            </c:spPr>
            <c:extLst>
              <c:ext xmlns:c16="http://schemas.microsoft.com/office/drawing/2014/chart" uri="{C3380CC4-5D6E-409C-BE32-E72D297353CC}">
                <c16:uniqueId val="{0000000C-A077-45A3-8317-891567FD75CE}"/>
              </c:ext>
            </c:extLst>
          </c:dPt>
          <c:dPt>
            <c:idx val="12"/>
            <c:bubble3D val="0"/>
            <c:spPr>
              <a:solidFill>
                <a:srgbClr val="1F8EC0"/>
              </a:solidFill>
              <a:ln>
                <a:noFill/>
              </a:ln>
            </c:spPr>
            <c:extLst>
              <c:ext xmlns:c16="http://schemas.microsoft.com/office/drawing/2014/chart" uri="{C3380CC4-5D6E-409C-BE32-E72D297353CC}">
                <c16:uniqueId val="{0000000D-A077-45A3-8317-891567FD75CE}"/>
              </c:ext>
            </c:extLst>
          </c:dPt>
          <c:dPt>
            <c:idx val="13"/>
            <c:bubble3D val="0"/>
            <c:spPr>
              <a:solidFill>
                <a:srgbClr val="ED8D5B"/>
              </a:solidFill>
              <a:ln>
                <a:noFill/>
              </a:ln>
            </c:spPr>
            <c:extLst>
              <c:ext xmlns:c16="http://schemas.microsoft.com/office/drawing/2014/chart" uri="{C3380CC4-5D6E-409C-BE32-E72D297353CC}">
                <c16:uniqueId val="{0000000E-A077-45A3-8317-891567FD75CE}"/>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Lit>
          </c:cat>
          <c:val>
            <c:numLit>
              <c:formatCode>General</c:formatCode>
              <c:ptCount val="14"/>
              <c:pt idx="0">
                <c:v>112</c:v>
              </c:pt>
              <c:pt idx="1">
                <c:v>161</c:v>
              </c:pt>
              <c:pt idx="2">
                <c:v>7</c:v>
              </c:pt>
              <c:pt idx="3">
                <c:v>22</c:v>
              </c:pt>
              <c:pt idx="4">
                <c:v>10</c:v>
              </c:pt>
              <c:pt idx="5">
                <c:v>98</c:v>
              </c:pt>
              <c:pt idx="6">
                <c:v>69</c:v>
              </c:pt>
              <c:pt idx="7">
                <c:v>62</c:v>
              </c:pt>
              <c:pt idx="8">
                <c:v>8</c:v>
              </c:pt>
              <c:pt idx="9">
                <c:v>40</c:v>
              </c:pt>
              <c:pt idx="10">
                <c:v>47</c:v>
              </c:pt>
              <c:pt idx="11">
                <c:v>90</c:v>
              </c:pt>
              <c:pt idx="12">
                <c:v>41</c:v>
              </c:pt>
              <c:pt idx="13">
                <c:v>70</c:v>
              </c:pt>
            </c:numLit>
          </c:val>
          <c:extLst>
            <c:ext xmlns:c16="http://schemas.microsoft.com/office/drawing/2014/chart" uri="{C3380CC4-5D6E-409C-BE32-E72D297353CC}">
              <c16:uniqueId val="{00000000-A077-45A3-8317-891567FD75CE}"/>
            </c:ext>
          </c:extLst>
        </c:ser>
        <c:ser>
          <c:idx val="1"/>
          <c:order val="1"/>
          <c:tx>
            <c:v>Series5</c:v>
          </c:tx>
          <c:dPt>
            <c:idx val="0"/>
            <c:bubble3D val="0"/>
            <c:spPr>
              <a:solidFill>
                <a:srgbClr val="156082"/>
              </a:solidFill>
              <a:ln>
                <a:noFill/>
              </a:ln>
            </c:spPr>
            <c:extLst>
              <c:ext xmlns:c16="http://schemas.microsoft.com/office/drawing/2014/chart" uri="{C3380CC4-5D6E-409C-BE32-E72D297353CC}">
                <c16:uniqueId val="{00000010-A077-45A3-8317-891567FD75CE}"/>
              </c:ext>
            </c:extLst>
          </c:dPt>
          <c:dPt>
            <c:idx val="1"/>
            <c:bubble3D val="0"/>
            <c:spPr>
              <a:solidFill>
                <a:srgbClr val="E97132"/>
              </a:solidFill>
              <a:ln>
                <a:noFill/>
              </a:ln>
            </c:spPr>
            <c:extLst>
              <c:ext xmlns:c16="http://schemas.microsoft.com/office/drawing/2014/chart" uri="{C3380CC4-5D6E-409C-BE32-E72D297353CC}">
                <c16:uniqueId val="{00000011-A077-45A3-8317-891567FD75CE}"/>
              </c:ext>
            </c:extLst>
          </c:dPt>
          <c:dPt>
            <c:idx val="2"/>
            <c:bubble3D val="0"/>
            <c:spPr>
              <a:solidFill>
                <a:srgbClr val="196B24"/>
              </a:solidFill>
              <a:ln>
                <a:noFill/>
              </a:ln>
            </c:spPr>
            <c:extLst>
              <c:ext xmlns:c16="http://schemas.microsoft.com/office/drawing/2014/chart" uri="{C3380CC4-5D6E-409C-BE32-E72D297353CC}">
                <c16:uniqueId val="{00000012-A077-45A3-8317-891567FD75CE}"/>
              </c:ext>
            </c:extLst>
          </c:dPt>
          <c:dPt>
            <c:idx val="3"/>
            <c:bubble3D val="0"/>
            <c:spPr>
              <a:solidFill>
                <a:srgbClr val="0F9ED5"/>
              </a:solidFill>
              <a:ln>
                <a:noFill/>
              </a:ln>
            </c:spPr>
            <c:extLst>
              <c:ext xmlns:c16="http://schemas.microsoft.com/office/drawing/2014/chart" uri="{C3380CC4-5D6E-409C-BE32-E72D297353CC}">
                <c16:uniqueId val="{00000013-A077-45A3-8317-891567FD75CE}"/>
              </c:ext>
            </c:extLst>
          </c:dPt>
          <c:dPt>
            <c:idx val="4"/>
            <c:bubble3D val="0"/>
            <c:spPr>
              <a:solidFill>
                <a:srgbClr val="A02B93"/>
              </a:solidFill>
              <a:ln>
                <a:noFill/>
              </a:ln>
            </c:spPr>
            <c:extLst>
              <c:ext xmlns:c16="http://schemas.microsoft.com/office/drawing/2014/chart" uri="{C3380CC4-5D6E-409C-BE32-E72D297353CC}">
                <c16:uniqueId val="{00000014-A077-45A3-8317-891567FD75CE}"/>
              </c:ext>
            </c:extLst>
          </c:dPt>
          <c:dPt>
            <c:idx val="5"/>
            <c:bubble3D val="0"/>
            <c:spPr>
              <a:solidFill>
                <a:srgbClr val="4EA72E"/>
              </a:solidFill>
              <a:ln>
                <a:noFill/>
              </a:ln>
            </c:spPr>
            <c:extLst>
              <c:ext xmlns:c16="http://schemas.microsoft.com/office/drawing/2014/chart" uri="{C3380CC4-5D6E-409C-BE32-E72D297353CC}">
                <c16:uniqueId val="{00000015-A077-45A3-8317-891567FD75CE}"/>
              </c:ext>
            </c:extLst>
          </c:dPt>
          <c:dPt>
            <c:idx val="6"/>
            <c:bubble3D val="0"/>
            <c:spPr>
              <a:solidFill>
                <a:srgbClr val="0D3A4E"/>
              </a:solidFill>
              <a:ln>
                <a:noFill/>
              </a:ln>
            </c:spPr>
            <c:extLst>
              <c:ext xmlns:c16="http://schemas.microsoft.com/office/drawing/2014/chart" uri="{C3380CC4-5D6E-409C-BE32-E72D297353CC}">
                <c16:uniqueId val="{00000016-A077-45A3-8317-891567FD75CE}"/>
              </c:ext>
            </c:extLst>
          </c:dPt>
          <c:dPt>
            <c:idx val="7"/>
            <c:bubble3D val="0"/>
            <c:spPr>
              <a:solidFill>
                <a:srgbClr val="994010"/>
              </a:solidFill>
              <a:ln>
                <a:noFill/>
              </a:ln>
            </c:spPr>
            <c:extLst>
              <c:ext xmlns:c16="http://schemas.microsoft.com/office/drawing/2014/chart" uri="{C3380CC4-5D6E-409C-BE32-E72D297353CC}">
                <c16:uniqueId val="{00000017-A077-45A3-8317-891567FD75CE}"/>
              </c:ext>
            </c:extLst>
          </c:dPt>
          <c:dPt>
            <c:idx val="8"/>
            <c:bubble3D val="0"/>
            <c:spPr>
              <a:solidFill>
                <a:srgbClr val="0F4016"/>
              </a:solidFill>
              <a:ln>
                <a:noFill/>
              </a:ln>
            </c:spPr>
            <c:extLst>
              <c:ext xmlns:c16="http://schemas.microsoft.com/office/drawing/2014/chart" uri="{C3380CC4-5D6E-409C-BE32-E72D297353CC}">
                <c16:uniqueId val="{00000018-A077-45A3-8317-891567FD75CE}"/>
              </c:ext>
            </c:extLst>
          </c:dPt>
          <c:dPt>
            <c:idx val="9"/>
            <c:bubble3D val="0"/>
            <c:spPr>
              <a:solidFill>
                <a:srgbClr val="095F80"/>
              </a:solidFill>
              <a:ln>
                <a:noFill/>
              </a:ln>
            </c:spPr>
            <c:extLst>
              <c:ext xmlns:c16="http://schemas.microsoft.com/office/drawing/2014/chart" uri="{C3380CC4-5D6E-409C-BE32-E72D297353CC}">
                <c16:uniqueId val="{00000019-A077-45A3-8317-891567FD75CE}"/>
              </c:ext>
            </c:extLst>
          </c:dPt>
          <c:dPt>
            <c:idx val="10"/>
            <c:bubble3D val="0"/>
            <c:spPr>
              <a:solidFill>
                <a:srgbClr val="601A58"/>
              </a:solidFill>
              <a:ln>
                <a:noFill/>
              </a:ln>
            </c:spPr>
            <c:extLst>
              <c:ext xmlns:c16="http://schemas.microsoft.com/office/drawing/2014/chart" uri="{C3380CC4-5D6E-409C-BE32-E72D297353CC}">
                <c16:uniqueId val="{0000001A-A077-45A3-8317-891567FD75CE}"/>
              </c:ext>
            </c:extLst>
          </c:dPt>
          <c:dPt>
            <c:idx val="11"/>
            <c:bubble3D val="0"/>
            <c:spPr>
              <a:solidFill>
                <a:srgbClr val="2F641C"/>
              </a:solidFill>
              <a:ln>
                <a:noFill/>
              </a:ln>
            </c:spPr>
            <c:extLst>
              <c:ext xmlns:c16="http://schemas.microsoft.com/office/drawing/2014/chart" uri="{C3380CC4-5D6E-409C-BE32-E72D297353CC}">
                <c16:uniqueId val="{0000001B-A077-45A3-8317-891567FD75CE}"/>
              </c:ext>
            </c:extLst>
          </c:dPt>
          <c:dPt>
            <c:idx val="12"/>
            <c:bubble3D val="0"/>
            <c:spPr>
              <a:solidFill>
                <a:srgbClr val="1F8EC0"/>
              </a:solidFill>
              <a:ln>
                <a:noFill/>
              </a:ln>
            </c:spPr>
            <c:extLst>
              <c:ext xmlns:c16="http://schemas.microsoft.com/office/drawing/2014/chart" uri="{C3380CC4-5D6E-409C-BE32-E72D297353CC}">
                <c16:uniqueId val="{0000001C-A077-45A3-8317-891567FD75CE}"/>
              </c:ext>
            </c:extLst>
          </c:dPt>
          <c:dPt>
            <c:idx val="13"/>
            <c:bubble3D val="0"/>
            <c:spPr>
              <a:solidFill>
                <a:srgbClr val="ED8D5B"/>
              </a:solidFill>
              <a:ln>
                <a:noFill/>
              </a:ln>
            </c:spPr>
            <c:extLst>
              <c:ext xmlns:c16="http://schemas.microsoft.com/office/drawing/2014/chart" uri="{C3380CC4-5D6E-409C-BE32-E72D297353CC}">
                <c16:uniqueId val="{0000001D-A077-45A3-8317-891567FD75CE}"/>
              </c:ext>
            </c:extLst>
          </c:dPt>
          <c:val>
            <c:numLit>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Lit>
          </c:val>
          <c:extLst>
            <c:ext xmlns:c16="http://schemas.microsoft.com/office/drawing/2014/chart" uri="{C3380CC4-5D6E-409C-BE32-E72D297353CC}">
              <c16:uniqueId val="{0000000F-A077-45A3-8317-891567FD75CE}"/>
            </c:ext>
          </c:extLst>
        </c:ser>
        <c:ser>
          <c:idx val="2"/>
          <c:order val="2"/>
          <c:tx>
            <c:v>Series6</c:v>
          </c:tx>
          <c:dPt>
            <c:idx val="0"/>
            <c:bubble3D val="0"/>
            <c:spPr>
              <a:solidFill>
                <a:srgbClr val="156082"/>
              </a:solidFill>
              <a:ln>
                <a:noFill/>
              </a:ln>
            </c:spPr>
            <c:extLst>
              <c:ext xmlns:c16="http://schemas.microsoft.com/office/drawing/2014/chart" uri="{C3380CC4-5D6E-409C-BE32-E72D297353CC}">
                <c16:uniqueId val="{0000001F-A077-45A3-8317-891567FD75CE}"/>
              </c:ext>
            </c:extLst>
          </c:dPt>
          <c:dPt>
            <c:idx val="1"/>
            <c:bubble3D val="0"/>
            <c:spPr>
              <a:solidFill>
                <a:srgbClr val="E97132"/>
              </a:solidFill>
              <a:ln>
                <a:noFill/>
              </a:ln>
            </c:spPr>
            <c:extLst>
              <c:ext xmlns:c16="http://schemas.microsoft.com/office/drawing/2014/chart" uri="{C3380CC4-5D6E-409C-BE32-E72D297353CC}">
                <c16:uniqueId val="{00000020-A077-45A3-8317-891567FD75CE}"/>
              </c:ext>
            </c:extLst>
          </c:dPt>
          <c:dPt>
            <c:idx val="2"/>
            <c:bubble3D val="0"/>
            <c:spPr>
              <a:solidFill>
                <a:srgbClr val="196B24"/>
              </a:solidFill>
              <a:ln>
                <a:noFill/>
              </a:ln>
            </c:spPr>
            <c:extLst>
              <c:ext xmlns:c16="http://schemas.microsoft.com/office/drawing/2014/chart" uri="{C3380CC4-5D6E-409C-BE32-E72D297353CC}">
                <c16:uniqueId val="{00000021-A077-45A3-8317-891567FD75CE}"/>
              </c:ext>
            </c:extLst>
          </c:dPt>
          <c:dPt>
            <c:idx val="3"/>
            <c:bubble3D val="0"/>
            <c:spPr>
              <a:solidFill>
                <a:srgbClr val="0F9ED5"/>
              </a:solidFill>
              <a:ln>
                <a:noFill/>
              </a:ln>
            </c:spPr>
            <c:extLst>
              <c:ext xmlns:c16="http://schemas.microsoft.com/office/drawing/2014/chart" uri="{C3380CC4-5D6E-409C-BE32-E72D297353CC}">
                <c16:uniqueId val="{00000022-A077-45A3-8317-891567FD75CE}"/>
              </c:ext>
            </c:extLst>
          </c:dPt>
          <c:dPt>
            <c:idx val="4"/>
            <c:bubble3D val="0"/>
            <c:spPr>
              <a:solidFill>
                <a:srgbClr val="A02B93"/>
              </a:solidFill>
              <a:ln>
                <a:noFill/>
              </a:ln>
            </c:spPr>
            <c:extLst>
              <c:ext xmlns:c16="http://schemas.microsoft.com/office/drawing/2014/chart" uri="{C3380CC4-5D6E-409C-BE32-E72D297353CC}">
                <c16:uniqueId val="{00000023-A077-45A3-8317-891567FD75CE}"/>
              </c:ext>
            </c:extLst>
          </c:dPt>
          <c:dPt>
            <c:idx val="5"/>
            <c:bubble3D val="0"/>
            <c:spPr>
              <a:solidFill>
                <a:srgbClr val="4EA72E"/>
              </a:solidFill>
              <a:ln>
                <a:noFill/>
              </a:ln>
            </c:spPr>
            <c:extLst>
              <c:ext xmlns:c16="http://schemas.microsoft.com/office/drawing/2014/chart" uri="{C3380CC4-5D6E-409C-BE32-E72D297353CC}">
                <c16:uniqueId val="{00000024-A077-45A3-8317-891567FD75CE}"/>
              </c:ext>
            </c:extLst>
          </c:dPt>
          <c:dPt>
            <c:idx val="6"/>
            <c:bubble3D val="0"/>
            <c:spPr>
              <a:solidFill>
                <a:srgbClr val="0D3A4E"/>
              </a:solidFill>
              <a:ln>
                <a:noFill/>
              </a:ln>
            </c:spPr>
            <c:extLst>
              <c:ext xmlns:c16="http://schemas.microsoft.com/office/drawing/2014/chart" uri="{C3380CC4-5D6E-409C-BE32-E72D297353CC}">
                <c16:uniqueId val="{00000025-A077-45A3-8317-891567FD75CE}"/>
              </c:ext>
            </c:extLst>
          </c:dPt>
          <c:dPt>
            <c:idx val="7"/>
            <c:bubble3D val="0"/>
            <c:spPr>
              <a:solidFill>
                <a:srgbClr val="994010"/>
              </a:solidFill>
              <a:ln>
                <a:noFill/>
              </a:ln>
            </c:spPr>
            <c:extLst>
              <c:ext xmlns:c16="http://schemas.microsoft.com/office/drawing/2014/chart" uri="{C3380CC4-5D6E-409C-BE32-E72D297353CC}">
                <c16:uniqueId val="{00000026-A077-45A3-8317-891567FD75CE}"/>
              </c:ext>
            </c:extLst>
          </c:dPt>
          <c:dPt>
            <c:idx val="8"/>
            <c:bubble3D val="0"/>
            <c:spPr>
              <a:solidFill>
                <a:srgbClr val="0F4016"/>
              </a:solidFill>
              <a:ln>
                <a:noFill/>
              </a:ln>
            </c:spPr>
            <c:extLst>
              <c:ext xmlns:c16="http://schemas.microsoft.com/office/drawing/2014/chart" uri="{C3380CC4-5D6E-409C-BE32-E72D297353CC}">
                <c16:uniqueId val="{00000027-A077-45A3-8317-891567FD75CE}"/>
              </c:ext>
            </c:extLst>
          </c:dPt>
          <c:dPt>
            <c:idx val="9"/>
            <c:bubble3D val="0"/>
            <c:spPr>
              <a:solidFill>
                <a:srgbClr val="095F80"/>
              </a:solidFill>
              <a:ln>
                <a:noFill/>
              </a:ln>
            </c:spPr>
            <c:extLst>
              <c:ext xmlns:c16="http://schemas.microsoft.com/office/drawing/2014/chart" uri="{C3380CC4-5D6E-409C-BE32-E72D297353CC}">
                <c16:uniqueId val="{00000028-A077-45A3-8317-891567FD75CE}"/>
              </c:ext>
            </c:extLst>
          </c:dPt>
          <c:dPt>
            <c:idx val="10"/>
            <c:bubble3D val="0"/>
            <c:spPr>
              <a:solidFill>
                <a:srgbClr val="601A58"/>
              </a:solidFill>
              <a:ln>
                <a:noFill/>
              </a:ln>
            </c:spPr>
            <c:extLst>
              <c:ext xmlns:c16="http://schemas.microsoft.com/office/drawing/2014/chart" uri="{C3380CC4-5D6E-409C-BE32-E72D297353CC}">
                <c16:uniqueId val="{00000029-A077-45A3-8317-891567FD75CE}"/>
              </c:ext>
            </c:extLst>
          </c:dPt>
          <c:dPt>
            <c:idx val="11"/>
            <c:bubble3D val="0"/>
            <c:spPr>
              <a:solidFill>
                <a:srgbClr val="2F641C"/>
              </a:solidFill>
              <a:ln>
                <a:noFill/>
              </a:ln>
            </c:spPr>
            <c:extLst>
              <c:ext xmlns:c16="http://schemas.microsoft.com/office/drawing/2014/chart" uri="{C3380CC4-5D6E-409C-BE32-E72D297353CC}">
                <c16:uniqueId val="{0000002A-A077-45A3-8317-891567FD75CE}"/>
              </c:ext>
            </c:extLst>
          </c:dPt>
          <c:dPt>
            <c:idx val="12"/>
            <c:bubble3D val="0"/>
            <c:spPr>
              <a:solidFill>
                <a:srgbClr val="1F8EC0"/>
              </a:solidFill>
              <a:ln>
                <a:noFill/>
              </a:ln>
            </c:spPr>
            <c:extLst>
              <c:ext xmlns:c16="http://schemas.microsoft.com/office/drawing/2014/chart" uri="{C3380CC4-5D6E-409C-BE32-E72D297353CC}">
                <c16:uniqueId val="{0000002B-A077-45A3-8317-891567FD75CE}"/>
              </c:ext>
            </c:extLst>
          </c:dPt>
          <c:dPt>
            <c:idx val="13"/>
            <c:bubble3D val="0"/>
            <c:spPr>
              <a:solidFill>
                <a:srgbClr val="ED8D5B"/>
              </a:solidFill>
              <a:ln>
                <a:noFill/>
              </a:ln>
            </c:spPr>
            <c:extLst>
              <c:ext xmlns:c16="http://schemas.microsoft.com/office/drawing/2014/chart" uri="{C3380CC4-5D6E-409C-BE32-E72D297353CC}">
                <c16:uniqueId val="{0000002C-A077-45A3-8317-891567FD75CE}"/>
              </c:ext>
            </c:extLst>
          </c:dPt>
          <c:val>
            <c:numLit>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Lit>
          </c:val>
          <c:extLst>
            <c:ext xmlns:c16="http://schemas.microsoft.com/office/drawing/2014/chart" uri="{C3380CC4-5D6E-409C-BE32-E72D297353CC}">
              <c16:uniqueId val="{0000001E-A077-45A3-8317-891567FD75CE}"/>
            </c:ext>
          </c:extLst>
        </c:ser>
        <c:ser>
          <c:idx val="3"/>
          <c:order val="3"/>
          <c:tx>
            <c:v>Series7</c:v>
          </c:tx>
          <c:dPt>
            <c:idx val="0"/>
            <c:bubble3D val="0"/>
            <c:spPr>
              <a:solidFill>
                <a:srgbClr val="156082"/>
              </a:solidFill>
              <a:ln>
                <a:noFill/>
              </a:ln>
            </c:spPr>
            <c:extLst>
              <c:ext xmlns:c16="http://schemas.microsoft.com/office/drawing/2014/chart" uri="{C3380CC4-5D6E-409C-BE32-E72D297353CC}">
                <c16:uniqueId val="{0000002E-A077-45A3-8317-891567FD75CE}"/>
              </c:ext>
            </c:extLst>
          </c:dPt>
          <c:dPt>
            <c:idx val="1"/>
            <c:bubble3D val="0"/>
            <c:spPr>
              <a:solidFill>
                <a:srgbClr val="E97132"/>
              </a:solidFill>
              <a:ln>
                <a:noFill/>
              </a:ln>
            </c:spPr>
            <c:extLst>
              <c:ext xmlns:c16="http://schemas.microsoft.com/office/drawing/2014/chart" uri="{C3380CC4-5D6E-409C-BE32-E72D297353CC}">
                <c16:uniqueId val="{0000002F-A077-45A3-8317-891567FD75CE}"/>
              </c:ext>
            </c:extLst>
          </c:dPt>
          <c:dPt>
            <c:idx val="2"/>
            <c:bubble3D val="0"/>
            <c:spPr>
              <a:solidFill>
                <a:srgbClr val="196B24"/>
              </a:solidFill>
              <a:ln>
                <a:noFill/>
              </a:ln>
            </c:spPr>
            <c:extLst>
              <c:ext xmlns:c16="http://schemas.microsoft.com/office/drawing/2014/chart" uri="{C3380CC4-5D6E-409C-BE32-E72D297353CC}">
                <c16:uniqueId val="{00000030-A077-45A3-8317-891567FD75CE}"/>
              </c:ext>
            </c:extLst>
          </c:dPt>
          <c:dPt>
            <c:idx val="3"/>
            <c:bubble3D val="0"/>
            <c:spPr>
              <a:solidFill>
                <a:srgbClr val="0F9ED5"/>
              </a:solidFill>
              <a:ln>
                <a:noFill/>
              </a:ln>
            </c:spPr>
            <c:extLst>
              <c:ext xmlns:c16="http://schemas.microsoft.com/office/drawing/2014/chart" uri="{C3380CC4-5D6E-409C-BE32-E72D297353CC}">
                <c16:uniqueId val="{00000031-A077-45A3-8317-891567FD75CE}"/>
              </c:ext>
            </c:extLst>
          </c:dPt>
          <c:dPt>
            <c:idx val="4"/>
            <c:bubble3D val="0"/>
            <c:spPr>
              <a:solidFill>
                <a:srgbClr val="A02B93"/>
              </a:solidFill>
              <a:ln>
                <a:noFill/>
              </a:ln>
            </c:spPr>
            <c:extLst>
              <c:ext xmlns:c16="http://schemas.microsoft.com/office/drawing/2014/chart" uri="{C3380CC4-5D6E-409C-BE32-E72D297353CC}">
                <c16:uniqueId val="{00000032-A077-45A3-8317-891567FD75CE}"/>
              </c:ext>
            </c:extLst>
          </c:dPt>
          <c:dPt>
            <c:idx val="5"/>
            <c:bubble3D val="0"/>
            <c:spPr>
              <a:solidFill>
                <a:srgbClr val="4EA72E"/>
              </a:solidFill>
              <a:ln>
                <a:noFill/>
              </a:ln>
            </c:spPr>
            <c:extLst>
              <c:ext xmlns:c16="http://schemas.microsoft.com/office/drawing/2014/chart" uri="{C3380CC4-5D6E-409C-BE32-E72D297353CC}">
                <c16:uniqueId val="{00000033-A077-45A3-8317-891567FD75CE}"/>
              </c:ext>
            </c:extLst>
          </c:dPt>
          <c:dPt>
            <c:idx val="6"/>
            <c:bubble3D val="0"/>
            <c:spPr>
              <a:solidFill>
                <a:srgbClr val="0D3A4E"/>
              </a:solidFill>
              <a:ln>
                <a:noFill/>
              </a:ln>
            </c:spPr>
            <c:extLst>
              <c:ext xmlns:c16="http://schemas.microsoft.com/office/drawing/2014/chart" uri="{C3380CC4-5D6E-409C-BE32-E72D297353CC}">
                <c16:uniqueId val="{00000034-A077-45A3-8317-891567FD75CE}"/>
              </c:ext>
            </c:extLst>
          </c:dPt>
          <c:dPt>
            <c:idx val="7"/>
            <c:bubble3D val="0"/>
            <c:spPr>
              <a:solidFill>
                <a:srgbClr val="994010"/>
              </a:solidFill>
              <a:ln>
                <a:noFill/>
              </a:ln>
            </c:spPr>
            <c:extLst>
              <c:ext xmlns:c16="http://schemas.microsoft.com/office/drawing/2014/chart" uri="{C3380CC4-5D6E-409C-BE32-E72D297353CC}">
                <c16:uniqueId val="{00000035-A077-45A3-8317-891567FD75CE}"/>
              </c:ext>
            </c:extLst>
          </c:dPt>
          <c:dPt>
            <c:idx val="8"/>
            <c:bubble3D val="0"/>
            <c:spPr>
              <a:solidFill>
                <a:srgbClr val="0F4016"/>
              </a:solidFill>
              <a:ln>
                <a:noFill/>
              </a:ln>
            </c:spPr>
            <c:extLst>
              <c:ext xmlns:c16="http://schemas.microsoft.com/office/drawing/2014/chart" uri="{C3380CC4-5D6E-409C-BE32-E72D297353CC}">
                <c16:uniqueId val="{00000036-A077-45A3-8317-891567FD75CE}"/>
              </c:ext>
            </c:extLst>
          </c:dPt>
          <c:dPt>
            <c:idx val="9"/>
            <c:bubble3D val="0"/>
            <c:spPr>
              <a:solidFill>
                <a:srgbClr val="095F80"/>
              </a:solidFill>
              <a:ln>
                <a:noFill/>
              </a:ln>
            </c:spPr>
            <c:extLst>
              <c:ext xmlns:c16="http://schemas.microsoft.com/office/drawing/2014/chart" uri="{C3380CC4-5D6E-409C-BE32-E72D297353CC}">
                <c16:uniqueId val="{00000037-A077-45A3-8317-891567FD75CE}"/>
              </c:ext>
            </c:extLst>
          </c:dPt>
          <c:dPt>
            <c:idx val="10"/>
            <c:bubble3D val="0"/>
            <c:spPr>
              <a:solidFill>
                <a:srgbClr val="601A58"/>
              </a:solidFill>
              <a:ln>
                <a:noFill/>
              </a:ln>
            </c:spPr>
            <c:extLst>
              <c:ext xmlns:c16="http://schemas.microsoft.com/office/drawing/2014/chart" uri="{C3380CC4-5D6E-409C-BE32-E72D297353CC}">
                <c16:uniqueId val="{00000038-A077-45A3-8317-891567FD75CE}"/>
              </c:ext>
            </c:extLst>
          </c:dPt>
          <c:dPt>
            <c:idx val="11"/>
            <c:bubble3D val="0"/>
            <c:spPr>
              <a:solidFill>
                <a:srgbClr val="2F641C"/>
              </a:solidFill>
              <a:ln>
                <a:noFill/>
              </a:ln>
            </c:spPr>
            <c:extLst>
              <c:ext xmlns:c16="http://schemas.microsoft.com/office/drawing/2014/chart" uri="{C3380CC4-5D6E-409C-BE32-E72D297353CC}">
                <c16:uniqueId val="{00000039-A077-45A3-8317-891567FD75CE}"/>
              </c:ext>
            </c:extLst>
          </c:dPt>
          <c:dPt>
            <c:idx val="12"/>
            <c:bubble3D val="0"/>
            <c:spPr>
              <a:solidFill>
                <a:srgbClr val="1F8EC0"/>
              </a:solidFill>
              <a:ln>
                <a:noFill/>
              </a:ln>
            </c:spPr>
            <c:extLst>
              <c:ext xmlns:c16="http://schemas.microsoft.com/office/drawing/2014/chart" uri="{C3380CC4-5D6E-409C-BE32-E72D297353CC}">
                <c16:uniqueId val="{0000003A-A077-45A3-8317-891567FD75CE}"/>
              </c:ext>
            </c:extLst>
          </c:dPt>
          <c:dPt>
            <c:idx val="13"/>
            <c:bubble3D val="0"/>
            <c:spPr>
              <a:solidFill>
                <a:srgbClr val="ED8D5B"/>
              </a:solidFill>
              <a:ln>
                <a:noFill/>
              </a:ln>
            </c:spPr>
            <c:extLst>
              <c:ext xmlns:c16="http://schemas.microsoft.com/office/drawing/2014/chart" uri="{C3380CC4-5D6E-409C-BE32-E72D297353CC}">
                <c16:uniqueId val="{0000003B-A077-45A3-8317-891567FD75CE}"/>
              </c:ext>
            </c:extLst>
          </c:dPt>
          <c:val>
            <c:numLit>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Lit>
          </c:val>
          <c:extLst>
            <c:ext xmlns:c16="http://schemas.microsoft.com/office/drawing/2014/chart" uri="{C3380CC4-5D6E-409C-BE32-E72D297353CC}">
              <c16:uniqueId val="{0000002D-A077-45A3-8317-891567FD75CE}"/>
            </c:ext>
          </c:extLst>
        </c:ser>
        <c:ser>
          <c:idx val="4"/>
          <c:order val="4"/>
          <c:tx>
            <c:v>Series8</c:v>
          </c:tx>
          <c:dPt>
            <c:idx val="0"/>
            <c:bubble3D val="0"/>
            <c:spPr>
              <a:solidFill>
                <a:srgbClr val="156082"/>
              </a:solidFill>
              <a:ln>
                <a:noFill/>
              </a:ln>
            </c:spPr>
            <c:extLst>
              <c:ext xmlns:c16="http://schemas.microsoft.com/office/drawing/2014/chart" uri="{C3380CC4-5D6E-409C-BE32-E72D297353CC}">
                <c16:uniqueId val="{0000003D-A077-45A3-8317-891567FD75CE}"/>
              </c:ext>
            </c:extLst>
          </c:dPt>
          <c:dPt>
            <c:idx val="1"/>
            <c:bubble3D val="0"/>
            <c:spPr>
              <a:solidFill>
                <a:srgbClr val="E97132"/>
              </a:solidFill>
              <a:ln>
                <a:noFill/>
              </a:ln>
            </c:spPr>
            <c:extLst>
              <c:ext xmlns:c16="http://schemas.microsoft.com/office/drawing/2014/chart" uri="{C3380CC4-5D6E-409C-BE32-E72D297353CC}">
                <c16:uniqueId val="{0000003E-A077-45A3-8317-891567FD75CE}"/>
              </c:ext>
            </c:extLst>
          </c:dPt>
          <c:dPt>
            <c:idx val="2"/>
            <c:bubble3D val="0"/>
            <c:spPr>
              <a:solidFill>
                <a:srgbClr val="196B24"/>
              </a:solidFill>
              <a:ln>
                <a:noFill/>
              </a:ln>
            </c:spPr>
            <c:extLst>
              <c:ext xmlns:c16="http://schemas.microsoft.com/office/drawing/2014/chart" uri="{C3380CC4-5D6E-409C-BE32-E72D297353CC}">
                <c16:uniqueId val="{0000003F-A077-45A3-8317-891567FD75CE}"/>
              </c:ext>
            </c:extLst>
          </c:dPt>
          <c:dPt>
            <c:idx val="3"/>
            <c:bubble3D val="0"/>
            <c:spPr>
              <a:solidFill>
                <a:srgbClr val="0F9ED5"/>
              </a:solidFill>
              <a:ln>
                <a:noFill/>
              </a:ln>
            </c:spPr>
            <c:extLst>
              <c:ext xmlns:c16="http://schemas.microsoft.com/office/drawing/2014/chart" uri="{C3380CC4-5D6E-409C-BE32-E72D297353CC}">
                <c16:uniqueId val="{00000040-A077-45A3-8317-891567FD75CE}"/>
              </c:ext>
            </c:extLst>
          </c:dPt>
          <c:dPt>
            <c:idx val="4"/>
            <c:bubble3D val="0"/>
            <c:spPr>
              <a:solidFill>
                <a:srgbClr val="A02B93"/>
              </a:solidFill>
              <a:ln>
                <a:noFill/>
              </a:ln>
            </c:spPr>
            <c:extLst>
              <c:ext xmlns:c16="http://schemas.microsoft.com/office/drawing/2014/chart" uri="{C3380CC4-5D6E-409C-BE32-E72D297353CC}">
                <c16:uniqueId val="{00000041-A077-45A3-8317-891567FD75CE}"/>
              </c:ext>
            </c:extLst>
          </c:dPt>
          <c:dPt>
            <c:idx val="5"/>
            <c:bubble3D val="0"/>
            <c:spPr>
              <a:solidFill>
                <a:srgbClr val="4EA72E"/>
              </a:solidFill>
              <a:ln>
                <a:noFill/>
              </a:ln>
            </c:spPr>
            <c:extLst>
              <c:ext xmlns:c16="http://schemas.microsoft.com/office/drawing/2014/chart" uri="{C3380CC4-5D6E-409C-BE32-E72D297353CC}">
                <c16:uniqueId val="{00000042-A077-45A3-8317-891567FD75CE}"/>
              </c:ext>
            </c:extLst>
          </c:dPt>
          <c:dPt>
            <c:idx val="6"/>
            <c:bubble3D val="0"/>
            <c:spPr>
              <a:solidFill>
                <a:srgbClr val="0D3A4E"/>
              </a:solidFill>
              <a:ln>
                <a:noFill/>
              </a:ln>
            </c:spPr>
            <c:extLst>
              <c:ext xmlns:c16="http://schemas.microsoft.com/office/drawing/2014/chart" uri="{C3380CC4-5D6E-409C-BE32-E72D297353CC}">
                <c16:uniqueId val="{00000043-A077-45A3-8317-891567FD75CE}"/>
              </c:ext>
            </c:extLst>
          </c:dPt>
          <c:dPt>
            <c:idx val="7"/>
            <c:bubble3D val="0"/>
            <c:spPr>
              <a:solidFill>
                <a:srgbClr val="994010"/>
              </a:solidFill>
              <a:ln>
                <a:noFill/>
              </a:ln>
            </c:spPr>
            <c:extLst>
              <c:ext xmlns:c16="http://schemas.microsoft.com/office/drawing/2014/chart" uri="{C3380CC4-5D6E-409C-BE32-E72D297353CC}">
                <c16:uniqueId val="{00000044-A077-45A3-8317-891567FD75CE}"/>
              </c:ext>
            </c:extLst>
          </c:dPt>
          <c:dPt>
            <c:idx val="8"/>
            <c:bubble3D val="0"/>
            <c:spPr>
              <a:solidFill>
                <a:srgbClr val="0F4016"/>
              </a:solidFill>
              <a:ln>
                <a:noFill/>
              </a:ln>
            </c:spPr>
            <c:extLst>
              <c:ext xmlns:c16="http://schemas.microsoft.com/office/drawing/2014/chart" uri="{C3380CC4-5D6E-409C-BE32-E72D297353CC}">
                <c16:uniqueId val="{00000045-A077-45A3-8317-891567FD75CE}"/>
              </c:ext>
            </c:extLst>
          </c:dPt>
          <c:dPt>
            <c:idx val="9"/>
            <c:bubble3D val="0"/>
            <c:spPr>
              <a:solidFill>
                <a:srgbClr val="095F80"/>
              </a:solidFill>
              <a:ln>
                <a:noFill/>
              </a:ln>
            </c:spPr>
            <c:extLst>
              <c:ext xmlns:c16="http://schemas.microsoft.com/office/drawing/2014/chart" uri="{C3380CC4-5D6E-409C-BE32-E72D297353CC}">
                <c16:uniqueId val="{00000046-A077-45A3-8317-891567FD75CE}"/>
              </c:ext>
            </c:extLst>
          </c:dPt>
          <c:dPt>
            <c:idx val="10"/>
            <c:bubble3D val="0"/>
            <c:spPr>
              <a:solidFill>
                <a:srgbClr val="601A58"/>
              </a:solidFill>
              <a:ln>
                <a:noFill/>
              </a:ln>
            </c:spPr>
            <c:extLst>
              <c:ext xmlns:c16="http://schemas.microsoft.com/office/drawing/2014/chart" uri="{C3380CC4-5D6E-409C-BE32-E72D297353CC}">
                <c16:uniqueId val="{00000047-A077-45A3-8317-891567FD75CE}"/>
              </c:ext>
            </c:extLst>
          </c:dPt>
          <c:dPt>
            <c:idx val="11"/>
            <c:bubble3D val="0"/>
            <c:spPr>
              <a:solidFill>
                <a:srgbClr val="2F641C"/>
              </a:solidFill>
              <a:ln>
                <a:noFill/>
              </a:ln>
            </c:spPr>
            <c:extLst>
              <c:ext xmlns:c16="http://schemas.microsoft.com/office/drawing/2014/chart" uri="{C3380CC4-5D6E-409C-BE32-E72D297353CC}">
                <c16:uniqueId val="{00000048-A077-45A3-8317-891567FD75CE}"/>
              </c:ext>
            </c:extLst>
          </c:dPt>
          <c:dPt>
            <c:idx val="12"/>
            <c:bubble3D val="0"/>
            <c:spPr>
              <a:solidFill>
                <a:srgbClr val="1F8EC0"/>
              </a:solidFill>
              <a:ln>
                <a:noFill/>
              </a:ln>
            </c:spPr>
            <c:extLst>
              <c:ext xmlns:c16="http://schemas.microsoft.com/office/drawing/2014/chart" uri="{C3380CC4-5D6E-409C-BE32-E72D297353CC}">
                <c16:uniqueId val="{00000049-A077-45A3-8317-891567FD75CE}"/>
              </c:ext>
            </c:extLst>
          </c:dPt>
          <c:dPt>
            <c:idx val="13"/>
            <c:bubble3D val="0"/>
            <c:spPr>
              <a:solidFill>
                <a:srgbClr val="ED8D5B"/>
              </a:solidFill>
              <a:ln>
                <a:noFill/>
              </a:ln>
            </c:spPr>
            <c:extLst>
              <c:ext xmlns:c16="http://schemas.microsoft.com/office/drawing/2014/chart" uri="{C3380CC4-5D6E-409C-BE32-E72D297353CC}">
                <c16:uniqueId val="{0000004A-A077-45A3-8317-891567FD75CE}"/>
              </c:ext>
            </c:extLst>
          </c:dPt>
          <c:val>
            <c:numLit>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Lit>
          </c:val>
          <c:extLst>
            <c:ext xmlns:c16="http://schemas.microsoft.com/office/drawing/2014/chart" uri="{C3380CC4-5D6E-409C-BE32-E72D297353CC}">
              <c16:uniqueId val="{0000003C-A077-45A3-8317-891567FD75CE}"/>
            </c:ext>
          </c:extLst>
        </c:ser>
        <c:dLbls>
          <c:showLegendKey val="0"/>
          <c:showVal val="0"/>
          <c:showCatName val="0"/>
          <c:showSerName val="0"/>
          <c:showPercent val="0"/>
          <c:showBubbleSize val="0"/>
          <c:showLeaderLines val="1"/>
        </c:dLbls>
        <c:firstSliceAng val="0"/>
      </c:pie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6082</Words>
  <Characters>36372</Characters>
  <Application>Microsoft Office Word</Application>
  <DocSecurity>0</DocSecurity>
  <Lines>1039</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dc:description/>
  <cp:lastModifiedBy>Sarah Francis-Davies</cp:lastModifiedBy>
  <cp:revision>2</cp:revision>
  <dcterms:created xsi:type="dcterms:W3CDTF">2024-07-07T16:32:00Z</dcterms:created>
  <dcterms:modified xsi:type="dcterms:W3CDTF">2024-07-07T16:32:00Z</dcterms:modified>
</cp:coreProperties>
</file>