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D91291" w14:textId="39CE434C" w:rsidR="007A1C4E" w:rsidRPr="007A1C4E" w:rsidRDefault="00323ED2" w:rsidP="00323ED2">
      <w:pPr>
        <w:spacing w:before="100" w:beforeAutospacing="1" w:after="100" w:afterAutospacing="1" w:line="360" w:lineRule="auto"/>
        <w:jc w:val="center"/>
        <w:outlineLvl w:val="2"/>
        <w:rPr>
          <w:rFonts w:ascii="Arial" w:eastAsia="Times New Roman" w:hAnsi="Arial" w:cs="Arial"/>
          <w:sz w:val="22"/>
          <w:szCs w:val="22"/>
        </w:rPr>
      </w:pPr>
      <w:r>
        <w:rPr>
          <w:rFonts w:ascii="Helvetica Neue" w:eastAsia="Times New Roman" w:hAnsi="Helvetica Neue"/>
          <w:color w:val="FFFFFF"/>
        </w:rPr>
        <w:t>ldkkl</w:t>
      </w:r>
      <w:r w:rsidR="007A1C4E" w:rsidRPr="007A1C4E">
        <w:rPr>
          <w:rFonts w:ascii="Helvetica Neue" w:eastAsia="Times New Roman" w:hAnsi="Helvetica Neue"/>
          <w:b/>
          <w:bCs/>
          <w:color w:val="FFFFFF"/>
          <w:kern w:val="36"/>
          <w:sz w:val="48"/>
          <w:szCs w:val="48"/>
        </w:rPr>
        <w:t>P6029_BIRM)</w:t>
      </w:r>
    </w:p>
    <w:p w14:paraId="7867F912" w14:textId="38F88BE8" w:rsidR="00865483" w:rsidRPr="00D479AC" w:rsidRDefault="00323ED2" w:rsidP="00865483">
      <w:pPr>
        <w:spacing w:line="360" w:lineRule="auto"/>
        <w:jc w:val="center"/>
        <w:outlineLvl w:val="0"/>
        <w:rPr>
          <w:rFonts w:ascii="Arial" w:hAnsi="Arial" w:cs="Arial"/>
          <w:b/>
          <w:bCs/>
          <w:sz w:val="22"/>
          <w:szCs w:val="22"/>
        </w:rPr>
      </w:pPr>
      <w:r w:rsidRPr="001A018F">
        <w:rPr>
          <w:rFonts w:ascii="Arial" w:hAnsi="Arial" w:cs="Arial"/>
          <w:noProof/>
          <w:sz w:val="22"/>
          <w:szCs w:val="22"/>
        </w:rPr>
        <w:drawing>
          <wp:inline distT="0" distB="0" distL="0" distR="0" wp14:anchorId="321C2032" wp14:editId="7C0BDAA1">
            <wp:extent cx="2836649" cy="688340"/>
            <wp:effectExtent l="0" t="0" r="8255"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67731" cy="695882"/>
                    </a:xfrm>
                    <a:prstGeom prst="rect">
                      <a:avLst/>
                    </a:prstGeom>
                  </pic:spPr>
                </pic:pic>
              </a:graphicData>
            </a:graphic>
          </wp:inline>
        </w:drawing>
      </w:r>
    </w:p>
    <w:p w14:paraId="2773A57A" w14:textId="77777777" w:rsidR="00323ED2" w:rsidRDefault="00323ED2" w:rsidP="00865483">
      <w:pPr>
        <w:spacing w:line="360" w:lineRule="auto"/>
        <w:jc w:val="center"/>
        <w:outlineLvl w:val="0"/>
        <w:rPr>
          <w:rFonts w:ascii="Arial" w:hAnsi="Arial" w:cs="Arial"/>
          <w:b/>
          <w:bCs/>
          <w:sz w:val="22"/>
          <w:szCs w:val="22"/>
        </w:rPr>
      </w:pPr>
    </w:p>
    <w:p w14:paraId="1A9FF9FC" w14:textId="77777777" w:rsidR="00323ED2" w:rsidRDefault="00323ED2" w:rsidP="00865483">
      <w:pPr>
        <w:spacing w:line="360" w:lineRule="auto"/>
        <w:jc w:val="center"/>
        <w:outlineLvl w:val="0"/>
        <w:rPr>
          <w:rFonts w:ascii="Arial" w:hAnsi="Arial" w:cs="Arial"/>
          <w:b/>
          <w:bCs/>
          <w:sz w:val="22"/>
          <w:szCs w:val="22"/>
        </w:rPr>
      </w:pPr>
    </w:p>
    <w:p w14:paraId="47CB0EDD" w14:textId="19F6783B" w:rsidR="00865483" w:rsidRPr="00D479AC" w:rsidRDefault="00323ED2" w:rsidP="00865483">
      <w:pPr>
        <w:spacing w:line="360" w:lineRule="auto"/>
        <w:jc w:val="center"/>
        <w:outlineLvl w:val="0"/>
        <w:rPr>
          <w:rFonts w:ascii="Arial" w:hAnsi="Arial" w:cs="Arial"/>
          <w:b/>
          <w:bCs/>
          <w:sz w:val="22"/>
          <w:szCs w:val="22"/>
        </w:rPr>
      </w:pPr>
      <w:r>
        <w:rPr>
          <w:rFonts w:ascii="Arial" w:hAnsi="Arial" w:cs="Arial"/>
          <w:b/>
          <w:bCs/>
          <w:sz w:val="22"/>
          <w:szCs w:val="22"/>
        </w:rPr>
        <w:t>Psychopathological Classifications and Provisions (BMHP6029_BIRM)</w:t>
      </w:r>
    </w:p>
    <w:p w14:paraId="1F6F3B6A" w14:textId="77777777" w:rsidR="00323ED2" w:rsidRDefault="00323ED2" w:rsidP="00865483">
      <w:pPr>
        <w:spacing w:line="360" w:lineRule="auto"/>
        <w:jc w:val="center"/>
        <w:outlineLvl w:val="0"/>
        <w:rPr>
          <w:rFonts w:ascii="Arial" w:hAnsi="Arial" w:cs="Arial"/>
          <w:b/>
          <w:bCs/>
          <w:sz w:val="22"/>
          <w:szCs w:val="22"/>
        </w:rPr>
      </w:pPr>
    </w:p>
    <w:p w14:paraId="540620B5" w14:textId="77777777" w:rsidR="00865483" w:rsidRPr="00D479AC" w:rsidRDefault="00865483" w:rsidP="00865483">
      <w:pPr>
        <w:spacing w:line="360" w:lineRule="auto"/>
        <w:jc w:val="center"/>
        <w:outlineLvl w:val="0"/>
        <w:rPr>
          <w:rFonts w:ascii="Arial" w:hAnsi="Arial" w:cs="Arial"/>
          <w:b/>
          <w:bCs/>
          <w:sz w:val="22"/>
          <w:szCs w:val="22"/>
        </w:rPr>
      </w:pPr>
      <w:r w:rsidRPr="00D479AC">
        <w:rPr>
          <w:rFonts w:ascii="Arial" w:hAnsi="Arial" w:cs="Arial"/>
          <w:b/>
          <w:bCs/>
          <w:sz w:val="22"/>
          <w:szCs w:val="22"/>
        </w:rPr>
        <w:t>Component 2</w:t>
      </w:r>
    </w:p>
    <w:p w14:paraId="0A21933A" w14:textId="77777777" w:rsidR="00865483" w:rsidRPr="00D479AC" w:rsidRDefault="00865483" w:rsidP="00865483">
      <w:pPr>
        <w:spacing w:line="360" w:lineRule="auto"/>
        <w:jc w:val="center"/>
        <w:outlineLvl w:val="0"/>
        <w:rPr>
          <w:rFonts w:ascii="Arial" w:hAnsi="Arial" w:cs="Arial"/>
          <w:b/>
          <w:bCs/>
          <w:sz w:val="22"/>
          <w:szCs w:val="22"/>
        </w:rPr>
      </w:pPr>
    </w:p>
    <w:p w14:paraId="4519D8E2" w14:textId="77777777" w:rsidR="00865483" w:rsidRPr="00D479AC" w:rsidRDefault="00865483" w:rsidP="00865483">
      <w:pPr>
        <w:spacing w:line="360" w:lineRule="auto"/>
        <w:jc w:val="center"/>
        <w:outlineLvl w:val="0"/>
        <w:rPr>
          <w:rFonts w:ascii="Arial" w:hAnsi="Arial" w:cs="Arial"/>
          <w:b/>
          <w:bCs/>
          <w:sz w:val="22"/>
          <w:szCs w:val="22"/>
        </w:rPr>
      </w:pPr>
    </w:p>
    <w:p w14:paraId="0BA23484" w14:textId="77777777" w:rsidR="00865483" w:rsidRPr="00D479AC" w:rsidRDefault="00865483" w:rsidP="00865483">
      <w:pPr>
        <w:spacing w:line="360" w:lineRule="auto"/>
        <w:jc w:val="center"/>
        <w:rPr>
          <w:rFonts w:ascii="Arial" w:hAnsi="Arial" w:cs="Arial"/>
          <w:b/>
          <w:bCs/>
          <w:sz w:val="22"/>
          <w:szCs w:val="22"/>
        </w:rPr>
      </w:pPr>
      <w:r w:rsidRPr="00D479AC">
        <w:rPr>
          <w:rFonts w:ascii="Arial" w:hAnsi="Arial" w:cs="Arial"/>
          <w:b/>
          <w:bCs/>
          <w:sz w:val="22"/>
          <w:szCs w:val="22"/>
        </w:rPr>
        <w:t>Report</w:t>
      </w:r>
    </w:p>
    <w:p w14:paraId="391B939A" w14:textId="77777777" w:rsidR="00865483" w:rsidRPr="00563A14" w:rsidRDefault="00865483" w:rsidP="00865483">
      <w:pPr>
        <w:spacing w:before="100" w:beforeAutospacing="1" w:after="100" w:afterAutospacing="1" w:line="360" w:lineRule="auto"/>
        <w:jc w:val="center"/>
        <w:outlineLvl w:val="0"/>
        <w:rPr>
          <w:rFonts w:eastAsia="Times New Roman"/>
          <w:b/>
          <w:bCs/>
          <w:kern w:val="36"/>
          <w:sz w:val="22"/>
          <w:szCs w:val="22"/>
        </w:rPr>
      </w:pPr>
      <w:r w:rsidRPr="00563A14">
        <w:rPr>
          <w:rFonts w:eastAsia="Times New Roman"/>
          <w:b/>
          <w:bCs/>
          <w:kern w:val="36"/>
          <w:sz w:val="22"/>
          <w:szCs w:val="22"/>
        </w:rPr>
        <w:t>ICD-11 6E20: Mental or Behavioural Disorders Associated with Pregnancy, Childbirth or the Puerperium (Without Psychotic Symptoms)</w:t>
      </w:r>
    </w:p>
    <w:p w14:paraId="7627596D" w14:textId="77777777" w:rsidR="00865483" w:rsidRPr="00D479AC" w:rsidRDefault="00865483" w:rsidP="00865483">
      <w:pPr>
        <w:spacing w:line="360" w:lineRule="auto"/>
        <w:jc w:val="center"/>
        <w:rPr>
          <w:rFonts w:ascii="Arial" w:hAnsi="Arial" w:cs="Arial"/>
          <w:b/>
          <w:bCs/>
          <w:sz w:val="22"/>
          <w:szCs w:val="22"/>
        </w:rPr>
      </w:pPr>
    </w:p>
    <w:p w14:paraId="5E9E8FAD" w14:textId="77777777" w:rsidR="00865483" w:rsidRPr="00D479AC" w:rsidRDefault="00865483" w:rsidP="00865483">
      <w:pPr>
        <w:spacing w:line="360" w:lineRule="auto"/>
        <w:jc w:val="center"/>
        <w:rPr>
          <w:rFonts w:ascii="Arial" w:hAnsi="Arial" w:cs="Arial"/>
          <w:b/>
          <w:bCs/>
          <w:sz w:val="22"/>
          <w:szCs w:val="22"/>
        </w:rPr>
      </w:pPr>
    </w:p>
    <w:p w14:paraId="03FABB0A" w14:textId="77777777" w:rsidR="00865483" w:rsidRPr="00D479AC" w:rsidRDefault="00865483" w:rsidP="00865483">
      <w:pPr>
        <w:spacing w:line="360" w:lineRule="auto"/>
        <w:jc w:val="center"/>
        <w:outlineLvl w:val="0"/>
        <w:rPr>
          <w:rFonts w:ascii="Arial" w:hAnsi="Arial" w:cs="Arial"/>
          <w:b/>
          <w:bCs/>
          <w:sz w:val="22"/>
          <w:szCs w:val="22"/>
        </w:rPr>
      </w:pPr>
      <w:r w:rsidRPr="00D479AC">
        <w:rPr>
          <w:rFonts w:ascii="Arial" w:hAnsi="Arial" w:cs="Arial"/>
          <w:b/>
          <w:bCs/>
          <w:sz w:val="22"/>
          <w:szCs w:val="22"/>
        </w:rPr>
        <w:t>Student Name: Hana Kiros</w:t>
      </w:r>
    </w:p>
    <w:p w14:paraId="44E62448" w14:textId="77777777" w:rsidR="00865483" w:rsidRPr="00D479AC" w:rsidRDefault="00865483" w:rsidP="00865483">
      <w:pPr>
        <w:spacing w:line="360" w:lineRule="auto"/>
        <w:jc w:val="center"/>
        <w:outlineLvl w:val="0"/>
        <w:rPr>
          <w:rFonts w:ascii="Arial" w:hAnsi="Arial" w:cs="Arial"/>
          <w:b/>
          <w:bCs/>
          <w:sz w:val="22"/>
          <w:szCs w:val="22"/>
        </w:rPr>
      </w:pPr>
    </w:p>
    <w:p w14:paraId="4C0ABA18" w14:textId="77777777" w:rsidR="00865483" w:rsidRPr="00D479AC" w:rsidRDefault="00865483" w:rsidP="00865483">
      <w:pPr>
        <w:spacing w:line="360" w:lineRule="auto"/>
        <w:jc w:val="center"/>
        <w:outlineLvl w:val="0"/>
        <w:rPr>
          <w:rFonts w:ascii="Arial" w:eastAsia="Times New Roman" w:hAnsi="Arial" w:cs="Arial"/>
          <w:color w:val="000000" w:themeColor="text1"/>
          <w:sz w:val="22"/>
          <w:szCs w:val="22"/>
          <w:shd w:val="clear" w:color="auto" w:fill="FFFFFF"/>
          <w:lang w:val="en-US"/>
        </w:rPr>
      </w:pPr>
      <w:r w:rsidRPr="00D479AC">
        <w:rPr>
          <w:rFonts w:ascii="Arial" w:hAnsi="Arial" w:cs="Arial"/>
          <w:b/>
          <w:bCs/>
          <w:sz w:val="22"/>
          <w:szCs w:val="22"/>
        </w:rPr>
        <w:t>Student Number:</w:t>
      </w:r>
      <w:r w:rsidRPr="00D479AC">
        <w:rPr>
          <w:rFonts w:ascii="Arial" w:eastAsia="Times New Roman" w:hAnsi="Arial" w:cs="Arial"/>
          <w:color w:val="000000" w:themeColor="text1"/>
          <w:sz w:val="22"/>
          <w:szCs w:val="22"/>
          <w:shd w:val="clear" w:color="auto" w:fill="FFFFFF"/>
          <w:lang w:val="en-US"/>
        </w:rPr>
        <w:t xml:space="preserve"> 2316483</w:t>
      </w:r>
    </w:p>
    <w:p w14:paraId="5291FFB0" w14:textId="77777777" w:rsidR="00865483" w:rsidRPr="00D479AC" w:rsidRDefault="00865483" w:rsidP="00865483">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460ADC07" w14:textId="5B004628" w:rsidR="00865483" w:rsidRPr="00323ED2" w:rsidRDefault="00323ED2" w:rsidP="00323ED2">
      <w:pPr>
        <w:pStyle w:val="Heading1"/>
        <w:spacing w:before="0" w:beforeAutospacing="0"/>
        <w:rPr>
          <w:rFonts w:ascii="Helvetica Neue" w:eastAsia="Times New Roman" w:hAnsi="Helvetica Neue"/>
          <w:color w:val="FFFFFF"/>
        </w:rPr>
      </w:pPr>
      <w:r>
        <w:rPr>
          <w:rFonts w:ascii="Helvetica Neue" w:eastAsia="Times New Roman" w:hAnsi="Helvetica Neue"/>
          <w:color w:val="FFFFFF"/>
        </w:rPr>
        <w:t xml:space="preserve">Psychopathological Classifications and </w:t>
      </w:r>
    </w:p>
    <w:p w14:paraId="29A7D142" w14:textId="77777777" w:rsidR="00865483" w:rsidRPr="00D479AC" w:rsidRDefault="00865483" w:rsidP="00865483">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2613AD37" w14:textId="77777777" w:rsidR="00865483" w:rsidRPr="00D479AC" w:rsidRDefault="00865483" w:rsidP="00865483">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2B56A7D3" w14:textId="77777777" w:rsidR="007A1C4E" w:rsidRPr="007A1C4E" w:rsidRDefault="00865483" w:rsidP="007A1C4E">
      <w:pPr>
        <w:rPr>
          <w:rFonts w:eastAsia="Times New Roman"/>
        </w:rPr>
      </w:pPr>
      <w:r w:rsidRPr="00D479AC">
        <w:rPr>
          <w:rFonts w:ascii="Arial" w:eastAsia="Times New Roman" w:hAnsi="Arial" w:cs="Arial"/>
          <w:b/>
          <w:color w:val="000000" w:themeColor="text1"/>
          <w:sz w:val="22"/>
          <w:szCs w:val="22"/>
          <w:shd w:val="clear" w:color="auto" w:fill="FFFFFF"/>
          <w:lang w:val="en-US"/>
        </w:rPr>
        <w:t xml:space="preserve">Lecturer </w:t>
      </w:r>
      <w:r w:rsidRPr="007A1C4E">
        <w:rPr>
          <w:rFonts w:ascii="Arial" w:eastAsia="Times New Roman" w:hAnsi="Arial" w:cs="Arial"/>
          <w:b/>
          <w:color w:val="000000" w:themeColor="text1"/>
          <w:sz w:val="22"/>
          <w:szCs w:val="22"/>
          <w:shd w:val="clear" w:color="auto" w:fill="FFFFFF"/>
          <w:lang w:val="en-US"/>
        </w:rPr>
        <w:t>Name:</w:t>
      </w:r>
      <w:r w:rsidRPr="007A1C4E">
        <w:rPr>
          <w:rFonts w:ascii="Arial" w:eastAsia="Times New Roman" w:hAnsi="Arial" w:cs="Arial"/>
          <w:b/>
          <w:color w:val="1D2125"/>
          <w:shd w:val="clear" w:color="auto" w:fill="FFFFFF"/>
        </w:rPr>
        <w:t xml:space="preserve"> </w:t>
      </w:r>
      <w:r w:rsidR="007A1C4E" w:rsidRPr="007A1C4E">
        <w:rPr>
          <w:rFonts w:ascii="Helvetica Neue" w:eastAsia="Times New Roman" w:hAnsi="Helvetica Neue"/>
          <w:b/>
          <w:color w:val="1D2125"/>
          <w:sz w:val="23"/>
          <w:szCs w:val="23"/>
          <w:shd w:val="clear" w:color="auto" w:fill="FFFFFF"/>
        </w:rPr>
        <w:t>Kennedy Obohwemu</w:t>
      </w:r>
    </w:p>
    <w:p w14:paraId="5BE8E175" w14:textId="71FA3B4E" w:rsidR="00865483" w:rsidRPr="00D479AC" w:rsidRDefault="00865483" w:rsidP="00865483">
      <w:pPr>
        <w:rPr>
          <w:rFonts w:ascii="Arial" w:eastAsia="Times New Roman" w:hAnsi="Arial" w:cs="Arial"/>
        </w:rPr>
      </w:pPr>
    </w:p>
    <w:p w14:paraId="101E347A" w14:textId="77777777" w:rsidR="00865483" w:rsidRDefault="00865483" w:rsidP="00865483">
      <w:pPr>
        <w:rPr>
          <w:rFonts w:eastAsia="Times New Roman"/>
          <w:b/>
          <w:bCs/>
          <w:kern w:val="36"/>
          <w:sz w:val="48"/>
          <w:szCs w:val="48"/>
        </w:rPr>
      </w:pPr>
    </w:p>
    <w:p w14:paraId="71CFE02B" w14:textId="77777777" w:rsidR="00865483" w:rsidRDefault="00865483" w:rsidP="00865483"/>
    <w:p w14:paraId="4ED7C622" w14:textId="77777777" w:rsidR="00865483" w:rsidRDefault="00865483" w:rsidP="00865483"/>
    <w:p w14:paraId="7A1204E3" w14:textId="77777777" w:rsidR="00563A14" w:rsidRDefault="00563A14" w:rsidP="00563A14">
      <w:pPr>
        <w:spacing w:before="100" w:beforeAutospacing="1" w:after="100" w:afterAutospacing="1" w:line="360" w:lineRule="auto"/>
        <w:jc w:val="both"/>
        <w:outlineLvl w:val="0"/>
        <w:rPr>
          <w:rFonts w:eastAsia="Times New Roman"/>
          <w:b/>
          <w:bCs/>
          <w:kern w:val="36"/>
          <w:sz w:val="22"/>
          <w:szCs w:val="22"/>
        </w:rPr>
      </w:pPr>
    </w:p>
    <w:p w14:paraId="0D3ED9D7" w14:textId="77777777" w:rsidR="00563A14" w:rsidRDefault="00563A14" w:rsidP="00563A14">
      <w:pPr>
        <w:spacing w:before="100" w:beforeAutospacing="1" w:after="100" w:afterAutospacing="1" w:line="360" w:lineRule="auto"/>
        <w:jc w:val="both"/>
        <w:outlineLvl w:val="0"/>
        <w:rPr>
          <w:rFonts w:eastAsia="Times New Roman"/>
          <w:b/>
          <w:bCs/>
          <w:kern w:val="36"/>
          <w:sz w:val="22"/>
          <w:szCs w:val="22"/>
        </w:rPr>
      </w:pPr>
    </w:p>
    <w:p w14:paraId="30523170" w14:textId="77777777" w:rsidR="00563A14" w:rsidRPr="009E72D8" w:rsidRDefault="00A103C9" w:rsidP="009E72D8">
      <w:pPr>
        <w:spacing w:before="100" w:beforeAutospacing="1" w:after="100" w:afterAutospacing="1" w:line="360" w:lineRule="auto"/>
        <w:jc w:val="both"/>
        <w:outlineLvl w:val="1"/>
        <w:rPr>
          <w:rFonts w:ascii="Arial" w:eastAsia="Times New Roman" w:hAnsi="Arial" w:cs="Arial"/>
          <w:b/>
          <w:bCs/>
          <w:sz w:val="22"/>
          <w:szCs w:val="22"/>
        </w:rPr>
      </w:pPr>
      <w:r w:rsidRPr="009E72D8">
        <w:rPr>
          <w:rFonts w:ascii="Arial" w:eastAsia="Times New Roman" w:hAnsi="Arial" w:cs="Arial"/>
          <w:b/>
          <w:bCs/>
          <w:sz w:val="22"/>
          <w:szCs w:val="22"/>
        </w:rPr>
        <w:lastRenderedPageBreak/>
        <w:t>Introduction</w:t>
      </w:r>
    </w:p>
    <w:p w14:paraId="7BF60001" w14:textId="7CED4B98" w:rsidR="00B91263" w:rsidRPr="009E72D8" w:rsidRDefault="002E768F" w:rsidP="009E72D8">
      <w:pPr>
        <w:spacing w:line="360" w:lineRule="auto"/>
        <w:jc w:val="both"/>
        <w:rPr>
          <w:rFonts w:ascii="Arial" w:hAnsi="Arial" w:cs="Arial"/>
          <w:sz w:val="22"/>
          <w:szCs w:val="22"/>
        </w:rPr>
      </w:pPr>
      <w:r w:rsidRPr="002E768F">
        <w:rPr>
          <w:rFonts w:ascii="Arial" w:eastAsia="Times New Roman" w:hAnsi="Arial" w:cs="Arial"/>
          <w:bCs/>
          <w:sz w:val="22"/>
          <w:szCs w:val="22"/>
        </w:rPr>
        <w:t>The non-psychotic issues that appear during pregnancy or within about six weeks after birth can be classified under the group of mental and behavioural disorders related to pregnancy, delivery or puerperium (ICD-11 6E20). These consist of the symptoms of anxiety disorders, episodes of postpartum depression, obsessive-compulsive disorder, and adjustment disorders (WHO, 2022). These conditions are of great effects to the mothers, infants and families. Perinatal mental ill health, including anxiety or depression, is experienced by one in five women in the UK (Office for National Statistics, 2025). The economic burden of perinatal mental illness in the UK is estimated to be 8.1 billion per year per birth cohort of children on average, three-quarters of which is associated with the long-term child outcomes (Howard, Khalifeh, and Sutter-Dallay, 2022). This report critically looks at the diagnosis, classification, treatment, and rehabilitation of the 6E20 disorders using ICD-11, NICE guidelines, UK legislation, and the existing issues. The conclusion includes policy proposals which can enhance the diagnosis, integration and equity of prenatal mental health care.</w:t>
      </w:r>
    </w:p>
    <w:p w14:paraId="367A12DC" w14:textId="77777777" w:rsidR="002E768F" w:rsidRDefault="002E768F" w:rsidP="009E72D8">
      <w:pPr>
        <w:spacing w:line="360" w:lineRule="auto"/>
        <w:jc w:val="both"/>
        <w:rPr>
          <w:rFonts w:ascii="Arial" w:eastAsia="Times New Roman" w:hAnsi="Arial" w:cs="Arial"/>
          <w:b/>
          <w:sz w:val="22"/>
          <w:szCs w:val="22"/>
        </w:rPr>
      </w:pPr>
    </w:p>
    <w:p w14:paraId="0C599B10" w14:textId="0C6A720B" w:rsidR="00B91263" w:rsidRPr="009E72D8" w:rsidRDefault="00B91263"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Identification and Categorisation</w:t>
      </w:r>
    </w:p>
    <w:p w14:paraId="3302F7EC" w14:textId="77777777" w:rsidR="00B91263" w:rsidRPr="009E72D8" w:rsidRDefault="00B91263" w:rsidP="009E72D8">
      <w:pPr>
        <w:spacing w:line="360" w:lineRule="auto"/>
        <w:jc w:val="both"/>
        <w:rPr>
          <w:rFonts w:ascii="Arial" w:eastAsia="Times New Roman" w:hAnsi="Arial" w:cs="Arial"/>
          <w:b/>
          <w:sz w:val="22"/>
          <w:szCs w:val="22"/>
        </w:rPr>
      </w:pPr>
    </w:p>
    <w:p w14:paraId="2E021A50" w14:textId="77777777" w:rsidR="00B91263" w:rsidRPr="009E72D8" w:rsidRDefault="00B91263"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 xml:space="preserve">ICD-11 classification </w:t>
      </w:r>
    </w:p>
    <w:p w14:paraId="13EDEC95" w14:textId="77777777" w:rsidR="00B91263" w:rsidRPr="009E72D8" w:rsidRDefault="00B91263" w:rsidP="009E72D8">
      <w:pPr>
        <w:spacing w:line="360" w:lineRule="auto"/>
        <w:jc w:val="both"/>
        <w:rPr>
          <w:rFonts w:ascii="Arial" w:eastAsia="Times New Roman" w:hAnsi="Arial" w:cs="Arial"/>
          <w:b/>
          <w:sz w:val="22"/>
          <w:szCs w:val="22"/>
        </w:rPr>
      </w:pPr>
    </w:p>
    <w:p w14:paraId="6AA5C03F" w14:textId="77777777" w:rsidR="00B91263" w:rsidRPr="009E72D8" w:rsidRDefault="00B91263"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 xml:space="preserve">Since 1838. Within the mental, behavioural, and neurodevelopmental disorders chapter of ICD-11, one can find the category of mental or behavioural disorders related to pregnancy, childbirth, or the puerperium (WHO, 2022). The psychotic symptoms associated with perinatal disorders are coded 6E21, and those without psychotic symptoms are coded 6E20. ICD-11 applies a contextual coding approach, i.e., physicians apply the perinatal specifier together with the underlying disease (e.g., anxiety disorder or depressive episode). </w:t>
      </w:r>
    </w:p>
    <w:p w14:paraId="21BE9295" w14:textId="77777777" w:rsidR="00B91263" w:rsidRPr="009E72D8" w:rsidRDefault="00B91263" w:rsidP="009E72D8">
      <w:pPr>
        <w:spacing w:line="360" w:lineRule="auto"/>
        <w:jc w:val="both"/>
        <w:rPr>
          <w:rFonts w:ascii="Arial" w:eastAsia="Times New Roman" w:hAnsi="Arial" w:cs="Arial"/>
          <w:sz w:val="22"/>
          <w:szCs w:val="22"/>
        </w:rPr>
      </w:pPr>
    </w:p>
    <w:p w14:paraId="276B1496" w14:textId="73CD3030" w:rsidR="00B91263" w:rsidRDefault="00B91263"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This method identifies specific biological, psychological, and social risk factors that are specific to pregnancy and the postpartum period, and it accepts the continuum between perinatal and non-perinatal psychopathology. The ICD-11 language depicts a diagnostic, not a descriptive, classification that aims to have worldwide comparability; the ICD-11 language constitutes the use of the term 'disorder' instead of illustrating 'illness' or 'condition' (ICD-11 Browser, 2025).</w:t>
      </w:r>
    </w:p>
    <w:p w14:paraId="3031A90C" w14:textId="77777777" w:rsidR="009E72D8" w:rsidRDefault="009E72D8" w:rsidP="009E72D8">
      <w:pPr>
        <w:spacing w:line="360" w:lineRule="auto"/>
        <w:jc w:val="both"/>
        <w:rPr>
          <w:rFonts w:ascii="Arial" w:eastAsia="Times New Roman" w:hAnsi="Arial" w:cs="Arial"/>
          <w:sz w:val="22"/>
          <w:szCs w:val="22"/>
        </w:rPr>
      </w:pPr>
    </w:p>
    <w:p w14:paraId="7C2EF46B" w14:textId="77777777" w:rsidR="009E72D8" w:rsidRDefault="009E72D8" w:rsidP="009E72D8">
      <w:pPr>
        <w:spacing w:line="360" w:lineRule="auto"/>
        <w:jc w:val="both"/>
        <w:rPr>
          <w:rFonts w:ascii="Arial" w:eastAsia="Times New Roman" w:hAnsi="Arial" w:cs="Arial"/>
          <w:sz w:val="22"/>
          <w:szCs w:val="22"/>
        </w:rPr>
      </w:pPr>
    </w:p>
    <w:p w14:paraId="4279C024" w14:textId="77777777" w:rsidR="00F80AE9" w:rsidRDefault="00F80AE9" w:rsidP="009E72D8">
      <w:pPr>
        <w:spacing w:line="360" w:lineRule="auto"/>
        <w:jc w:val="both"/>
        <w:rPr>
          <w:rFonts w:ascii="Arial" w:eastAsia="Times New Roman" w:hAnsi="Arial" w:cs="Arial"/>
          <w:sz w:val="22"/>
          <w:szCs w:val="22"/>
        </w:rPr>
      </w:pPr>
    </w:p>
    <w:p w14:paraId="53CCFE9E" w14:textId="77777777" w:rsidR="00F80AE9" w:rsidRPr="009E72D8" w:rsidRDefault="00F80AE9" w:rsidP="009E72D8">
      <w:pPr>
        <w:spacing w:line="360" w:lineRule="auto"/>
        <w:jc w:val="both"/>
        <w:rPr>
          <w:rFonts w:ascii="Arial" w:eastAsia="Times New Roman" w:hAnsi="Arial" w:cs="Arial"/>
          <w:sz w:val="22"/>
          <w:szCs w:val="22"/>
        </w:rPr>
      </w:pPr>
    </w:p>
    <w:p w14:paraId="2E5FFEC8" w14:textId="77777777" w:rsidR="00D00C08" w:rsidRPr="009E72D8" w:rsidRDefault="00D00C08" w:rsidP="009E72D8">
      <w:pPr>
        <w:spacing w:line="360" w:lineRule="auto"/>
        <w:jc w:val="both"/>
        <w:rPr>
          <w:rFonts w:ascii="Arial" w:eastAsia="Times New Roman" w:hAnsi="Arial" w:cs="Arial"/>
          <w:sz w:val="22"/>
          <w:szCs w:val="22"/>
        </w:rPr>
      </w:pPr>
    </w:p>
    <w:p w14:paraId="14FEBBA0" w14:textId="4D27A241" w:rsidR="00D00C08" w:rsidRDefault="00D00C08"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Diagnostic Standards and the UK Procedure</w:t>
      </w:r>
    </w:p>
    <w:p w14:paraId="30639C84" w14:textId="77777777" w:rsidR="009E72D8" w:rsidRPr="009E72D8" w:rsidRDefault="009E72D8" w:rsidP="009E72D8">
      <w:pPr>
        <w:spacing w:line="360" w:lineRule="auto"/>
        <w:jc w:val="both"/>
        <w:rPr>
          <w:rFonts w:ascii="Arial" w:eastAsia="Times New Roman" w:hAnsi="Arial" w:cs="Arial"/>
          <w:b/>
          <w:sz w:val="22"/>
          <w:szCs w:val="22"/>
        </w:rPr>
      </w:pPr>
    </w:p>
    <w:p w14:paraId="04886CA9" w14:textId="77777777" w:rsidR="00D00C08" w:rsidRPr="009E72D8" w:rsidRDefault="00D00C08"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 xml:space="preserve">The diagnostic criteria are the same as for the general diseases, although the temporal and the contextual are considered: onset during pregnancy or within six weeks of delivery. As per NICE (2014), poor mood and anhedonia screening must be conducted in a systematic manner during the prenatal and postnatal visit with validated tools such as PHQ-9 and GAD-7. </w:t>
      </w:r>
    </w:p>
    <w:p w14:paraId="78A9CBF2" w14:textId="77777777" w:rsidR="00D00C08" w:rsidRPr="009E72D8" w:rsidRDefault="00D00C08" w:rsidP="009E72D8">
      <w:pPr>
        <w:spacing w:line="360" w:lineRule="auto"/>
        <w:jc w:val="both"/>
        <w:rPr>
          <w:rFonts w:ascii="Arial" w:eastAsia="Times New Roman" w:hAnsi="Arial" w:cs="Arial"/>
          <w:sz w:val="22"/>
          <w:szCs w:val="22"/>
        </w:rPr>
      </w:pPr>
    </w:p>
    <w:p w14:paraId="33BE053D" w14:textId="00BD4918" w:rsidR="00D00C08" w:rsidRPr="009E72D8" w:rsidRDefault="00D00C08"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The biopsychosocial examination that has been given priority in the UK practice includes obstetric history, breastfeeding, social supports, and safeguarding concerns (NICE, 2014). However, research indicates that there is unequal access to specialist assessment and screening cover (Royal College of Psychiatrists, 2025).</w:t>
      </w:r>
    </w:p>
    <w:p w14:paraId="4E3F3E20" w14:textId="77777777" w:rsidR="00652A77" w:rsidRPr="009E72D8" w:rsidRDefault="00652A77" w:rsidP="009E72D8">
      <w:pPr>
        <w:spacing w:line="360" w:lineRule="auto"/>
        <w:jc w:val="both"/>
        <w:rPr>
          <w:rFonts w:ascii="Arial" w:eastAsia="Times New Roman" w:hAnsi="Arial" w:cs="Arial"/>
          <w:sz w:val="22"/>
          <w:szCs w:val="22"/>
        </w:rPr>
      </w:pPr>
    </w:p>
    <w:p w14:paraId="226A4478" w14:textId="67E81A20" w:rsidR="00652A77" w:rsidRPr="009E72D8" w:rsidRDefault="00652A77"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There is still a controversy about diagnostic terminology. Whereas other terms are less pathologising, such as postnatal adjustment to avoid stigma, others emphasise that one should be offered medical recognition to be able to obtain therapy (Howard et al., 2022). Since the dual-coding paradigm in ICD-11 detects prenatal onset without generating any redundant diagnostic entities, it presents a just compromise.</w:t>
      </w:r>
    </w:p>
    <w:p w14:paraId="0633BBE9" w14:textId="77777777" w:rsidR="00563A14" w:rsidRPr="009E72D8" w:rsidRDefault="00563A14" w:rsidP="009E72D8">
      <w:pPr>
        <w:spacing w:line="360" w:lineRule="auto"/>
        <w:jc w:val="both"/>
        <w:rPr>
          <w:rFonts w:ascii="Arial" w:eastAsia="Times New Roman" w:hAnsi="Arial" w:cs="Arial"/>
          <w:sz w:val="22"/>
          <w:szCs w:val="22"/>
        </w:rPr>
      </w:pPr>
    </w:p>
    <w:p w14:paraId="3563336C" w14:textId="47AA5F62" w:rsidR="00652A77" w:rsidRPr="009E72D8" w:rsidRDefault="00563A14"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Methods of Treatment</w:t>
      </w:r>
    </w:p>
    <w:p w14:paraId="23D49509" w14:textId="77777777" w:rsidR="00563A14" w:rsidRPr="009E72D8" w:rsidRDefault="00563A14" w:rsidP="009E72D8">
      <w:pPr>
        <w:spacing w:line="360" w:lineRule="auto"/>
        <w:jc w:val="both"/>
        <w:rPr>
          <w:rFonts w:ascii="Arial" w:eastAsia="Times New Roman" w:hAnsi="Arial" w:cs="Arial"/>
          <w:b/>
          <w:sz w:val="22"/>
          <w:szCs w:val="22"/>
        </w:rPr>
      </w:pPr>
    </w:p>
    <w:p w14:paraId="790BB41B" w14:textId="6FE78E2F" w:rsidR="00652A77" w:rsidRPr="009E72D8" w:rsidRDefault="00652A77"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 xml:space="preserve">UK Perinatal Service Framework </w:t>
      </w:r>
    </w:p>
    <w:p w14:paraId="09BC9CB6" w14:textId="77777777" w:rsidR="00563A14" w:rsidRPr="009E72D8" w:rsidRDefault="00563A14" w:rsidP="009E72D8">
      <w:pPr>
        <w:spacing w:line="360" w:lineRule="auto"/>
        <w:jc w:val="both"/>
        <w:rPr>
          <w:rFonts w:ascii="Arial" w:eastAsia="Times New Roman" w:hAnsi="Arial" w:cs="Arial"/>
          <w:b/>
          <w:sz w:val="22"/>
          <w:szCs w:val="22"/>
        </w:rPr>
      </w:pPr>
    </w:p>
    <w:p w14:paraId="21468388" w14:textId="77777777" w:rsidR="00652A77" w:rsidRPr="009E72D8" w:rsidRDefault="00652A77"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 xml:space="preserve">In the UK, 6E20 diseases are treated by providing a stepped-care approach. The light to moderate presentations are managed with the help of psychological therapies, but the severe or treatment-resistant patients can be treated with pharmaceutical intervention or combination therapy. Specialised perinatal mental health treatments should be available in all parts of England, such as community teams and Mother and Baby Units (MBUs), </w:t>
      </w:r>
    </w:p>
    <w:p w14:paraId="4F2721C4" w14:textId="77777777" w:rsidR="00652A77" w:rsidRPr="009E72D8" w:rsidRDefault="00652A77" w:rsidP="009E72D8">
      <w:pPr>
        <w:spacing w:line="360" w:lineRule="auto"/>
        <w:jc w:val="both"/>
        <w:rPr>
          <w:rFonts w:ascii="Arial" w:eastAsia="Times New Roman" w:hAnsi="Arial" w:cs="Arial"/>
          <w:sz w:val="22"/>
          <w:szCs w:val="22"/>
        </w:rPr>
      </w:pPr>
    </w:p>
    <w:p w14:paraId="57DD208C" w14:textId="6DCF42BA" w:rsidR="00563A14" w:rsidRPr="009E72D8" w:rsidRDefault="00652A77"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As part of the NHS Long Term Plan (NHS England, 2019). Even now, in 2024, some 30% of women lack accessibility to specialised teams in perinatal care even though significant progress has been made in this area (NHS England, 2024). Regional disparity, ignorance of the maternity staff and shortage of workers also hamper early detection and intervention.</w:t>
      </w:r>
    </w:p>
    <w:p w14:paraId="53E5ADF3" w14:textId="69823029" w:rsidR="004D6F4A" w:rsidRPr="009E72D8" w:rsidRDefault="004C0114" w:rsidP="009E72D8">
      <w:pPr>
        <w:spacing w:before="100" w:beforeAutospacing="1" w:after="100" w:afterAutospacing="1" w:line="360" w:lineRule="auto"/>
        <w:jc w:val="both"/>
        <w:rPr>
          <w:rFonts w:ascii="Arial" w:eastAsia="Times New Roman" w:hAnsi="Arial" w:cs="Arial"/>
          <w:b/>
          <w:bCs/>
          <w:sz w:val="22"/>
          <w:szCs w:val="22"/>
        </w:rPr>
      </w:pPr>
      <w:r w:rsidRPr="009E72D8">
        <w:rPr>
          <w:rFonts w:ascii="Arial" w:eastAsia="Times New Roman" w:hAnsi="Arial" w:cs="Arial"/>
          <w:b/>
          <w:bCs/>
          <w:sz w:val="22"/>
          <w:szCs w:val="22"/>
        </w:rPr>
        <w:t xml:space="preserve">Psychosocial </w:t>
      </w:r>
      <w:r w:rsidR="00563A14" w:rsidRPr="009E72D8">
        <w:rPr>
          <w:rFonts w:ascii="Arial" w:eastAsia="Times New Roman" w:hAnsi="Arial" w:cs="Arial"/>
          <w:b/>
          <w:bCs/>
          <w:sz w:val="22"/>
          <w:szCs w:val="22"/>
        </w:rPr>
        <w:t>and Psychological Interventions</w:t>
      </w:r>
    </w:p>
    <w:p w14:paraId="4FF52D66" w14:textId="521C570A" w:rsidR="00A103C9" w:rsidRDefault="004C0114" w:rsidP="009E72D8">
      <w:pPr>
        <w:spacing w:before="100" w:beforeAutospacing="1" w:after="100" w:afterAutospacing="1" w:line="360" w:lineRule="auto"/>
        <w:jc w:val="both"/>
        <w:rPr>
          <w:rFonts w:ascii="Arial" w:eastAsia="Times New Roman" w:hAnsi="Arial" w:cs="Arial"/>
          <w:bCs/>
          <w:sz w:val="22"/>
          <w:szCs w:val="22"/>
        </w:rPr>
      </w:pPr>
      <w:r w:rsidRPr="009E72D8">
        <w:rPr>
          <w:rFonts w:ascii="Arial" w:eastAsia="Times New Roman" w:hAnsi="Arial" w:cs="Arial"/>
          <w:bCs/>
          <w:sz w:val="22"/>
          <w:szCs w:val="22"/>
        </w:rPr>
        <w:t>Interpersonal therapy (IPT) and cognitive behavioural therapy (CBT) are also supported as effective methods to treat perinatal anxiety and depression (Dennis and Dowswell, 2013). Group and digital CBT therapy were found to be as effective as the traditional face-to-face therapy (Byatt et al., 2015). The recovery and social reintegration can be supported by psychosocial assistance, including parenting approaches, peer groups, and social prescribing (Field, 2018). Other peer support services are UK-based charities like Mind (2023) and PANDAS, which tend to bridge the gap between NHS access and their services. However, the differences remain: a significant number of women stop therapy because of time constraints or childcare, and in certain areas, the queue to receive NHS psychological services (IAPT) is long (NHS England, 2024).</w:t>
      </w:r>
    </w:p>
    <w:p w14:paraId="4079F81E" w14:textId="42E26911" w:rsidR="00B279F3" w:rsidRDefault="00B279F3" w:rsidP="009E72D8">
      <w:pPr>
        <w:spacing w:before="100" w:beforeAutospacing="1" w:after="100" w:afterAutospacing="1" w:line="360" w:lineRule="auto"/>
        <w:jc w:val="both"/>
        <w:rPr>
          <w:rFonts w:ascii="Arial" w:hAnsi="Arial" w:cs="Arial"/>
          <w:b/>
          <w:sz w:val="22"/>
          <w:szCs w:val="22"/>
        </w:rPr>
      </w:pPr>
      <w:r w:rsidRPr="00B279F3">
        <w:rPr>
          <w:rFonts w:ascii="Arial" w:hAnsi="Arial" w:cs="Arial"/>
          <w:b/>
          <w:sz w:val="22"/>
          <w:szCs w:val="22"/>
        </w:rPr>
        <w:t>SSRI Safety during Pregnancy</w:t>
      </w:r>
      <w:r>
        <w:rPr>
          <w:rFonts w:ascii="Arial" w:hAnsi="Arial" w:cs="Arial"/>
          <w:b/>
          <w:sz w:val="22"/>
          <w:szCs w:val="22"/>
        </w:rPr>
        <w:t xml:space="preserve"> and Pharmacological Treatment</w:t>
      </w:r>
    </w:p>
    <w:p w14:paraId="4361E39B" w14:textId="223077B5" w:rsidR="00B279F3" w:rsidRPr="00B279F3" w:rsidRDefault="00B279F3" w:rsidP="00B279F3">
      <w:pPr>
        <w:spacing w:before="100" w:beforeAutospacing="1" w:after="100" w:afterAutospacing="1" w:line="360" w:lineRule="auto"/>
        <w:jc w:val="both"/>
        <w:rPr>
          <w:rFonts w:ascii="Arial" w:hAnsi="Arial" w:cs="Arial"/>
          <w:sz w:val="22"/>
          <w:szCs w:val="22"/>
        </w:rPr>
      </w:pPr>
      <w:r w:rsidRPr="00B279F3">
        <w:rPr>
          <w:rFonts w:ascii="Arial" w:hAnsi="Arial" w:cs="Arial"/>
          <w:sz w:val="22"/>
          <w:szCs w:val="22"/>
        </w:rPr>
        <w:t>Pharmacological medication remains vital in the treatment of prenatal anxiety and depression disorders, including the situations when the symptoms are moderate or severe or when the psychosocial therapies prove ineffective (NICE, 2014). The selective serotonin reuptake inhibitors (SSRI) are widely recognized as the first-line pharmacological interventions among the other pharmacotherapies due to their effectiveness and relative safety in pregnancy (McAllister-Williams et al., 2017). Sertraline, fluoxetine, and citalopram are the most frequently prescribed SSRIs because they offer an optimal balance between benefits and harm to the foetus (Howard et al., 2018). When sertraline is compared to other SSRIs, it can be proved that it has a lower placental transfer rate, and it might be a sign of a more favourable safety profile in terms of its use during pregnancy (Gentile, 2017). Moreover, research has proved that even a depression in mothers not treated has severe risks, such as low birth weight, preterm birth, and infant development, which makes the importance of adequate pharmaceutical care very obvious (Grote et al., 2010). Even though transient adaptation syndrome and other potential issues in newborns associated with exposure to SSRIs have been reported, they tend to be mild and self-limiting (Grigoriadis et al., 2014). Clinical guidelines hence support the vigilant although enthusiastic utilisation of SSRIs, particularly when the benefits to the mother surpass the potential threats to the baby (NICE, 2014; McAllister-Williams et al., 2017).</w:t>
      </w:r>
    </w:p>
    <w:p w14:paraId="6AD3C957" w14:textId="77777777" w:rsidR="00225407" w:rsidRPr="009E72D8" w:rsidRDefault="00225407" w:rsidP="009E72D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
          <w:bCs/>
          <w:sz w:val="22"/>
          <w:szCs w:val="22"/>
        </w:rPr>
        <w:t>Comparative Security</w:t>
      </w:r>
    </w:p>
    <w:p w14:paraId="68AFBC69" w14:textId="3847CDB3" w:rsidR="00225407" w:rsidRPr="009E72D8" w:rsidRDefault="00225407"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Even though paroxetine might slightly increase the occurrence rate of heart malformations, systematic assessments have failed to find any meaningful rise in the total malformations among congenital malformations associated with the exposure of SSRI (Kievit et al., 2020). A total of 30% of babies develop neonatal adaptation syndrome, which is short-term and has symptoms such as jitteriness, breathing discomfort, or difficulty feeding (Sanz et al., 2019). Reis and Källalen (2010) state that persistent pulmonary hypertension of the newborn (PPHN) remains a rare condition. Large registry studies (Huybrechts et al., 2014) indicate that absolute risks are low provided that the confounding factors, such as severity of maternal sickness, are controlled. This will help to sustain the use of SSRIs in close monitoring, particularly where there is a malfunction of mother functionality.</w:t>
      </w:r>
    </w:p>
    <w:p w14:paraId="20BC1190" w14:textId="329BE9C5" w:rsidR="00E47309" w:rsidRPr="009E72D8" w:rsidRDefault="00563A14" w:rsidP="009E72D8">
      <w:pPr>
        <w:spacing w:line="360" w:lineRule="auto"/>
        <w:jc w:val="both"/>
        <w:rPr>
          <w:rFonts w:ascii="Arial" w:eastAsia="Times New Roman" w:hAnsi="Arial" w:cs="Arial"/>
          <w:b/>
          <w:sz w:val="22"/>
          <w:szCs w:val="22"/>
        </w:rPr>
      </w:pPr>
      <w:r w:rsidRPr="009E72D8">
        <w:rPr>
          <w:rFonts w:ascii="Arial" w:eastAsia="Times New Roman" w:hAnsi="Arial" w:cs="Arial"/>
          <w:b/>
          <w:sz w:val="22"/>
          <w:szCs w:val="22"/>
        </w:rPr>
        <w:t>Breastfeeding considerations</w:t>
      </w:r>
    </w:p>
    <w:p w14:paraId="4903D1FE" w14:textId="77777777" w:rsidR="00563A14" w:rsidRPr="009E72D8" w:rsidRDefault="00563A14" w:rsidP="009E72D8">
      <w:pPr>
        <w:spacing w:line="360" w:lineRule="auto"/>
        <w:jc w:val="both"/>
        <w:rPr>
          <w:rFonts w:ascii="Arial" w:eastAsia="Times New Roman" w:hAnsi="Arial" w:cs="Arial"/>
          <w:b/>
          <w:sz w:val="22"/>
          <w:szCs w:val="22"/>
        </w:rPr>
      </w:pPr>
    </w:p>
    <w:p w14:paraId="00598ABE" w14:textId="3DAC3179" w:rsidR="00833B48" w:rsidRPr="009E72D8" w:rsidRDefault="00E47309" w:rsidP="009E72D8">
      <w:pPr>
        <w:spacing w:line="360" w:lineRule="auto"/>
        <w:jc w:val="both"/>
        <w:rPr>
          <w:rFonts w:ascii="Arial" w:eastAsia="Times New Roman" w:hAnsi="Arial" w:cs="Arial"/>
          <w:sz w:val="22"/>
          <w:szCs w:val="22"/>
        </w:rPr>
      </w:pPr>
      <w:r w:rsidRPr="009E72D8">
        <w:rPr>
          <w:rFonts w:ascii="Arial" w:eastAsia="Times New Roman" w:hAnsi="Arial" w:cs="Arial"/>
          <w:sz w:val="22"/>
          <w:szCs w:val="22"/>
        </w:rPr>
        <w:t xml:space="preserve">SSRIs such as sertraline or paroxetine usually can be used safely with breastfeeding, and their absorption rate into the breast milk is not high (Weissman et al., 2021; SPS, 2023). Fluoxetine has a long half-life, which makes its use dangerous. As untreated depression leads to a higher risk of maternal-infant bonding and child development, the NICE (2014) and the NHS Specialist Pharmacy Service recommend that the decision-making about treating depression should focus on mothers' wellbeing.  </w:t>
      </w:r>
    </w:p>
    <w:p w14:paraId="6A25F4B1" w14:textId="22640502" w:rsidR="00833B48" w:rsidRPr="009E72D8" w:rsidRDefault="00833B48" w:rsidP="009E72D8">
      <w:pPr>
        <w:spacing w:before="100" w:beforeAutospacing="1" w:after="100" w:afterAutospacing="1" w:line="360" w:lineRule="auto"/>
        <w:jc w:val="both"/>
        <w:rPr>
          <w:rFonts w:ascii="Arial" w:eastAsia="Times New Roman" w:hAnsi="Arial" w:cs="Arial"/>
          <w:b/>
          <w:bCs/>
          <w:sz w:val="22"/>
          <w:szCs w:val="22"/>
        </w:rPr>
      </w:pPr>
      <w:r w:rsidRPr="009E72D8">
        <w:rPr>
          <w:rFonts w:ascii="Arial" w:eastAsia="Times New Roman" w:hAnsi="Arial" w:cs="Arial"/>
          <w:b/>
          <w:bCs/>
          <w:sz w:val="22"/>
          <w:szCs w:val="22"/>
        </w:rPr>
        <w:t xml:space="preserve">Clinical Consequences </w:t>
      </w:r>
    </w:p>
    <w:p w14:paraId="0166914C" w14:textId="4D291F8D" w:rsidR="00A103C9" w:rsidRPr="009E72D8" w:rsidRDefault="00833B48" w:rsidP="009E72D8">
      <w:pPr>
        <w:spacing w:before="100" w:beforeAutospacing="1" w:after="100" w:afterAutospacing="1" w:line="360" w:lineRule="auto"/>
        <w:jc w:val="both"/>
        <w:rPr>
          <w:rFonts w:ascii="Arial" w:eastAsia="Times New Roman" w:hAnsi="Arial" w:cs="Arial"/>
          <w:bCs/>
          <w:sz w:val="22"/>
          <w:szCs w:val="22"/>
        </w:rPr>
      </w:pPr>
      <w:r w:rsidRPr="009E72D8">
        <w:rPr>
          <w:rFonts w:ascii="Arial" w:eastAsia="Times New Roman" w:hAnsi="Arial" w:cs="Arial"/>
          <w:bCs/>
          <w:sz w:val="22"/>
          <w:szCs w:val="22"/>
        </w:rPr>
        <w:t>The physicians are to embrace shared decision-making, render the data in terms of absolute risk, and ensure the collaboration of the primary care and mental health teams and the obstetric team. The use of medications needs periodic postpartum assessments and medication history (NHS Digital, 2022). The use of pharmacological treatment should always conform to the family dynamics, the patient autonomy and the safety.</w:t>
      </w:r>
    </w:p>
    <w:p w14:paraId="3A9DDC80" w14:textId="51589696" w:rsidR="000208E5" w:rsidRPr="009E72D8" w:rsidRDefault="000208E5" w:rsidP="009E72D8">
      <w:pPr>
        <w:spacing w:before="100" w:beforeAutospacing="1" w:after="100" w:afterAutospacing="1" w:line="360" w:lineRule="auto"/>
        <w:jc w:val="both"/>
        <w:rPr>
          <w:rFonts w:ascii="Arial" w:hAnsi="Arial" w:cs="Arial"/>
          <w:b/>
          <w:sz w:val="22"/>
          <w:szCs w:val="22"/>
        </w:rPr>
      </w:pPr>
      <w:r w:rsidRPr="009E72D8">
        <w:rPr>
          <w:rFonts w:ascii="Arial" w:hAnsi="Arial" w:cs="Arial"/>
          <w:b/>
          <w:sz w:val="22"/>
          <w:szCs w:val="22"/>
        </w:rPr>
        <w:t>Lon</w:t>
      </w:r>
      <w:r w:rsidR="001768C8">
        <w:rPr>
          <w:rFonts w:ascii="Arial" w:hAnsi="Arial" w:cs="Arial"/>
          <w:b/>
          <w:sz w:val="22"/>
          <w:szCs w:val="22"/>
        </w:rPr>
        <w:t>g-term Care and Rehabilitation</w:t>
      </w:r>
    </w:p>
    <w:p w14:paraId="69F49A2D" w14:textId="24BF927E" w:rsidR="000208E5" w:rsidRPr="009E72D8" w:rsidRDefault="000208E5" w:rsidP="009E72D8">
      <w:pPr>
        <w:spacing w:before="100" w:beforeAutospacing="1" w:after="100" w:afterAutospacing="1" w:line="360" w:lineRule="auto"/>
        <w:jc w:val="both"/>
        <w:rPr>
          <w:rFonts w:ascii="Arial" w:hAnsi="Arial" w:cs="Arial"/>
          <w:b/>
          <w:sz w:val="22"/>
          <w:szCs w:val="22"/>
        </w:rPr>
      </w:pPr>
      <w:r w:rsidRPr="009E72D8">
        <w:rPr>
          <w:rFonts w:ascii="Arial" w:hAnsi="Arial" w:cs="Arial"/>
          <w:b/>
          <w:sz w:val="22"/>
          <w:szCs w:val="22"/>
        </w:rPr>
        <w:t>Rehabilitation Focus and Practice of</w:t>
      </w:r>
      <w:r w:rsidR="00563A14" w:rsidRPr="009E72D8">
        <w:rPr>
          <w:rFonts w:ascii="Arial" w:hAnsi="Arial" w:cs="Arial"/>
          <w:b/>
          <w:sz w:val="22"/>
          <w:szCs w:val="22"/>
        </w:rPr>
        <w:t xml:space="preserve"> ICD-11</w:t>
      </w:r>
      <w:r w:rsidRPr="009E72D8">
        <w:rPr>
          <w:rFonts w:ascii="Arial" w:hAnsi="Arial" w:cs="Arial"/>
          <w:b/>
          <w:sz w:val="22"/>
          <w:szCs w:val="22"/>
        </w:rPr>
        <w:t xml:space="preserve"> </w:t>
      </w:r>
    </w:p>
    <w:p w14:paraId="0869CF21" w14:textId="77777777" w:rsidR="000208E5" w:rsidRPr="009E72D8" w:rsidRDefault="000208E5" w:rsidP="009E72D8">
      <w:pPr>
        <w:spacing w:before="100" w:beforeAutospacing="1" w:after="100" w:afterAutospacing="1" w:line="360" w:lineRule="auto"/>
        <w:jc w:val="both"/>
        <w:rPr>
          <w:rFonts w:ascii="Arial" w:hAnsi="Arial" w:cs="Arial"/>
          <w:sz w:val="22"/>
          <w:szCs w:val="22"/>
        </w:rPr>
      </w:pPr>
      <w:r w:rsidRPr="009E72D8">
        <w:rPr>
          <w:rFonts w:ascii="Arial" w:hAnsi="Arial" w:cs="Arial"/>
          <w:sz w:val="22"/>
          <w:szCs w:val="22"/>
        </w:rPr>
        <w:t xml:space="preserve">Although it does not provide a prescriptive rehabilitation model, ICD-11 facilitates a holistic recovery, which involves social reintegration, occupational functioning, and parenting confidence (WHO, 2022). The rehabilitation in the UK includes peer support, home-visiting programmes, occupational therapy, and mother-infant psychotherapy. </w:t>
      </w:r>
    </w:p>
    <w:p w14:paraId="36FF865E" w14:textId="7220DA6A" w:rsidR="005D2F28" w:rsidRDefault="000208E5" w:rsidP="009E72D8">
      <w:pPr>
        <w:spacing w:before="100" w:beforeAutospacing="1" w:after="100" w:afterAutospacing="1" w:line="360" w:lineRule="auto"/>
        <w:jc w:val="both"/>
        <w:rPr>
          <w:rFonts w:ascii="Arial" w:hAnsi="Arial" w:cs="Arial"/>
          <w:sz w:val="22"/>
          <w:szCs w:val="22"/>
        </w:rPr>
      </w:pPr>
      <w:r w:rsidRPr="009E72D8">
        <w:rPr>
          <w:rFonts w:ascii="Arial" w:hAnsi="Arial" w:cs="Arial"/>
          <w:sz w:val="22"/>
          <w:szCs w:val="22"/>
        </w:rPr>
        <w:t>Rehabilitation is a psychosocial approach offered by community-based organisations such as Mind, Home-Start, and NCT, which address the aspects of stigma and isolation (Mind, 2023). The Care Act of 2014 states that a local government has to assess the needs in social care and promote the well-being of a mentally ill parent.</w:t>
      </w:r>
    </w:p>
    <w:p w14:paraId="7A50CF8F" w14:textId="77777777" w:rsidR="00F80AE9" w:rsidRDefault="00F80AE9" w:rsidP="009E72D8">
      <w:pPr>
        <w:spacing w:before="100" w:beforeAutospacing="1" w:after="100" w:afterAutospacing="1" w:line="360" w:lineRule="auto"/>
        <w:jc w:val="both"/>
        <w:rPr>
          <w:rFonts w:ascii="Arial" w:hAnsi="Arial" w:cs="Arial"/>
          <w:sz w:val="22"/>
          <w:szCs w:val="22"/>
        </w:rPr>
      </w:pPr>
    </w:p>
    <w:p w14:paraId="09378AD4" w14:textId="77777777" w:rsidR="00F80AE9" w:rsidRPr="009E72D8" w:rsidRDefault="00F80AE9" w:rsidP="009E72D8">
      <w:pPr>
        <w:spacing w:before="100" w:beforeAutospacing="1" w:after="100" w:afterAutospacing="1" w:line="360" w:lineRule="auto"/>
        <w:jc w:val="both"/>
        <w:rPr>
          <w:rFonts w:ascii="Arial" w:hAnsi="Arial" w:cs="Arial"/>
          <w:sz w:val="22"/>
          <w:szCs w:val="22"/>
        </w:rPr>
      </w:pPr>
    </w:p>
    <w:p w14:paraId="4097EA28" w14:textId="3F6CB1BB" w:rsidR="00563A14" w:rsidRPr="009E72D8" w:rsidRDefault="00563A14" w:rsidP="009E72D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
          <w:bCs/>
          <w:sz w:val="22"/>
          <w:szCs w:val="22"/>
        </w:rPr>
        <w:t>Legal Entitlements and Security</w:t>
      </w:r>
    </w:p>
    <w:p w14:paraId="250E225F" w14:textId="6F892A06" w:rsidR="00563A14" w:rsidRPr="009E72D8" w:rsidRDefault="00563A14" w:rsidP="009E72D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Cs/>
          <w:sz w:val="22"/>
          <w:szCs w:val="22"/>
        </w:rPr>
        <w:t>The Mental Health Act 1983 (which was</w:t>
      </w:r>
      <w:r w:rsidR="00323ED2" w:rsidRPr="009E72D8">
        <w:rPr>
          <w:rFonts w:ascii="Arial" w:eastAsia="Times New Roman" w:hAnsi="Arial" w:cs="Arial"/>
          <w:bCs/>
          <w:sz w:val="22"/>
          <w:szCs w:val="22"/>
        </w:rPr>
        <w:t xml:space="preserve"> </w:t>
      </w:r>
      <w:r w:rsidRPr="009E72D8">
        <w:rPr>
          <w:rFonts w:ascii="Arial" w:eastAsia="Times New Roman" w:hAnsi="Arial" w:cs="Arial"/>
          <w:bCs/>
          <w:sz w:val="22"/>
          <w:szCs w:val="22"/>
        </w:rPr>
        <w:t>revised in 2007) defends mother-baby admission protections and the right to mandatory treatment. The Equality Act 2010 ensures that there are accommodations and non-discrimination at the workplace during periods of maternity leave or when returning to work. These legislations are coordinated to promote a rights-based rehabilitation model, which integrates social care roles along with mental health.</w:t>
      </w:r>
      <w:r w:rsidRPr="009E72D8">
        <w:rPr>
          <w:rFonts w:ascii="Arial" w:eastAsia="Times New Roman" w:hAnsi="Arial" w:cs="Arial"/>
          <w:b/>
          <w:bCs/>
          <w:sz w:val="22"/>
          <w:szCs w:val="22"/>
        </w:rPr>
        <w:t xml:space="preserve"> </w:t>
      </w:r>
    </w:p>
    <w:p w14:paraId="5B33C0D8" w14:textId="27CB5A81" w:rsidR="00563A14" w:rsidRPr="009E72D8" w:rsidRDefault="00563A14" w:rsidP="009E72D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
          <w:bCs/>
          <w:sz w:val="22"/>
          <w:szCs w:val="22"/>
        </w:rPr>
        <w:t xml:space="preserve">Implementation Strategy: Reasoning in Neurodiversity-Affirming Perinatal Care </w:t>
      </w:r>
    </w:p>
    <w:p w14:paraId="7BF3EF9E" w14:textId="4E95DF5E" w:rsidR="00A103C9" w:rsidRPr="001768C8" w:rsidRDefault="00563A14" w:rsidP="001768C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Cs/>
          <w:sz w:val="22"/>
          <w:szCs w:val="22"/>
        </w:rPr>
        <w:t>Recent research Carried out in the UK has shown that moms with autism and ADHD are at disproportionately high levels of prenatal distress (Harrison, Payne and Glover, 2021; Loomes, Hull and Mandy, 2022). The classic perinatal pathways often fail to consider neurodivergent needs, and this results in a lack of engagement and overshadowing of the diagnosis. The inclusion goals and requirements provided by the Equality Act 2010 by NHS England are consistent with the neurodiversity-affirming strategy (NHS England, 2019).</w:t>
      </w:r>
    </w:p>
    <w:p w14:paraId="0D0F613F" w14:textId="30066B97" w:rsidR="00F41B5B" w:rsidRPr="009E72D8" w:rsidRDefault="001768C8" w:rsidP="009E72D8">
      <w:pPr>
        <w:spacing w:before="100" w:beforeAutospacing="1" w:after="100" w:afterAutospacing="1" w:line="360" w:lineRule="auto"/>
        <w:jc w:val="both"/>
        <w:outlineLvl w:val="2"/>
        <w:rPr>
          <w:rFonts w:ascii="Arial" w:eastAsia="Times New Roman" w:hAnsi="Arial" w:cs="Arial"/>
          <w:b/>
          <w:bCs/>
          <w:sz w:val="22"/>
          <w:szCs w:val="22"/>
        </w:rPr>
      </w:pPr>
      <w:r>
        <w:rPr>
          <w:rFonts w:ascii="Arial" w:eastAsia="Times New Roman" w:hAnsi="Arial" w:cs="Arial"/>
          <w:b/>
          <w:bCs/>
          <w:sz w:val="22"/>
          <w:szCs w:val="22"/>
        </w:rPr>
        <w:t>T</w:t>
      </w:r>
      <w:r w:rsidR="00F41B5B" w:rsidRPr="009E72D8">
        <w:rPr>
          <w:rFonts w:ascii="Arial" w:eastAsia="Times New Roman" w:hAnsi="Arial" w:cs="Arial"/>
          <w:b/>
          <w:bCs/>
          <w:sz w:val="22"/>
          <w:szCs w:val="22"/>
        </w:rPr>
        <w:t xml:space="preserve">he suggested framework </w:t>
      </w:r>
    </w:p>
    <w:p w14:paraId="58ECE3EE" w14:textId="7EB79B4B" w:rsidR="009D419D" w:rsidRPr="009E72D8" w:rsidRDefault="00F41B5B"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 xml:space="preserve">Assessment </w:t>
      </w:r>
      <w:r w:rsidR="001768C8">
        <w:rPr>
          <w:rFonts w:ascii="Arial" w:eastAsia="Times New Roman" w:hAnsi="Arial" w:cs="Arial"/>
          <w:bCs/>
          <w:sz w:val="22"/>
          <w:szCs w:val="22"/>
        </w:rPr>
        <w:t xml:space="preserve">: </w:t>
      </w:r>
      <w:r w:rsidRPr="009E72D8">
        <w:rPr>
          <w:rFonts w:ascii="Arial" w:eastAsia="Times New Roman" w:hAnsi="Arial" w:cs="Arial"/>
          <w:bCs/>
          <w:sz w:val="22"/>
          <w:szCs w:val="22"/>
        </w:rPr>
        <w:t xml:space="preserve">implies the documentation of sensory and communicative preferences and the introduction of neurodiversity screening instruments, i.e., AQ-10 and ASRS-v1.1, at the stage of prenatal booking. Setting: Have the relaxing waiting rooms, clear signs and flexible schedules. Communication: Purchase neurodiversity awareness modules to be provided to perinatal psychiatrists, health visitors, and midwives (National Autistic Society, 2022). </w:t>
      </w:r>
    </w:p>
    <w:p w14:paraId="20207F91" w14:textId="12F117DA" w:rsidR="00F41B5B" w:rsidRPr="009E72D8" w:rsidRDefault="00F41B5B"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Evaluation: De-identified data concerning the process of evaluation must be documented by perinatal psychiatrists, health visitor and midwives.</w:t>
      </w:r>
    </w:p>
    <w:p w14:paraId="5CE8F24D" w14:textId="35AB0C18" w:rsidR="00F41B5B" w:rsidRPr="009E72D8" w:rsidRDefault="00F41B5B"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Anticipated results: better mother-infant bonds; less crisis incidents and postnatal stigmatization; higher patient satisfaction and retention; adherence to the human rights and equality standards.</w:t>
      </w:r>
    </w:p>
    <w:p w14:paraId="583C7BBB" w14:textId="77777777" w:rsidR="00A103C9" w:rsidRPr="009E72D8" w:rsidRDefault="00A103C9" w:rsidP="009E72D8">
      <w:pPr>
        <w:spacing w:before="100" w:beforeAutospacing="1" w:after="100" w:afterAutospacing="1" w:line="360" w:lineRule="auto"/>
        <w:jc w:val="both"/>
        <w:outlineLvl w:val="2"/>
        <w:rPr>
          <w:rFonts w:ascii="Arial" w:eastAsia="Times New Roman" w:hAnsi="Arial" w:cs="Arial"/>
          <w:b/>
          <w:bCs/>
          <w:sz w:val="22"/>
          <w:szCs w:val="22"/>
        </w:rPr>
      </w:pPr>
      <w:r w:rsidRPr="009E72D8">
        <w:rPr>
          <w:rFonts w:ascii="Arial" w:eastAsia="Times New Roman" w:hAnsi="Arial" w:cs="Arial"/>
          <w:b/>
          <w:bCs/>
          <w:sz w:val="22"/>
          <w:szCs w:val="22"/>
        </w:rPr>
        <w:t>Proposed Framework</w:t>
      </w:r>
    </w:p>
    <w:p w14:paraId="38BFE6D4" w14:textId="669E7EB1" w:rsidR="00F80AE9" w:rsidRPr="00F80AE9" w:rsidRDefault="00A103C9" w:rsidP="009E72D8">
      <w:pPr>
        <w:spacing w:before="100" w:beforeAutospacing="1" w:after="100" w:afterAutospacing="1" w:line="360" w:lineRule="auto"/>
        <w:jc w:val="both"/>
        <w:rPr>
          <w:rFonts w:ascii="Arial" w:hAnsi="Arial" w:cs="Arial"/>
          <w:sz w:val="22"/>
          <w:szCs w:val="22"/>
        </w:rPr>
      </w:pPr>
      <w:r w:rsidRPr="009E72D8">
        <w:rPr>
          <w:rFonts w:ascii="Arial" w:hAnsi="Arial" w:cs="Arial"/>
          <w:bCs/>
          <w:sz w:val="22"/>
          <w:szCs w:val="22"/>
        </w:rPr>
        <w:t>Assessment:</w:t>
      </w:r>
      <w:r w:rsidRPr="009E72D8">
        <w:rPr>
          <w:rFonts w:ascii="Arial" w:hAnsi="Arial" w:cs="Arial"/>
          <w:sz w:val="22"/>
          <w:szCs w:val="22"/>
        </w:rPr>
        <w:t xml:space="preserve"> Introduce neurodiversity screening (e.g., AQ-10, ASRS-v1.1) during antenatal booking; record sensory and communication preferences.</w:t>
      </w:r>
      <w:r w:rsidRPr="009E72D8">
        <w:rPr>
          <w:rFonts w:ascii="Arial" w:hAnsi="Arial" w:cs="Arial"/>
          <w:sz w:val="22"/>
          <w:szCs w:val="22"/>
        </w:rPr>
        <w:br/>
      </w:r>
      <w:r w:rsidRPr="009E72D8">
        <w:rPr>
          <w:rFonts w:ascii="Arial" w:hAnsi="Arial" w:cs="Arial"/>
          <w:bCs/>
          <w:sz w:val="22"/>
          <w:szCs w:val="22"/>
        </w:rPr>
        <w:t>Environment:</w:t>
      </w:r>
      <w:r w:rsidRPr="009E72D8">
        <w:rPr>
          <w:rFonts w:ascii="Arial" w:hAnsi="Arial" w:cs="Arial"/>
          <w:sz w:val="22"/>
          <w:szCs w:val="22"/>
        </w:rPr>
        <w:t xml:space="preserve"> Provide low-stimulation waiting areas, clear signage, and flexible appointment structures.</w:t>
      </w:r>
      <w:r w:rsidRPr="009E72D8">
        <w:rPr>
          <w:rFonts w:ascii="Arial" w:hAnsi="Arial" w:cs="Arial"/>
          <w:sz w:val="22"/>
          <w:szCs w:val="22"/>
        </w:rPr>
        <w:br/>
      </w:r>
    </w:p>
    <w:p w14:paraId="6F4DBF5B" w14:textId="6A3C0C0C" w:rsidR="00F80AE9" w:rsidRDefault="00A103C9" w:rsidP="009E72D8">
      <w:pPr>
        <w:spacing w:before="100" w:beforeAutospacing="1" w:after="100" w:afterAutospacing="1" w:line="360" w:lineRule="auto"/>
        <w:jc w:val="both"/>
        <w:rPr>
          <w:rFonts w:ascii="Arial" w:hAnsi="Arial" w:cs="Arial"/>
          <w:bCs/>
          <w:sz w:val="22"/>
          <w:szCs w:val="22"/>
        </w:rPr>
      </w:pPr>
      <w:r w:rsidRPr="009E72D8">
        <w:rPr>
          <w:rFonts w:ascii="Arial" w:hAnsi="Arial" w:cs="Arial"/>
          <w:bCs/>
          <w:sz w:val="22"/>
          <w:szCs w:val="22"/>
        </w:rPr>
        <w:t>Communication:</w:t>
      </w:r>
      <w:r w:rsidRPr="009E72D8">
        <w:rPr>
          <w:rFonts w:ascii="Arial" w:hAnsi="Arial" w:cs="Arial"/>
          <w:sz w:val="22"/>
          <w:szCs w:val="22"/>
        </w:rPr>
        <w:t xml:space="preserve"> Offer written summaries and predictable care schedules.</w:t>
      </w:r>
      <w:r w:rsidRPr="009E72D8">
        <w:rPr>
          <w:rFonts w:ascii="Arial" w:hAnsi="Arial" w:cs="Arial"/>
          <w:sz w:val="22"/>
          <w:szCs w:val="22"/>
        </w:rPr>
        <w:br/>
      </w:r>
      <w:r w:rsidRPr="009E72D8">
        <w:rPr>
          <w:rFonts w:ascii="Arial" w:hAnsi="Arial" w:cs="Arial"/>
          <w:bCs/>
          <w:sz w:val="22"/>
          <w:szCs w:val="22"/>
        </w:rPr>
        <w:t>Training:</w:t>
      </w:r>
      <w:r w:rsidRPr="009E72D8">
        <w:rPr>
          <w:rFonts w:ascii="Arial" w:hAnsi="Arial" w:cs="Arial"/>
          <w:sz w:val="22"/>
          <w:szCs w:val="22"/>
        </w:rPr>
        <w:t xml:space="preserve"> Implement neurodiversity awareness modules for midwives, perinatal psychiatrists, and health visitors (Na</w:t>
      </w:r>
      <w:r w:rsidR="00F80AE9">
        <w:rPr>
          <w:rFonts w:ascii="Arial" w:hAnsi="Arial" w:cs="Arial"/>
          <w:sz w:val="22"/>
          <w:szCs w:val="22"/>
        </w:rPr>
        <w:t>tional Autistic Society, 2022).</w:t>
      </w:r>
    </w:p>
    <w:p w14:paraId="23638E2D" w14:textId="14B309EF" w:rsidR="00A103C9" w:rsidRPr="009E72D8" w:rsidRDefault="00A103C9" w:rsidP="009E72D8">
      <w:pPr>
        <w:spacing w:before="100" w:beforeAutospacing="1" w:after="100" w:afterAutospacing="1" w:line="360" w:lineRule="auto"/>
        <w:jc w:val="both"/>
        <w:rPr>
          <w:rFonts w:ascii="Arial" w:hAnsi="Arial" w:cs="Arial"/>
          <w:sz w:val="22"/>
          <w:szCs w:val="22"/>
        </w:rPr>
      </w:pPr>
      <w:r w:rsidRPr="009E72D8">
        <w:rPr>
          <w:rFonts w:ascii="Arial" w:hAnsi="Arial" w:cs="Arial"/>
          <w:bCs/>
          <w:sz w:val="22"/>
          <w:szCs w:val="22"/>
        </w:rPr>
        <w:t>Evaluation:</w:t>
      </w:r>
      <w:r w:rsidRPr="009E72D8">
        <w:rPr>
          <w:rFonts w:ascii="Arial" w:hAnsi="Arial" w:cs="Arial"/>
          <w:sz w:val="22"/>
          <w:szCs w:val="22"/>
        </w:rPr>
        <w:t xml:space="preserve"> Collect disaggregated data on neurodivergent outcomes to guide equitable service design (Autistica, 2024).</w:t>
      </w:r>
    </w:p>
    <w:p w14:paraId="4C1748E9" w14:textId="77777777" w:rsidR="00EB2E02" w:rsidRPr="001364B9" w:rsidRDefault="00EB2E02"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 xml:space="preserve">Expected Deliverables: </w:t>
      </w:r>
    </w:p>
    <w:p w14:paraId="64CD936A" w14:textId="50C0F108" w:rsidR="001768C8" w:rsidRPr="009E72D8" w:rsidRDefault="00EB2E02"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 xml:space="preserve">Improved maternal-infant relationships; a reduced number of crisis presentations and postnatal degradation; increased satisfaction and retention of patients; compliance with human rights and equality legislation.  </w:t>
      </w:r>
    </w:p>
    <w:p w14:paraId="4E9B0891" w14:textId="3EBE84C0" w:rsidR="00EB2E02" w:rsidRPr="001364B9" w:rsidRDefault="00EB2E02"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Re</w:t>
      </w:r>
      <w:r w:rsidR="009D2E0F">
        <w:rPr>
          <w:rFonts w:ascii="Arial" w:eastAsia="Times New Roman" w:hAnsi="Arial" w:cs="Arial"/>
          <w:b/>
          <w:bCs/>
          <w:sz w:val="22"/>
          <w:szCs w:val="22"/>
        </w:rPr>
        <w:t>cent Debates and Future Issues</w:t>
      </w:r>
    </w:p>
    <w:p w14:paraId="3C04D43D" w14:textId="77777777" w:rsidR="00EB2E02" w:rsidRPr="001364B9" w:rsidRDefault="00EB2E02"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 xml:space="preserve">Boundaries of Nosology </w:t>
      </w:r>
    </w:p>
    <w:p w14:paraId="49508CEB" w14:textId="218F1653" w:rsidR="00EB2E02" w:rsidRPr="001364B9" w:rsidRDefault="00EB2E02"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It has been argued that prenatal depression is a distinct illness of the biology due to the hormonal and immunological changes (Howard et al., 2022), whereas others support the dimensional approach to general depressive disorders (ICD-11 Browser, 2025). ICD-11contextual coding eliminates fragmentation, yet may obscure processes specific to a prenatal context.</w:t>
      </w:r>
    </w:p>
    <w:p w14:paraId="46B44BEC" w14:textId="77777777" w:rsidR="00EB2E02" w:rsidRPr="001364B9" w:rsidRDefault="00EB2E02"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Access and Screening</w:t>
      </w:r>
    </w:p>
    <w:p w14:paraId="2E6F1287" w14:textId="77777777" w:rsidR="00EB2E02" w:rsidRPr="009E72D8" w:rsidRDefault="00EB2E02"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 xml:space="preserve">Although universal screening will promote detection, overstretched services are being put under pressure. The critics believe screening exposes the risk of diagnostic inflation if nothing meaningful can be provided unless treatment capacity is equally invested in (Royal College of Psychiatrists, 2025). Social Determinants and Equity. The differences in socioeconomic and ethnic background are still quite evident. NHS England (2024) also noted that the risk of severe prenatal mental illness that needs inpatient treatment is four times higher among Black women in the UK. To have a fair implementation of ICD-11 in the UK, structural determinants need to be addressed.  </w:t>
      </w:r>
    </w:p>
    <w:p w14:paraId="4151254B" w14:textId="5E30D2B5" w:rsidR="00EB2E02" w:rsidRPr="001364B9" w:rsidRDefault="00EB2E02"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Recomendations</w:t>
      </w:r>
    </w:p>
    <w:p w14:paraId="766E447E" w14:textId="75D57681" w:rsidR="00EB2E02" w:rsidRPr="009E72D8" w:rsidRDefault="00EB2E02"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Include additional time, severity, breastfeeding condition, and neurodivergence indicators to the ICD-11 specifications of 6E20. Ensure equality between care delivery and diagnosis through combining screening and government-funded treatment avenues. Expand access to rehabilitative treatments in every NHS Integrated Care Board, such as social prescribing models, occupational therapy and mother-infant psychotherapy. Prepare neurodiversity-affirming training for perinatal and maternity professionals. To ensure comprehensive rights-based rehabilitation, enhance consistency of policy between the Mental Health Act, Care Act and Equality Act.</w:t>
      </w:r>
    </w:p>
    <w:p w14:paraId="4D61CB3C" w14:textId="4F26E0E8" w:rsidR="0068487C" w:rsidRPr="001364B9" w:rsidRDefault="0068487C" w:rsidP="009E72D8">
      <w:pPr>
        <w:spacing w:before="100" w:beforeAutospacing="1" w:after="100" w:afterAutospacing="1" w:line="360" w:lineRule="auto"/>
        <w:jc w:val="both"/>
        <w:outlineLvl w:val="2"/>
        <w:rPr>
          <w:rFonts w:ascii="Arial" w:eastAsia="Times New Roman" w:hAnsi="Arial" w:cs="Arial"/>
          <w:b/>
          <w:bCs/>
          <w:sz w:val="22"/>
          <w:szCs w:val="22"/>
        </w:rPr>
      </w:pPr>
      <w:r w:rsidRPr="001364B9">
        <w:rPr>
          <w:rFonts w:ascii="Arial" w:eastAsia="Times New Roman" w:hAnsi="Arial" w:cs="Arial"/>
          <w:b/>
          <w:bCs/>
          <w:sz w:val="22"/>
          <w:szCs w:val="22"/>
        </w:rPr>
        <w:t xml:space="preserve">Conclusion </w:t>
      </w:r>
    </w:p>
    <w:p w14:paraId="7F467AA0" w14:textId="3BBE943D" w:rsidR="00EB2E02" w:rsidRPr="009E72D8" w:rsidRDefault="0068487C" w:rsidP="009E72D8">
      <w:pPr>
        <w:spacing w:before="100" w:beforeAutospacing="1" w:after="100" w:afterAutospacing="1" w:line="360" w:lineRule="auto"/>
        <w:jc w:val="both"/>
        <w:outlineLvl w:val="2"/>
        <w:rPr>
          <w:rFonts w:ascii="Arial" w:eastAsia="Times New Roman" w:hAnsi="Arial" w:cs="Arial"/>
          <w:bCs/>
          <w:sz w:val="22"/>
          <w:szCs w:val="22"/>
        </w:rPr>
      </w:pPr>
      <w:r w:rsidRPr="009E72D8">
        <w:rPr>
          <w:rFonts w:ascii="Arial" w:eastAsia="Times New Roman" w:hAnsi="Arial" w:cs="Arial"/>
          <w:bCs/>
          <w:sz w:val="22"/>
          <w:szCs w:val="22"/>
        </w:rPr>
        <w:t>ICD-11 6E20 provides an effective and flexible position on non-psychotic perinatal mental illness. Nevertheless, the gap between the diagnostic frameworks and service realities has a necessity to bridge in order to implement it optimally in the UK. With the current standards of shared decision-making, the SSRIs, especially sertraline, can be recommended to continue. Rehabilitation should meet more general psychosocial and neurodiversity needs to deliver complete and equitable care. The enhancement of the mental health of mothers and babies needs regular funding, labour training, and interdisciplinary assimilation, all of which are grounded in UK legislation and NICE principles.</w:t>
      </w:r>
    </w:p>
    <w:p w14:paraId="4DDB38D8" w14:textId="77777777" w:rsidR="00EB2E02" w:rsidRDefault="00EB2E02" w:rsidP="00A103C9">
      <w:pPr>
        <w:spacing w:before="100" w:beforeAutospacing="1" w:after="100" w:afterAutospacing="1"/>
        <w:outlineLvl w:val="2"/>
        <w:rPr>
          <w:rFonts w:eastAsia="Times New Roman"/>
          <w:b/>
          <w:bCs/>
          <w:sz w:val="27"/>
          <w:szCs w:val="27"/>
        </w:rPr>
      </w:pPr>
    </w:p>
    <w:p w14:paraId="7321832D" w14:textId="77777777" w:rsidR="00A21CE0" w:rsidRDefault="00A21CE0" w:rsidP="005D2F28">
      <w:pPr>
        <w:spacing w:before="100" w:beforeAutospacing="1" w:after="100" w:afterAutospacing="1"/>
        <w:rPr>
          <w:b/>
        </w:rPr>
      </w:pPr>
    </w:p>
    <w:p w14:paraId="67B25313" w14:textId="77777777" w:rsidR="00A21CE0" w:rsidRDefault="00A21CE0" w:rsidP="005D2F28">
      <w:pPr>
        <w:spacing w:before="100" w:beforeAutospacing="1" w:after="100" w:afterAutospacing="1"/>
        <w:rPr>
          <w:b/>
        </w:rPr>
      </w:pPr>
    </w:p>
    <w:p w14:paraId="3F29F850" w14:textId="77777777" w:rsidR="00A21CE0" w:rsidRDefault="00A21CE0" w:rsidP="005D2F28">
      <w:pPr>
        <w:spacing w:before="100" w:beforeAutospacing="1" w:after="100" w:afterAutospacing="1"/>
        <w:rPr>
          <w:b/>
        </w:rPr>
      </w:pPr>
    </w:p>
    <w:p w14:paraId="193039A9" w14:textId="77777777" w:rsidR="009D2E0F" w:rsidRDefault="009D2E0F" w:rsidP="005D2F28">
      <w:pPr>
        <w:spacing w:before="100" w:beforeAutospacing="1" w:after="100" w:afterAutospacing="1"/>
        <w:rPr>
          <w:b/>
        </w:rPr>
      </w:pPr>
    </w:p>
    <w:p w14:paraId="6A20D98A" w14:textId="77777777" w:rsidR="009D2E0F" w:rsidRDefault="009D2E0F" w:rsidP="005D2F28">
      <w:pPr>
        <w:spacing w:before="100" w:beforeAutospacing="1" w:after="100" w:afterAutospacing="1"/>
        <w:rPr>
          <w:b/>
        </w:rPr>
      </w:pPr>
    </w:p>
    <w:p w14:paraId="09467879" w14:textId="77777777" w:rsidR="009D2E0F" w:rsidRDefault="009D2E0F" w:rsidP="005D2F28">
      <w:pPr>
        <w:spacing w:before="100" w:beforeAutospacing="1" w:after="100" w:afterAutospacing="1"/>
        <w:rPr>
          <w:b/>
        </w:rPr>
      </w:pPr>
    </w:p>
    <w:p w14:paraId="6F887EAA" w14:textId="77777777" w:rsidR="009D2E0F" w:rsidRDefault="009D2E0F" w:rsidP="005D2F28">
      <w:pPr>
        <w:spacing w:before="100" w:beforeAutospacing="1" w:after="100" w:afterAutospacing="1"/>
        <w:rPr>
          <w:b/>
        </w:rPr>
      </w:pPr>
    </w:p>
    <w:p w14:paraId="62702F40" w14:textId="77777777" w:rsidR="009D2E0F" w:rsidRDefault="009D2E0F" w:rsidP="005D2F28">
      <w:pPr>
        <w:spacing w:before="100" w:beforeAutospacing="1" w:after="100" w:afterAutospacing="1"/>
        <w:rPr>
          <w:b/>
        </w:rPr>
      </w:pPr>
    </w:p>
    <w:p w14:paraId="04D18EE2" w14:textId="77777777" w:rsidR="009D2E0F" w:rsidRDefault="009D2E0F" w:rsidP="005D2F28">
      <w:pPr>
        <w:spacing w:before="100" w:beforeAutospacing="1" w:after="100" w:afterAutospacing="1"/>
        <w:rPr>
          <w:b/>
        </w:rPr>
      </w:pPr>
    </w:p>
    <w:p w14:paraId="76632567" w14:textId="77777777" w:rsidR="009D2E0F" w:rsidRDefault="009D2E0F" w:rsidP="005D2F28">
      <w:pPr>
        <w:spacing w:before="100" w:beforeAutospacing="1" w:after="100" w:afterAutospacing="1"/>
        <w:rPr>
          <w:b/>
        </w:rPr>
      </w:pPr>
    </w:p>
    <w:p w14:paraId="549ECE30" w14:textId="77777777" w:rsidR="009D2E0F" w:rsidRDefault="009D2E0F" w:rsidP="005D2F28">
      <w:pPr>
        <w:spacing w:before="100" w:beforeAutospacing="1" w:after="100" w:afterAutospacing="1"/>
        <w:rPr>
          <w:b/>
        </w:rPr>
      </w:pPr>
    </w:p>
    <w:p w14:paraId="6B58E552" w14:textId="77777777" w:rsidR="009D2E0F" w:rsidRDefault="009D2E0F" w:rsidP="005D2F28">
      <w:pPr>
        <w:spacing w:before="100" w:beforeAutospacing="1" w:after="100" w:afterAutospacing="1"/>
        <w:rPr>
          <w:b/>
        </w:rPr>
      </w:pPr>
    </w:p>
    <w:p w14:paraId="063801C5" w14:textId="77777777" w:rsidR="00EB2E02" w:rsidRDefault="00EB2E02" w:rsidP="005D2F28">
      <w:pPr>
        <w:spacing w:before="100" w:beforeAutospacing="1" w:after="100" w:afterAutospacing="1"/>
        <w:rPr>
          <w:b/>
        </w:rPr>
      </w:pPr>
    </w:p>
    <w:p w14:paraId="0479C344" w14:textId="4E83F29E" w:rsidR="00A103C9" w:rsidRPr="005D2F28" w:rsidRDefault="00A103C9" w:rsidP="005D2F28">
      <w:pPr>
        <w:spacing w:before="100" w:beforeAutospacing="1" w:after="100" w:afterAutospacing="1"/>
        <w:rPr>
          <w:b/>
        </w:rPr>
      </w:pPr>
      <w:r w:rsidRPr="00A103C9">
        <w:rPr>
          <w:rFonts w:eastAsia="Times New Roman"/>
          <w:b/>
          <w:bCs/>
          <w:sz w:val="36"/>
          <w:szCs w:val="36"/>
        </w:rPr>
        <w:t xml:space="preserve">References </w:t>
      </w:r>
    </w:p>
    <w:p w14:paraId="4E44BEB3" w14:textId="77777777" w:rsidR="00A103C9" w:rsidRPr="00A103C9" w:rsidRDefault="00A103C9" w:rsidP="00A103C9">
      <w:pPr>
        <w:spacing w:before="100" w:beforeAutospacing="1" w:after="100" w:afterAutospacing="1"/>
      </w:pPr>
      <w:r w:rsidRPr="00A103C9">
        <w:t xml:space="preserve">Autistica (2024) </w:t>
      </w:r>
      <w:r w:rsidRPr="00A103C9">
        <w:rPr>
          <w:i/>
          <w:iCs/>
        </w:rPr>
        <w:t>Neurodivergent Parenthood and Mental Health: Policy Brief.</w:t>
      </w:r>
      <w:r w:rsidRPr="00A103C9">
        <w:t xml:space="preserve"> London: Autistica.</w:t>
      </w:r>
    </w:p>
    <w:p w14:paraId="3E54BF4E" w14:textId="042710E0" w:rsidR="00A103C9" w:rsidRPr="00A103C9" w:rsidRDefault="00A103C9" w:rsidP="00A103C9">
      <w:pPr>
        <w:spacing w:before="100" w:beforeAutospacing="1" w:after="100" w:afterAutospacing="1"/>
      </w:pPr>
      <w:r w:rsidRPr="00A103C9">
        <w:t xml:space="preserve">Byatt, N., Levin, L.L., Ziedonis, D.M., Moore Simas, T.A. and Allison, J. (2015) ‘Enhancing participation in depression care in obstetrics: A multidisciplinary approach’, </w:t>
      </w:r>
      <w:r w:rsidRPr="00A103C9">
        <w:rPr>
          <w:i/>
          <w:iCs/>
        </w:rPr>
        <w:t>American Journal of Obstetrics and Gynecology</w:t>
      </w:r>
      <w:r w:rsidRPr="00A103C9">
        <w:t xml:space="preserve">, 212(3), pp. 273–279. </w:t>
      </w:r>
    </w:p>
    <w:p w14:paraId="543BEADA" w14:textId="77777777" w:rsidR="00A103C9" w:rsidRPr="00A103C9" w:rsidRDefault="00A103C9" w:rsidP="00A103C9">
      <w:pPr>
        <w:spacing w:before="100" w:beforeAutospacing="1" w:after="100" w:afterAutospacing="1"/>
      </w:pPr>
      <w:r w:rsidRPr="00A103C9">
        <w:t xml:space="preserve">Care Act 2014. (2014) </w:t>
      </w:r>
      <w:r w:rsidRPr="00A103C9">
        <w:rPr>
          <w:i/>
          <w:iCs/>
        </w:rPr>
        <w:t>UK Public General Acts, c.23.</w:t>
      </w:r>
      <w:r w:rsidRPr="00A103C9">
        <w:t xml:space="preserve"> London: The Stationery Office.</w:t>
      </w:r>
    </w:p>
    <w:p w14:paraId="19AD8D08" w14:textId="24CBBB6C" w:rsidR="00A103C9" w:rsidRPr="00A103C9" w:rsidRDefault="00A103C9" w:rsidP="00A103C9">
      <w:pPr>
        <w:spacing w:before="100" w:beforeAutospacing="1" w:after="100" w:afterAutospacing="1"/>
      </w:pPr>
      <w:r w:rsidRPr="00A103C9">
        <w:t xml:space="preserve">Dennis, C.L. and Dowswell, T. (2013) ‘Psychosocial and psychological interventions for preventing postpartum depression’, </w:t>
      </w:r>
      <w:r w:rsidRPr="00A103C9">
        <w:rPr>
          <w:i/>
          <w:iCs/>
        </w:rPr>
        <w:t>Cochrane Database of Systematic Reviews</w:t>
      </w:r>
      <w:r w:rsidRPr="00A103C9">
        <w:t xml:space="preserve">, (2), </w:t>
      </w:r>
    </w:p>
    <w:p w14:paraId="32082B99" w14:textId="77777777" w:rsidR="00A103C9" w:rsidRPr="00A103C9" w:rsidRDefault="00A103C9" w:rsidP="00A103C9">
      <w:pPr>
        <w:spacing w:before="100" w:beforeAutospacing="1" w:after="100" w:afterAutospacing="1"/>
      </w:pPr>
      <w:r w:rsidRPr="00A103C9">
        <w:t xml:space="preserve">Equality Act 2010. (2010) </w:t>
      </w:r>
      <w:r w:rsidRPr="00A103C9">
        <w:rPr>
          <w:i/>
          <w:iCs/>
        </w:rPr>
        <w:t>UK Public General Acts, c.15.</w:t>
      </w:r>
      <w:r w:rsidRPr="00A103C9">
        <w:t xml:space="preserve"> London: The Stationery Office.</w:t>
      </w:r>
    </w:p>
    <w:p w14:paraId="7E7D4F31" w14:textId="59329265" w:rsidR="00A103C9" w:rsidRPr="00A103C9" w:rsidRDefault="00A103C9" w:rsidP="00A103C9">
      <w:pPr>
        <w:spacing w:before="100" w:beforeAutospacing="1" w:after="100" w:afterAutospacing="1"/>
      </w:pPr>
      <w:r w:rsidRPr="00A103C9">
        <w:t xml:space="preserve">Field, T. (2018) ‘Postpartum depression effects on early interactions, parenting, and safety practices: A review’, </w:t>
      </w:r>
      <w:r w:rsidRPr="00A103C9">
        <w:rPr>
          <w:i/>
          <w:iCs/>
        </w:rPr>
        <w:t>Infant Behavior and Development</w:t>
      </w:r>
      <w:r w:rsidRPr="00A103C9">
        <w:t xml:space="preserve">, 51, pp. 24–32. </w:t>
      </w:r>
    </w:p>
    <w:p w14:paraId="2853F700" w14:textId="69BF0F3B" w:rsidR="00A103C9" w:rsidRDefault="00A103C9" w:rsidP="00A103C9">
      <w:pPr>
        <w:spacing w:before="100" w:beforeAutospacing="1" w:after="100" w:afterAutospacing="1"/>
      </w:pPr>
      <w:r w:rsidRPr="00A103C9">
        <w:t xml:space="preserve">Fitelson, E., Kim, S., Baker, A.S. and Leight, K. (2011) ‘Treatment of postpartum depression: Clinical, psychological, and pharmacological options’, </w:t>
      </w:r>
      <w:r w:rsidRPr="00A103C9">
        <w:rPr>
          <w:i/>
          <w:iCs/>
        </w:rPr>
        <w:t>International Journal of Women’s Health</w:t>
      </w:r>
      <w:r w:rsidRPr="00A103C9">
        <w:t xml:space="preserve">, 3, pp. 1–14. </w:t>
      </w:r>
    </w:p>
    <w:p w14:paraId="5D329478" w14:textId="77777777" w:rsidR="00B279F3" w:rsidRDefault="00B279F3" w:rsidP="00B279F3">
      <w:pPr>
        <w:pStyle w:val="NormalWeb"/>
      </w:pPr>
      <w:r>
        <w:t xml:space="preserve">Gentile, S. (2017) ‘Selective serotonin reuptake inhibitor exposure during early pregnancy and the risk of birth defects’, </w:t>
      </w:r>
      <w:r>
        <w:rPr>
          <w:rStyle w:val="Emphasis"/>
        </w:rPr>
        <w:t>Acta Psychiatrica Scandinavica</w:t>
      </w:r>
      <w:r>
        <w:t>, 136(4), pp. 343–358.</w:t>
      </w:r>
    </w:p>
    <w:p w14:paraId="7876B9B9" w14:textId="77777777" w:rsidR="00B279F3" w:rsidRDefault="00B279F3" w:rsidP="00B279F3">
      <w:pPr>
        <w:pStyle w:val="NormalWeb"/>
      </w:pPr>
      <w:r>
        <w:t xml:space="preserve">Grigoriadis, S., VonderPorten, E.H., Mamisashvili, L., Tomlinson, G., Dennis, C.-L., Koren, G., Steiner, M. and Mousmanis, P. (2014) ‘Prenatal exposure to antidepressants and persistent pulmonary hypertension of the newborn: systematic review and meta-analysis’, </w:t>
      </w:r>
      <w:r>
        <w:rPr>
          <w:rStyle w:val="Emphasis"/>
        </w:rPr>
        <w:t>BMJ</w:t>
      </w:r>
      <w:r>
        <w:t>, 348, p. f6932.</w:t>
      </w:r>
    </w:p>
    <w:p w14:paraId="4731D12D" w14:textId="19ED920C" w:rsidR="00B279F3" w:rsidRPr="00A103C9" w:rsidRDefault="00B279F3" w:rsidP="00BA7959">
      <w:pPr>
        <w:pStyle w:val="NormalWeb"/>
      </w:pPr>
      <w:r>
        <w:t xml:space="preserve">Grote, N.K., Bridge, J.A., Gavin, A.R., Melville, J.L., Iyengar, S. and Katon, W.J. (2010) ‘A meta-analysis of depression during pregnancy and the risk of preterm birth, low birth weight, and intrauterine growth restriction’, </w:t>
      </w:r>
      <w:r>
        <w:rPr>
          <w:rStyle w:val="Emphasis"/>
        </w:rPr>
        <w:t>Archives of General Psychiatry</w:t>
      </w:r>
      <w:r>
        <w:t>, 67(10), pp. 1012–1024.</w:t>
      </w:r>
    </w:p>
    <w:p w14:paraId="38377991" w14:textId="20FA2031" w:rsidR="00A103C9" w:rsidRPr="00A103C9" w:rsidRDefault="00A103C9" w:rsidP="00A103C9">
      <w:pPr>
        <w:spacing w:before="100" w:beforeAutospacing="1" w:after="100" w:afterAutospacing="1"/>
      </w:pPr>
      <w:r w:rsidRPr="00A103C9">
        <w:t xml:space="preserve">Harrison, E., Payne, H. and Glover, V. (2021) ‘Perinatal mental health in autistic women: Challenges and service responses’, </w:t>
      </w:r>
      <w:r w:rsidRPr="00A103C9">
        <w:rPr>
          <w:i/>
          <w:iCs/>
        </w:rPr>
        <w:t>BJPsych Open</w:t>
      </w:r>
      <w:r w:rsidRPr="00A103C9">
        <w:t>, 7(5), e148.</w:t>
      </w:r>
      <w:r w:rsidR="009D2E0F">
        <w:t xml:space="preserve"> </w:t>
      </w:r>
    </w:p>
    <w:p w14:paraId="433F7CDA" w14:textId="4AD52211" w:rsidR="00A103C9" w:rsidRDefault="00A103C9" w:rsidP="00A103C9">
      <w:pPr>
        <w:spacing w:before="100" w:beforeAutospacing="1" w:after="100" w:afterAutospacing="1"/>
      </w:pPr>
      <w:r w:rsidRPr="00A103C9">
        <w:t xml:space="preserve">Howard, L.M., Khalifeh, H. and Sutter-Dallay, A.L. (2022) ‘Perinatal mental health: The gaps and priorities for global research’, </w:t>
      </w:r>
      <w:r w:rsidRPr="00A103C9">
        <w:rPr>
          <w:i/>
          <w:iCs/>
        </w:rPr>
        <w:t>The Lancet Psychiatry</w:t>
      </w:r>
      <w:r w:rsidRPr="00A103C9">
        <w:t xml:space="preserve">, 9(10), pp. 769–781. </w:t>
      </w:r>
    </w:p>
    <w:p w14:paraId="1057DA1C" w14:textId="4A04E389" w:rsidR="00B279F3" w:rsidRPr="00A103C9" w:rsidRDefault="00B279F3" w:rsidP="00B279F3">
      <w:pPr>
        <w:pStyle w:val="NormalWeb"/>
      </w:pPr>
      <w:r>
        <w:t xml:space="preserve">Howard, L.M., Molyneaux, E., Dennis, C.-L., Rochat, T., Stein, A. and Milgrom, J. (2018) ‘Non-psychotic mental disorders in the perinatal period’, </w:t>
      </w:r>
      <w:r>
        <w:rPr>
          <w:rStyle w:val="Emphasis"/>
        </w:rPr>
        <w:t>The Lancet</w:t>
      </w:r>
      <w:r>
        <w:t>, 392(10157), pp. 1775–1788.</w:t>
      </w:r>
    </w:p>
    <w:p w14:paraId="75A5947A" w14:textId="36B1AC7A" w:rsidR="00A103C9" w:rsidRPr="00A103C9" w:rsidRDefault="00A103C9" w:rsidP="00A103C9">
      <w:pPr>
        <w:spacing w:before="100" w:beforeAutospacing="1" w:after="100" w:afterAutospacing="1"/>
      </w:pPr>
      <w:r w:rsidRPr="00A103C9">
        <w:t xml:space="preserve">Huybrechts, K.F. et al. (2014) ‘Antidepressant use in pregnancy and the risk of cardiac defects’, </w:t>
      </w:r>
      <w:r w:rsidRPr="00A103C9">
        <w:rPr>
          <w:i/>
          <w:iCs/>
        </w:rPr>
        <w:t>New England Journal of Medicine</w:t>
      </w:r>
      <w:r w:rsidRPr="00A103C9">
        <w:t xml:space="preserve">, 370(25), pp. 2397–2407. </w:t>
      </w:r>
    </w:p>
    <w:p w14:paraId="6C3E11FD" w14:textId="77777777" w:rsidR="00A103C9" w:rsidRPr="00A103C9" w:rsidRDefault="00A103C9" w:rsidP="00A103C9">
      <w:pPr>
        <w:spacing w:before="100" w:beforeAutospacing="1" w:after="100" w:afterAutospacing="1"/>
      </w:pPr>
      <w:r w:rsidRPr="00A103C9">
        <w:t xml:space="preserve">ICD-11 Browser (2025) </w:t>
      </w:r>
      <w:r w:rsidRPr="00A103C9">
        <w:rPr>
          <w:i/>
          <w:iCs/>
        </w:rPr>
        <w:t>International Classification of Diseases 11th Revision.</w:t>
      </w:r>
      <w:r w:rsidRPr="00A103C9">
        <w:t xml:space="preserve"> Geneva: World Health Organization.</w:t>
      </w:r>
    </w:p>
    <w:p w14:paraId="244518EA" w14:textId="61B82A91" w:rsidR="00A103C9" w:rsidRPr="00A103C9" w:rsidRDefault="00A103C9" w:rsidP="00A103C9">
      <w:pPr>
        <w:spacing w:before="100" w:beforeAutospacing="1" w:after="100" w:afterAutospacing="1"/>
      </w:pPr>
      <w:r w:rsidRPr="00A103C9">
        <w:t xml:space="preserve">Kievit, R. et al. (2020) ‘Antidepressant exposure in pregnancy and risk of congenital anomalies: A systematic review and meta-analysis’, </w:t>
      </w:r>
      <w:r w:rsidRPr="00A103C9">
        <w:rPr>
          <w:i/>
          <w:iCs/>
        </w:rPr>
        <w:t>BMJ Open</w:t>
      </w:r>
      <w:r w:rsidRPr="00A103C9">
        <w:t xml:space="preserve">, 10(5), e034239. </w:t>
      </w:r>
    </w:p>
    <w:p w14:paraId="71043F68" w14:textId="77777777" w:rsidR="00EB2E02" w:rsidRDefault="00A103C9" w:rsidP="00A103C9">
      <w:pPr>
        <w:spacing w:before="100" w:beforeAutospacing="1" w:after="100" w:afterAutospacing="1"/>
      </w:pPr>
      <w:r w:rsidRPr="00A103C9">
        <w:t xml:space="preserve">Loomes, R., Hull, L. and Mandy, W. (2022) ‘Autistic women’s experiences of pregnancy and motherhood: A qualitative meta-synthesis’, </w:t>
      </w:r>
      <w:r w:rsidRPr="00A103C9">
        <w:rPr>
          <w:i/>
          <w:iCs/>
        </w:rPr>
        <w:t>Autism</w:t>
      </w:r>
      <w:r w:rsidRPr="00A103C9">
        <w:t xml:space="preserve">, 26(3), pp. 769–784. </w:t>
      </w:r>
      <w:r w:rsidR="00EB2E02">
        <w:t xml:space="preserve"> </w:t>
      </w:r>
    </w:p>
    <w:p w14:paraId="01EF40A6" w14:textId="7257D5DB" w:rsidR="00B279F3" w:rsidRPr="00A103C9" w:rsidRDefault="00A103C9" w:rsidP="00A103C9">
      <w:pPr>
        <w:spacing w:before="100" w:beforeAutospacing="1" w:after="100" w:afterAutospacing="1"/>
      </w:pPr>
      <w:r w:rsidRPr="00A103C9">
        <w:t xml:space="preserve">McAllister-Williams, R.H. et al. (2017) ‘Guidelines for the management of depression during pregnancy’, </w:t>
      </w:r>
      <w:r w:rsidRPr="00A103C9">
        <w:rPr>
          <w:i/>
          <w:iCs/>
        </w:rPr>
        <w:t>Journal of Psychopharmacology</w:t>
      </w:r>
      <w:r w:rsidRPr="00A103C9">
        <w:t xml:space="preserve">, 31(10), pp. 1282–1301. </w:t>
      </w:r>
    </w:p>
    <w:p w14:paraId="2BEA45ED" w14:textId="77777777" w:rsidR="00A103C9" w:rsidRDefault="00A103C9" w:rsidP="00A103C9">
      <w:pPr>
        <w:spacing w:before="100" w:beforeAutospacing="1" w:after="100" w:afterAutospacing="1"/>
      </w:pPr>
      <w:r w:rsidRPr="00A103C9">
        <w:t xml:space="preserve">Mind (2023) </w:t>
      </w:r>
      <w:r w:rsidRPr="00A103C9">
        <w:rPr>
          <w:i/>
          <w:iCs/>
        </w:rPr>
        <w:t>Support for New and Expectant Mothers – Policy Position.</w:t>
      </w:r>
      <w:r w:rsidRPr="00A103C9">
        <w:t xml:space="preserve"> London: Mind.</w:t>
      </w:r>
    </w:p>
    <w:p w14:paraId="78423A3B" w14:textId="461DABFB" w:rsidR="002934C4" w:rsidRPr="00A103C9" w:rsidRDefault="002934C4" w:rsidP="002934C4">
      <w:pPr>
        <w:pStyle w:val="NormalWeb"/>
      </w:pPr>
      <w:r>
        <w:t xml:space="preserve">National Institute for Health and Care Excellence (NICE) (2014) </w:t>
      </w:r>
      <w:r>
        <w:rPr>
          <w:rStyle w:val="Emphasis"/>
        </w:rPr>
        <w:t>Antenatal and postnatal mental health: clinical management and service guidance (CG192)</w:t>
      </w:r>
      <w:r>
        <w:t>. London: NICE.</w:t>
      </w:r>
    </w:p>
    <w:p w14:paraId="55895982" w14:textId="77777777" w:rsidR="00A103C9" w:rsidRPr="00A103C9" w:rsidRDefault="00A103C9" w:rsidP="00A103C9">
      <w:pPr>
        <w:spacing w:before="100" w:beforeAutospacing="1" w:after="100" w:afterAutospacing="1"/>
      </w:pPr>
      <w:r w:rsidRPr="00A103C9">
        <w:t xml:space="preserve">NHS England (2019) </w:t>
      </w:r>
      <w:r w:rsidRPr="00A103C9">
        <w:rPr>
          <w:i/>
          <w:iCs/>
        </w:rPr>
        <w:t>NHS Long Term Plan.</w:t>
      </w:r>
      <w:r w:rsidRPr="00A103C9">
        <w:t xml:space="preserve"> London: NHS England.</w:t>
      </w:r>
    </w:p>
    <w:p w14:paraId="113BA3DA" w14:textId="77777777" w:rsidR="00A103C9" w:rsidRPr="00A103C9" w:rsidRDefault="00A103C9" w:rsidP="00A103C9">
      <w:pPr>
        <w:spacing w:before="100" w:beforeAutospacing="1" w:after="100" w:afterAutospacing="1"/>
      </w:pPr>
      <w:r w:rsidRPr="00A103C9">
        <w:t xml:space="preserve">NHS England (2024) </w:t>
      </w:r>
      <w:r w:rsidRPr="00A103C9">
        <w:rPr>
          <w:i/>
          <w:iCs/>
        </w:rPr>
        <w:t>Perinatal Mental Health Service Expansion Programme: Progress Report 2024.</w:t>
      </w:r>
      <w:r w:rsidRPr="00A103C9">
        <w:t xml:space="preserve"> London: NHS England.</w:t>
      </w:r>
    </w:p>
    <w:p w14:paraId="38098A95" w14:textId="77777777" w:rsidR="00A103C9" w:rsidRPr="00A103C9" w:rsidRDefault="00A103C9" w:rsidP="00A103C9">
      <w:pPr>
        <w:spacing w:before="100" w:beforeAutospacing="1" w:after="100" w:afterAutospacing="1"/>
      </w:pPr>
      <w:r w:rsidRPr="00A103C9">
        <w:t xml:space="preserve">NHS Specialist Pharmacy Service (SPS) (2023) </w:t>
      </w:r>
      <w:r w:rsidRPr="00A103C9">
        <w:rPr>
          <w:i/>
          <w:iCs/>
        </w:rPr>
        <w:t>Safety of Antidepressants in Breastfeeding.</w:t>
      </w:r>
      <w:r w:rsidRPr="00A103C9">
        <w:t xml:space="preserve"> London: NHS SPS.</w:t>
      </w:r>
    </w:p>
    <w:p w14:paraId="61164C4B" w14:textId="77777777" w:rsidR="00A103C9" w:rsidRPr="00A103C9" w:rsidRDefault="00A103C9" w:rsidP="00A103C9">
      <w:pPr>
        <w:spacing w:before="100" w:beforeAutospacing="1" w:after="100" w:afterAutospacing="1"/>
      </w:pPr>
      <w:r w:rsidRPr="00A103C9">
        <w:t xml:space="preserve">NICE (2014) </w:t>
      </w:r>
      <w:r w:rsidRPr="00A103C9">
        <w:rPr>
          <w:i/>
          <w:iCs/>
        </w:rPr>
        <w:t>Antenatal and Postnatal Mental Health: Clinical Management and Service Guidance (CG192).</w:t>
      </w:r>
      <w:r w:rsidRPr="00A103C9">
        <w:t xml:space="preserve"> London: National Institute for Health and Care Excellence.</w:t>
      </w:r>
    </w:p>
    <w:p w14:paraId="2F79D51B" w14:textId="77777777" w:rsidR="00A103C9" w:rsidRPr="00A103C9" w:rsidRDefault="00A103C9" w:rsidP="00A103C9">
      <w:pPr>
        <w:spacing w:before="100" w:beforeAutospacing="1" w:after="100" w:afterAutospacing="1"/>
      </w:pPr>
      <w:r w:rsidRPr="00A103C9">
        <w:t xml:space="preserve">Office for National Statistics (2025) </w:t>
      </w:r>
      <w:r w:rsidRPr="00A103C9">
        <w:rPr>
          <w:i/>
          <w:iCs/>
        </w:rPr>
        <w:t>Estimated Prevalence of Perinatal Mental Health Conditions in England 2016–2019.</w:t>
      </w:r>
      <w:r w:rsidRPr="00A103C9">
        <w:t xml:space="preserve"> London: ONS.</w:t>
      </w:r>
    </w:p>
    <w:p w14:paraId="6FF129F3" w14:textId="77777777" w:rsidR="00A103C9" w:rsidRPr="00A103C9" w:rsidRDefault="00A103C9" w:rsidP="00A103C9">
      <w:pPr>
        <w:spacing w:before="100" w:beforeAutospacing="1" w:after="100" w:afterAutospacing="1"/>
      </w:pPr>
      <w:r w:rsidRPr="00A103C9">
        <w:t xml:space="preserve">Reis, M. and Källén, B. (2010) ‘Delivery outcome after maternal use of antidepressant drugs in pregnancy: An update’, </w:t>
      </w:r>
      <w:r w:rsidRPr="00A103C9">
        <w:rPr>
          <w:i/>
          <w:iCs/>
        </w:rPr>
        <w:t>International Journal of Risk and Safety in Medicine</w:t>
      </w:r>
      <w:r w:rsidRPr="00A103C9">
        <w:t>, 22(4), pp. 157–167.</w:t>
      </w:r>
    </w:p>
    <w:p w14:paraId="11E33183" w14:textId="490F4C68" w:rsidR="00A103C9" w:rsidRPr="00A103C9" w:rsidRDefault="00A103C9" w:rsidP="00A103C9">
      <w:pPr>
        <w:spacing w:before="100" w:beforeAutospacing="1" w:after="100" w:afterAutospacing="1"/>
      </w:pPr>
      <w:r w:rsidRPr="00A103C9">
        <w:t xml:space="preserve">Weissman, A.M. et al. (2021) ‘Sertraline and paroxetine in breastfeeding: Infant exposure and clinical outcomes’, </w:t>
      </w:r>
      <w:r w:rsidRPr="00A103C9">
        <w:rPr>
          <w:i/>
          <w:iCs/>
        </w:rPr>
        <w:t>Archives of Women’s Mental Health</w:t>
      </w:r>
      <w:r w:rsidRPr="00A103C9">
        <w:t xml:space="preserve">, 24(2), pp. 223–232. </w:t>
      </w:r>
    </w:p>
    <w:p w14:paraId="53EF2729" w14:textId="77777777" w:rsidR="00A103C9" w:rsidRDefault="00A103C9" w:rsidP="00A103C9">
      <w:pPr>
        <w:spacing w:before="100" w:beforeAutospacing="1" w:after="100" w:afterAutospacing="1"/>
      </w:pPr>
      <w:r w:rsidRPr="00A103C9">
        <w:t xml:space="preserve">WHO (2022) </w:t>
      </w:r>
      <w:r w:rsidRPr="00A103C9">
        <w:rPr>
          <w:i/>
          <w:iCs/>
        </w:rPr>
        <w:t>Guide for Integration of Perinatal Mental Health into Maternal and Child Health Services.</w:t>
      </w:r>
      <w:r w:rsidRPr="00A103C9">
        <w:t xml:space="preserve"> Geneva: World Health Organization.</w:t>
      </w:r>
    </w:p>
    <w:p w14:paraId="13FD77A9" w14:textId="02E591C3" w:rsidR="00184372" w:rsidRDefault="00184372" w:rsidP="00184372">
      <w:pPr>
        <w:rPr>
          <w:rFonts w:eastAsia="Times New Roman"/>
        </w:rPr>
      </w:pPr>
    </w:p>
    <w:p w14:paraId="789733A0" w14:textId="77777777" w:rsidR="00184372" w:rsidRPr="00A103C9" w:rsidRDefault="00184372" w:rsidP="00A103C9">
      <w:pPr>
        <w:spacing w:before="100" w:beforeAutospacing="1" w:after="100" w:afterAutospacing="1"/>
      </w:pPr>
    </w:p>
    <w:p w14:paraId="18BE2F0E" w14:textId="77777777" w:rsidR="00C656B5" w:rsidRDefault="00F22B92">
      <w:bookmarkStart w:id="0" w:name="_GoBack"/>
      <w:bookmarkEnd w:id="0"/>
    </w:p>
    <w:sectPr w:rsidR="00C656B5" w:rsidSect="00E21866">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D8627E" w14:textId="77777777" w:rsidR="00F22B92" w:rsidRDefault="00F22B92" w:rsidP="00323ED2">
      <w:r>
        <w:separator/>
      </w:r>
    </w:p>
  </w:endnote>
  <w:endnote w:type="continuationSeparator" w:id="0">
    <w:p w14:paraId="4CDAE5AD" w14:textId="77777777" w:rsidR="00F22B92" w:rsidRDefault="00F22B92" w:rsidP="00323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F6B9E9" w14:textId="77777777" w:rsidR="00323ED2" w:rsidRDefault="00323ED2" w:rsidP="003F042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64ACF12" w14:textId="77777777" w:rsidR="00323ED2" w:rsidRDefault="00323ED2" w:rsidP="00323ED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B2E1B1" w14:textId="77777777" w:rsidR="00323ED2" w:rsidRDefault="00323ED2" w:rsidP="003F042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2B92">
      <w:rPr>
        <w:rStyle w:val="PageNumber"/>
        <w:noProof/>
      </w:rPr>
      <w:t>1</w:t>
    </w:r>
    <w:r>
      <w:rPr>
        <w:rStyle w:val="PageNumber"/>
      </w:rPr>
      <w:fldChar w:fldCharType="end"/>
    </w:r>
  </w:p>
  <w:p w14:paraId="7D263B03" w14:textId="77777777" w:rsidR="00323ED2" w:rsidRDefault="00323ED2" w:rsidP="00323ED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1D83C7" w14:textId="77777777" w:rsidR="00F22B92" w:rsidRDefault="00F22B92" w:rsidP="00323ED2">
      <w:r>
        <w:separator/>
      </w:r>
    </w:p>
  </w:footnote>
  <w:footnote w:type="continuationSeparator" w:id="0">
    <w:p w14:paraId="4ED8653C" w14:textId="77777777" w:rsidR="00F22B92" w:rsidRDefault="00F22B92" w:rsidP="00323ED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DE6AB2"/>
    <w:multiLevelType w:val="multilevel"/>
    <w:tmpl w:val="E5AC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3B1514"/>
    <w:multiLevelType w:val="multilevel"/>
    <w:tmpl w:val="8DEAC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48F47F3"/>
    <w:multiLevelType w:val="multilevel"/>
    <w:tmpl w:val="FCDA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3BF6466"/>
    <w:multiLevelType w:val="multilevel"/>
    <w:tmpl w:val="B8982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7C7B"/>
    <w:rsid w:val="000208E5"/>
    <w:rsid w:val="000E3118"/>
    <w:rsid w:val="001364B9"/>
    <w:rsid w:val="001768C8"/>
    <w:rsid w:val="00184372"/>
    <w:rsid w:val="00225407"/>
    <w:rsid w:val="002667F9"/>
    <w:rsid w:val="002934C4"/>
    <w:rsid w:val="002E768F"/>
    <w:rsid w:val="00323ED2"/>
    <w:rsid w:val="003C3ECF"/>
    <w:rsid w:val="003D10F1"/>
    <w:rsid w:val="004344A1"/>
    <w:rsid w:val="004C0114"/>
    <w:rsid w:val="004D6F4A"/>
    <w:rsid w:val="004F15D2"/>
    <w:rsid w:val="00563A14"/>
    <w:rsid w:val="0058151B"/>
    <w:rsid w:val="00586599"/>
    <w:rsid w:val="005D2F28"/>
    <w:rsid w:val="005F1F8B"/>
    <w:rsid w:val="00637C7B"/>
    <w:rsid w:val="00652A77"/>
    <w:rsid w:val="00653087"/>
    <w:rsid w:val="0068487C"/>
    <w:rsid w:val="007A1C4E"/>
    <w:rsid w:val="007B0AC6"/>
    <w:rsid w:val="00833B48"/>
    <w:rsid w:val="00865483"/>
    <w:rsid w:val="008C765C"/>
    <w:rsid w:val="00904881"/>
    <w:rsid w:val="00950871"/>
    <w:rsid w:val="00974B4A"/>
    <w:rsid w:val="009A4540"/>
    <w:rsid w:val="009D2E0F"/>
    <w:rsid w:val="009D419D"/>
    <w:rsid w:val="009E72D8"/>
    <w:rsid w:val="00A103C9"/>
    <w:rsid w:val="00A21CE0"/>
    <w:rsid w:val="00A2787C"/>
    <w:rsid w:val="00A44A5E"/>
    <w:rsid w:val="00AC6B93"/>
    <w:rsid w:val="00B04B99"/>
    <w:rsid w:val="00B279F3"/>
    <w:rsid w:val="00B91263"/>
    <w:rsid w:val="00BA7959"/>
    <w:rsid w:val="00C07F3F"/>
    <w:rsid w:val="00C33E2C"/>
    <w:rsid w:val="00CE4690"/>
    <w:rsid w:val="00D00C08"/>
    <w:rsid w:val="00D4134E"/>
    <w:rsid w:val="00E21866"/>
    <w:rsid w:val="00E47309"/>
    <w:rsid w:val="00EB2E02"/>
    <w:rsid w:val="00F22B92"/>
    <w:rsid w:val="00F41B5B"/>
    <w:rsid w:val="00F80AE9"/>
    <w:rsid w:val="00F90A71"/>
    <w:rsid w:val="00FD5089"/>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0B4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4372"/>
    <w:rPr>
      <w:rFonts w:ascii="Times New Roman" w:hAnsi="Times New Roman" w:cs="Times New Roman"/>
      <w:lang w:eastAsia="en-GB"/>
    </w:rPr>
  </w:style>
  <w:style w:type="paragraph" w:styleId="Heading1">
    <w:name w:val="heading 1"/>
    <w:basedOn w:val="Normal"/>
    <w:link w:val="Heading1Char"/>
    <w:uiPriority w:val="9"/>
    <w:qFormat/>
    <w:rsid w:val="00637C7B"/>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637C7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637C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C7B"/>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37C7B"/>
    <w:rPr>
      <w:rFonts w:ascii="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37C7B"/>
    <w:rPr>
      <w:rFonts w:ascii="Times New Roman" w:hAnsi="Times New Roman" w:cs="Times New Roman"/>
      <w:b/>
      <w:bCs/>
      <w:sz w:val="27"/>
      <w:szCs w:val="27"/>
      <w:lang w:eastAsia="en-GB"/>
    </w:rPr>
  </w:style>
  <w:style w:type="character" w:styleId="Strong">
    <w:name w:val="Strong"/>
    <w:basedOn w:val="DefaultParagraphFont"/>
    <w:uiPriority w:val="22"/>
    <w:qFormat/>
    <w:rsid w:val="00637C7B"/>
    <w:rPr>
      <w:b/>
      <w:bCs/>
    </w:rPr>
  </w:style>
  <w:style w:type="paragraph" w:styleId="NormalWeb">
    <w:name w:val="Normal (Web)"/>
    <w:basedOn w:val="Normal"/>
    <w:uiPriority w:val="99"/>
    <w:unhideWhenUsed/>
    <w:rsid w:val="00637C7B"/>
    <w:pPr>
      <w:spacing w:before="100" w:beforeAutospacing="1" w:after="100" w:afterAutospacing="1"/>
    </w:pPr>
  </w:style>
  <w:style w:type="character" w:styleId="Emphasis">
    <w:name w:val="Emphasis"/>
    <w:basedOn w:val="DefaultParagraphFont"/>
    <w:uiPriority w:val="20"/>
    <w:qFormat/>
    <w:rsid w:val="00637C7B"/>
    <w:rPr>
      <w:i/>
      <w:iCs/>
    </w:rPr>
  </w:style>
  <w:style w:type="character" w:styleId="Hyperlink">
    <w:name w:val="Hyperlink"/>
    <w:basedOn w:val="DefaultParagraphFont"/>
    <w:uiPriority w:val="99"/>
    <w:unhideWhenUsed/>
    <w:rsid w:val="00637C7B"/>
    <w:rPr>
      <w:color w:val="0000FF"/>
      <w:u w:val="single"/>
    </w:rPr>
  </w:style>
  <w:style w:type="paragraph" w:styleId="Footer">
    <w:name w:val="footer"/>
    <w:basedOn w:val="Normal"/>
    <w:link w:val="FooterChar"/>
    <w:uiPriority w:val="99"/>
    <w:unhideWhenUsed/>
    <w:rsid w:val="00323ED2"/>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23ED2"/>
  </w:style>
  <w:style w:type="character" w:styleId="PageNumber">
    <w:name w:val="page number"/>
    <w:basedOn w:val="DefaultParagraphFont"/>
    <w:uiPriority w:val="99"/>
    <w:semiHidden/>
    <w:unhideWhenUsed/>
    <w:rsid w:val="00323ED2"/>
  </w:style>
  <w:style w:type="character" w:styleId="FollowedHyperlink">
    <w:name w:val="FollowedHyperlink"/>
    <w:basedOn w:val="DefaultParagraphFont"/>
    <w:uiPriority w:val="99"/>
    <w:semiHidden/>
    <w:unhideWhenUsed/>
    <w:rsid w:val="009D2E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018378">
      <w:bodyDiv w:val="1"/>
      <w:marLeft w:val="0"/>
      <w:marRight w:val="0"/>
      <w:marTop w:val="0"/>
      <w:marBottom w:val="0"/>
      <w:divBdr>
        <w:top w:val="none" w:sz="0" w:space="0" w:color="auto"/>
        <w:left w:val="none" w:sz="0" w:space="0" w:color="auto"/>
        <w:bottom w:val="none" w:sz="0" w:space="0" w:color="auto"/>
        <w:right w:val="none" w:sz="0" w:space="0" w:color="auto"/>
      </w:divBdr>
    </w:div>
    <w:div w:id="334039702">
      <w:bodyDiv w:val="1"/>
      <w:marLeft w:val="0"/>
      <w:marRight w:val="0"/>
      <w:marTop w:val="0"/>
      <w:marBottom w:val="0"/>
      <w:divBdr>
        <w:top w:val="none" w:sz="0" w:space="0" w:color="auto"/>
        <w:left w:val="none" w:sz="0" w:space="0" w:color="auto"/>
        <w:bottom w:val="none" w:sz="0" w:space="0" w:color="auto"/>
        <w:right w:val="none" w:sz="0" w:space="0" w:color="auto"/>
      </w:divBdr>
    </w:div>
    <w:div w:id="606541828">
      <w:bodyDiv w:val="1"/>
      <w:marLeft w:val="0"/>
      <w:marRight w:val="0"/>
      <w:marTop w:val="0"/>
      <w:marBottom w:val="0"/>
      <w:divBdr>
        <w:top w:val="none" w:sz="0" w:space="0" w:color="auto"/>
        <w:left w:val="none" w:sz="0" w:space="0" w:color="auto"/>
        <w:bottom w:val="none" w:sz="0" w:space="0" w:color="auto"/>
        <w:right w:val="none" w:sz="0" w:space="0" w:color="auto"/>
      </w:divBdr>
    </w:div>
    <w:div w:id="717582909">
      <w:bodyDiv w:val="1"/>
      <w:marLeft w:val="0"/>
      <w:marRight w:val="0"/>
      <w:marTop w:val="0"/>
      <w:marBottom w:val="0"/>
      <w:divBdr>
        <w:top w:val="none" w:sz="0" w:space="0" w:color="auto"/>
        <w:left w:val="none" w:sz="0" w:space="0" w:color="auto"/>
        <w:bottom w:val="none" w:sz="0" w:space="0" w:color="auto"/>
        <w:right w:val="none" w:sz="0" w:space="0" w:color="auto"/>
      </w:divBdr>
    </w:div>
    <w:div w:id="1206790430">
      <w:bodyDiv w:val="1"/>
      <w:marLeft w:val="0"/>
      <w:marRight w:val="0"/>
      <w:marTop w:val="0"/>
      <w:marBottom w:val="0"/>
      <w:divBdr>
        <w:top w:val="none" w:sz="0" w:space="0" w:color="auto"/>
        <w:left w:val="none" w:sz="0" w:space="0" w:color="auto"/>
        <w:bottom w:val="none" w:sz="0" w:space="0" w:color="auto"/>
        <w:right w:val="none" w:sz="0" w:space="0" w:color="auto"/>
      </w:divBdr>
    </w:div>
    <w:div w:id="1270041311">
      <w:bodyDiv w:val="1"/>
      <w:marLeft w:val="0"/>
      <w:marRight w:val="0"/>
      <w:marTop w:val="0"/>
      <w:marBottom w:val="0"/>
      <w:divBdr>
        <w:top w:val="none" w:sz="0" w:space="0" w:color="auto"/>
        <w:left w:val="none" w:sz="0" w:space="0" w:color="auto"/>
        <w:bottom w:val="none" w:sz="0" w:space="0" w:color="auto"/>
        <w:right w:val="none" w:sz="0" w:space="0" w:color="auto"/>
      </w:divBdr>
    </w:div>
    <w:div w:id="1358776643">
      <w:bodyDiv w:val="1"/>
      <w:marLeft w:val="0"/>
      <w:marRight w:val="0"/>
      <w:marTop w:val="0"/>
      <w:marBottom w:val="0"/>
      <w:divBdr>
        <w:top w:val="none" w:sz="0" w:space="0" w:color="auto"/>
        <w:left w:val="none" w:sz="0" w:space="0" w:color="auto"/>
        <w:bottom w:val="none" w:sz="0" w:space="0" w:color="auto"/>
        <w:right w:val="none" w:sz="0" w:space="0" w:color="auto"/>
      </w:divBdr>
    </w:div>
    <w:div w:id="1520657761">
      <w:bodyDiv w:val="1"/>
      <w:marLeft w:val="0"/>
      <w:marRight w:val="0"/>
      <w:marTop w:val="0"/>
      <w:marBottom w:val="0"/>
      <w:divBdr>
        <w:top w:val="none" w:sz="0" w:space="0" w:color="auto"/>
        <w:left w:val="none" w:sz="0" w:space="0" w:color="auto"/>
        <w:bottom w:val="none" w:sz="0" w:space="0" w:color="auto"/>
        <w:right w:val="none" w:sz="0" w:space="0" w:color="auto"/>
      </w:divBdr>
    </w:div>
    <w:div w:id="1531603294">
      <w:bodyDiv w:val="1"/>
      <w:marLeft w:val="0"/>
      <w:marRight w:val="0"/>
      <w:marTop w:val="0"/>
      <w:marBottom w:val="0"/>
      <w:divBdr>
        <w:top w:val="none" w:sz="0" w:space="0" w:color="auto"/>
        <w:left w:val="none" w:sz="0" w:space="0" w:color="auto"/>
        <w:bottom w:val="none" w:sz="0" w:space="0" w:color="auto"/>
        <w:right w:val="none" w:sz="0" w:space="0" w:color="auto"/>
      </w:divBdr>
    </w:div>
    <w:div w:id="1783063506">
      <w:bodyDiv w:val="1"/>
      <w:marLeft w:val="0"/>
      <w:marRight w:val="0"/>
      <w:marTop w:val="0"/>
      <w:marBottom w:val="0"/>
      <w:divBdr>
        <w:top w:val="none" w:sz="0" w:space="0" w:color="auto"/>
        <w:left w:val="none" w:sz="0" w:space="0" w:color="auto"/>
        <w:bottom w:val="none" w:sz="0" w:space="0" w:color="auto"/>
        <w:right w:val="none" w:sz="0" w:space="0" w:color="auto"/>
      </w:divBdr>
    </w:div>
    <w:div w:id="1786074231">
      <w:bodyDiv w:val="1"/>
      <w:marLeft w:val="0"/>
      <w:marRight w:val="0"/>
      <w:marTop w:val="0"/>
      <w:marBottom w:val="0"/>
      <w:divBdr>
        <w:top w:val="none" w:sz="0" w:space="0" w:color="auto"/>
        <w:left w:val="none" w:sz="0" w:space="0" w:color="auto"/>
        <w:bottom w:val="none" w:sz="0" w:space="0" w:color="auto"/>
        <w:right w:val="none" w:sz="0" w:space="0" w:color="auto"/>
      </w:divBdr>
      <w:divsChild>
        <w:div w:id="857350746">
          <w:marLeft w:val="0"/>
          <w:marRight w:val="0"/>
          <w:marTop w:val="0"/>
          <w:marBottom w:val="0"/>
          <w:divBdr>
            <w:top w:val="none" w:sz="0" w:space="0" w:color="auto"/>
            <w:left w:val="none" w:sz="0" w:space="0" w:color="auto"/>
            <w:bottom w:val="none" w:sz="0" w:space="0" w:color="auto"/>
            <w:right w:val="none" w:sz="0" w:space="0" w:color="auto"/>
          </w:divBdr>
          <w:divsChild>
            <w:div w:id="258410107">
              <w:marLeft w:val="0"/>
              <w:marRight w:val="0"/>
              <w:marTop w:val="0"/>
              <w:marBottom w:val="0"/>
              <w:divBdr>
                <w:top w:val="none" w:sz="0" w:space="0" w:color="auto"/>
                <w:left w:val="none" w:sz="0" w:space="0" w:color="auto"/>
                <w:bottom w:val="none" w:sz="0" w:space="0" w:color="auto"/>
                <w:right w:val="none" w:sz="0" w:space="0" w:color="auto"/>
              </w:divBdr>
              <w:divsChild>
                <w:div w:id="873927034">
                  <w:marLeft w:val="0"/>
                  <w:marRight w:val="0"/>
                  <w:marTop w:val="0"/>
                  <w:marBottom w:val="0"/>
                  <w:divBdr>
                    <w:top w:val="none" w:sz="0" w:space="0" w:color="auto"/>
                    <w:left w:val="none" w:sz="0" w:space="0" w:color="auto"/>
                    <w:bottom w:val="none" w:sz="0" w:space="0" w:color="auto"/>
                    <w:right w:val="none" w:sz="0" w:space="0" w:color="auto"/>
                  </w:divBdr>
                  <w:divsChild>
                    <w:div w:id="164137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874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10</Pages>
  <Words>2889</Words>
  <Characters>16469</Characters>
  <Application>Microsoft Macintosh Word</Application>
  <DocSecurity>0</DocSecurity>
  <Lines>137</Lines>
  <Paragraphs>38</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        ldkklP6029_BIRM)</vt:lpstr>
      <vt:lpstr>/</vt:lpstr>
      <vt:lpstr/>
      <vt:lpstr/>
      <vt:lpstr>Psychopathological Classifications and Provisions (BMHP6029_BIRM)</vt:lpstr>
      <vt:lpstr/>
      <vt:lpstr>Component 2</vt:lpstr>
      <vt:lpstr/>
      <vt:lpstr/>
      <vt:lpstr>ICD-11 6E20: Mental or Behavioural Disorders Associated with Pregnancy, Childbir</vt:lpstr>
      <vt:lpstr>Student Name: Hana Kiros</vt:lpstr>
      <vt:lpstr/>
      <vt:lpstr>Student Number: 2316483</vt:lpstr>
      <vt:lpstr/>
      <vt:lpstr>Psychopathological Classifications and </vt:lpstr>
      <vt:lpstr/>
      <vt:lpstr/>
      <vt:lpstr/>
      <vt:lpstr/>
      <vt:lpstr>    Introduction</vt:lpstr>
      <vt:lpstr>    The category of mental and behavioural disorders related to pregnancy, childbirt</vt:lpstr>
      <vt:lpstr>        Comparative Security</vt:lpstr>
      <vt:lpstr>        Even though paroxetine might slightly increase the occurrence rate of heart malf</vt:lpstr>
      <vt:lpstr>        Legal Entitlements and Security</vt:lpstr>
      <vt:lpstr>        The Mental Health Act 1983 (which was revised in 2007) defends mother-baby admis</vt:lpstr>
      <vt:lpstr>        Implementation Strategy: Reasoning in Neurodiversity-Affirming Perinatal Care </vt:lpstr>
      <vt:lpstr>        Recent research Carried out in the UK has shown that moms with autism and ADHD a</vt:lpstr>
      <vt:lpstr>        The suggested framework </vt:lpstr>
      <vt:lpstr>        Assessment : implies the documentation of sensory and communicative preferences </vt:lpstr>
      <vt:lpstr>        Evaluation: De-identified data concerning the process of evaluation must be docu</vt:lpstr>
      <vt:lpstr>        Anticipated results: better mother-infant bonds; less crisis incidents and postn</vt:lpstr>
      <vt:lpstr>        Proposed Framework</vt:lpstr>
      <vt:lpstr>        Expected Deliverables: </vt:lpstr>
      <vt:lpstr>        Improved maternal-infant relationships; a reduced number of crisis presentations</vt:lpstr>
      <vt:lpstr>        </vt:lpstr>
      <vt:lpstr>        </vt:lpstr>
      <vt:lpstr>        Recent Debates and Future Issues</vt:lpstr>
      <vt:lpstr>        Boundaries of Nosology </vt:lpstr>
      <vt:lpstr>        It has been argued that prenatal depression is a distinct illness of the biology</vt:lpstr>
      <vt:lpstr>        Access and Screening</vt:lpstr>
      <vt:lpstr>        Although universal screening will promote detection, overstretched services are </vt:lpstr>
      <vt:lpstr>        Recomendations</vt:lpstr>
      <vt:lpstr>        Include additional time, severity, breastfeeding condition, and neurodivergence </vt:lpstr>
      <vt:lpstr>        Conclusion </vt:lpstr>
      <vt:lpstr>        ICD-11 6E20 provides an effective and flexible position on non-psychotic perinat</vt:lpstr>
      <vt:lpstr>        </vt:lpstr>
    </vt:vector>
  </TitlesOfParts>
  <LinksUpToDate>false</LinksUpToDate>
  <CharactersWithSpaces>19320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28</cp:revision>
  <dcterms:created xsi:type="dcterms:W3CDTF">2025-10-13T15:19:00Z</dcterms:created>
  <dcterms:modified xsi:type="dcterms:W3CDTF">2025-10-28T16:16:00Z</dcterms:modified>
</cp:coreProperties>
</file>