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60F91" w:rsidRPr="00AC2AED" w:rsidRDefault="00B60F91" w:rsidP="002C2BA7">
      <w:pPr>
        <w:pStyle w:val="Normal1"/>
        <w:spacing w:line="360" w:lineRule="auto"/>
        <w:jc w:val="both"/>
        <w:rPr>
          <w:rFonts w:ascii="Times New Roman" w:eastAsia="Times New Roman" w:hAnsi="Times New Roman" w:cs="Times New Roman"/>
          <w:b/>
          <w:sz w:val="24"/>
          <w:szCs w:val="24"/>
        </w:rPr>
      </w:pPr>
    </w:p>
    <w:p w14:paraId="00000002" w14:textId="77777777" w:rsidR="00B60F91" w:rsidRPr="00AC2AED" w:rsidRDefault="00B60F91" w:rsidP="002C2BA7">
      <w:pPr>
        <w:pStyle w:val="Normal1"/>
        <w:spacing w:line="360" w:lineRule="auto"/>
        <w:jc w:val="both"/>
        <w:rPr>
          <w:rFonts w:ascii="Times New Roman" w:eastAsia="Times New Roman" w:hAnsi="Times New Roman" w:cs="Times New Roman"/>
          <w:b/>
          <w:sz w:val="24"/>
          <w:szCs w:val="24"/>
        </w:rPr>
      </w:pPr>
    </w:p>
    <w:p w14:paraId="00000003" w14:textId="77777777" w:rsidR="00B60F91" w:rsidRPr="00AC2AED" w:rsidRDefault="00B60F91" w:rsidP="002C2BA7">
      <w:pPr>
        <w:pStyle w:val="Normal1"/>
        <w:spacing w:line="360" w:lineRule="auto"/>
        <w:jc w:val="both"/>
        <w:rPr>
          <w:rFonts w:ascii="Times New Roman" w:eastAsia="Times New Roman" w:hAnsi="Times New Roman" w:cs="Times New Roman"/>
          <w:b/>
          <w:sz w:val="24"/>
          <w:szCs w:val="24"/>
        </w:rPr>
      </w:pPr>
    </w:p>
    <w:p w14:paraId="00000004" w14:textId="77777777" w:rsidR="00B60F91" w:rsidRPr="00AC2AED" w:rsidRDefault="00B60F91" w:rsidP="002C2BA7">
      <w:pPr>
        <w:pStyle w:val="Normal1"/>
        <w:spacing w:line="360" w:lineRule="auto"/>
        <w:jc w:val="both"/>
        <w:rPr>
          <w:rFonts w:ascii="Times New Roman" w:eastAsia="Times New Roman" w:hAnsi="Times New Roman" w:cs="Times New Roman"/>
          <w:b/>
          <w:sz w:val="24"/>
          <w:szCs w:val="24"/>
        </w:rPr>
      </w:pPr>
    </w:p>
    <w:p w14:paraId="4C558DF5" w14:textId="77777777" w:rsidR="007357A7" w:rsidRDefault="007357A7" w:rsidP="002C2BA7">
      <w:pPr>
        <w:pStyle w:val="Normal1"/>
        <w:spacing w:line="360" w:lineRule="auto"/>
        <w:jc w:val="center"/>
        <w:rPr>
          <w:rFonts w:ascii="Times New Roman" w:eastAsia="Times New Roman" w:hAnsi="Times New Roman" w:cs="Times New Roman"/>
          <w:b/>
          <w:sz w:val="32"/>
          <w:szCs w:val="32"/>
        </w:rPr>
      </w:pPr>
    </w:p>
    <w:p w14:paraId="216BE54F" w14:textId="77777777" w:rsidR="007357A7" w:rsidRDefault="007357A7" w:rsidP="002C2BA7">
      <w:pPr>
        <w:pStyle w:val="Normal1"/>
        <w:spacing w:line="360" w:lineRule="auto"/>
        <w:jc w:val="center"/>
        <w:rPr>
          <w:rFonts w:ascii="Times New Roman" w:eastAsia="Times New Roman" w:hAnsi="Times New Roman" w:cs="Times New Roman"/>
          <w:b/>
          <w:sz w:val="32"/>
          <w:szCs w:val="32"/>
        </w:rPr>
      </w:pPr>
    </w:p>
    <w:p w14:paraId="5AA5C379" w14:textId="77777777" w:rsidR="007357A7" w:rsidRDefault="007357A7" w:rsidP="002C2BA7">
      <w:pPr>
        <w:pStyle w:val="Normal1"/>
        <w:spacing w:line="360" w:lineRule="auto"/>
        <w:jc w:val="center"/>
        <w:rPr>
          <w:rFonts w:ascii="Times New Roman" w:eastAsia="Times New Roman" w:hAnsi="Times New Roman" w:cs="Times New Roman"/>
          <w:b/>
          <w:sz w:val="32"/>
          <w:szCs w:val="32"/>
        </w:rPr>
      </w:pPr>
    </w:p>
    <w:p w14:paraId="1969C6AC" w14:textId="77777777" w:rsidR="007357A7" w:rsidRDefault="007357A7" w:rsidP="002C2BA7">
      <w:pPr>
        <w:pStyle w:val="Normal1"/>
        <w:spacing w:line="360" w:lineRule="auto"/>
        <w:jc w:val="center"/>
        <w:rPr>
          <w:rFonts w:ascii="Times New Roman" w:eastAsia="Times New Roman" w:hAnsi="Times New Roman" w:cs="Times New Roman"/>
          <w:b/>
          <w:sz w:val="32"/>
          <w:szCs w:val="32"/>
        </w:rPr>
      </w:pPr>
    </w:p>
    <w:p w14:paraId="73D1F4BC" w14:textId="77777777" w:rsidR="007357A7" w:rsidRDefault="007357A7" w:rsidP="002C2BA7">
      <w:pPr>
        <w:pStyle w:val="Normal1"/>
        <w:spacing w:line="360" w:lineRule="auto"/>
        <w:jc w:val="center"/>
        <w:rPr>
          <w:rFonts w:ascii="Times New Roman" w:eastAsia="Times New Roman" w:hAnsi="Times New Roman" w:cs="Times New Roman"/>
          <w:b/>
          <w:sz w:val="32"/>
          <w:szCs w:val="32"/>
        </w:rPr>
      </w:pPr>
    </w:p>
    <w:p w14:paraId="10354BDF" w14:textId="77777777" w:rsidR="007357A7" w:rsidRDefault="007357A7" w:rsidP="002C2BA7">
      <w:pPr>
        <w:pStyle w:val="Normal1"/>
        <w:spacing w:line="360" w:lineRule="auto"/>
        <w:jc w:val="center"/>
        <w:rPr>
          <w:rFonts w:ascii="Times New Roman" w:eastAsia="Times New Roman" w:hAnsi="Times New Roman" w:cs="Times New Roman"/>
          <w:b/>
          <w:sz w:val="32"/>
          <w:szCs w:val="32"/>
        </w:rPr>
      </w:pPr>
    </w:p>
    <w:p w14:paraId="5BE166B1" w14:textId="77777777" w:rsidR="007357A7" w:rsidRDefault="007357A7" w:rsidP="002C2BA7">
      <w:pPr>
        <w:pStyle w:val="Normal1"/>
        <w:spacing w:line="360" w:lineRule="auto"/>
        <w:jc w:val="center"/>
        <w:rPr>
          <w:rFonts w:ascii="Times New Roman" w:eastAsia="Times New Roman" w:hAnsi="Times New Roman" w:cs="Times New Roman"/>
          <w:b/>
          <w:sz w:val="32"/>
          <w:szCs w:val="32"/>
        </w:rPr>
      </w:pPr>
    </w:p>
    <w:p w14:paraId="00000005" w14:textId="620CAA57" w:rsidR="00CA31D1" w:rsidRDefault="007357A7" w:rsidP="002C2BA7">
      <w:pPr>
        <w:pStyle w:val="Normal1"/>
        <w:spacing w:line="360" w:lineRule="auto"/>
        <w:jc w:val="center"/>
        <w:rPr>
          <w:rFonts w:ascii="Times New Roman" w:eastAsia="Times New Roman" w:hAnsi="Times New Roman" w:cs="Times New Roman"/>
          <w:b/>
          <w:sz w:val="32"/>
          <w:szCs w:val="32"/>
        </w:rPr>
      </w:pPr>
      <w:r w:rsidRPr="007357A7">
        <w:rPr>
          <w:rFonts w:ascii="Times New Roman" w:eastAsia="Times New Roman" w:hAnsi="Times New Roman" w:cs="Times New Roman"/>
          <w:b/>
          <w:sz w:val="32"/>
          <w:szCs w:val="32"/>
        </w:rPr>
        <w:t xml:space="preserve">BUSINESS REPORT -COMPARISON OF TWO HOSPITALITY </w:t>
      </w:r>
      <w:proofErr w:type="spellStart"/>
      <w:r w:rsidRPr="007357A7">
        <w:rPr>
          <w:rFonts w:ascii="Times New Roman" w:eastAsia="Times New Roman" w:hAnsi="Times New Roman" w:cs="Times New Roman"/>
          <w:b/>
          <w:sz w:val="32"/>
          <w:szCs w:val="32"/>
        </w:rPr>
        <w:t>ORGANISATIONS</w:t>
      </w:r>
      <w:proofErr w:type="spellEnd"/>
    </w:p>
    <w:p w14:paraId="129AF74E" w14:textId="4FBA1086" w:rsidR="001F5635" w:rsidRDefault="001F5635" w:rsidP="002C2BA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NAME:EMANUELA IOANA MUNTEAN</w:t>
      </w:r>
    </w:p>
    <w:p w14:paraId="48DFE9BA" w14:textId="305BEFF4" w:rsidR="00330FD3" w:rsidRDefault="00330FD3" w:rsidP="002C2BA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ID:2018070</w:t>
      </w:r>
    </w:p>
    <w:p w14:paraId="766B57A7" w14:textId="3974768F" w:rsidR="00330FD3" w:rsidRDefault="00004470" w:rsidP="002C2BA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ID:BMIH5007 </w:t>
      </w:r>
    </w:p>
    <w:p w14:paraId="2DC8F2CA" w14:textId="58C27445" w:rsidR="00004470" w:rsidRDefault="00145A8A" w:rsidP="002C2BA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w:t>
      </w:r>
      <w:r w:rsidR="001C7938">
        <w:rPr>
          <w:rFonts w:ascii="Times New Roman" w:eastAsia="Times New Roman" w:hAnsi="Times New Roman" w:cs="Times New Roman"/>
          <w:b/>
          <w:sz w:val="32"/>
          <w:szCs w:val="32"/>
        </w:rPr>
        <w:t xml:space="preserve">FINANCIAL MANAGEMENT </w:t>
      </w:r>
      <w:r w:rsidR="00772137">
        <w:rPr>
          <w:rFonts w:ascii="Times New Roman" w:eastAsia="Times New Roman" w:hAnsi="Times New Roman" w:cs="Times New Roman"/>
          <w:b/>
          <w:sz w:val="32"/>
          <w:szCs w:val="32"/>
        </w:rPr>
        <w:t>FOR THE HOTEL INDUSTRY</w:t>
      </w:r>
    </w:p>
    <w:p w14:paraId="3393B159" w14:textId="6269C43E" w:rsidR="00772137" w:rsidRDefault="00453DAA" w:rsidP="002C2BA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NAME:JAL</w:t>
      </w:r>
      <w:r w:rsidR="00A742C7">
        <w:rPr>
          <w:rFonts w:ascii="Times New Roman" w:eastAsia="Times New Roman" w:hAnsi="Times New Roman" w:cs="Times New Roman"/>
          <w:b/>
          <w:sz w:val="32"/>
          <w:szCs w:val="32"/>
        </w:rPr>
        <w:t xml:space="preserve">IYA de SILVA </w:t>
      </w:r>
    </w:p>
    <w:p w14:paraId="1AEFADC4" w14:textId="4DE803F6" w:rsidR="00CA31D1" w:rsidRDefault="00CA31D1" w:rsidP="002C2BA7">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Times New Roman" w:eastAsia="Arial" w:hAnsi="Times New Roman" w:cs="Times New Roman"/>
          <w:color w:val="auto"/>
          <w:sz w:val="24"/>
          <w:szCs w:val="24"/>
          <w:lang w:val="en"/>
        </w:rPr>
        <w:id w:val="2102609567"/>
        <w:docPartObj>
          <w:docPartGallery w:val="Table of Contents"/>
          <w:docPartUnique/>
        </w:docPartObj>
      </w:sdtPr>
      <w:sdtEndPr>
        <w:rPr>
          <w:b/>
          <w:bCs/>
          <w:noProof/>
        </w:rPr>
      </w:sdtEndPr>
      <w:sdtContent>
        <w:p w14:paraId="1828E5EC" w14:textId="4E8A72B9" w:rsidR="00CA31D1" w:rsidRPr="00CA31D1" w:rsidRDefault="00CA31D1" w:rsidP="002C2BA7">
          <w:pPr>
            <w:pStyle w:val="Titlucuprins"/>
            <w:spacing w:line="360" w:lineRule="auto"/>
            <w:jc w:val="center"/>
            <w:rPr>
              <w:rFonts w:ascii="Times New Roman" w:hAnsi="Times New Roman" w:cs="Times New Roman"/>
              <w:b/>
              <w:bCs/>
              <w:color w:val="auto"/>
              <w:sz w:val="28"/>
              <w:szCs w:val="28"/>
            </w:rPr>
          </w:pPr>
          <w:r w:rsidRPr="00CA31D1">
            <w:rPr>
              <w:rFonts w:ascii="Times New Roman" w:hAnsi="Times New Roman" w:cs="Times New Roman"/>
              <w:b/>
              <w:bCs/>
              <w:color w:val="auto"/>
              <w:sz w:val="28"/>
              <w:szCs w:val="28"/>
            </w:rPr>
            <w:t>TABLE OF CONTENTS</w:t>
          </w:r>
        </w:p>
        <w:p w14:paraId="56ECF65E" w14:textId="42DC34BB" w:rsidR="00CA31D1" w:rsidRPr="00CA31D1" w:rsidRDefault="00CA31D1" w:rsidP="002C2BA7">
          <w:pPr>
            <w:pStyle w:val="Cuprins1"/>
            <w:tabs>
              <w:tab w:val="right" w:leader="dot" w:pos="9350"/>
            </w:tabs>
            <w:spacing w:line="360" w:lineRule="auto"/>
            <w:jc w:val="both"/>
            <w:rPr>
              <w:rFonts w:ascii="Times New Roman" w:hAnsi="Times New Roman" w:cs="Times New Roman"/>
              <w:noProof/>
              <w:sz w:val="24"/>
              <w:szCs w:val="24"/>
            </w:rPr>
          </w:pPr>
          <w:r w:rsidRPr="00CA31D1">
            <w:rPr>
              <w:rFonts w:ascii="Times New Roman" w:hAnsi="Times New Roman" w:cs="Times New Roman"/>
              <w:sz w:val="24"/>
              <w:szCs w:val="24"/>
            </w:rPr>
            <w:fldChar w:fldCharType="begin"/>
          </w:r>
          <w:r w:rsidRPr="00CA31D1">
            <w:rPr>
              <w:rFonts w:ascii="Times New Roman" w:hAnsi="Times New Roman" w:cs="Times New Roman"/>
              <w:sz w:val="24"/>
              <w:szCs w:val="24"/>
            </w:rPr>
            <w:instrText xml:space="preserve"> TOC \o "1-3" \h \z \u </w:instrText>
          </w:r>
          <w:r w:rsidRPr="00CA31D1">
            <w:rPr>
              <w:rFonts w:ascii="Times New Roman" w:hAnsi="Times New Roman" w:cs="Times New Roman"/>
              <w:sz w:val="24"/>
              <w:szCs w:val="24"/>
            </w:rPr>
            <w:fldChar w:fldCharType="separate"/>
          </w:r>
          <w:hyperlink w:anchor="_Toc157710283" w:history="1">
            <w:r w:rsidRPr="00CA31D1">
              <w:rPr>
                <w:rStyle w:val="Hyperlink"/>
                <w:rFonts w:ascii="Times New Roman" w:hAnsi="Times New Roman" w:cs="Times New Roman"/>
                <w:noProof/>
                <w:sz w:val="24"/>
                <w:szCs w:val="24"/>
              </w:rPr>
              <w:t>Introduction</w:t>
            </w:r>
            <w:r w:rsidRPr="00CA31D1">
              <w:rPr>
                <w:rFonts w:ascii="Times New Roman" w:hAnsi="Times New Roman" w:cs="Times New Roman"/>
                <w:noProof/>
                <w:webHidden/>
                <w:sz w:val="24"/>
                <w:szCs w:val="24"/>
              </w:rPr>
              <w:tab/>
            </w:r>
            <w:r w:rsidRPr="00CA31D1">
              <w:rPr>
                <w:rFonts w:ascii="Times New Roman" w:hAnsi="Times New Roman" w:cs="Times New Roman"/>
                <w:noProof/>
                <w:webHidden/>
                <w:sz w:val="24"/>
                <w:szCs w:val="24"/>
              </w:rPr>
              <w:fldChar w:fldCharType="begin"/>
            </w:r>
            <w:r w:rsidRPr="00CA31D1">
              <w:rPr>
                <w:rFonts w:ascii="Times New Roman" w:hAnsi="Times New Roman" w:cs="Times New Roman"/>
                <w:noProof/>
                <w:webHidden/>
                <w:sz w:val="24"/>
                <w:szCs w:val="24"/>
              </w:rPr>
              <w:instrText xml:space="preserve"> PAGEREF _Toc157710283 \h </w:instrText>
            </w:r>
            <w:r w:rsidRPr="00CA31D1">
              <w:rPr>
                <w:rFonts w:ascii="Times New Roman" w:hAnsi="Times New Roman" w:cs="Times New Roman"/>
                <w:noProof/>
                <w:webHidden/>
                <w:sz w:val="24"/>
                <w:szCs w:val="24"/>
              </w:rPr>
            </w:r>
            <w:r w:rsidRPr="00CA31D1">
              <w:rPr>
                <w:rFonts w:ascii="Times New Roman" w:hAnsi="Times New Roman" w:cs="Times New Roman"/>
                <w:noProof/>
                <w:webHidden/>
                <w:sz w:val="24"/>
                <w:szCs w:val="24"/>
              </w:rPr>
              <w:fldChar w:fldCharType="separate"/>
            </w:r>
            <w:r w:rsidRPr="00CA31D1">
              <w:rPr>
                <w:rFonts w:ascii="Times New Roman" w:hAnsi="Times New Roman" w:cs="Times New Roman"/>
                <w:noProof/>
                <w:webHidden/>
                <w:sz w:val="24"/>
                <w:szCs w:val="24"/>
              </w:rPr>
              <w:t>3</w:t>
            </w:r>
            <w:r w:rsidRPr="00CA31D1">
              <w:rPr>
                <w:rFonts w:ascii="Times New Roman" w:hAnsi="Times New Roman" w:cs="Times New Roman"/>
                <w:noProof/>
                <w:webHidden/>
                <w:sz w:val="24"/>
                <w:szCs w:val="24"/>
              </w:rPr>
              <w:fldChar w:fldCharType="end"/>
            </w:r>
          </w:hyperlink>
        </w:p>
        <w:p w14:paraId="5BB452DB" w14:textId="284458DC" w:rsidR="00CA31D1" w:rsidRPr="00CA31D1" w:rsidRDefault="00E440E2" w:rsidP="002C2BA7">
          <w:pPr>
            <w:pStyle w:val="Cuprins1"/>
            <w:tabs>
              <w:tab w:val="right" w:leader="dot" w:pos="9350"/>
            </w:tabs>
            <w:spacing w:line="360" w:lineRule="auto"/>
            <w:jc w:val="both"/>
            <w:rPr>
              <w:rFonts w:ascii="Times New Roman" w:hAnsi="Times New Roman" w:cs="Times New Roman"/>
              <w:noProof/>
              <w:sz w:val="24"/>
              <w:szCs w:val="24"/>
            </w:rPr>
          </w:pPr>
          <w:hyperlink w:anchor="_Toc157710284" w:history="1">
            <w:r w:rsidR="00CA31D1" w:rsidRPr="00CA31D1">
              <w:rPr>
                <w:rStyle w:val="Hyperlink"/>
                <w:rFonts w:ascii="Times New Roman" w:hAnsi="Times New Roman" w:cs="Times New Roman"/>
                <w:noProof/>
                <w:sz w:val="24"/>
                <w:szCs w:val="24"/>
              </w:rPr>
              <w:t>Total Revenue</w:t>
            </w:r>
            <w:r w:rsidR="00CA31D1" w:rsidRPr="00CA31D1">
              <w:rPr>
                <w:rFonts w:ascii="Times New Roman" w:hAnsi="Times New Roman" w:cs="Times New Roman"/>
                <w:noProof/>
                <w:webHidden/>
                <w:sz w:val="24"/>
                <w:szCs w:val="24"/>
              </w:rPr>
              <w:tab/>
            </w:r>
            <w:r w:rsidR="00CA31D1" w:rsidRPr="00CA31D1">
              <w:rPr>
                <w:rFonts w:ascii="Times New Roman" w:hAnsi="Times New Roman" w:cs="Times New Roman"/>
                <w:noProof/>
                <w:webHidden/>
                <w:sz w:val="24"/>
                <w:szCs w:val="24"/>
              </w:rPr>
              <w:fldChar w:fldCharType="begin"/>
            </w:r>
            <w:r w:rsidR="00CA31D1" w:rsidRPr="00CA31D1">
              <w:rPr>
                <w:rFonts w:ascii="Times New Roman" w:hAnsi="Times New Roman" w:cs="Times New Roman"/>
                <w:noProof/>
                <w:webHidden/>
                <w:sz w:val="24"/>
                <w:szCs w:val="24"/>
              </w:rPr>
              <w:instrText xml:space="preserve"> PAGEREF _Toc157710284 \h </w:instrText>
            </w:r>
            <w:r w:rsidR="00CA31D1" w:rsidRPr="00CA31D1">
              <w:rPr>
                <w:rFonts w:ascii="Times New Roman" w:hAnsi="Times New Roman" w:cs="Times New Roman"/>
                <w:noProof/>
                <w:webHidden/>
                <w:sz w:val="24"/>
                <w:szCs w:val="24"/>
              </w:rPr>
            </w:r>
            <w:r w:rsidR="00CA31D1" w:rsidRPr="00CA31D1">
              <w:rPr>
                <w:rFonts w:ascii="Times New Roman" w:hAnsi="Times New Roman" w:cs="Times New Roman"/>
                <w:noProof/>
                <w:webHidden/>
                <w:sz w:val="24"/>
                <w:szCs w:val="24"/>
              </w:rPr>
              <w:fldChar w:fldCharType="separate"/>
            </w:r>
            <w:r w:rsidR="00CA31D1" w:rsidRPr="00CA31D1">
              <w:rPr>
                <w:rFonts w:ascii="Times New Roman" w:hAnsi="Times New Roman" w:cs="Times New Roman"/>
                <w:noProof/>
                <w:webHidden/>
                <w:sz w:val="24"/>
                <w:szCs w:val="24"/>
              </w:rPr>
              <w:t>3</w:t>
            </w:r>
            <w:r w:rsidR="00CA31D1" w:rsidRPr="00CA31D1">
              <w:rPr>
                <w:rFonts w:ascii="Times New Roman" w:hAnsi="Times New Roman" w:cs="Times New Roman"/>
                <w:noProof/>
                <w:webHidden/>
                <w:sz w:val="24"/>
                <w:szCs w:val="24"/>
              </w:rPr>
              <w:fldChar w:fldCharType="end"/>
            </w:r>
          </w:hyperlink>
        </w:p>
        <w:p w14:paraId="2FDB8C2D" w14:textId="265FC680" w:rsidR="00CA31D1" w:rsidRPr="00CA31D1" w:rsidRDefault="00E440E2" w:rsidP="002C2BA7">
          <w:pPr>
            <w:pStyle w:val="Cuprins1"/>
            <w:tabs>
              <w:tab w:val="right" w:leader="dot" w:pos="9350"/>
            </w:tabs>
            <w:spacing w:line="360" w:lineRule="auto"/>
            <w:jc w:val="both"/>
            <w:rPr>
              <w:rFonts w:ascii="Times New Roman" w:hAnsi="Times New Roman" w:cs="Times New Roman"/>
              <w:noProof/>
              <w:sz w:val="24"/>
              <w:szCs w:val="24"/>
            </w:rPr>
          </w:pPr>
          <w:hyperlink w:anchor="_Toc157710285" w:history="1">
            <w:r w:rsidR="00CA31D1" w:rsidRPr="00CA31D1">
              <w:rPr>
                <w:rStyle w:val="Hyperlink"/>
                <w:rFonts w:ascii="Times New Roman" w:hAnsi="Times New Roman" w:cs="Times New Roman"/>
                <w:noProof/>
                <w:sz w:val="24"/>
                <w:szCs w:val="24"/>
              </w:rPr>
              <w:t>Market Position</w:t>
            </w:r>
            <w:r w:rsidR="00CA31D1" w:rsidRPr="00CA31D1">
              <w:rPr>
                <w:rFonts w:ascii="Times New Roman" w:hAnsi="Times New Roman" w:cs="Times New Roman"/>
                <w:noProof/>
                <w:webHidden/>
                <w:sz w:val="24"/>
                <w:szCs w:val="24"/>
              </w:rPr>
              <w:tab/>
            </w:r>
            <w:r w:rsidR="00CA31D1" w:rsidRPr="00CA31D1">
              <w:rPr>
                <w:rFonts w:ascii="Times New Roman" w:hAnsi="Times New Roman" w:cs="Times New Roman"/>
                <w:noProof/>
                <w:webHidden/>
                <w:sz w:val="24"/>
                <w:szCs w:val="24"/>
              </w:rPr>
              <w:fldChar w:fldCharType="begin"/>
            </w:r>
            <w:r w:rsidR="00CA31D1" w:rsidRPr="00CA31D1">
              <w:rPr>
                <w:rFonts w:ascii="Times New Roman" w:hAnsi="Times New Roman" w:cs="Times New Roman"/>
                <w:noProof/>
                <w:webHidden/>
                <w:sz w:val="24"/>
                <w:szCs w:val="24"/>
              </w:rPr>
              <w:instrText xml:space="preserve"> PAGEREF _Toc157710285 \h </w:instrText>
            </w:r>
            <w:r w:rsidR="00CA31D1" w:rsidRPr="00CA31D1">
              <w:rPr>
                <w:rFonts w:ascii="Times New Roman" w:hAnsi="Times New Roman" w:cs="Times New Roman"/>
                <w:noProof/>
                <w:webHidden/>
                <w:sz w:val="24"/>
                <w:szCs w:val="24"/>
              </w:rPr>
            </w:r>
            <w:r w:rsidR="00CA31D1" w:rsidRPr="00CA31D1">
              <w:rPr>
                <w:rFonts w:ascii="Times New Roman" w:hAnsi="Times New Roman" w:cs="Times New Roman"/>
                <w:noProof/>
                <w:webHidden/>
                <w:sz w:val="24"/>
                <w:szCs w:val="24"/>
              </w:rPr>
              <w:fldChar w:fldCharType="separate"/>
            </w:r>
            <w:r w:rsidR="00CA31D1" w:rsidRPr="00CA31D1">
              <w:rPr>
                <w:rFonts w:ascii="Times New Roman" w:hAnsi="Times New Roman" w:cs="Times New Roman"/>
                <w:noProof/>
                <w:webHidden/>
                <w:sz w:val="24"/>
                <w:szCs w:val="24"/>
              </w:rPr>
              <w:t>5</w:t>
            </w:r>
            <w:r w:rsidR="00CA31D1" w:rsidRPr="00CA31D1">
              <w:rPr>
                <w:rFonts w:ascii="Times New Roman" w:hAnsi="Times New Roman" w:cs="Times New Roman"/>
                <w:noProof/>
                <w:webHidden/>
                <w:sz w:val="24"/>
                <w:szCs w:val="24"/>
              </w:rPr>
              <w:fldChar w:fldCharType="end"/>
            </w:r>
          </w:hyperlink>
        </w:p>
        <w:p w14:paraId="149D746A" w14:textId="696411AB" w:rsidR="00CA31D1" w:rsidRPr="00CA31D1" w:rsidRDefault="00E440E2" w:rsidP="002C2BA7">
          <w:pPr>
            <w:pStyle w:val="Cuprins1"/>
            <w:tabs>
              <w:tab w:val="right" w:leader="dot" w:pos="9350"/>
            </w:tabs>
            <w:spacing w:line="360" w:lineRule="auto"/>
            <w:jc w:val="both"/>
            <w:rPr>
              <w:rFonts w:ascii="Times New Roman" w:hAnsi="Times New Roman" w:cs="Times New Roman"/>
              <w:noProof/>
              <w:sz w:val="24"/>
              <w:szCs w:val="24"/>
            </w:rPr>
          </w:pPr>
          <w:hyperlink w:anchor="_Toc157710286" w:history="1">
            <w:r w:rsidR="00CA31D1" w:rsidRPr="00CA31D1">
              <w:rPr>
                <w:rStyle w:val="Hyperlink"/>
                <w:rFonts w:ascii="Times New Roman" w:hAnsi="Times New Roman" w:cs="Times New Roman"/>
                <w:noProof/>
                <w:sz w:val="24"/>
                <w:szCs w:val="24"/>
              </w:rPr>
              <w:t>Growth Potential</w:t>
            </w:r>
            <w:r w:rsidR="00CA31D1" w:rsidRPr="00CA31D1">
              <w:rPr>
                <w:rFonts w:ascii="Times New Roman" w:hAnsi="Times New Roman" w:cs="Times New Roman"/>
                <w:noProof/>
                <w:webHidden/>
                <w:sz w:val="24"/>
                <w:szCs w:val="24"/>
              </w:rPr>
              <w:tab/>
            </w:r>
            <w:r w:rsidR="00CA31D1" w:rsidRPr="00CA31D1">
              <w:rPr>
                <w:rFonts w:ascii="Times New Roman" w:hAnsi="Times New Roman" w:cs="Times New Roman"/>
                <w:noProof/>
                <w:webHidden/>
                <w:sz w:val="24"/>
                <w:szCs w:val="24"/>
              </w:rPr>
              <w:fldChar w:fldCharType="begin"/>
            </w:r>
            <w:r w:rsidR="00CA31D1" w:rsidRPr="00CA31D1">
              <w:rPr>
                <w:rFonts w:ascii="Times New Roman" w:hAnsi="Times New Roman" w:cs="Times New Roman"/>
                <w:noProof/>
                <w:webHidden/>
                <w:sz w:val="24"/>
                <w:szCs w:val="24"/>
              </w:rPr>
              <w:instrText xml:space="preserve"> PAGEREF _Toc157710286 \h </w:instrText>
            </w:r>
            <w:r w:rsidR="00CA31D1" w:rsidRPr="00CA31D1">
              <w:rPr>
                <w:rFonts w:ascii="Times New Roman" w:hAnsi="Times New Roman" w:cs="Times New Roman"/>
                <w:noProof/>
                <w:webHidden/>
                <w:sz w:val="24"/>
                <w:szCs w:val="24"/>
              </w:rPr>
            </w:r>
            <w:r w:rsidR="00CA31D1" w:rsidRPr="00CA31D1">
              <w:rPr>
                <w:rFonts w:ascii="Times New Roman" w:hAnsi="Times New Roman" w:cs="Times New Roman"/>
                <w:noProof/>
                <w:webHidden/>
                <w:sz w:val="24"/>
                <w:szCs w:val="24"/>
              </w:rPr>
              <w:fldChar w:fldCharType="separate"/>
            </w:r>
            <w:r w:rsidR="00CA31D1" w:rsidRPr="00CA31D1">
              <w:rPr>
                <w:rFonts w:ascii="Times New Roman" w:hAnsi="Times New Roman" w:cs="Times New Roman"/>
                <w:noProof/>
                <w:webHidden/>
                <w:sz w:val="24"/>
                <w:szCs w:val="24"/>
              </w:rPr>
              <w:t>7</w:t>
            </w:r>
            <w:r w:rsidR="00CA31D1" w:rsidRPr="00CA31D1">
              <w:rPr>
                <w:rFonts w:ascii="Times New Roman" w:hAnsi="Times New Roman" w:cs="Times New Roman"/>
                <w:noProof/>
                <w:webHidden/>
                <w:sz w:val="24"/>
                <w:szCs w:val="24"/>
              </w:rPr>
              <w:fldChar w:fldCharType="end"/>
            </w:r>
          </w:hyperlink>
        </w:p>
        <w:p w14:paraId="7787C6B8" w14:textId="3D74A27E" w:rsidR="00CA31D1" w:rsidRPr="00CA31D1" w:rsidRDefault="00E440E2" w:rsidP="002C2BA7">
          <w:pPr>
            <w:pStyle w:val="Cuprins1"/>
            <w:tabs>
              <w:tab w:val="right" w:leader="dot" w:pos="9350"/>
            </w:tabs>
            <w:spacing w:line="360" w:lineRule="auto"/>
            <w:jc w:val="both"/>
            <w:rPr>
              <w:rFonts w:ascii="Times New Roman" w:hAnsi="Times New Roman" w:cs="Times New Roman"/>
              <w:noProof/>
              <w:sz w:val="24"/>
              <w:szCs w:val="24"/>
            </w:rPr>
          </w:pPr>
          <w:hyperlink w:anchor="_Toc157710287" w:history="1">
            <w:r w:rsidR="00CA31D1" w:rsidRPr="00CA31D1">
              <w:rPr>
                <w:rStyle w:val="Hyperlink"/>
                <w:rFonts w:ascii="Times New Roman" w:hAnsi="Times New Roman" w:cs="Times New Roman"/>
                <w:noProof/>
                <w:sz w:val="24"/>
                <w:szCs w:val="24"/>
              </w:rPr>
              <w:t>Financial Commitment to CSR (Corporate Social Responsibility)</w:t>
            </w:r>
            <w:r w:rsidR="00CA31D1" w:rsidRPr="00CA31D1">
              <w:rPr>
                <w:rFonts w:ascii="Times New Roman" w:hAnsi="Times New Roman" w:cs="Times New Roman"/>
                <w:noProof/>
                <w:webHidden/>
                <w:sz w:val="24"/>
                <w:szCs w:val="24"/>
              </w:rPr>
              <w:tab/>
            </w:r>
            <w:r w:rsidR="00CA31D1" w:rsidRPr="00CA31D1">
              <w:rPr>
                <w:rFonts w:ascii="Times New Roman" w:hAnsi="Times New Roman" w:cs="Times New Roman"/>
                <w:noProof/>
                <w:webHidden/>
                <w:sz w:val="24"/>
                <w:szCs w:val="24"/>
              </w:rPr>
              <w:fldChar w:fldCharType="begin"/>
            </w:r>
            <w:r w:rsidR="00CA31D1" w:rsidRPr="00CA31D1">
              <w:rPr>
                <w:rFonts w:ascii="Times New Roman" w:hAnsi="Times New Roman" w:cs="Times New Roman"/>
                <w:noProof/>
                <w:webHidden/>
                <w:sz w:val="24"/>
                <w:szCs w:val="24"/>
              </w:rPr>
              <w:instrText xml:space="preserve"> PAGEREF _Toc157710287 \h </w:instrText>
            </w:r>
            <w:r w:rsidR="00CA31D1" w:rsidRPr="00CA31D1">
              <w:rPr>
                <w:rFonts w:ascii="Times New Roman" w:hAnsi="Times New Roman" w:cs="Times New Roman"/>
                <w:noProof/>
                <w:webHidden/>
                <w:sz w:val="24"/>
                <w:szCs w:val="24"/>
              </w:rPr>
            </w:r>
            <w:r w:rsidR="00CA31D1" w:rsidRPr="00CA31D1">
              <w:rPr>
                <w:rFonts w:ascii="Times New Roman" w:hAnsi="Times New Roman" w:cs="Times New Roman"/>
                <w:noProof/>
                <w:webHidden/>
                <w:sz w:val="24"/>
                <w:szCs w:val="24"/>
              </w:rPr>
              <w:fldChar w:fldCharType="separate"/>
            </w:r>
            <w:r w:rsidR="00CA31D1" w:rsidRPr="00CA31D1">
              <w:rPr>
                <w:rFonts w:ascii="Times New Roman" w:hAnsi="Times New Roman" w:cs="Times New Roman"/>
                <w:noProof/>
                <w:webHidden/>
                <w:sz w:val="24"/>
                <w:szCs w:val="24"/>
              </w:rPr>
              <w:t>8</w:t>
            </w:r>
            <w:r w:rsidR="00CA31D1" w:rsidRPr="00CA31D1">
              <w:rPr>
                <w:rFonts w:ascii="Times New Roman" w:hAnsi="Times New Roman" w:cs="Times New Roman"/>
                <w:noProof/>
                <w:webHidden/>
                <w:sz w:val="24"/>
                <w:szCs w:val="24"/>
              </w:rPr>
              <w:fldChar w:fldCharType="end"/>
            </w:r>
          </w:hyperlink>
        </w:p>
        <w:p w14:paraId="2EDF743C" w14:textId="2ABC0BAA" w:rsidR="00CA31D1" w:rsidRPr="00CA31D1" w:rsidRDefault="00E440E2" w:rsidP="002C2BA7">
          <w:pPr>
            <w:pStyle w:val="Cuprins1"/>
            <w:tabs>
              <w:tab w:val="right" w:leader="dot" w:pos="9350"/>
            </w:tabs>
            <w:spacing w:line="360" w:lineRule="auto"/>
            <w:jc w:val="both"/>
            <w:rPr>
              <w:rFonts w:ascii="Times New Roman" w:hAnsi="Times New Roman" w:cs="Times New Roman"/>
              <w:noProof/>
              <w:sz w:val="24"/>
              <w:szCs w:val="24"/>
            </w:rPr>
          </w:pPr>
          <w:hyperlink w:anchor="_Toc157710288" w:history="1">
            <w:r w:rsidR="00CA31D1" w:rsidRPr="00CA31D1">
              <w:rPr>
                <w:rStyle w:val="Hyperlink"/>
                <w:rFonts w:ascii="Times New Roman" w:hAnsi="Times New Roman" w:cs="Times New Roman"/>
                <w:noProof/>
                <w:sz w:val="24"/>
                <w:szCs w:val="24"/>
              </w:rPr>
              <w:t>Recommendations</w:t>
            </w:r>
            <w:r w:rsidR="00CA31D1" w:rsidRPr="00CA31D1">
              <w:rPr>
                <w:rFonts w:ascii="Times New Roman" w:hAnsi="Times New Roman" w:cs="Times New Roman"/>
                <w:noProof/>
                <w:webHidden/>
                <w:sz w:val="24"/>
                <w:szCs w:val="24"/>
              </w:rPr>
              <w:tab/>
            </w:r>
            <w:r w:rsidR="00CA31D1" w:rsidRPr="00CA31D1">
              <w:rPr>
                <w:rFonts w:ascii="Times New Roman" w:hAnsi="Times New Roman" w:cs="Times New Roman"/>
                <w:noProof/>
                <w:webHidden/>
                <w:sz w:val="24"/>
                <w:szCs w:val="24"/>
              </w:rPr>
              <w:fldChar w:fldCharType="begin"/>
            </w:r>
            <w:r w:rsidR="00CA31D1" w:rsidRPr="00CA31D1">
              <w:rPr>
                <w:rFonts w:ascii="Times New Roman" w:hAnsi="Times New Roman" w:cs="Times New Roman"/>
                <w:noProof/>
                <w:webHidden/>
                <w:sz w:val="24"/>
                <w:szCs w:val="24"/>
              </w:rPr>
              <w:instrText xml:space="preserve"> PAGEREF _Toc157710288 \h </w:instrText>
            </w:r>
            <w:r w:rsidR="00CA31D1" w:rsidRPr="00CA31D1">
              <w:rPr>
                <w:rFonts w:ascii="Times New Roman" w:hAnsi="Times New Roman" w:cs="Times New Roman"/>
                <w:noProof/>
                <w:webHidden/>
                <w:sz w:val="24"/>
                <w:szCs w:val="24"/>
              </w:rPr>
            </w:r>
            <w:r w:rsidR="00CA31D1" w:rsidRPr="00CA31D1">
              <w:rPr>
                <w:rFonts w:ascii="Times New Roman" w:hAnsi="Times New Roman" w:cs="Times New Roman"/>
                <w:noProof/>
                <w:webHidden/>
                <w:sz w:val="24"/>
                <w:szCs w:val="24"/>
              </w:rPr>
              <w:fldChar w:fldCharType="separate"/>
            </w:r>
            <w:r w:rsidR="00CA31D1" w:rsidRPr="00CA31D1">
              <w:rPr>
                <w:rFonts w:ascii="Times New Roman" w:hAnsi="Times New Roman" w:cs="Times New Roman"/>
                <w:noProof/>
                <w:webHidden/>
                <w:sz w:val="24"/>
                <w:szCs w:val="24"/>
              </w:rPr>
              <w:t>10</w:t>
            </w:r>
            <w:r w:rsidR="00CA31D1" w:rsidRPr="00CA31D1">
              <w:rPr>
                <w:rFonts w:ascii="Times New Roman" w:hAnsi="Times New Roman" w:cs="Times New Roman"/>
                <w:noProof/>
                <w:webHidden/>
                <w:sz w:val="24"/>
                <w:szCs w:val="24"/>
              </w:rPr>
              <w:fldChar w:fldCharType="end"/>
            </w:r>
          </w:hyperlink>
        </w:p>
        <w:p w14:paraId="4D7AF125" w14:textId="12E43DD6" w:rsidR="00CA31D1" w:rsidRPr="00CA31D1" w:rsidRDefault="00E440E2" w:rsidP="002C2BA7">
          <w:pPr>
            <w:pStyle w:val="Cuprins1"/>
            <w:tabs>
              <w:tab w:val="right" w:leader="dot" w:pos="9350"/>
            </w:tabs>
            <w:spacing w:line="360" w:lineRule="auto"/>
            <w:jc w:val="both"/>
            <w:rPr>
              <w:rFonts w:ascii="Times New Roman" w:hAnsi="Times New Roman" w:cs="Times New Roman"/>
              <w:noProof/>
              <w:sz w:val="24"/>
              <w:szCs w:val="24"/>
            </w:rPr>
          </w:pPr>
          <w:hyperlink w:anchor="_Toc157710289" w:history="1">
            <w:r w:rsidR="00CA31D1" w:rsidRPr="00CA31D1">
              <w:rPr>
                <w:rStyle w:val="Hyperlink"/>
                <w:rFonts w:ascii="Times New Roman" w:hAnsi="Times New Roman" w:cs="Times New Roman"/>
                <w:noProof/>
                <w:sz w:val="24"/>
                <w:szCs w:val="24"/>
              </w:rPr>
              <w:t>Conclusion</w:t>
            </w:r>
            <w:r w:rsidR="00CA31D1" w:rsidRPr="00CA31D1">
              <w:rPr>
                <w:rFonts w:ascii="Times New Roman" w:hAnsi="Times New Roman" w:cs="Times New Roman"/>
                <w:noProof/>
                <w:webHidden/>
                <w:sz w:val="24"/>
                <w:szCs w:val="24"/>
              </w:rPr>
              <w:tab/>
            </w:r>
            <w:r w:rsidR="00CA31D1" w:rsidRPr="00CA31D1">
              <w:rPr>
                <w:rFonts w:ascii="Times New Roman" w:hAnsi="Times New Roman" w:cs="Times New Roman"/>
                <w:noProof/>
                <w:webHidden/>
                <w:sz w:val="24"/>
                <w:szCs w:val="24"/>
              </w:rPr>
              <w:fldChar w:fldCharType="begin"/>
            </w:r>
            <w:r w:rsidR="00CA31D1" w:rsidRPr="00CA31D1">
              <w:rPr>
                <w:rFonts w:ascii="Times New Roman" w:hAnsi="Times New Roman" w:cs="Times New Roman"/>
                <w:noProof/>
                <w:webHidden/>
                <w:sz w:val="24"/>
                <w:szCs w:val="24"/>
              </w:rPr>
              <w:instrText xml:space="preserve"> PAGEREF _Toc157710289 \h </w:instrText>
            </w:r>
            <w:r w:rsidR="00CA31D1" w:rsidRPr="00CA31D1">
              <w:rPr>
                <w:rFonts w:ascii="Times New Roman" w:hAnsi="Times New Roman" w:cs="Times New Roman"/>
                <w:noProof/>
                <w:webHidden/>
                <w:sz w:val="24"/>
                <w:szCs w:val="24"/>
              </w:rPr>
            </w:r>
            <w:r w:rsidR="00CA31D1" w:rsidRPr="00CA31D1">
              <w:rPr>
                <w:rFonts w:ascii="Times New Roman" w:hAnsi="Times New Roman" w:cs="Times New Roman"/>
                <w:noProof/>
                <w:webHidden/>
                <w:sz w:val="24"/>
                <w:szCs w:val="24"/>
              </w:rPr>
              <w:fldChar w:fldCharType="separate"/>
            </w:r>
            <w:r w:rsidR="00CA31D1" w:rsidRPr="00CA31D1">
              <w:rPr>
                <w:rFonts w:ascii="Times New Roman" w:hAnsi="Times New Roman" w:cs="Times New Roman"/>
                <w:noProof/>
                <w:webHidden/>
                <w:sz w:val="24"/>
                <w:szCs w:val="24"/>
              </w:rPr>
              <w:t>11</w:t>
            </w:r>
            <w:r w:rsidR="00CA31D1" w:rsidRPr="00CA31D1">
              <w:rPr>
                <w:rFonts w:ascii="Times New Roman" w:hAnsi="Times New Roman" w:cs="Times New Roman"/>
                <w:noProof/>
                <w:webHidden/>
                <w:sz w:val="24"/>
                <w:szCs w:val="24"/>
              </w:rPr>
              <w:fldChar w:fldCharType="end"/>
            </w:r>
          </w:hyperlink>
        </w:p>
        <w:p w14:paraId="0081FFFF" w14:textId="22505B06" w:rsidR="00CA31D1" w:rsidRPr="00CA31D1" w:rsidRDefault="00E440E2" w:rsidP="002C2BA7">
          <w:pPr>
            <w:pStyle w:val="Cuprins1"/>
            <w:tabs>
              <w:tab w:val="right" w:leader="dot" w:pos="9350"/>
            </w:tabs>
            <w:spacing w:line="360" w:lineRule="auto"/>
            <w:jc w:val="both"/>
            <w:rPr>
              <w:rFonts w:ascii="Times New Roman" w:hAnsi="Times New Roman" w:cs="Times New Roman"/>
              <w:noProof/>
              <w:sz w:val="24"/>
              <w:szCs w:val="24"/>
            </w:rPr>
          </w:pPr>
          <w:hyperlink w:anchor="_Toc157710290" w:history="1">
            <w:r w:rsidR="00CA31D1" w:rsidRPr="00CA31D1">
              <w:rPr>
                <w:rStyle w:val="Hyperlink"/>
                <w:rFonts w:ascii="Times New Roman" w:hAnsi="Times New Roman" w:cs="Times New Roman"/>
                <w:noProof/>
                <w:sz w:val="24"/>
                <w:szCs w:val="24"/>
              </w:rPr>
              <w:t>Reference list</w:t>
            </w:r>
            <w:r w:rsidR="00CA31D1" w:rsidRPr="00CA31D1">
              <w:rPr>
                <w:rFonts w:ascii="Times New Roman" w:hAnsi="Times New Roman" w:cs="Times New Roman"/>
                <w:noProof/>
                <w:webHidden/>
                <w:sz w:val="24"/>
                <w:szCs w:val="24"/>
              </w:rPr>
              <w:tab/>
            </w:r>
            <w:r w:rsidR="00CA31D1" w:rsidRPr="00CA31D1">
              <w:rPr>
                <w:rFonts w:ascii="Times New Roman" w:hAnsi="Times New Roman" w:cs="Times New Roman"/>
                <w:noProof/>
                <w:webHidden/>
                <w:sz w:val="24"/>
                <w:szCs w:val="24"/>
              </w:rPr>
              <w:fldChar w:fldCharType="begin"/>
            </w:r>
            <w:r w:rsidR="00CA31D1" w:rsidRPr="00CA31D1">
              <w:rPr>
                <w:rFonts w:ascii="Times New Roman" w:hAnsi="Times New Roman" w:cs="Times New Roman"/>
                <w:noProof/>
                <w:webHidden/>
                <w:sz w:val="24"/>
                <w:szCs w:val="24"/>
              </w:rPr>
              <w:instrText xml:space="preserve"> PAGEREF _Toc157710290 \h </w:instrText>
            </w:r>
            <w:r w:rsidR="00CA31D1" w:rsidRPr="00CA31D1">
              <w:rPr>
                <w:rFonts w:ascii="Times New Roman" w:hAnsi="Times New Roman" w:cs="Times New Roman"/>
                <w:noProof/>
                <w:webHidden/>
                <w:sz w:val="24"/>
                <w:szCs w:val="24"/>
              </w:rPr>
            </w:r>
            <w:r w:rsidR="00CA31D1" w:rsidRPr="00CA31D1">
              <w:rPr>
                <w:rFonts w:ascii="Times New Roman" w:hAnsi="Times New Roman" w:cs="Times New Roman"/>
                <w:noProof/>
                <w:webHidden/>
                <w:sz w:val="24"/>
                <w:szCs w:val="24"/>
              </w:rPr>
              <w:fldChar w:fldCharType="separate"/>
            </w:r>
            <w:r w:rsidR="00CA31D1" w:rsidRPr="00CA31D1">
              <w:rPr>
                <w:rFonts w:ascii="Times New Roman" w:hAnsi="Times New Roman" w:cs="Times New Roman"/>
                <w:noProof/>
                <w:webHidden/>
                <w:sz w:val="24"/>
                <w:szCs w:val="24"/>
              </w:rPr>
              <w:t>12</w:t>
            </w:r>
            <w:r w:rsidR="00CA31D1" w:rsidRPr="00CA31D1">
              <w:rPr>
                <w:rFonts w:ascii="Times New Roman" w:hAnsi="Times New Roman" w:cs="Times New Roman"/>
                <w:noProof/>
                <w:webHidden/>
                <w:sz w:val="24"/>
                <w:szCs w:val="24"/>
              </w:rPr>
              <w:fldChar w:fldCharType="end"/>
            </w:r>
          </w:hyperlink>
        </w:p>
        <w:p w14:paraId="74094C66" w14:textId="7FC0B3BE" w:rsidR="00CA31D1" w:rsidRPr="00CA31D1" w:rsidRDefault="00CA31D1" w:rsidP="002C2BA7">
          <w:pPr>
            <w:spacing w:line="360" w:lineRule="auto"/>
            <w:jc w:val="both"/>
            <w:rPr>
              <w:rFonts w:ascii="Times New Roman" w:hAnsi="Times New Roman" w:cs="Times New Roman"/>
              <w:sz w:val="24"/>
              <w:szCs w:val="24"/>
            </w:rPr>
          </w:pPr>
          <w:r w:rsidRPr="00CA31D1">
            <w:rPr>
              <w:rFonts w:ascii="Times New Roman" w:hAnsi="Times New Roman" w:cs="Times New Roman"/>
              <w:b/>
              <w:bCs/>
              <w:noProof/>
              <w:sz w:val="24"/>
              <w:szCs w:val="24"/>
            </w:rPr>
            <w:fldChar w:fldCharType="end"/>
          </w:r>
        </w:p>
      </w:sdtContent>
    </w:sdt>
    <w:p w14:paraId="425C17DF" w14:textId="77777777" w:rsidR="00B60F91" w:rsidRPr="00CA31D1" w:rsidRDefault="00B60F91" w:rsidP="002C2BA7">
      <w:pPr>
        <w:pStyle w:val="Normal1"/>
        <w:spacing w:line="360" w:lineRule="auto"/>
        <w:jc w:val="both"/>
        <w:rPr>
          <w:rFonts w:ascii="Times New Roman" w:eastAsia="Times New Roman" w:hAnsi="Times New Roman" w:cs="Times New Roman"/>
          <w:b/>
          <w:sz w:val="24"/>
          <w:szCs w:val="24"/>
        </w:rPr>
      </w:pPr>
    </w:p>
    <w:p w14:paraId="00000006" w14:textId="747190E9" w:rsidR="00B60F91" w:rsidRPr="00CA31D1" w:rsidRDefault="007357A7" w:rsidP="002C2BA7">
      <w:pPr>
        <w:pStyle w:val="Normal1"/>
        <w:spacing w:line="360" w:lineRule="auto"/>
        <w:jc w:val="both"/>
        <w:rPr>
          <w:rFonts w:ascii="Times New Roman" w:eastAsia="Times New Roman" w:hAnsi="Times New Roman" w:cs="Times New Roman"/>
          <w:b/>
          <w:sz w:val="24"/>
          <w:szCs w:val="24"/>
        </w:rPr>
      </w:pPr>
      <w:r w:rsidRPr="00CA31D1">
        <w:rPr>
          <w:rFonts w:ascii="Times New Roman" w:hAnsi="Times New Roman" w:cs="Times New Roman"/>
          <w:sz w:val="24"/>
          <w:szCs w:val="24"/>
        </w:rPr>
        <w:br w:type="page"/>
      </w:r>
    </w:p>
    <w:p w14:paraId="00000007" w14:textId="77777777" w:rsidR="00B60F91" w:rsidRPr="00AC2AED" w:rsidRDefault="00E440E2" w:rsidP="002C2BA7">
      <w:pPr>
        <w:pStyle w:val="Titlu1"/>
      </w:pPr>
      <w:bookmarkStart w:id="0" w:name="_qim9593qzszm" w:colFirst="0" w:colLast="0"/>
      <w:bookmarkStart w:id="1" w:name="_Toc157710283"/>
      <w:bookmarkEnd w:id="0"/>
      <w:r w:rsidRPr="007357A7">
        <w:lastRenderedPageBreak/>
        <w:t>Introduction</w:t>
      </w:r>
      <w:bookmarkEnd w:id="1"/>
      <w:r w:rsidRPr="00AC2AED">
        <w:t xml:space="preserve"> </w:t>
      </w:r>
    </w:p>
    <w:p w14:paraId="00000008"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sz w:val="24"/>
          <w:szCs w:val="24"/>
        </w:rPr>
        <w:t xml:space="preserve">The comprehensive business report examines the financial management strategies of Corinthia Hotels and Ibis </w:t>
      </w:r>
      <w:r w:rsidRPr="00AC2AED">
        <w:rPr>
          <w:rFonts w:ascii="Times New Roman" w:eastAsia="Times New Roman" w:hAnsi="Times New Roman" w:cs="Times New Roman"/>
          <w:sz w:val="24"/>
          <w:szCs w:val="24"/>
        </w:rPr>
        <w:t>Hotels, two formidable players in the hospitality industry. Total revenue, market position, growth potential, and commitment to corporate social responsibility are all important aspects of the analysis. It deciphers the distinct financial landscapes of these entities, draws comparisons, and makes insightful recommendations through careful investigation. Against the background of worldwide challenges, this report offers a nuanced investigation of how every association explores the many-sided domain of moneta</w:t>
      </w:r>
      <w:r w:rsidRPr="00AC2AED">
        <w:rPr>
          <w:rFonts w:ascii="Times New Roman" w:eastAsia="Times New Roman" w:hAnsi="Times New Roman" w:cs="Times New Roman"/>
          <w:sz w:val="24"/>
          <w:szCs w:val="24"/>
        </w:rPr>
        <w:t>ry administration, forming their separate ways towards sustainability and success in the hospitality sector.</w:t>
      </w:r>
    </w:p>
    <w:p w14:paraId="00000009" w14:textId="77777777" w:rsidR="00B60F91" w:rsidRPr="00AC2AED" w:rsidRDefault="00E440E2" w:rsidP="002C2BA7">
      <w:pPr>
        <w:pStyle w:val="Titlu1"/>
      </w:pPr>
      <w:bookmarkStart w:id="2" w:name="_m41mlm1z60o7" w:colFirst="0" w:colLast="0"/>
      <w:bookmarkStart w:id="3" w:name="_Toc157710284"/>
      <w:bookmarkEnd w:id="2"/>
      <w:r w:rsidRPr="00AC2AED">
        <w:t xml:space="preserve">Total </w:t>
      </w:r>
      <w:r w:rsidRPr="007357A7">
        <w:t>Revenue</w:t>
      </w:r>
      <w:bookmarkEnd w:id="3"/>
      <w:r w:rsidRPr="00AC2AED">
        <w:t xml:space="preserve"> </w:t>
      </w:r>
    </w:p>
    <w:p w14:paraId="0000000A"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Total revenue</w:t>
      </w:r>
    </w:p>
    <w:p w14:paraId="0000000B" w14:textId="5A7B739F" w:rsidR="00B60F91" w:rsidRDefault="007357A7"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 xml:space="preserve">The Corinthia Hotels had a significant 84% growth in overall revenue in 2022, coming in at €238.2 million, despite being negatively impacted by COVID-19 and the situation in Russia and Ukraine. Due to the geopolitical environment, Russia's foreign business declined. The hotel continued to have steady occupancy rates and local business despite obstacles. Operating profits improved </w:t>
      </w:r>
      <w:r w:rsidR="001C545A" w:rsidRPr="00AC2AED">
        <w:rPr>
          <w:rFonts w:ascii="Times New Roman" w:eastAsia="Times New Roman" w:hAnsi="Times New Roman" w:cs="Times New Roman"/>
          <w:sz w:val="24"/>
          <w:szCs w:val="24"/>
        </w:rPr>
        <w:t>because of</w:t>
      </w:r>
      <w:r w:rsidRPr="00AC2AED">
        <w:rPr>
          <w:rFonts w:ascii="Times New Roman" w:eastAsia="Times New Roman" w:hAnsi="Times New Roman" w:cs="Times New Roman"/>
          <w:sz w:val="24"/>
          <w:szCs w:val="24"/>
        </w:rPr>
        <w:t xml:space="preserve"> the spike in sales (Corinthia.com, 2024). The Group's comprehensive income loss came to €20.3 million </w:t>
      </w:r>
      <w:r w:rsidR="001C545A" w:rsidRPr="00AC2AED">
        <w:rPr>
          <w:rFonts w:ascii="Times New Roman" w:eastAsia="Times New Roman" w:hAnsi="Times New Roman" w:cs="Times New Roman"/>
          <w:sz w:val="24"/>
          <w:szCs w:val="24"/>
        </w:rPr>
        <w:t>because of</w:t>
      </w:r>
      <w:r w:rsidRPr="00AC2AED">
        <w:rPr>
          <w:rFonts w:ascii="Times New Roman" w:eastAsia="Times New Roman" w:hAnsi="Times New Roman" w:cs="Times New Roman"/>
          <w:sz w:val="24"/>
          <w:szCs w:val="24"/>
        </w:rPr>
        <w:t xml:space="preserve"> recognized property uplifts, general currency gains, and fair value losses. Due to continuing negotiations to refinance a bank debt of €29.0 million that was due in 2023, there was a negative working capital of €26.5 million at the end of 2022.</w:t>
      </w:r>
    </w:p>
    <w:p w14:paraId="1C77AFC9" w14:textId="7B8E594B" w:rsidR="00845C9F" w:rsidRDefault="00845C9F" w:rsidP="002C2BA7">
      <w:pPr>
        <w:pStyle w:val="NormalWeb"/>
        <w:spacing w:before="0" w:beforeAutospacing="0" w:after="0" w:afterAutospacing="0" w:line="360" w:lineRule="auto"/>
        <w:jc w:val="center"/>
      </w:pPr>
      <w:r>
        <w:rPr>
          <w:noProof/>
          <w:color w:val="000000"/>
          <w:bdr w:val="none" w:sz="0" w:space="0" w:color="auto" w:frame="1"/>
        </w:rPr>
        <w:lastRenderedPageBreak/>
        <w:drawing>
          <wp:inline distT="0" distB="0" distL="0" distR="0" wp14:anchorId="5957E84D" wp14:editId="6C11A25A">
            <wp:extent cx="5943600" cy="3852545"/>
            <wp:effectExtent l="0" t="0" r="0" b="0"/>
            <wp:docPr id="921243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852545"/>
                    </a:xfrm>
                    <a:prstGeom prst="rect">
                      <a:avLst/>
                    </a:prstGeom>
                    <a:noFill/>
                    <a:ln>
                      <a:noFill/>
                    </a:ln>
                  </pic:spPr>
                </pic:pic>
              </a:graphicData>
            </a:graphic>
          </wp:inline>
        </w:drawing>
      </w:r>
    </w:p>
    <w:p w14:paraId="369F7562" w14:textId="77777777" w:rsidR="00845C9F" w:rsidRDefault="00845C9F" w:rsidP="002C2BA7">
      <w:pPr>
        <w:pStyle w:val="NormalWeb"/>
        <w:spacing w:before="0" w:beforeAutospacing="0" w:after="0" w:afterAutospacing="0" w:line="360" w:lineRule="auto"/>
        <w:jc w:val="center"/>
      </w:pPr>
      <w:r>
        <w:rPr>
          <w:b/>
          <w:bCs/>
          <w:color w:val="000000"/>
        </w:rPr>
        <w:t>Figure 1: Hotel Operations - Revenue</w:t>
      </w:r>
    </w:p>
    <w:p w14:paraId="33B5D818" w14:textId="54FCD483" w:rsidR="00845C9F" w:rsidRPr="00845C9F" w:rsidRDefault="00845C9F" w:rsidP="002C2BA7">
      <w:pPr>
        <w:pStyle w:val="NormalWeb"/>
        <w:spacing w:before="0" w:beforeAutospacing="0" w:after="0" w:afterAutospacing="0" w:line="360" w:lineRule="auto"/>
        <w:jc w:val="center"/>
      </w:pPr>
      <w:r>
        <w:rPr>
          <w:color w:val="000000"/>
        </w:rPr>
        <w:t>(Source: Corinthiagroup.com, 2024)</w:t>
      </w:r>
    </w:p>
    <w:p w14:paraId="0000000C" w14:textId="6B66221A"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The parent firm of the Ibis hotel brand, Accor, the Group revealed an astounding €1,149 million in sales, demonstrating an 83% like-for-like increase over the same quarter in 2021</w:t>
      </w:r>
      <w:r w:rsidR="000674A6">
        <w:rPr>
          <w:rFonts w:ascii="Times New Roman" w:eastAsia="Times New Roman" w:hAnsi="Times New Roman" w:cs="Times New Roman"/>
          <w:sz w:val="24"/>
          <w:szCs w:val="24"/>
        </w:rPr>
        <w:t xml:space="preserve"> (</w:t>
      </w:r>
      <w:proofErr w:type="spellStart"/>
      <w:r w:rsidR="000674A6" w:rsidRPr="000674A6">
        <w:rPr>
          <w:rFonts w:ascii="Times New Roman" w:eastAsia="Times New Roman" w:hAnsi="Times New Roman" w:cs="Times New Roman"/>
          <w:sz w:val="24"/>
          <w:szCs w:val="24"/>
        </w:rPr>
        <w:t>Atrill</w:t>
      </w:r>
      <w:proofErr w:type="spellEnd"/>
      <w:r w:rsidR="000674A6" w:rsidRPr="000674A6">
        <w:rPr>
          <w:rFonts w:ascii="Times New Roman" w:eastAsia="Times New Roman" w:hAnsi="Times New Roman" w:cs="Times New Roman"/>
          <w:sz w:val="24"/>
          <w:szCs w:val="24"/>
        </w:rPr>
        <w:t xml:space="preserve"> </w:t>
      </w:r>
      <w:r w:rsidR="000674A6">
        <w:rPr>
          <w:rFonts w:ascii="Times New Roman" w:eastAsia="Times New Roman" w:hAnsi="Times New Roman" w:cs="Times New Roman"/>
          <w:sz w:val="24"/>
          <w:szCs w:val="24"/>
        </w:rPr>
        <w:t xml:space="preserve">and </w:t>
      </w:r>
      <w:r w:rsidR="000674A6" w:rsidRPr="000674A6">
        <w:rPr>
          <w:rFonts w:ascii="Times New Roman" w:eastAsia="Times New Roman" w:hAnsi="Times New Roman" w:cs="Times New Roman"/>
          <w:sz w:val="24"/>
          <w:szCs w:val="24"/>
        </w:rPr>
        <w:t>McLaney</w:t>
      </w:r>
      <w:r w:rsidR="000674A6">
        <w:rPr>
          <w:rFonts w:ascii="Times New Roman" w:eastAsia="Times New Roman" w:hAnsi="Times New Roman" w:cs="Times New Roman"/>
          <w:sz w:val="24"/>
          <w:szCs w:val="24"/>
        </w:rPr>
        <w:t>, 2021)</w:t>
      </w:r>
      <w:r w:rsidRPr="00AC2AED">
        <w:rPr>
          <w:rFonts w:ascii="Times New Roman" w:eastAsia="Times New Roman" w:hAnsi="Times New Roman" w:cs="Times New Roman"/>
          <w:sz w:val="24"/>
          <w:szCs w:val="24"/>
        </w:rPr>
        <w:t>. There was a clear split in the growth: Hotel Services grew by 84%, while Hotel Assets &amp; others grew by 80%. Revenue Per Available Room (RevPAR) for the Group increased by an impressive 14% overall in Q4 2019 as compared to Q3 2019, confirming a noteworthy uptick in operational activity since the year's commencement.</w:t>
      </w:r>
    </w:p>
    <w:p w14:paraId="0000000D"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Sources of revenue</w:t>
      </w:r>
    </w:p>
    <w:p w14:paraId="0000000E" w14:textId="202A9BC9"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The Corinthia Hotels gets money from a variety of sources. 80% of income comes from hotel operations, which include lodging, food and beverage sales, conventions, and retail. Hotel management makes money by offering its services to outside developers. Operating hotels and other buildings and generating profit from capital gains and rentals are all part of real estate development</w:t>
      </w:r>
      <w:r w:rsidR="000674A6">
        <w:rPr>
          <w:rFonts w:ascii="Times New Roman" w:eastAsia="Times New Roman" w:hAnsi="Times New Roman" w:cs="Times New Roman"/>
          <w:sz w:val="24"/>
          <w:szCs w:val="24"/>
        </w:rPr>
        <w:t xml:space="preserve"> (</w:t>
      </w:r>
      <w:r w:rsidR="000674A6" w:rsidRPr="000674A6">
        <w:rPr>
          <w:rFonts w:ascii="Times New Roman" w:eastAsia="Times New Roman" w:hAnsi="Times New Roman" w:cs="Times New Roman"/>
          <w:sz w:val="24"/>
          <w:szCs w:val="24"/>
        </w:rPr>
        <w:t>Drury</w:t>
      </w:r>
      <w:r w:rsidR="000674A6">
        <w:rPr>
          <w:rFonts w:ascii="Times New Roman" w:eastAsia="Times New Roman" w:hAnsi="Times New Roman" w:cs="Times New Roman"/>
          <w:sz w:val="24"/>
          <w:szCs w:val="24"/>
        </w:rPr>
        <w:t>, 2021)</w:t>
      </w:r>
      <w:r w:rsidRPr="00AC2AED">
        <w:rPr>
          <w:rFonts w:ascii="Times New Roman" w:eastAsia="Times New Roman" w:hAnsi="Times New Roman" w:cs="Times New Roman"/>
          <w:sz w:val="24"/>
          <w:szCs w:val="24"/>
        </w:rPr>
        <w:t>. There are also revenue streams from other enterprises, such as catering and project management. This comprehensive strategy supports core operations and improves financial stability.</w:t>
      </w:r>
    </w:p>
    <w:p w14:paraId="0000000F" w14:textId="72F09B65"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sz w:val="24"/>
          <w:szCs w:val="24"/>
        </w:rPr>
        <w:lastRenderedPageBreak/>
        <w:t>The Management &amp; Franchise (M&amp;F) division of the Ibis Hotel Company is its main source of income. This money is made by charging hotel owners fees, which also include commissions on centralized purchases (</w:t>
      </w:r>
      <w:r w:rsidR="006154E9" w:rsidRPr="006154E9">
        <w:rPr>
          <w:rFonts w:ascii="Times New Roman" w:eastAsia="Times New Roman" w:hAnsi="Times New Roman" w:cs="Times New Roman"/>
          <w:sz w:val="24"/>
          <w:szCs w:val="24"/>
        </w:rPr>
        <w:t>Press.accor.com</w:t>
      </w:r>
      <w:r w:rsidR="006154E9">
        <w:rPr>
          <w:rFonts w:ascii="Times New Roman" w:eastAsia="Times New Roman" w:hAnsi="Times New Roman" w:cs="Times New Roman"/>
          <w:sz w:val="24"/>
          <w:szCs w:val="24"/>
        </w:rPr>
        <w:t xml:space="preserve">, </w:t>
      </w:r>
      <w:r w:rsidR="006154E9" w:rsidRPr="006154E9">
        <w:rPr>
          <w:rFonts w:ascii="Times New Roman" w:eastAsia="Times New Roman" w:hAnsi="Times New Roman" w:cs="Times New Roman"/>
          <w:sz w:val="24"/>
          <w:szCs w:val="24"/>
        </w:rPr>
        <w:t>2024</w:t>
      </w:r>
      <w:r w:rsidRPr="00AC2AED">
        <w:rPr>
          <w:rFonts w:ascii="Times New Roman" w:eastAsia="Times New Roman" w:hAnsi="Times New Roman" w:cs="Times New Roman"/>
          <w:sz w:val="24"/>
          <w:szCs w:val="24"/>
        </w:rPr>
        <w:t xml:space="preserve">). The Premium, Mid. &amp; Eco. segment of Accor, which includes brands like Novotel, Mercure, </w:t>
      </w:r>
      <w:proofErr w:type="spellStart"/>
      <w:r w:rsidRPr="00AC2AED">
        <w:rPr>
          <w:rFonts w:ascii="Times New Roman" w:eastAsia="Times New Roman" w:hAnsi="Times New Roman" w:cs="Times New Roman"/>
          <w:sz w:val="24"/>
          <w:szCs w:val="24"/>
        </w:rPr>
        <w:t>Swissôtel</w:t>
      </w:r>
      <w:proofErr w:type="spellEnd"/>
      <w:r w:rsidRPr="00AC2AED">
        <w:rPr>
          <w:rFonts w:ascii="Times New Roman" w:eastAsia="Times New Roman" w:hAnsi="Times New Roman" w:cs="Times New Roman"/>
          <w:sz w:val="24"/>
          <w:szCs w:val="24"/>
        </w:rPr>
        <w:t xml:space="preserve">, </w:t>
      </w:r>
      <w:proofErr w:type="spellStart"/>
      <w:r w:rsidRPr="00AC2AED">
        <w:rPr>
          <w:rFonts w:ascii="Times New Roman" w:eastAsia="Times New Roman" w:hAnsi="Times New Roman" w:cs="Times New Roman"/>
          <w:sz w:val="24"/>
          <w:szCs w:val="24"/>
        </w:rPr>
        <w:t>Mövenpick</w:t>
      </w:r>
      <w:proofErr w:type="spellEnd"/>
      <w:r w:rsidRPr="00AC2AED">
        <w:rPr>
          <w:rFonts w:ascii="Times New Roman" w:eastAsia="Times New Roman" w:hAnsi="Times New Roman" w:cs="Times New Roman"/>
          <w:sz w:val="24"/>
          <w:szCs w:val="24"/>
        </w:rPr>
        <w:t>, and Pullman, is where the M&amp;F revenue is concentrated. The Premium, Mid. &amp; Eco. The division's M&amp;F revenue in the first half of 2023 was €403 million, a noteworthy 39% rise over the same time in 2022.</w:t>
      </w:r>
    </w:p>
    <w:p w14:paraId="00000010" w14:textId="77777777" w:rsidR="00B60F91" w:rsidRPr="00AC2AED" w:rsidRDefault="00E440E2" w:rsidP="002C2BA7">
      <w:pPr>
        <w:pStyle w:val="Titlu1"/>
      </w:pPr>
      <w:bookmarkStart w:id="4" w:name="_bgdc9fyyggh2" w:colFirst="0" w:colLast="0"/>
      <w:bookmarkStart w:id="5" w:name="_Toc157710285"/>
      <w:bookmarkEnd w:id="4"/>
      <w:r w:rsidRPr="007357A7">
        <w:t>Market</w:t>
      </w:r>
      <w:r w:rsidRPr="00AC2AED">
        <w:t xml:space="preserve"> Position</w:t>
      </w:r>
      <w:bookmarkEnd w:id="5"/>
      <w:r w:rsidRPr="00AC2AED">
        <w:t xml:space="preserve"> </w:t>
      </w:r>
    </w:p>
    <w:p w14:paraId="00000011"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 xml:space="preserve">Corinthia Hotels </w:t>
      </w:r>
    </w:p>
    <w:p w14:paraId="00000012"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Market share</w:t>
      </w:r>
    </w:p>
    <w:p w14:paraId="00000013" w14:textId="6F0B0343"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The upscale hotel chain Corinthia Hotels has established itself as a premium brand in the lodging sector. The brand is present in several cities throughout the globe, such as Prague, St. Petersburg, and Tripoli. Bucharest and Doha are the planned destinations for future openings</w:t>
      </w:r>
      <w:r w:rsidR="000674A6">
        <w:rPr>
          <w:rFonts w:ascii="Times New Roman" w:eastAsia="Times New Roman" w:hAnsi="Times New Roman" w:cs="Times New Roman"/>
          <w:sz w:val="24"/>
          <w:szCs w:val="24"/>
        </w:rPr>
        <w:t xml:space="preserve"> (</w:t>
      </w:r>
      <w:r w:rsidR="000674A6" w:rsidRPr="000674A6">
        <w:rPr>
          <w:rFonts w:ascii="Times New Roman" w:eastAsia="Times New Roman" w:hAnsi="Times New Roman" w:cs="Times New Roman"/>
          <w:sz w:val="24"/>
          <w:szCs w:val="24"/>
        </w:rPr>
        <w:t>Walker</w:t>
      </w:r>
      <w:r w:rsidR="000674A6">
        <w:rPr>
          <w:rFonts w:ascii="Times New Roman" w:eastAsia="Times New Roman" w:hAnsi="Times New Roman" w:cs="Times New Roman"/>
          <w:sz w:val="24"/>
          <w:szCs w:val="24"/>
        </w:rPr>
        <w:t>, 2021)</w:t>
      </w:r>
      <w:r w:rsidRPr="00AC2AED">
        <w:rPr>
          <w:rFonts w:ascii="Times New Roman" w:eastAsia="Times New Roman" w:hAnsi="Times New Roman" w:cs="Times New Roman"/>
          <w:sz w:val="24"/>
          <w:szCs w:val="24"/>
        </w:rPr>
        <w:t>. With an emphasis on giving visitors an upscale experience, Corinthia Hotels' dedication to quality and elegance strengthens its position in the market.</w:t>
      </w:r>
    </w:p>
    <w:p w14:paraId="00000014"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Customer demographics</w:t>
      </w:r>
    </w:p>
    <w:p w14:paraId="00000015" w14:textId="77777777"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When it comes to client demographics, Corinthia Hotels mostly caters to wealthy tourists looking for opulent lodging and first-rate service. The company's service offerings and hotel architecture both showcase its emphasis on care and craftsmanship (</w:t>
      </w:r>
      <w:proofErr w:type="spellStart"/>
      <w:r w:rsidRPr="00AC2AED">
        <w:rPr>
          <w:rFonts w:ascii="Times New Roman" w:eastAsia="Times New Roman" w:hAnsi="Times New Roman" w:cs="Times New Roman"/>
          <w:sz w:val="24"/>
          <w:szCs w:val="24"/>
        </w:rPr>
        <w:t>Gyurácz-Németh</w:t>
      </w:r>
      <w:proofErr w:type="spellEnd"/>
      <w:r w:rsidRPr="00AC2AED">
        <w:rPr>
          <w:rFonts w:ascii="Times New Roman" w:eastAsia="Times New Roman" w:hAnsi="Times New Roman" w:cs="Times New Roman"/>
          <w:sz w:val="24"/>
          <w:szCs w:val="24"/>
        </w:rPr>
        <w:t>, 2020). The target market for Corinthia Hotels International consists of private travel designers, event management firms, and corporate travel brokers. The US, Canada, and Mexico make up their geographical target markets.</w:t>
      </w:r>
    </w:p>
    <w:p w14:paraId="00000016"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Brand perception</w:t>
      </w:r>
    </w:p>
    <w:p w14:paraId="00000017"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sz w:val="24"/>
          <w:szCs w:val="24"/>
        </w:rPr>
        <w:t xml:space="preserve">Corinthia Hotels has a generally favorable brand </w:t>
      </w:r>
      <w:r w:rsidRPr="00AC2AED">
        <w:rPr>
          <w:rFonts w:ascii="Times New Roman" w:eastAsia="Times New Roman" w:hAnsi="Times New Roman" w:cs="Times New Roman"/>
          <w:sz w:val="24"/>
          <w:szCs w:val="24"/>
        </w:rPr>
        <w:t>impression due to its reputation for elegance and excellence. The brand's positioning approach is centered on delivering a luxury experience, as seen by its opulent hotel decor and superior service offerings.</w:t>
      </w:r>
    </w:p>
    <w:p w14:paraId="00000018"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Ibis Hotels</w:t>
      </w:r>
    </w:p>
    <w:p w14:paraId="00000019"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Market Share</w:t>
      </w:r>
    </w:p>
    <w:p w14:paraId="0000001A" w14:textId="77777777" w:rsidR="00B60F91"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 xml:space="preserve">Within the budget hotel industry, Accor owns the well-known brand Ibis Hotels. Ibis Hotels' market position is reinforced by its wide worldwide reach and dedication to offering good value for money. Ibis Hotels has a well-diversified market share around the globe, with important markets in the Americas, France, Africa-Middle East, and Asia-Pacific. The Americans comprised </w:t>
      </w:r>
      <w:r w:rsidRPr="00AC2AED">
        <w:rPr>
          <w:rFonts w:ascii="Times New Roman" w:eastAsia="Times New Roman" w:hAnsi="Times New Roman" w:cs="Times New Roman"/>
          <w:sz w:val="24"/>
          <w:szCs w:val="24"/>
        </w:rPr>
        <w:lastRenderedPageBreak/>
        <w:t>17% of the network in 2019 with 25,837 rooms spread over 175 hotels. Ibis's native France accounted for a sizable 22% of the market with 34,139 rooms spread across 388 properties (Mallia, 2022). Africa/Middle East made up 5% of the total with 8,541 rooms, while Asia-Pacific held a commanding 24% of the market with 37,660 rooms spread over 244 hotels. The ambitious growth plans in the pipeline call for the construction of 198 additional hotels and the addition of 24,190 rooms by 2024.</w:t>
      </w:r>
    </w:p>
    <w:p w14:paraId="79437260" w14:textId="0369325A" w:rsidR="00845C9F" w:rsidRDefault="00845C9F" w:rsidP="002C2BA7">
      <w:pPr>
        <w:pStyle w:val="NormalWeb"/>
        <w:spacing w:before="0" w:beforeAutospacing="0" w:after="0" w:afterAutospacing="0" w:line="360" w:lineRule="auto"/>
        <w:jc w:val="center"/>
      </w:pPr>
      <w:r>
        <w:rPr>
          <w:noProof/>
          <w:color w:val="000000"/>
          <w:bdr w:val="none" w:sz="0" w:space="0" w:color="auto" w:frame="1"/>
        </w:rPr>
        <w:drawing>
          <wp:inline distT="0" distB="0" distL="0" distR="0" wp14:anchorId="722E6772" wp14:editId="6FD2C1FE">
            <wp:extent cx="5943600" cy="3742055"/>
            <wp:effectExtent l="0" t="0" r="0" b="0"/>
            <wp:docPr id="1334087822" name="Picture 2" descr="A graph with blu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87822" name="Picture 2" descr="A graph with blue squar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742055"/>
                    </a:xfrm>
                    <a:prstGeom prst="rect">
                      <a:avLst/>
                    </a:prstGeom>
                    <a:noFill/>
                    <a:ln>
                      <a:noFill/>
                    </a:ln>
                  </pic:spPr>
                </pic:pic>
              </a:graphicData>
            </a:graphic>
          </wp:inline>
        </w:drawing>
      </w:r>
    </w:p>
    <w:p w14:paraId="2B87D7B8" w14:textId="77777777" w:rsidR="00845C9F" w:rsidRDefault="00845C9F" w:rsidP="002C2BA7">
      <w:pPr>
        <w:pStyle w:val="NormalWeb"/>
        <w:spacing w:before="0" w:beforeAutospacing="0" w:after="0" w:afterAutospacing="0" w:line="360" w:lineRule="auto"/>
        <w:jc w:val="center"/>
      </w:pPr>
      <w:r>
        <w:rPr>
          <w:b/>
          <w:bCs/>
          <w:color w:val="000000"/>
        </w:rPr>
        <w:t>Figure 2: Ibis brand awareness</w:t>
      </w:r>
    </w:p>
    <w:p w14:paraId="3B3060A9" w14:textId="64935785" w:rsidR="00845C9F" w:rsidRPr="00AC2AED" w:rsidRDefault="00845C9F" w:rsidP="002C2BA7">
      <w:pPr>
        <w:pStyle w:val="NormalWeb"/>
        <w:spacing w:before="0" w:beforeAutospacing="0" w:after="0" w:afterAutospacing="0" w:line="360" w:lineRule="auto"/>
        <w:jc w:val="center"/>
      </w:pPr>
      <w:r>
        <w:rPr>
          <w:color w:val="000000"/>
        </w:rPr>
        <w:t>(Source: Statistica.com, 2024)</w:t>
      </w:r>
    </w:p>
    <w:p w14:paraId="0000001B"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Customer demographics</w:t>
      </w:r>
    </w:p>
    <w:p w14:paraId="0000001C" w14:textId="77777777" w:rsidR="00B60F91"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Ibis hotels cater to those with a youthful spirit and an open approach, particularly targeting those under 35. The clientele is mostly from the top 30% of earners in each of their home nations, indicating a desire to spend money on a high-end, modern hotel experience. Clientele at Ibis are known for their love of music (Zhang, 2020). These clients travel for both work and pleasure, looking for lodgings that offer a vibrant and sociable environment in addition to practical locations and good value.</w:t>
      </w:r>
    </w:p>
    <w:p w14:paraId="0000001D"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Brand perception</w:t>
      </w:r>
    </w:p>
    <w:p w14:paraId="0000001E"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sz w:val="24"/>
          <w:szCs w:val="24"/>
        </w:rPr>
        <w:lastRenderedPageBreak/>
        <w:t>Ibis hotels are known for their contemporary and cozy design aesthetic, which is exemplified by their lively and welcoming social areas with four unique design concepts and upgraded beds with more support and comfort (Briffa and Agius, 2021). Ibis, which is well-known for its airy and lively atmosphere, has a distinctive music lineup that features both domestic and foreign performers, staying true to its "We Are Open" motto and taking cues from popular songs. Beyond its distinctive sound, Ibis upholds a lea</w:t>
      </w:r>
      <w:r w:rsidRPr="00AC2AED">
        <w:rPr>
          <w:rFonts w:ascii="Times New Roman" w:eastAsia="Times New Roman" w:hAnsi="Times New Roman" w:cs="Times New Roman"/>
          <w:sz w:val="24"/>
          <w:szCs w:val="24"/>
        </w:rPr>
        <w:t xml:space="preserve">n and effective operational framework that guarantees steady GOP margins, high occupancy rates, predictable development expenses, and little volatility. </w:t>
      </w:r>
    </w:p>
    <w:p w14:paraId="0000001F" w14:textId="77777777" w:rsidR="00B60F91" w:rsidRPr="00AC2AED" w:rsidRDefault="00E440E2" w:rsidP="002C2BA7">
      <w:pPr>
        <w:pStyle w:val="Titlu1"/>
      </w:pPr>
      <w:bookmarkStart w:id="6" w:name="_fztf2z66gmzy" w:colFirst="0" w:colLast="0"/>
      <w:bookmarkStart w:id="7" w:name="_Toc157710286"/>
      <w:bookmarkEnd w:id="6"/>
      <w:r w:rsidRPr="007357A7">
        <w:t>Growth</w:t>
      </w:r>
      <w:r w:rsidRPr="00AC2AED">
        <w:t xml:space="preserve"> Potential</w:t>
      </w:r>
      <w:bookmarkEnd w:id="7"/>
      <w:r w:rsidRPr="00AC2AED">
        <w:t xml:space="preserve"> </w:t>
      </w:r>
    </w:p>
    <w:p w14:paraId="00000020"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Corinthia Hotels</w:t>
      </w:r>
    </w:p>
    <w:p w14:paraId="00000021"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Growth potential</w:t>
      </w:r>
    </w:p>
    <w:p w14:paraId="00000022" w14:textId="77777777"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Corinthia Hotels sets out in a hearty development direction with the turn of events and activity of seven lavish properties in essential areas. Introducing Verde Hotels, another upscale brand, addresses the upper four and lower five-star portions, at first integrating existing unbranded lodgings before extending through administration arrangements universally (Mason, 2022). Corinthia strategically leverages expertise and generates synergies across a variety of markets and industries thanks to the IHI Group'</w:t>
      </w:r>
      <w:r w:rsidRPr="00AC2AED">
        <w:rPr>
          <w:rFonts w:ascii="Times New Roman" w:eastAsia="Times New Roman" w:hAnsi="Times New Roman" w:cs="Times New Roman"/>
          <w:sz w:val="24"/>
          <w:szCs w:val="24"/>
        </w:rPr>
        <w:t>s diverse services and world-class management team.</w:t>
      </w:r>
    </w:p>
    <w:p w14:paraId="00000023"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Expansion strategy</w:t>
      </w:r>
    </w:p>
    <w:p w14:paraId="00000024" w14:textId="77777777"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New hotels being designed and developed by Corinthia Hotels are slated to open in 2024 and 2025 in Rome, Brussels, New York, Bucharest, Riyadh, and Doha. These accommodations are made to compete at the top of their respective premium market segments.</w:t>
      </w:r>
    </w:p>
    <w:p w14:paraId="00000025"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Market opportunities</w:t>
      </w:r>
    </w:p>
    <w:p w14:paraId="00000026" w14:textId="33C0359A"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sz w:val="24"/>
          <w:szCs w:val="24"/>
        </w:rPr>
        <w:t xml:space="preserve">Corinthia Hotels has been focusing on premium </w:t>
      </w:r>
      <w:r w:rsidR="007357A7" w:rsidRPr="00AC2AED">
        <w:rPr>
          <w:rFonts w:ascii="Times New Roman" w:eastAsia="Times New Roman" w:hAnsi="Times New Roman" w:cs="Times New Roman"/>
          <w:sz w:val="24"/>
          <w:szCs w:val="24"/>
        </w:rPr>
        <w:t>situated</w:t>
      </w:r>
      <w:r w:rsidRPr="00AC2AED">
        <w:rPr>
          <w:rFonts w:ascii="Times New Roman" w:eastAsia="Times New Roman" w:hAnsi="Times New Roman" w:cs="Times New Roman"/>
          <w:sz w:val="24"/>
          <w:szCs w:val="24"/>
        </w:rPr>
        <w:t xml:space="preserve"> in the city's inn market because of the property's importance, area, and speculation committed by the parties</w:t>
      </w:r>
      <w:r w:rsidR="000674A6">
        <w:rPr>
          <w:rFonts w:ascii="Times New Roman" w:eastAsia="Times New Roman" w:hAnsi="Times New Roman" w:cs="Times New Roman"/>
          <w:sz w:val="24"/>
          <w:szCs w:val="24"/>
        </w:rPr>
        <w:t xml:space="preserve"> (</w:t>
      </w:r>
      <w:r w:rsidR="000674A6" w:rsidRPr="000674A6">
        <w:rPr>
          <w:rFonts w:ascii="Times New Roman" w:eastAsia="Times New Roman" w:hAnsi="Times New Roman" w:cs="Times New Roman"/>
          <w:sz w:val="24"/>
          <w:szCs w:val="24"/>
        </w:rPr>
        <w:t>Seal</w:t>
      </w:r>
      <w:r w:rsidR="000674A6">
        <w:rPr>
          <w:rFonts w:ascii="Times New Roman" w:eastAsia="Times New Roman" w:hAnsi="Times New Roman" w:cs="Times New Roman"/>
          <w:sz w:val="24"/>
          <w:szCs w:val="24"/>
        </w:rPr>
        <w:t>, 2019)</w:t>
      </w:r>
      <w:r w:rsidRPr="00AC2AED">
        <w:rPr>
          <w:rFonts w:ascii="Times New Roman" w:eastAsia="Times New Roman" w:hAnsi="Times New Roman" w:cs="Times New Roman"/>
          <w:sz w:val="24"/>
          <w:szCs w:val="24"/>
        </w:rPr>
        <w:t>. Furthermore, the company is concentrating on making its guest experiences better by being connected and refined.</w:t>
      </w:r>
    </w:p>
    <w:p w14:paraId="00000027"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Potential barriers to growth</w:t>
      </w:r>
    </w:p>
    <w:p w14:paraId="00000028" w14:textId="77777777"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Corinthia Hotels experiences development obstructions coming from monetary difficulties like increasing expansion and loan fees, prompting expanded functional expenses. Political and financial flimsiness, especially the conflict in Ukraine and vulnerabilities in Russia, adversely influence explicit undertakings (</w:t>
      </w:r>
      <w:proofErr w:type="spellStart"/>
      <w:r w:rsidRPr="00AC2AED">
        <w:rPr>
          <w:rFonts w:ascii="Times New Roman" w:eastAsia="Times New Roman" w:hAnsi="Times New Roman" w:cs="Times New Roman"/>
          <w:sz w:val="24"/>
          <w:szCs w:val="24"/>
        </w:rPr>
        <w:t>Nelwan</w:t>
      </w:r>
      <w:proofErr w:type="spellEnd"/>
      <w:r w:rsidRPr="00AC2AED">
        <w:rPr>
          <w:rFonts w:ascii="Times New Roman" w:eastAsia="Times New Roman" w:hAnsi="Times New Roman" w:cs="Times New Roman"/>
          <w:sz w:val="24"/>
          <w:szCs w:val="24"/>
        </w:rPr>
        <w:t xml:space="preserve">, 2020). Corinthia's global brand expansion strategy faces obstacles from intensified competition in the luxury and upscale hotel segments, necessitating the </w:t>
      </w:r>
      <w:r w:rsidRPr="00AC2AED">
        <w:rPr>
          <w:rFonts w:ascii="Times New Roman" w:eastAsia="Times New Roman" w:hAnsi="Times New Roman" w:cs="Times New Roman"/>
          <w:sz w:val="24"/>
          <w:szCs w:val="24"/>
        </w:rPr>
        <w:lastRenderedPageBreak/>
        <w:t>upkeep and improvement of brand standards. To navigate the dynamic hospitality landscape, Corinthia is actively seeking partnerships, opportunities, and global culinary talent despite these obstacles.</w:t>
      </w:r>
    </w:p>
    <w:p w14:paraId="00000029"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Ibis Hotels</w:t>
      </w:r>
    </w:p>
    <w:p w14:paraId="0000002A"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Growth potential</w:t>
      </w:r>
    </w:p>
    <w:p w14:paraId="0000002B" w14:textId="30F67E10"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With a global presence that spans 2,200 hotels, a dependable pipeline of 198 new establishments by 2024, and a strategic focus on Europe, Asia-Pacific, and South America, Ibis hotels possess robust growth potential</w:t>
      </w:r>
      <w:r w:rsidR="000674A6">
        <w:rPr>
          <w:rFonts w:ascii="Times New Roman" w:eastAsia="Times New Roman" w:hAnsi="Times New Roman" w:cs="Times New Roman"/>
          <w:sz w:val="24"/>
          <w:szCs w:val="24"/>
        </w:rPr>
        <w:t xml:space="preserve"> (</w:t>
      </w:r>
      <w:r w:rsidR="000674A6" w:rsidRPr="000674A6">
        <w:rPr>
          <w:rFonts w:ascii="Times New Roman" w:eastAsia="Times New Roman" w:hAnsi="Times New Roman" w:cs="Times New Roman"/>
          <w:sz w:val="24"/>
          <w:szCs w:val="24"/>
        </w:rPr>
        <w:t>Argus</w:t>
      </w:r>
      <w:r w:rsidR="000674A6">
        <w:rPr>
          <w:rFonts w:ascii="Times New Roman" w:eastAsia="Times New Roman" w:hAnsi="Times New Roman" w:cs="Times New Roman"/>
          <w:sz w:val="24"/>
          <w:szCs w:val="24"/>
        </w:rPr>
        <w:t xml:space="preserve"> </w:t>
      </w:r>
      <w:r w:rsidR="000674A6" w:rsidRPr="000674A6">
        <w:rPr>
          <w:rFonts w:ascii="Times New Roman" w:eastAsia="Times New Roman" w:hAnsi="Times New Roman" w:cs="Times New Roman"/>
          <w:i/>
          <w:iCs/>
          <w:sz w:val="24"/>
          <w:szCs w:val="24"/>
        </w:rPr>
        <w:t xml:space="preserve">et al. </w:t>
      </w:r>
      <w:r w:rsidR="000674A6">
        <w:rPr>
          <w:rFonts w:ascii="Times New Roman" w:eastAsia="Times New Roman" w:hAnsi="Times New Roman" w:cs="Times New Roman"/>
          <w:sz w:val="24"/>
          <w:szCs w:val="24"/>
        </w:rPr>
        <w:t>2021)</w:t>
      </w:r>
      <w:r w:rsidRPr="00AC2AED">
        <w:rPr>
          <w:rFonts w:ascii="Times New Roman" w:eastAsia="Times New Roman" w:hAnsi="Times New Roman" w:cs="Times New Roman"/>
          <w:sz w:val="24"/>
          <w:szCs w:val="24"/>
        </w:rPr>
        <w:t>. With the most noteworthy brand mindfulness in their classification, Ibis flaunts a dedicated customer base of 64 million with a reputation score of 81.94 %.</w:t>
      </w:r>
    </w:p>
    <w:p w14:paraId="0000002C"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Expansion strategy</w:t>
      </w:r>
    </w:p>
    <w:p w14:paraId="0000002D" w14:textId="34E6C9D2"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sz w:val="24"/>
          <w:szCs w:val="24"/>
        </w:rPr>
        <w:t>With a global network of 2,200 hotels and plans for 198 new establishments, Ibis Hotels is strategically expanding in Europe, Asia-Pacific, and South America (</w:t>
      </w:r>
      <w:proofErr w:type="spellStart"/>
      <w:r w:rsidRPr="00AC2AED">
        <w:rPr>
          <w:rFonts w:ascii="Times New Roman" w:eastAsia="Times New Roman" w:hAnsi="Times New Roman" w:cs="Times New Roman"/>
          <w:sz w:val="24"/>
          <w:szCs w:val="24"/>
        </w:rPr>
        <w:t>Kozhukhіvska</w:t>
      </w:r>
      <w:proofErr w:type="spellEnd"/>
      <w:r w:rsidRPr="00AC2AED">
        <w:rPr>
          <w:rFonts w:ascii="Times New Roman" w:eastAsia="Times New Roman" w:hAnsi="Times New Roman" w:cs="Times New Roman"/>
          <w:sz w:val="24"/>
          <w:szCs w:val="24"/>
        </w:rPr>
        <w:t xml:space="preserve"> </w:t>
      </w:r>
      <w:r w:rsidRPr="00AC2AED">
        <w:rPr>
          <w:rFonts w:ascii="Times New Roman" w:eastAsia="Times New Roman" w:hAnsi="Times New Roman" w:cs="Times New Roman"/>
          <w:i/>
          <w:sz w:val="24"/>
          <w:szCs w:val="24"/>
        </w:rPr>
        <w:t>et al.</w:t>
      </w:r>
      <w:r w:rsidRPr="00AC2AED">
        <w:rPr>
          <w:rFonts w:ascii="Times New Roman" w:eastAsia="Times New Roman" w:hAnsi="Times New Roman" w:cs="Times New Roman"/>
          <w:sz w:val="24"/>
          <w:szCs w:val="24"/>
        </w:rPr>
        <w:t xml:space="preserve"> 2022). Ibis, renowned for </w:t>
      </w:r>
      <w:r w:rsidR="002662CA" w:rsidRPr="00AC2AED">
        <w:rPr>
          <w:rFonts w:ascii="Times New Roman" w:eastAsia="Times New Roman" w:hAnsi="Times New Roman" w:cs="Times New Roman"/>
          <w:sz w:val="24"/>
          <w:szCs w:val="24"/>
        </w:rPr>
        <w:t>its</w:t>
      </w:r>
      <w:r w:rsidRPr="00AC2AED">
        <w:rPr>
          <w:rFonts w:ascii="Times New Roman" w:eastAsia="Times New Roman" w:hAnsi="Times New Roman" w:cs="Times New Roman"/>
          <w:sz w:val="24"/>
          <w:szCs w:val="24"/>
        </w:rPr>
        <w:t xml:space="preserve"> exceptional design and product offerings, introduces three novel concepts, including the Sweet Bed concept, which creates adaptable rooms and lively social spaces. Their effective plan of action guarantees unsurprising improvement costs, high inhabitants rates, and versatility. Through the </w:t>
      </w:r>
      <w:proofErr w:type="spellStart"/>
      <w:r w:rsidRPr="00AC2AED">
        <w:rPr>
          <w:rFonts w:ascii="Times New Roman" w:eastAsia="Times New Roman" w:hAnsi="Times New Roman" w:cs="Times New Roman"/>
          <w:sz w:val="24"/>
          <w:szCs w:val="24"/>
        </w:rPr>
        <w:t>Heartist</w:t>
      </w:r>
      <w:proofErr w:type="spellEnd"/>
      <w:r w:rsidRPr="00AC2AED">
        <w:rPr>
          <w:rFonts w:ascii="Times New Roman" w:eastAsia="Times New Roman" w:hAnsi="Times New Roman" w:cs="Times New Roman"/>
          <w:sz w:val="24"/>
          <w:szCs w:val="24"/>
        </w:rPr>
        <w:t xml:space="preserve"> program, Ibis fosters unexpected connections and musical inspiration.</w:t>
      </w:r>
    </w:p>
    <w:p w14:paraId="0000002E"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Market opportunities</w:t>
      </w:r>
    </w:p>
    <w:p w14:paraId="0000002F" w14:textId="089A1D60"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 xml:space="preserve">With 1,200 hotels in 67 countries and a robust pipeline for future expansion, Ibis stands out as the leading </w:t>
      </w:r>
      <w:r w:rsidRPr="00AC2AED">
        <w:rPr>
          <w:rFonts w:ascii="Times New Roman" w:eastAsia="Times New Roman" w:hAnsi="Times New Roman" w:cs="Times New Roman"/>
          <w:sz w:val="24"/>
          <w:szCs w:val="24"/>
        </w:rPr>
        <w:t>economy brand worldwide. Ibis's adaptable design concepts—Agora, Plaza, Square, and NEST—which enable both standardization and customization based on regional tastes, further enhance its allure</w:t>
      </w:r>
      <w:r w:rsidR="000674A6">
        <w:rPr>
          <w:rFonts w:ascii="Times New Roman" w:eastAsia="Times New Roman" w:hAnsi="Times New Roman" w:cs="Times New Roman"/>
          <w:sz w:val="24"/>
          <w:szCs w:val="24"/>
        </w:rPr>
        <w:t xml:space="preserve"> (</w:t>
      </w:r>
      <w:r w:rsidR="000674A6" w:rsidRPr="000674A6">
        <w:rPr>
          <w:rFonts w:ascii="Times New Roman" w:eastAsia="Times New Roman" w:hAnsi="Times New Roman" w:cs="Times New Roman"/>
          <w:sz w:val="24"/>
          <w:szCs w:val="24"/>
        </w:rPr>
        <w:t>Wild</w:t>
      </w:r>
      <w:r w:rsidR="000674A6">
        <w:rPr>
          <w:rFonts w:ascii="Times New Roman" w:eastAsia="Times New Roman" w:hAnsi="Times New Roman" w:cs="Times New Roman"/>
          <w:sz w:val="24"/>
          <w:szCs w:val="24"/>
        </w:rPr>
        <w:t>, 2018)</w:t>
      </w:r>
      <w:r w:rsidRPr="00AC2AED">
        <w:rPr>
          <w:rFonts w:ascii="Times New Roman" w:eastAsia="Times New Roman" w:hAnsi="Times New Roman" w:cs="Times New Roman"/>
          <w:sz w:val="24"/>
          <w:szCs w:val="24"/>
        </w:rPr>
        <w:t>. Through its involvement in the ALL - Accor Live Limitless lifestyle loyalty program, which has over 64 million members globally and a strong presence in important markets, Ibis further improves consumer engagement. The company is positioned to benefit from its leadership in the world market and keep pro</w:t>
      </w:r>
      <w:r w:rsidRPr="00AC2AED">
        <w:rPr>
          <w:rFonts w:ascii="Times New Roman" w:eastAsia="Times New Roman" w:hAnsi="Times New Roman" w:cs="Times New Roman"/>
          <w:sz w:val="24"/>
          <w:szCs w:val="24"/>
        </w:rPr>
        <w:t xml:space="preserve">viding </w:t>
      </w:r>
      <w:r w:rsidR="001C545A" w:rsidRPr="00AC2AED">
        <w:rPr>
          <w:rFonts w:ascii="Times New Roman" w:eastAsia="Times New Roman" w:hAnsi="Times New Roman" w:cs="Times New Roman"/>
          <w:sz w:val="24"/>
          <w:szCs w:val="24"/>
        </w:rPr>
        <w:t>excitement.</w:t>
      </w:r>
    </w:p>
    <w:p w14:paraId="00000030"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Potential barriers to growth</w:t>
      </w:r>
    </w:p>
    <w:p w14:paraId="00000031"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sz w:val="24"/>
          <w:szCs w:val="24"/>
        </w:rPr>
        <w:t xml:space="preserve">A significant obstacle is the fierce rivalry from competing economy brands like OYO Rooms, Hampton by Hilton, and Holiday Inn Express (Reinecke and Noll, 2023). There may be differences in brand power, loyalty programs, and market presence. The COVID-19 epidemic serves as an </w:t>
      </w:r>
      <w:r w:rsidRPr="00AC2AED">
        <w:rPr>
          <w:rFonts w:ascii="Times New Roman" w:eastAsia="Times New Roman" w:hAnsi="Times New Roman" w:cs="Times New Roman"/>
          <w:sz w:val="24"/>
          <w:szCs w:val="24"/>
        </w:rPr>
        <w:lastRenderedPageBreak/>
        <w:t>example of how economic uncertainty may drastically reduce demand and occupancy rates, making Ibis hotels more susceptible to future crises and geopolitical risks.</w:t>
      </w:r>
    </w:p>
    <w:p w14:paraId="00000032" w14:textId="77777777" w:rsidR="00B60F91" w:rsidRPr="00AC2AED" w:rsidRDefault="00E440E2" w:rsidP="002C2BA7">
      <w:pPr>
        <w:pStyle w:val="Titlu1"/>
      </w:pPr>
      <w:bookmarkStart w:id="8" w:name="_wvn1d1nz2jjj" w:colFirst="0" w:colLast="0"/>
      <w:bookmarkStart w:id="9" w:name="_Toc157710287"/>
      <w:bookmarkEnd w:id="8"/>
      <w:r w:rsidRPr="007357A7">
        <w:t>Financial</w:t>
      </w:r>
      <w:r w:rsidRPr="00AC2AED">
        <w:t xml:space="preserve"> Commitment to CSR (Corporate Social Responsibility)</w:t>
      </w:r>
      <w:bookmarkEnd w:id="9"/>
    </w:p>
    <w:p w14:paraId="00000033"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Corinthia Hotels</w:t>
      </w:r>
    </w:p>
    <w:p w14:paraId="00000034"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Sustainability practices</w:t>
      </w:r>
    </w:p>
    <w:p w14:paraId="00000035" w14:textId="1971FB97"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Sustainable development is something that Corinthia Hotels is committed to. They have put in place some noteworthy programs, such as a property-wide plastic reduction process that focuses on single-use situations</w:t>
      </w:r>
      <w:r w:rsidR="000674A6">
        <w:rPr>
          <w:rFonts w:ascii="Times New Roman" w:eastAsia="Times New Roman" w:hAnsi="Times New Roman" w:cs="Times New Roman"/>
          <w:sz w:val="24"/>
          <w:szCs w:val="24"/>
        </w:rPr>
        <w:t xml:space="preserve"> (</w:t>
      </w:r>
      <w:r w:rsidR="000674A6" w:rsidRPr="000674A6">
        <w:rPr>
          <w:rFonts w:ascii="Times New Roman" w:eastAsia="Times New Roman" w:hAnsi="Times New Roman" w:cs="Times New Roman"/>
          <w:sz w:val="24"/>
          <w:szCs w:val="24"/>
        </w:rPr>
        <w:t>Bacari</w:t>
      </w:r>
      <w:r w:rsidR="000674A6">
        <w:rPr>
          <w:rFonts w:ascii="Times New Roman" w:eastAsia="Times New Roman" w:hAnsi="Times New Roman" w:cs="Times New Roman"/>
          <w:sz w:val="24"/>
          <w:szCs w:val="24"/>
        </w:rPr>
        <w:t xml:space="preserve"> </w:t>
      </w:r>
      <w:r w:rsidR="000674A6" w:rsidRPr="000674A6">
        <w:rPr>
          <w:rFonts w:ascii="Times New Roman" w:eastAsia="Times New Roman" w:hAnsi="Times New Roman" w:cs="Times New Roman"/>
          <w:i/>
          <w:iCs/>
          <w:sz w:val="24"/>
          <w:szCs w:val="24"/>
        </w:rPr>
        <w:t xml:space="preserve">et al. </w:t>
      </w:r>
      <w:r w:rsidR="000674A6">
        <w:rPr>
          <w:rFonts w:ascii="Times New Roman" w:eastAsia="Times New Roman" w:hAnsi="Times New Roman" w:cs="Times New Roman"/>
          <w:sz w:val="24"/>
          <w:szCs w:val="24"/>
        </w:rPr>
        <w:t>2021)</w:t>
      </w:r>
      <w:r w:rsidRPr="00AC2AED">
        <w:rPr>
          <w:rFonts w:ascii="Times New Roman" w:eastAsia="Times New Roman" w:hAnsi="Times New Roman" w:cs="Times New Roman"/>
          <w:sz w:val="24"/>
          <w:szCs w:val="24"/>
        </w:rPr>
        <w:t>. In addition, they seek to protect the welfare of their populace and the communities in which they function. It highlights how the Spirit of Corinthia elevates lives.</w:t>
      </w:r>
    </w:p>
    <w:p w14:paraId="00000036"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Community engagement</w:t>
      </w:r>
    </w:p>
    <w:p w14:paraId="00000037"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sz w:val="24"/>
          <w:szCs w:val="24"/>
        </w:rPr>
        <w:t>Corinthia Hotels has demonstrated a proactive approach towards community participation. Over the past four years, they have helped projects in Tanzania, Zambia, Uganda, Kenya, and Cambodia, providing over 45,000 children and families with access to clean water that has changed their lives (</w:t>
      </w:r>
      <w:proofErr w:type="spellStart"/>
      <w:r w:rsidRPr="00AC2AED">
        <w:rPr>
          <w:rFonts w:ascii="Times New Roman" w:eastAsia="Times New Roman" w:hAnsi="Times New Roman" w:cs="Times New Roman"/>
          <w:sz w:val="24"/>
          <w:szCs w:val="24"/>
        </w:rPr>
        <w:t>Chanyasak</w:t>
      </w:r>
      <w:proofErr w:type="spellEnd"/>
      <w:r w:rsidRPr="00AC2AED">
        <w:rPr>
          <w:rFonts w:ascii="Times New Roman" w:eastAsia="Times New Roman" w:hAnsi="Times New Roman" w:cs="Times New Roman"/>
          <w:sz w:val="24"/>
          <w:szCs w:val="24"/>
        </w:rPr>
        <w:t xml:space="preserve"> </w:t>
      </w:r>
      <w:r w:rsidRPr="00AC2AED">
        <w:rPr>
          <w:rFonts w:ascii="Times New Roman" w:eastAsia="Times New Roman" w:hAnsi="Times New Roman" w:cs="Times New Roman"/>
          <w:i/>
          <w:sz w:val="24"/>
          <w:szCs w:val="24"/>
        </w:rPr>
        <w:t>et al</w:t>
      </w:r>
      <w:r w:rsidRPr="00AC2AED">
        <w:rPr>
          <w:rFonts w:ascii="Times New Roman" w:eastAsia="Times New Roman" w:hAnsi="Times New Roman" w:cs="Times New Roman"/>
          <w:sz w:val="24"/>
          <w:szCs w:val="24"/>
        </w:rPr>
        <w:t>. 2022). In addition, the Ursuline Sisters received gifts from the Marina Hotel Corinthia family to support the operation of Angela House, one of its residential residences in Pietà, Malta3.</w:t>
      </w:r>
    </w:p>
    <w:p w14:paraId="00000038"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Ethical business practice</w:t>
      </w:r>
    </w:p>
    <w:p w14:paraId="00000039"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sz w:val="24"/>
          <w:szCs w:val="24"/>
        </w:rPr>
        <w:t xml:space="preserve">Corinthia Hotels adheres to all relevant legal requirements as well as global standards of conduct.2. They have a sound governance policy and are dedicated to making sure that their employees behave honorably through training and laid out policies and procedures.4. </w:t>
      </w:r>
    </w:p>
    <w:p w14:paraId="0000003A"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Ibis hotels</w:t>
      </w:r>
    </w:p>
    <w:p w14:paraId="0000003B" w14:textId="77777777"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b/>
          <w:sz w:val="24"/>
          <w:szCs w:val="24"/>
        </w:rPr>
        <w:t>Sustainability practices</w:t>
      </w:r>
    </w:p>
    <w:p w14:paraId="0000003C" w14:textId="7D22755A" w:rsidR="00B60F91"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As a member of the Accor Group, Ibis Hotels has demonstrated a strong dedication to sustainability (Woo and Mun, 2020). For almost 30 years, the firm has been at the forefront of introducing sustainable development into the hotel industry. Through the implementation of the Planet 21 program, the Ibis Styles Dubai Airport has demonstrated the Group's ambitious 2020 aims</w:t>
      </w:r>
      <w:r w:rsidR="00845C9F">
        <w:rPr>
          <w:rFonts w:ascii="Times New Roman" w:eastAsia="Times New Roman" w:hAnsi="Times New Roman" w:cs="Times New Roman"/>
          <w:sz w:val="24"/>
          <w:szCs w:val="24"/>
        </w:rPr>
        <w:t>.</w:t>
      </w:r>
    </w:p>
    <w:p w14:paraId="7719EDFC" w14:textId="59819F5A" w:rsidR="00845C9F" w:rsidRDefault="00845C9F" w:rsidP="002C2BA7">
      <w:pPr>
        <w:pStyle w:val="NormalWeb"/>
        <w:spacing w:before="0" w:beforeAutospacing="0" w:after="0" w:afterAutospacing="0" w:line="360" w:lineRule="auto"/>
        <w:jc w:val="center"/>
      </w:pPr>
      <w:r>
        <w:rPr>
          <w:noProof/>
          <w:color w:val="000000"/>
          <w:bdr w:val="none" w:sz="0" w:space="0" w:color="auto" w:frame="1"/>
        </w:rPr>
        <w:lastRenderedPageBreak/>
        <w:drawing>
          <wp:inline distT="0" distB="0" distL="0" distR="0" wp14:anchorId="10466193" wp14:editId="3779DF8B">
            <wp:extent cx="5943600" cy="3310255"/>
            <wp:effectExtent l="0" t="0" r="0" b="4445"/>
            <wp:docPr id="640750568" name="Picture 3"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750568" name="Picture 3" descr="A diagram of a compan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10255"/>
                    </a:xfrm>
                    <a:prstGeom prst="rect">
                      <a:avLst/>
                    </a:prstGeom>
                    <a:noFill/>
                    <a:ln>
                      <a:noFill/>
                    </a:ln>
                  </pic:spPr>
                </pic:pic>
              </a:graphicData>
            </a:graphic>
          </wp:inline>
        </w:drawing>
      </w:r>
    </w:p>
    <w:p w14:paraId="38CBD57B" w14:textId="77777777" w:rsidR="00845C9F" w:rsidRDefault="00845C9F" w:rsidP="002C2BA7">
      <w:pPr>
        <w:pStyle w:val="NormalWeb"/>
        <w:spacing w:before="0" w:beforeAutospacing="0" w:after="0" w:afterAutospacing="0" w:line="360" w:lineRule="auto"/>
        <w:jc w:val="center"/>
      </w:pPr>
      <w:r>
        <w:rPr>
          <w:b/>
          <w:bCs/>
          <w:color w:val="000000"/>
        </w:rPr>
        <w:t>Figure 3:CSR approaches of Ibis Hotels</w:t>
      </w:r>
    </w:p>
    <w:p w14:paraId="5E96A770" w14:textId="47DAFBC0" w:rsidR="00845C9F" w:rsidRPr="00AC2AED" w:rsidRDefault="00845C9F" w:rsidP="002C2BA7">
      <w:pPr>
        <w:pStyle w:val="NormalWeb"/>
        <w:spacing w:before="0" w:beforeAutospacing="0" w:after="0" w:afterAutospacing="0" w:line="360" w:lineRule="auto"/>
        <w:jc w:val="center"/>
      </w:pPr>
      <w:r>
        <w:rPr>
          <w:color w:val="000000"/>
        </w:rPr>
        <w:t>(</w:t>
      </w:r>
      <w:r w:rsidR="00B64CFF">
        <w:rPr>
          <w:color w:val="000000"/>
        </w:rPr>
        <w:t>Source: Press.accor.com</w:t>
      </w:r>
      <w:r>
        <w:rPr>
          <w:color w:val="000000"/>
        </w:rPr>
        <w:t xml:space="preserve">, </w:t>
      </w:r>
      <w:r w:rsidR="00BA4F63">
        <w:rPr>
          <w:color w:val="000000"/>
        </w:rPr>
        <w:t>2024)</w:t>
      </w:r>
    </w:p>
    <w:p w14:paraId="0000003D"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Community engagement</w:t>
      </w:r>
    </w:p>
    <w:p w14:paraId="0000003E" w14:textId="77777777"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Ibis Hotels is dedicated to designing adaptable places that encourage social interactions to meet the needs of its guests and provide inclusive, friendly surroundings.</w:t>
      </w:r>
    </w:p>
    <w:p w14:paraId="0000003F"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b/>
          <w:sz w:val="24"/>
          <w:szCs w:val="24"/>
        </w:rPr>
        <w:t>Ethical business practice</w:t>
      </w:r>
    </w:p>
    <w:p w14:paraId="00000040" w14:textId="77777777" w:rsidR="00B60F91" w:rsidRPr="00AC2AED" w:rsidRDefault="00E440E2" w:rsidP="002C2BA7">
      <w:pPr>
        <w:pStyle w:val="Normal1"/>
        <w:spacing w:line="360" w:lineRule="auto"/>
        <w:jc w:val="both"/>
        <w:rPr>
          <w:rFonts w:ascii="Times New Roman" w:eastAsia="Times New Roman" w:hAnsi="Times New Roman" w:cs="Times New Roman"/>
          <w:b/>
          <w:sz w:val="24"/>
          <w:szCs w:val="24"/>
        </w:rPr>
      </w:pPr>
      <w:r w:rsidRPr="00AC2AED">
        <w:rPr>
          <w:rFonts w:ascii="Times New Roman" w:eastAsia="Times New Roman" w:hAnsi="Times New Roman" w:cs="Times New Roman"/>
          <w:sz w:val="24"/>
          <w:szCs w:val="24"/>
        </w:rPr>
        <w:t>Ibis, a division of Accor, abides by a code of ethics that places a strong emphasis on legal compliance, ethical commitment to stakeholders, integrity, and managerial accountability.</w:t>
      </w:r>
    </w:p>
    <w:p w14:paraId="00000041" w14:textId="77777777" w:rsidR="00B60F91" w:rsidRPr="00AC2AED" w:rsidRDefault="00E440E2" w:rsidP="002C2BA7">
      <w:pPr>
        <w:pStyle w:val="Titlu1"/>
      </w:pPr>
      <w:bookmarkStart w:id="10" w:name="_yuypq1lplgtr" w:colFirst="0" w:colLast="0"/>
      <w:bookmarkStart w:id="11" w:name="_Toc157710288"/>
      <w:bookmarkEnd w:id="10"/>
      <w:r w:rsidRPr="007357A7">
        <w:t>Recommendations</w:t>
      </w:r>
      <w:bookmarkEnd w:id="11"/>
      <w:r w:rsidRPr="00AC2AED">
        <w:t xml:space="preserve"> </w:t>
      </w:r>
    </w:p>
    <w:p w14:paraId="00000042" w14:textId="77777777" w:rsidR="00B60F91" w:rsidRPr="00AC2AED" w:rsidRDefault="00E440E2" w:rsidP="002C2BA7">
      <w:pPr>
        <w:pStyle w:val="Normal1"/>
        <w:numPr>
          <w:ilvl w:val="0"/>
          <w:numId w:val="1"/>
        </w:numPr>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By diversifying its investment portfolio and closely monitoring the political landscape, Corinthia Hotels should actively address geopolitical challenges, particularly in regions like Russia and Ukraine.</w:t>
      </w:r>
    </w:p>
    <w:p w14:paraId="00000043" w14:textId="77777777" w:rsidR="00B60F91" w:rsidRPr="00AC2AED" w:rsidRDefault="00E440E2" w:rsidP="002C2BA7">
      <w:pPr>
        <w:pStyle w:val="Normal1"/>
        <w:numPr>
          <w:ilvl w:val="0"/>
          <w:numId w:val="1"/>
        </w:numPr>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Ibis Hotels ought to focus on upgrading client dedication programs. Offering remarkable motivations and customized encounters can cultivate long-haul associations with their different client base.</w:t>
      </w:r>
    </w:p>
    <w:p w14:paraId="00000044" w14:textId="677A23B5" w:rsidR="00B60F91" w:rsidRPr="00AC2AED" w:rsidRDefault="00E440E2" w:rsidP="002C2BA7">
      <w:pPr>
        <w:pStyle w:val="Normal1"/>
        <w:numPr>
          <w:ilvl w:val="0"/>
          <w:numId w:val="1"/>
        </w:numPr>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 xml:space="preserve">Corinthia ought to keep up with and reinforce its obligation to sustainability approaches </w:t>
      </w:r>
      <w:r w:rsidR="007357A7" w:rsidRPr="00AC2AED">
        <w:rPr>
          <w:rFonts w:ascii="Times New Roman" w:eastAsia="Times New Roman" w:hAnsi="Times New Roman" w:cs="Times New Roman"/>
          <w:sz w:val="24"/>
          <w:szCs w:val="24"/>
        </w:rPr>
        <w:t>which includes</w:t>
      </w:r>
      <w:r w:rsidRPr="00AC2AED">
        <w:rPr>
          <w:rFonts w:ascii="Times New Roman" w:eastAsia="Times New Roman" w:hAnsi="Times New Roman" w:cs="Times New Roman"/>
          <w:sz w:val="24"/>
          <w:szCs w:val="24"/>
        </w:rPr>
        <w:t xml:space="preserve"> efforts to cut down on the use of plastic and support community </w:t>
      </w:r>
      <w:r w:rsidR="001C545A" w:rsidRPr="00AC2AED">
        <w:rPr>
          <w:rFonts w:ascii="Times New Roman" w:eastAsia="Times New Roman" w:hAnsi="Times New Roman" w:cs="Times New Roman"/>
          <w:sz w:val="24"/>
          <w:szCs w:val="24"/>
        </w:rPr>
        <w:t>projects.</w:t>
      </w:r>
    </w:p>
    <w:p w14:paraId="00000045" w14:textId="77777777" w:rsidR="00B60F91" w:rsidRPr="00AC2AED" w:rsidRDefault="00E440E2" w:rsidP="002C2BA7">
      <w:pPr>
        <w:pStyle w:val="Normal1"/>
        <w:numPr>
          <w:ilvl w:val="0"/>
          <w:numId w:val="1"/>
        </w:numPr>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lastRenderedPageBreak/>
        <w:t>Ibis Hotels should underline local area commitment drives, lining up with their obligation to sustainability.</w:t>
      </w:r>
    </w:p>
    <w:p w14:paraId="00000046" w14:textId="77777777" w:rsidR="00B60F91" w:rsidRPr="00AC2AED" w:rsidRDefault="00E440E2" w:rsidP="002C2BA7">
      <w:pPr>
        <w:pStyle w:val="Titlu1"/>
      </w:pPr>
      <w:bookmarkStart w:id="12" w:name="_4nsswxuuyuf1" w:colFirst="0" w:colLast="0"/>
      <w:bookmarkStart w:id="13" w:name="_Toc157710289"/>
      <w:bookmarkEnd w:id="12"/>
      <w:r w:rsidRPr="007357A7">
        <w:t>Conclusion</w:t>
      </w:r>
      <w:bookmarkEnd w:id="13"/>
      <w:r w:rsidRPr="00AC2AED">
        <w:t xml:space="preserve"> </w:t>
      </w:r>
    </w:p>
    <w:p w14:paraId="00000047" w14:textId="77777777" w:rsidR="00B60F91" w:rsidRPr="00AC2AED" w:rsidRDefault="00E440E2" w:rsidP="002C2BA7">
      <w:pPr>
        <w:pStyle w:val="Normal1"/>
        <w:spacing w:line="360" w:lineRule="auto"/>
        <w:jc w:val="both"/>
        <w:rPr>
          <w:rFonts w:ascii="Times New Roman" w:eastAsia="Times New Roman" w:hAnsi="Times New Roman" w:cs="Times New Roman"/>
          <w:sz w:val="24"/>
          <w:szCs w:val="24"/>
        </w:rPr>
      </w:pPr>
      <w:r w:rsidRPr="00AC2AED">
        <w:rPr>
          <w:rFonts w:ascii="Times New Roman" w:eastAsia="Times New Roman" w:hAnsi="Times New Roman" w:cs="Times New Roman"/>
          <w:sz w:val="24"/>
          <w:szCs w:val="24"/>
        </w:rPr>
        <w:t>Comparing Corinthia Hotels and Ibis Hotels demonstrates different approaches to financial management in the ever-changing hotel industry. Even with different obstacles to overcome, both companies demonstrate tenacity and strategic vision. Ibis negotiates competitive environments with an emphasis on client loyalty and community involvement, while Corinthia's growth objectives and dedication to sustainability establish it as a strong participant. The research emphasizes the vital significance of adaptable tac</w:t>
      </w:r>
      <w:r w:rsidRPr="00AC2AED">
        <w:rPr>
          <w:rFonts w:ascii="Times New Roman" w:eastAsia="Times New Roman" w:hAnsi="Times New Roman" w:cs="Times New Roman"/>
          <w:sz w:val="24"/>
          <w:szCs w:val="24"/>
        </w:rPr>
        <w:t xml:space="preserve">tics in the face of geopolitical and economic risks as these industry leaders map out their futures. </w:t>
      </w:r>
      <w:r w:rsidRPr="00AC2AED">
        <w:rPr>
          <w:rFonts w:ascii="Times New Roman" w:hAnsi="Times New Roman" w:cs="Times New Roman"/>
          <w:sz w:val="24"/>
          <w:szCs w:val="24"/>
        </w:rPr>
        <w:br w:type="page"/>
      </w:r>
    </w:p>
    <w:p w14:paraId="3FD1895E" w14:textId="30C6A09F" w:rsidR="00AC2AED" w:rsidRPr="00AC2AED" w:rsidRDefault="00E440E2" w:rsidP="002C2BA7">
      <w:pPr>
        <w:pStyle w:val="Titlu1"/>
      </w:pPr>
      <w:bookmarkStart w:id="14" w:name="_pcd3j25fgd7r" w:colFirst="0" w:colLast="0"/>
      <w:bookmarkStart w:id="15" w:name="_Toc157710290"/>
      <w:bookmarkEnd w:id="14"/>
      <w:r w:rsidRPr="007357A7">
        <w:lastRenderedPageBreak/>
        <w:t>Reference</w:t>
      </w:r>
      <w:r w:rsidRPr="00AC2AED">
        <w:t xml:space="preserve"> list</w:t>
      </w:r>
      <w:bookmarkEnd w:id="15"/>
    </w:p>
    <w:p w14:paraId="5E78917F"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Accor.com (2024) Third-quarter 2022 revenue of €1,149 million up 83% like-for-like  .Available at: https://group.accor.com/en/finance [Accessed on: 01.02.2024]</w:t>
      </w:r>
    </w:p>
    <w:p w14:paraId="52728D07" w14:textId="77777777" w:rsid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 xml:space="preserve">Argus, D., Samson, D., Argus, D. and Samson, D., (2021). </w:t>
      </w:r>
      <w:proofErr w:type="spellStart"/>
      <w:r w:rsidRPr="00F75C77">
        <w:rPr>
          <w:rFonts w:ascii="Times New Roman" w:eastAsia="Times New Roman" w:hAnsi="Times New Roman" w:cs="Times New Roman"/>
          <w:sz w:val="24"/>
          <w:szCs w:val="24"/>
        </w:rPr>
        <w:t>Organisational</w:t>
      </w:r>
      <w:proofErr w:type="spellEnd"/>
      <w:r w:rsidRPr="00F75C77">
        <w:rPr>
          <w:rFonts w:ascii="Times New Roman" w:eastAsia="Times New Roman" w:hAnsi="Times New Roman" w:cs="Times New Roman"/>
          <w:sz w:val="24"/>
          <w:szCs w:val="24"/>
        </w:rPr>
        <w:t xml:space="preserve"> (Business) Strategy. Strategic Leadership for Business Value Creation: Principles and Case Studies, pp.47-88.</w:t>
      </w:r>
    </w:p>
    <w:p w14:paraId="0F9921DC"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proofErr w:type="spellStart"/>
      <w:r w:rsidRPr="00F75C77">
        <w:rPr>
          <w:rFonts w:ascii="Times New Roman" w:eastAsia="Times New Roman" w:hAnsi="Times New Roman" w:cs="Times New Roman"/>
          <w:sz w:val="24"/>
          <w:szCs w:val="24"/>
        </w:rPr>
        <w:t>Atrill</w:t>
      </w:r>
      <w:proofErr w:type="spellEnd"/>
      <w:r w:rsidRPr="00F75C77">
        <w:rPr>
          <w:rFonts w:ascii="Times New Roman" w:eastAsia="Times New Roman" w:hAnsi="Times New Roman" w:cs="Times New Roman"/>
          <w:sz w:val="24"/>
          <w:szCs w:val="24"/>
        </w:rPr>
        <w:t xml:space="preserve"> P, McLaney E (2021) Management Accounting for Decision Makers, FT Prentice Hall</w:t>
      </w:r>
    </w:p>
    <w:p w14:paraId="00B4A003"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 xml:space="preserve">Bacari, C., Séraphin, H. and </w:t>
      </w:r>
      <w:proofErr w:type="spellStart"/>
      <w:r w:rsidRPr="00F75C77">
        <w:rPr>
          <w:rFonts w:ascii="Times New Roman" w:eastAsia="Times New Roman" w:hAnsi="Times New Roman" w:cs="Times New Roman"/>
          <w:sz w:val="24"/>
          <w:szCs w:val="24"/>
        </w:rPr>
        <w:t>Gowreesunkar</w:t>
      </w:r>
      <w:proofErr w:type="spellEnd"/>
      <w:r w:rsidRPr="00F75C77">
        <w:rPr>
          <w:rFonts w:ascii="Times New Roman" w:eastAsia="Times New Roman" w:hAnsi="Times New Roman" w:cs="Times New Roman"/>
          <w:sz w:val="24"/>
          <w:szCs w:val="24"/>
        </w:rPr>
        <w:t>, V.G., (2021). Sustainable development goals and the hotel sector: Case examples and implications. Worldwide Hospitality and Tourism Themes, 13(1), pp.9-21.</w:t>
      </w:r>
    </w:p>
    <w:p w14:paraId="2C6B3136"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Briffa, H.V. and Agius, G.A., (2021). Tourism and COVID-19 in 2020: the case of Malta as a small state.</w:t>
      </w:r>
    </w:p>
    <w:p w14:paraId="274BBF35"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proofErr w:type="spellStart"/>
      <w:r w:rsidRPr="00F75C77">
        <w:rPr>
          <w:rFonts w:ascii="Times New Roman" w:eastAsia="Times New Roman" w:hAnsi="Times New Roman" w:cs="Times New Roman"/>
          <w:sz w:val="24"/>
          <w:szCs w:val="24"/>
        </w:rPr>
        <w:t>Chanyasak</w:t>
      </w:r>
      <w:proofErr w:type="spellEnd"/>
      <w:r w:rsidRPr="00F75C77">
        <w:rPr>
          <w:rFonts w:ascii="Times New Roman" w:eastAsia="Times New Roman" w:hAnsi="Times New Roman" w:cs="Times New Roman"/>
          <w:sz w:val="24"/>
          <w:szCs w:val="24"/>
        </w:rPr>
        <w:t xml:space="preserve">, T., </w:t>
      </w:r>
      <w:proofErr w:type="spellStart"/>
      <w:r w:rsidRPr="00F75C77">
        <w:rPr>
          <w:rFonts w:ascii="Times New Roman" w:eastAsia="Times New Roman" w:hAnsi="Times New Roman" w:cs="Times New Roman"/>
          <w:sz w:val="24"/>
          <w:szCs w:val="24"/>
        </w:rPr>
        <w:t>Koseoglu</w:t>
      </w:r>
      <w:proofErr w:type="spellEnd"/>
      <w:r w:rsidRPr="00F75C77">
        <w:rPr>
          <w:rFonts w:ascii="Times New Roman" w:eastAsia="Times New Roman" w:hAnsi="Times New Roman" w:cs="Times New Roman"/>
          <w:sz w:val="24"/>
          <w:szCs w:val="24"/>
        </w:rPr>
        <w:t xml:space="preserve">, M.A., King, B. and </w:t>
      </w:r>
      <w:proofErr w:type="spellStart"/>
      <w:r w:rsidRPr="00F75C77">
        <w:rPr>
          <w:rFonts w:ascii="Times New Roman" w:eastAsia="Times New Roman" w:hAnsi="Times New Roman" w:cs="Times New Roman"/>
          <w:sz w:val="24"/>
          <w:szCs w:val="24"/>
        </w:rPr>
        <w:t>Aladag</w:t>
      </w:r>
      <w:proofErr w:type="spellEnd"/>
      <w:r w:rsidRPr="00F75C77">
        <w:rPr>
          <w:rFonts w:ascii="Times New Roman" w:eastAsia="Times New Roman" w:hAnsi="Times New Roman" w:cs="Times New Roman"/>
          <w:sz w:val="24"/>
          <w:szCs w:val="24"/>
        </w:rPr>
        <w:t>, O.F., (2022). Business model adaptation as a strategic response to crises: navigating the COVID-19 pandemic. International Journal of Tourism Cities, 8(3), pp.616-635.</w:t>
      </w:r>
    </w:p>
    <w:p w14:paraId="1FF32A63"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Corinthia.com (2024) Corinthia Hotels | Luxury Hotels | Corinthia.com (Online). Available at: https://www.corinthia.com/en-gb/?_affclk=adn:3817::823f23adcb5514682567461692e23be3:8002y1 [Accessed on: 01.02.2024]</w:t>
      </w:r>
    </w:p>
    <w:p w14:paraId="4EADD6CB"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Drury C (2021) (11th Ed) Management and Cost Accounting, London, Prentice Hall</w:t>
      </w:r>
    </w:p>
    <w:p w14:paraId="7E15FC20"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proofErr w:type="spellStart"/>
      <w:r w:rsidRPr="00F75C77">
        <w:rPr>
          <w:rFonts w:ascii="Times New Roman" w:eastAsia="Times New Roman" w:hAnsi="Times New Roman" w:cs="Times New Roman"/>
          <w:sz w:val="24"/>
          <w:szCs w:val="24"/>
        </w:rPr>
        <w:t>Gyurácz-Németh</w:t>
      </w:r>
      <w:proofErr w:type="spellEnd"/>
      <w:r w:rsidRPr="00F75C77">
        <w:rPr>
          <w:rFonts w:ascii="Times New Roman" w:eastAsia="Times New Roman" w:hAnsi="Times New Roman" w:cs="Times New Roman"/>
          <w:sz w:val="24"/>
          <w:szCs w:val="24"/>
        </w:rPr>
        <w:t>, P., (2020) Introduction to Hotel Operation.</w:t>
      </w:r>
    </w:p>
    <w:p w14:paraId="2C765FFF"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proofErr w:type="spellStart"/>
      <w:r w:rsidRPr="00F75C77">
        <w:rPr>
          <w:rFonts w:ascii="Times New Roman" w:eastAsia="Times New Roman" w:hAnsi="Times New Roman" w:cs="Times New Roman"/>
          <w:sz w:val="24"/>
          <w:szCs w:val="24"/>
        </w:rPr>
        <w:t>Kozhukhіvska</w:t>
      </w:r>
      <w:proofErr w:type="spellEnd"/>
      <w:r w:rsidRPr="00F75C77">
        <w:rPr>
          <w:rFonts w:ascii="Times New Roman" w:eastAsia="Times New Roman" w:hAnsi="Times New Roman" w:cs="Times New Roman"/>
          <w:sz w:val="24"/>
          <w:szCs w:val="24"/>
        </w:rPr>
        <w:t xml:space="preserve">, R., </w:t>
      </w:r>
      <w:proofErr w:type="spellStart"/>
      <w:r w:rsidRPr="00F75C77">
        <w:rPr>
          <w:rFonts w:ascii="Times New Roman" w:eastAsia="Times New Roman" w:hAnsi="Times New Roman" w:cs="Times New Roman"/>
          <w:sz w:val="24"/>
          <w:szCs w:val="24"/>
        </w:rPr>
        <w:t>Sakovska</w:t>
      </w:r>
      <w:proofErr w:type="spellEnd"/>
      <w:r w:rsidRPr="00F75C77">
        <w:rPr>
          <w:rFonts w:ascii="Times New Roman" w:eastAsia="Times New Roman" w:hAnsi="Times New Roman" w:cs="Times New Roman"/>
          <w:sz w:val="24"/>
          <w:szCs w:val="24"/>
        </w:rPr>
        <w:t xml:space="preserve">, О., </w:t>
      </w:r>
      <w:proofErr w:type="spellStart"/>
      <w:r w:rsidRPr="00F75C77">
        <w:rPr>
          <w:rFonts w:ascii="Times New Roman" w:eastAsia="Times New Roman" w:hAnsi="Times New Roman" w:cs="Times New Roman"/>
          <w:sz w:val="24"/>
          <w:szCs w:val="24"/>
        </w:rPr>
        <w:t>Maslovata</w:t>
      </w:r>
      <w:proofErr w:type="spellEnd"/>
      <w:r w:rsidRPr="00F75C77">
        <w:rPr>
          <w:rFonts w:ascii="Times New Roman" w:eastAsia="Times New Roman" w:hAnsi="Times New Roman" w:cs="Times New Roman"/>
          <w:sz w:val="24"/>
          <w:szCs w:val="24"/>
        </w:rPr>
        <w:t xml:space="preserve">, S., </w:t>
      </w:r>
      <w:proofErr w:type="spellStart"/>
      <w:r w:rsidRPr="00F75C77">
        <w:rPr>
          <w:rFonts w:ascii="Times New Roman" w:eastAsia="Times New Roman" w:hAnsi="Times New Roman" w:cs="Times New Roman"/>
          <w:sz w:val="24"/>
          <w:szCs w:val="24"/>
        </w:rPr>
        <w:t>Dluhoborskа</w:t>
      </w:r>
      <w:proofErr w:type="spellEnd"/>
      <w:r w:rsidRPr="00F75C77">
        <w:rPr>
          <w:rFonts w:ascii="Times New Roman" w:eastAsia="Times New Roman" w:hAnsi="Times New Roman" w:cs="Times New Roman"/>
          <w:sz w:val="24"/>
          <w:szCs w:val="24"/>
        </w:rPr>
        <w:t xml:space="preserve">, L. and </w:t>
      </w:r>
      <w:proofErr w:type="spellStart"/>
      <w:r w:rsidRPr="00F75C77">
        <w:rPr>
          <w:rFonts w:ascii="Times New Roman" w:eastAsia="Times New Roman" w:hAnsi="Times New Roman" w:cs="Times New Roman"/>
          <w:sz w:val="24"/>
          <w:szCs w:val="24"/>
        </w:rPr>
        <w:t>Chuchmii</w:t>
      </w:r>
      <w:proofErr w:type="spellEnd"/>
      <w:r w:rsidRPr="00F75C77">
        <w:rPr>
          <w:rFonts w:ascii="Times New Roman" w:eastAsia="Times New Roman" w:hAnsi="Times New Roman" w:cs="Times New Roman"/>
          <w:sz w:val="24"/>
          <w:szCs w:val="24"/>
        </w:rPr>
        <w:t>, I., (2022), June. Managing innovation in tourism and hospitality industry: International experience. In AIP Conference Proceedings (Vol. 2413, No. 1). AIP Publishing.</w:t>
      </w:r>
    </w:p>
    <w:p w14:paraId="544D8397"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Mallia, A., (2022). The Competency Levels and Occupational Standards in the Hospitality Industry: A study of the Receptionist role in 5 Star Hotels in Malta. The Online Open Access Repository of the Institute of Tourism Studies (Malta).</w:t>
      </w:r>
    </w:p>
    <w:p w14:paraId="3CBE1C69"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Mason, A., (2022). Representation without Resemblance. Arctic Abstractive Industry: Assembling the Valuable and Vulnerable North, 5, p.166.</w:t>
      </w:r>
    </w:p>
    <w:p w14:paraId="6454B8D7"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proofErr w:type="spellStart"/>
      <w:r w:rsidRPr="00F75C77">
        <w:rPr>
          <w:rFonts w:ascii="Times New Roman" w:eastAsia="Times New Roman" w:hAnsi="Times New Roman" w:cs="Times New Roman"/>
          <w:sz w:val="24"/>
          <w:szCs w:val="24"/>
        </w:rPr>
        <w:t>Nelwan</w:t>
      </w:r>
      <w:proofErr w:type="spellEnd"/>
      <w:r w:rsidRPr="00F75C77">
        <w:rPr>
          <w:rFonts w:ascii="Times New Roman" w:eastAsia="Times New Roman" w:hAnsi="Times New Roman" w:cs="Times New Roman"/>
          <w:sz w:val="24"/>
          <w:szCs w:val="24"/>
        </w:rPr>
        <w:t xml:space="preserve">, J.C., (2020). ANALYZING LOGISTICS MANAGEMENT AT IBIS HOTEL MANADO. </w:t>
      </w:r>
      <w:proofErr w:type="spellStart"/>
      <w:r w:rsidRPr="00F75C77">
        <w:rPr>
          <w:rFonts w:ascii="Times New Roman" w:eastAsia="Times New Roman" w:hAnsi="Times New Roman" w:cs="Times New Roman"/>
          <w:sz w:val="24"/>
          <w:szCs w:val="24"/>
        </w:rPr>
        <w:t>Jurnal</w:t>
      </w:r>
      <w:proofErr w:type="spellEnd"/>
      <w:r w:rsidRPr="00F75C77">
        <w:rPr>
          <w:rFonts w:ascii="Times New Roman" w:eastAsia="Times New Roman" w:hAnsi="Times New Roman" w:cs="Times New Roman"/>
          <w:sz w:val="24"/>
          <w:szCs w:val="24"/>
        </w:rPr>
        <w:t xml:space="preserve"> EMBA: </w:t>
      </w:r>
      <w:proofErr w:type="spellStart"/>
      <w:r w:rsidRPr="00F75C77">
        <w:rPr>
          <w:rFonts w:ascii="Times New Roman" w:eastAsia="Times New Roman" w:hAnsi="Times New Roman" w:cs="Times New Roman"/>
          <w:sz w:val="24"/>
          <w:szCs w:val="24"/>
        </w:rPr>
        <w:t>Jurnal</w:t>
      </w:r>
      <w:proofErr w:type="spellEnd"/>
      <w:r w:rsidRPr="00F75C77">
        <w:rPr>
          <w:rFonts w:ascii="Times New Roman" w:eastAsia="Times New Roman" w:hAnsi="Times New Roman" w:cs="Times New Roman"/>
          <w:sz w:val="24"/>
          <w:szCs w:val="24"/>
        </w:rPr>
        <w:t xml:space="preserve"> </w:t>
      </w:r>
      <w:proofErr w:type="spellStart"/>
      <w:r w:rsidRPr="00F75C77">
        <w:rPr>
          <w:rFonts w:ascii="Times New Roman" w:eastAsia="Times New Roman" w:hAnsi="Times New Roman" w:cs="Times New Roman"/>
          <w:sz w:val="24"/>
          <w:szCs w:val="24"/>
        </w:rPr>
        <w:t>Riset</w:t>
      </w:r>
      <w:proofErr w:type="spellEnd"/>
      <w:r w:rsidRPr="00F75C77">
        <w:rPr>
          <w:rFonts w:ascii="Times New Roman" w:eastAsia="Times New Roman" w:hAnsi="Times New Roman" w:cs="Times New Roman"/>
          <w:sz w:val="24"/>
          <w:szCs w:val="24"/>
        </w:rPr>
        <w:t xml:space="preserve"> </w:t>
      </w:r>
      <w:proofErr w:type="spellStart"/>
      <w:r w:rsidRPr="00F75C77">
        <w:rPr>
          <w:rFonts w:ascii="Times New Roman" w:eastAsia="Times New Roman" w:hAnsi="Times New Roman" w:cs="Times New Roman"/>
          <w:sz w:val="24"/>
          <w:szCs w:val="24"/>
        </w:rPr>
        <w:t>Ekonomi</w:t>
      </w:r>
      <w:proofErr w:type="spellEnd"/>
      <w:r w:rsidRPr="00F75C77">
        <w:rPr>
          <w:rFonts w:ascii="Times New Roman" w:eastAsia="Times New Roman" w:hAnsi="Times New Roman" w:cs="Times New Roman"/>
          <w:sz w:val="24"/>
          <w:szCs w:val="24"/>
        </w:rPr>
        <w:t xml:space="preserve">, </w:t>
      </w:r>
      <w:proofErr w:type="spellStart"/>
      <w:r w:rsidRPr="00F75C77">
        <w:rPr>
          <w:rFonts w:ascii="Times New Roman" w:eastAsia="Times New Roman" w:hAnsi="Times New Roman" w:cs="Times New Roman"/>
          <w:sz w:val="24"/>
          <w:szCs w:val="24"/>
        </w:rPr>
        <w:t>Manajemen</w:t>
      </w:r>
      <w:proofErr w:type="spellEnd"/>
      <w:r w:rsidRPr="00F75C77">
        <w:rPr>
          <w:rFonts w:ascii="Times New Roman" w:eastAsia="Times New Roman" w:hAnsi="Times New Roman" w:cs="Times New Roman"/>
          <w:sz w:val="24"/>
          <w:szCs w:val="24"/>
        </w:rPr>
        <w:t xml:space="preserve">, </w:t>
      </w:r>
      <w:proofErr w:type="spellStart"/>
      <w:r w:rsidRPr="00F75C77">
        <w:rPr>
          <w:rFonts w:ascii="Times New Roman" w:eastAsia="Times New Roman" w:hAnsi="Times New Roman" w:cs="Times New Roman"/>
          <w:sz w:val="24"/>
          <w:szCs w:val="24"/>
        </w:rPr>
        <w:t>Bisnis</w:t>
      </w:r>
      <w:proofErr w:type="spellEnd"/>
      <w:r w:rsidRPr="00F75C77">
        <w:rPr>
          <w:rFonts w:ascii="Times New Roman" w:eastAsia="Times New Roman" w:hAnsi="Times New Roman" w:cs="Times New Roman"/>
          <w:sz w:val="24"/>
          <w:szCs w:val="24"/>
        </w:rPr>
        <w:t xml:space="preserve"> dan </w:t>
      </w:r>
      <w:proofErr w:type="spellStart"/>
      <w:r w:rsidRPr="00F75C77">
        <w:rPr>
          <w:rFonts w:ascii="Times New Roman" w:eastAsia="Times New Roman" w:hAnsi="Times New Roman" w:cs="Times New Roman"/>
          <w:sz w:val="24"/>
          <w:szCs w:val="24"/>
        </w:rPr>
        <w:t>Akuntansi</w:t>
      </w:r>
      <w:proofErr w:type="spellEnd"/>
      <w:r w:rsidRPr="00F75C77">
        <w:rPr>
          <w:rFonts w:ascii="Times New Roman" w:eastAsia="Times New Roman" w:hAnsi="Times New Roman" w:cs="Times New Roman"/>
          <w:sz w:val="24"/>
          <w:szCs w:val="24"/>
        </w:rPr>
        <w:t>, 8(4).</w:t>
      </w:r>
    </w:p>
    <w:p w14:paraId="21440200"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lastRenderedPageBreak/>
        <w:t>Press.accor.com (2024) Accor – Newsroom. (2017, April 14). . Accor – Newsroom.Available at:  https://press.accor.com/accorhotels-takes-its-corporate-responsibility-to-the-next-level-with-bold-new-csr-commitments-looking/?lang=en [Accessed on: 01.02.2024]</w:t>
      </w:r>
    </w:p>
    <w:p w14:paraId="490D7112"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Reinecke, S. and Noll, L.J., (2023). Price Management Strategies. In Active Price Management: Be a Price Maker, Not a Price Taker! (pp. 27-50). Cham: Springer Nature Switzerland.</w:t>
      </w:r>
    </w:p>
    <w:p w14:paraId="23B7ACC9"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Seal W (2019) (6th Ed) Management Accounting, London,McGraw Hill</w:t>
      </w:r>
    </w:p>
    <w:p w14:paraId="586C6E6A"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Walker J (2021) Introduction to Hospitality, Harlow, Pearson</w:t>
      </w:r>
    </w:p>
    <w:p w14:paraId="52D4B8B7"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Wild J (2018) Fundamental Accounting Principles, New York, McGraw Hill</w:t>
      </w:r>
    </w:p>
    <w:p w14:paraId="45BF2703"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Woo, L. and Mun, S.G., (2020). Types of agglomeration effects and location choices of international hotels in an emerging market. Tourism Management, 77, p.104034.</w:t>
      </w:r>
    </w:p>
    <w:p w14:paraId="51487275" w14:textId="77777777" w:rsidR="00F75C77" w:rsidRPr="00F75C77" w:rsidRDefault="00F75C77" w:rsidP="00F75C77">
      <w:pPr>
        <w:pStyle w:val="Normal1"/>
        <w:spacing w:line="360" w:lineRule="auto"/>
        <w:jc w:val="both"/>
        <w:rPr>
          <w:rFonts w:ascii="Times New Roman" w:eastAsia="Times New Roman" w:hAnsi="Times New Roman" w:cs="Times New Roman"/>
          <w:sz w:val="24"/>
          <w:szCs w:val="24"/>
        </w:rPr>
      </w:pPr>
      <w:r w:rsidRPr="00F75C77">
        <w:rPr>
          <w:rFonts w:ascii="Times New Roman" w:eastAsia="Times New Roman" w:hAnsi="Times New Roman" w:cs="Times New Roman"/>
          <w:sz w:val="24"/>
          <w:szCs w:val="24"/>
        </w:rPr>
        <w:t>Zhang, B.,(2020)The change of customer behavior and its impact on hotel sustainability management.</w:t>
      </w:r>
    </w:p>
    <w:sectPr w:rsidR="00F75C77" w:rsidRPr="00F75C77">
      <w:footerReference w:type="default" r:id="rId11"/>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DBEFB" w14:textId="77777777" w:rsidR="00A80603" w:rsidRDefault="00A80603" w:rsidP="007357A7">
      <w:pPr>
        <w:spacing w:line="240" w:lineRule="auto"/>
      </w:pPr>
      <w:r>
        <w:separator/>
      </w:r>
    </w:p>
  </w:endnote>
  <w:endnote w:type="continuationSeparator" w:id="0">
    <w:p w14:paraId="1E691250" w14:textId="77777777" w:rsidR="00A80603" w:rsidRDefault="00A80603" w:rsidP="007357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4594366"/>
      <w:docPartObj>
        <w:docPartGallery w:val="Page Numbers (Bottom of Page)"/>
        <w:docPartUnique/>
      </w:docPartObj>
    </w:sdtPr>
    <w:sdtEndPr>
      <w:rPr>
        <w:noProof/>
      </w:rPr>
    </w:sdtEndPr>
    <w:sdtContent>
      <w:p w14:paraId="7BAB9871" w14:textId="671865B4" w:rsidR="007357A7" w:rsidRDefault="007357A7">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E37637A" w14:textId="77777777" w:rsidR="007357A7" w:rsidRDefault="007357A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698B5" w14:textId="77777777" w:rsidR="00A80603" w:rsidRDefault="00A80603" w:rsidP="007357A7">
      <w:pPr>
        <w:spacing w:line="240" w:lineRule="auto"/>
      </w:pPr>
      <w:r>
        <w:separator/>
      </w:r>
    </w:p>
  </w:footnote>
  <w:footnote w:type="continuationSeparator" w:id="0">
    <w:p w14:paraId="658E9FFF" w14:textId="77777777" w:rsidR="00A80603" w:rsidRDefault="00A80603" w:rsidP="007357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971A"/>
    <w:multiLevelType w:val="hybridMultilevel"/>
    <w:tmpl w:val="00000000"/>
    <w:lvl w:ilvl="0" w:tplc="2B522E06">
      <w:start w:val="1"/>
      <w:numFmt w:val="bullet"/>
      <w:lvlText w:val="●"/>
      <w:lvlJc w:val="left"/>
      <w:pPr>
        <w:ind w:left="720" w:hanging="360"/>
      </w:pPr>
      <w:rPr>
        <w:u w:val="none"/>
      </w:rPr>
    </w:lvl>
    <w:lvl w:ilvl="1" w:tplc="0F161AD8">
      <w:start w:val="1"/>
      <w:numFmt w:val="bullet"/>
      <w:lvlText w:val="○"/>
      <w:lvlJc w:val="left"/>
      <w:pPr>
        <w:ind w:left="1440" w:hanging="360"/>
      </w:pPr>
      <w:rPr>
        <w:u w:val="none"/>
      </w:rPr>
    </w:lvl>
    <w:lvl w:ilvl="2" w:tplc="2A661184">
      <w:start w:val="1"/>
      <w:numFmt w:val="bullet"/>
      <w:lvlText w:val="■"/>
      <w:lvlJc w:val="left"/>
      <w:pPr>
        <w:ind w:left="2160" w:hanging="360"/>
      </w:pPr>
      <w:rPr>
        <w:u w:val="none"/>
      </w:rPr>
    </w:lvl>
    <w:lvl w:ilvl="3" w:tplc="3F6EC088">
      <w:start w:val="1"/>
      <w:numFmt w:val="bullet"/>
      <w:lvlText w:val="●"/>
      <w:lvlJc w:val="left"/>
      <w:pPr>
        <w:ind w:left="2880" w:hanging="360"/>
      </w:pPr>
      <w:rPr>
        <w:u w:val="none"/>
      </w:rPr>
    </w:lvl>
    <w:lvl w:ilvl="4" w:tplc="99CCCB30">
      <w:start w:val="1"/>
      <w:numFmt w:val="bullet"/>
      <w:lvlText w:val="○"/>
      <w:lvlJc w:val="left"/>
      <w:pPr>
        <w:ind w:left="3600" w:hanging="360"/>
      </w:pPr>
      <w:rPr>
        <w:u w:val="none"/>
      </w:rPr>
    </w:lvl>
    <w:lvl w:ilvl="5" w:tplc="95485D86">
      <w:start w:val="1"/>
      <w:numFmt w:val="bullet"/>
      <w:lvlText w:val="■"/>
      <w:lvlJc w:val="left"/>
      <w:pPr>
        <w:ind w:left="4320" w:hanging="360"/>
      </w:pPr>
      <w:rPr>
        <w:u w:val="none"/>
      </w:rPr>
    </w:lvl>
    <w:lvl w:ilvl="6" w:tplc="325A1DCC">
      <w:start w:val="1"/>
      <w:numFmt w:val="bullet"/>
      <w:lvlText w:val="●"/>
      <w:lvlJc w:val="left"/>
      <w:pPr>
        <w:ind w:left="5040" w:hanging="360"/>
      </w:pPr>
      <w:rPr>
        <w:u w:val="none"/>
      </w:rPr>
    </w:lvl>
    <w:lvl w:ilvl="7" w:tplc="61020ABC">
      <w:start w:val="1"/>
      <w:numFmt w:val="bullet"/>
      <w:lvlText w:val="○"/>
      <w:lvlJc w:val="left"/>
      <w:pPr>
        <w:ind w:left="5760" w:hanging="360"/>
      </w:pPr>
      <w:rPr>
        <w:u w:val="none"/>
      </w:rPr>
    </w:lvl>
    <w:lvl w:ilvl="8" w:tplc="31AE3CC2">
      <w:start w:val="1"/>
      <w:numFmt w:val="bullet"/>
      <w:lvlText w:val="■"/>
      <w:lvlJc w:val="left"/>
      <w:pPr>
        <w:ind w:left="6480" w:hanging="360"/>
      </w:pPr>
      <w:rPr>
        <w:u w:val="none"/>
      </w:rPr>
    </w:lvl>
  </w:abstractNum>
  <w:abstractNum w:abstractNumId="1" w15:restartNumberingAfterBreak="0">
    <w:nsid w:val="5F423938"/>
    <w:multiLevelType w:val="hybridMultilevel"/>
    <w:tmpl w:val="D17622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6314435">
    <w:abstractNumId w:val="0"/>
  </w:num>
  <w:num w:numId="2" w16cid:durableId="7601090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F91"/>
    <w:rsid w:val="00004470"/>
    <w:rsid w:val="000674A6"/>
    <w:rsid w:val="000F16B7"/>
    <w:rsid w:val="000F61A6"/>
    <w:rsid w:val="00145A8A"/>
    <w:rsid w:val="001C545A"/>
    <w:rsid w:val="001C7938"/>
    <w:rsid w:val="001F5635"/>
    <w:rsid w:val="00237038"/>
    <w:rsid w:val="002662CA"/>
    <w:rsid w:val="00282017"/>
    <w:rsid w:val="002C2BA7"/>
    <w:rsid w:val="002F3648"/>
    <w:rsid w:val="00330FD3"/>
    <w:rsid w:val="00364BF4"/>
    <w:rsid w:val="00453DAA"/>
    <w:rsid w:val="006154E9"/>
    <w:rsid w:val="007357A7"/>
    <w:rsid w:val="00772137"/>
    <w:rsid w:val="00775BDA"/>
    <w:rsid w:val="00845C9F"/>
    <w:rsid w:val="008C2156"/>
    <w:rsid w:val="008C798C"/>
    <w:rsid w:val="00A742C7"/>
    <w:rsid w:val="00A80603"/>
    <w:rsid w:val="00A80EAD"/>
    <w:rsid w:val="00AC2AED"/>
    <w:rsid w:val="00B57E79"/>
    <w:rsid w:val="00B60F91"/>
    <w:rsid w:val="00B64CFF"/>
    <w:rsid w:val="00BA4F63"/>
    <w:rsid w:val="00C370D7"/>
    <w:rsid w:val="00CA31D1"/>
    <w:rsid w:val="00CF46F1"/>
    <w:rsid w:val="00D2438A"/>
    <w:rsid w:val="00F75C77"/>
    <w:rsid w:val="00FD2157"/>
    <w:rsid w:val="00FE79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60F07"/>
  <w15:docId w15:val="{3D23FF19-1D1B-4DC5-833E-6AB52EF90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spacing w:line="360" w:lineRule="auto"/>
      <w:jc w:val="both"/>
      <w:outlineLvl w:val="0"/>
    </w:pPr>
    <w:rPr>
      <w:rFonts w:ascii="Times New Roman" w:eastAsia="Times New Roman" w:hAnsi="Times New Roman" w:cs="Times New Roman"/>
      <w:b/>
      <w:sz w:val="28"/>
      <w:szCs w:val="28"/>
    </w:rPr>
  </w:style>
  <w:style w:type="paragraph" w:styleId="Titlu2">
    <w:name w:val="heading 2"/>
    <w:basedOn w:val="Normal1"/>
    <w:next w:val="Normal1"/>
    <w:pPr>
      <w:keepNext/>
      <w:keepLines/>
      <w:spacing w:before="360" w:after="120"/>
      <w:outlineLvl w:val="1"/>
    </w:pPr>
    <w:rPr>
      <w:sz w:val="32"/>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paragraph" w:styleId="Antet">
    <w:name w:val="header"/>
    <w:basedOn w:val="Normal"/>
    <w:link w:val="AntetCaracter"/>
    <w:uiPriority w:val="99"/>
    <w:unhideWhenUsed/>
    <w:rsid w:val="007357A7"/>
    <w:pPr>
      <w:tabs>
        <w:tab w:val="center" w:pos="4680"/>
        <w:tab w:val="right" w:pos="9360"/>
      </w:tabs>
      <w:spacing w:line="240" w:lineRule="auto"/>
    </w:pPr>
  </w:style>
  <w:style w:type="character" w:customStyle="1" w:styleId="AntetCaracter">
    <w:name w:val="Antet Caracter"/>
    <w:basedOn w:val="Fontdeparagrafimplicit"/>
    <w:link w:val="Antet"/>
    <w:uiPriority w:val="99"/>
    <w:rsid w:val="007357A7"/>
  </w:style>
  <w:style w:type="paragraph" w:styleId="Subsol">
    <w:name w:val="footer"/>
    <w:basedOn w:val="Normal"/>
    <w:link w:val="SubsolCaracter"/>
    <w:uiPriority w:val="99"/>
    <w:unhideWhenUsed/>
    <w:rsid w:val="007357A7"/>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357A7"/>
  </w:style>
  <w:style w:type="character" w:styleId="Hyperlink">
    <w:name w:val="Hyperlink"/>
    <w:basedOn w:val="Fontdeparagrafimplicit"/>
    <w:uiPriority w:val="99"/>
    <w:unhideWhenUsed/>
    <w:rsid w:val="00364BF4"/>
    <w:rPr>
      <w:color w:val="0000FF" w:themeColor="hyperlink"/>
      <w:u w:val="single"/>
    </w:rPr>
  </w:style>
  <w:style w:type="character" w:styleId="MeniuneNerezolvat">
    <w:name w:val="Unresolved Mention"/>
    <w:basedOn w:val="Fontdeparagrafimplicit"/>
    <w:uiPriority w:val="99"/>
    <w:semiHidden/>
    <w:unhideWhenUsed/>
    <w:rsid w:val="00364BF4"/>
    <w:rPr>
      <w:color w:val="605E5C"/>
      <w:shd w:val="clear" w:color="auto" w:fill="E1DFDD"/>
    </w:rPr>
  </w:style>
  <w:style w:type="paragraph" w:styleId="NormalWeb">
    <w:name w:val="Normal (Web)"/>
    <w:basedOn w:val="Normal"/>
    <w:uiPriority w:val="99"/>
    <w:unhideWhenUsed/>
    <w:rsid w:val="00845C9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itlucuprins">
    <w:name w:val="TOC Heading"/>
    <w:basedOn w:val="Titlu1"/>
    <w:next w:val="Normal"/>
    <w:uiPriority w:val="39"/>
    <w:unhideWhenUsed/>
    <w:qFormat/>
    <w:rsid w:val="00CA31D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CA31D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848359">
      <w:bodyDiv w:val="1"/>
      <w:marLeft w:val="0"/>
      <w:marRight w:val="0"/>
      <w:marTop w:val="0"/>
      <w:marBottom w:val="0"/>
      <w:divBdr>
        <w:top w:val="none" w:sz="0" w:space="0" w:color="auto"/>
        <w:left w:val="none" w:sz="0" w:space="0" w:color="auto"/>
        <w:bottom w:val="none" w:sz="0" w:space="0" w:color="auto"/>
        <w:right w:val="none" w:sz="0" w:space="0" w:color="auto"/>
      </w:divBdr>
    </w:div>
    <w:div w:id="1654017747">
      <w:bodyDiv w:val="1"/>
      <w:marLeft w:val="0"/>
      <w:marRight w:val="0"/>
      <w:marTop w:val="0"/>
      <w:marBottom w:val="0"/>
      <w:divBdr>
        <w:top w:val="none" w:sz="0" w:space="0" w:color="auto"/>
        <w:left w:val="none" w:sz="0" w:space="0" w:color="auto"/>
        <w:bottom w:val="none" w:sz="0" w:space="0" w:color="auto"/>
        <w:right w:val="none" w:sz="0" w:space="0" w:color="auto"/>
      </w:divBdr>
    </w:div>
    <w:div w:id="17087517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A3AEB-03CB-4FBF-95F9-E079D11767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2681</Words>
  <Characters>15553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Emanuela-Ioana Muntean (2018070)</cp:lastModifiedBy>
  <cp:revision>2</cp:revision>
  <dcterms:created xsi:type="dcterms:W3CDTF">2024-02-02T20:40:00Z</dcterms:created>
  <dcterms:modified xsi:type="dcterms:W3CDTF">2024-02-02T20:40:00Z</dcterms:modified>
</cp:coreProperties>
</file>