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rPr>
          <w:rFonts w:hint="default" w:ascii="Calibri" w:hAnsi="Calibri" w:cs="Calibri"/>
          <w:b/>
          <w:bCs/>
          <w:sz w:val="22"/>
          <w:szCs w:val="22"/>
          <w:lang w:val="en-AU"/>
        </w:rPr>
      </w:pPr>
      <w:r>
        <w:rPr>
          <w:rFonts w:hint="default" w:ascii="Calibri" w:hAnsi="Calibri" w:cs="Calibri"/>
          <w:b/>
          <w:bCs/>
          <w:sz w:val="22"/>
          <w:szCs w:val="22"/>
          <w:lang w:val="en-AU"/>
        </w:rPr>
        <w:t>Literature Review on Spirit Possession in the Horn of Africa</w:t>
      </w:r>
    </w:p>
    <w:p>
      <w:pPr>
        <w:spacing w:line="360" w:lineRule="auto"/>
        <w:rPr>
          <w:rFonts w:hint="default" w:ascii="Calibri" w:hAnsi="Calibri" w:cs="Calibri"/>
          <w:sz w:val="22"/>
          <w:szCs w:val="22"/>
          <w:lang w:val="en-AU"/>
        </w:rPr>
      </w:pPr>
    </w:p>
    <w:p>
      <w:pPr>
        <w:spacing w:line="360" w:lineRule="auto"/>
        <w:rPr>
          <w:rFonts w:hint="default" w:ascii="Calibri" w:hAnsi="Calibri" w:cs="Calibri"/>
          <w:sz w:val="22"/>
          <w:szCs w:val="22"/>
          <w:lang w:val="en-AU"/>
        </w:rPr>
      </w:pPr>
    </w:p>
    <w:p>
      <w:pPr>
        <w:spacing w:line="360" w:lineRule="auto"/>
        <w:jc w:val="left"/>
        <w:rPr>
          <w:rFonts w:hint="default" w:ascii="Calibri" w:hAnsi="Calibri" w:cs="Calibri"/>
          <w:sz w:val="22"/>
          <w:szCs w:val="22"/>
          <w:lang w:val="en-AU"/>
        </w:rPr>
      </w:pPr>
      <w:r>
        <w:rPr>
          <w:rFonts w:hint="default" w:ascii="Calibri" w:hAnsi="Calibri" w:eastAsia="AdvOT55a0d69b" w:cs="Calibri"/>
          <w:color w:val="231F20"/>
          <w:sz w:val="22"/>
          <w:szCs w:val="22"/>
          <w:lang w:val="en-AU"/>
        </w:rPr>
        <w:t xml:space="preserve">The academic field of spirit possession is vast. Smith (2001) estimated that no less then 400 books and articles had been written on the subject, a number which has continued to rise. The field also </w:t>
      </w:r>
      <w:r>
        <w:rPr>
          <w:rFonts w:hint="default" w:ascii="Calibri" w:hAnsi="Calibri" w:eastAsia="AdvOT55a0d69b" w:cs="Calibri"/>
          <w:color w:val="231F20"/>
          <w:sz w:val="22"/>
          <w:szCs w:val="22"/>
          <w:lang w:val="en-AU"/>
        </w:rPr>
        <w:t xml:space="preserve">reaches across several disciplines; it stands “at the chaotic intersection of anthropology, psychology, religion, sociology, history, medicine, and performance theory (Smith 2001: 203f). </w:t>
      </w:r>
      <w:r>
        <w:rPr>
          <w:rFonts w:hint="default" w:ascii="Calibri" w:hAnsi="Calibri" w:cs="Calibri"/>
          <w:sz w:val="22"/>
          <w:szCs w:val="22"/>
          <w:lang w:val="en-AU"/>
        </w:rPr>
        <w:t xml:space="preserve">I will therefore have to limit myself in this literature review. </w:t>
      </w:r>
    </w:p>
    <w:p>
      <w:pPr>
        <w:spacing w:line="360" w:lineRule="auto"/>
        <w:jc w:val="left"/>
        <w:rPr>
          <w:rFonts w:hint="default" w:ascii="Calibri" w:hAnsi="Calibri" w:cs="Calibri"/>
          <w:sz w:val="22"/>
          <w:szCs w:val="22"/>
          <w:lang w:val="en-AU"/>
        </w:rPr>
      </w:pPr>
    </w:p>
    <w:p>
      <w:pPr>
        <w:spacing w:line="360" w:lineRule="auto"/>
        <w:jc w:val="left"/>
        <w:rPr>
          <w:rFonts w:hint="default" w:ascii="Calibri" w:hAnsi="Calibri" w:cs="Calibri"/>
          <w:sz w:val="22"/>
          <w:szCs w:val="22"/>
          <w:lang w:val="en-AU"/>
        </w:rPr>
      </w:pPr>
      <w:r>
        <w:rPr>
          <w:rFonts w:hint="default" w:ascii="Calibri" w:hAnsi="Calibri" w:cs="Calibri"/>
          <w:sz w:val="22"/>
          <w:szCs w:val="22"/>
        </w:rPr>
        <w:t xml:space="preserve">My research </w:t>
      </w:r>
      <w:r>
        <w:rPr>
          <w:rFonts w:hint="default" w:ascii="Calibri" w:hAnsi="Calibri" w:cs="Calibri"/>
          <w:sz w:val="22"/>
          <w:szCs w:val="22"/>
          <w:lang w:val="en-AU"/>
        </w:rPr>
        <w:t>is concerned with the</w:t>
      </w:r>
      <w:r>
        <w:rPr>
          <w:rFonts w:hint="default" w:ascii="Calibri" w:hAnsi="Calibri" w:cs="Calibri"/>
          <w:sz w:val="22"/>
          <w:szCs w:val="22"/>
        </w:rPr>
        <w:t xml:space="preserve"> spirit world and spirit possession in Somaliland, East Africa. </w:t>
      </w:r>
      <w:r>
        <w:rPr>
          <w:rFonts w:hint="default" w:ascii="Calibri" w:hAnsi="Calibri" w:cs="Calibri"/>
          <w:sz w:val="22"/>
          <w:szCs w:val="22"/>
          <w:lang w:val="en-AU"/>
        </w:rPr>
        <w:t>I am primarily interested in the</w:t>
      </w:r>
      <w:r>
        <w:rPr>
          <w:rFonts w:hint="default" w:ascii="Calibri" w:hAnsi="Calibri" w:cs="Calibri"/>
          <w:sz w:val="22"/>
          <w:szCs w:val="22"/>
        </w:rPr>
        <w:t xml:space="preserve"> phenomenon of ‘love possession’ which I observed in my time in Somaliland</w:t>
      </w:r>
      <w:r>
        <w:rPr>
          <w:rFonts w:hint="default" w:ascii="Calibri" w:hAnsi="Calibri" w:cs="Calibri"/>
          <w:sz w:val="22"/>
          <w:szCs w:val="22"/>
          <w:lang w:val="en-AU"/>
        </w:rPr>
        <w:t xml:space="preserve"> since 2013</w:t>
      </w:r>
      <w:r>
        <w:rPr>
          <w:rFonts w:hint="default" w:ascii="Calibri" w:hAnsi="Calibri" w:cs="Calibri"/>
          <w:sz w:val="22"/>
          <w:szCs w:val="22"/>
        </w:rPr>
        <w:t>, and which is also mentioned in</w:t>
      </w:r>
      <w:r>
        <w:rPr>
          <w:rFonts w:hint="default" w:ascii="Calibri" w:hAnsi="Calibri" w:cs="Calibri"/>
          <w:sz w:val="22"/>
          <w:szCs w:val="22"/>
          <w:lang w:val="en-AU"/>
        </w:rPr>
        <w:t xml:space="preserve"> the</w:t>
      </w:r>
      <w:r>
        <w:rPr>
          <w:rFonts w:hint="default" w:ascii="Calibri" w:hAnsi="Calibri" w:cs="Calibri"/>
          <w:sz w:val="22"/>
          <w:szCs w:val="22"/>
        </w:rPr>
        <w:t xml:space="preserve"> </w:t>
      </w:r>
      <w:r>
        <w:rPr>
          <w:rFonts w:hint="default" w:ascii="Calibri" w:hAnsi="Calibri" w:cs="Calibri"/>
          <w:sz w:val="22"/>
          <w:szCs w:val="22"/>
          <w:lang w:val="en-AU"/>
        </w:rPr>
        <w:t xml:space="preserve">anthropological </w:t>
      </w:r>
      <w:r>
        <w:rPr>
          <w:rFonts w:hint="default" w:ascii="Calibri" w:hAnsi="Calibri" w:cs="Calibri"/>
          <w:sz w:val="22"/>
          <w:szCs w:val="22"/>
        </w:rPr>
        <w:t xml:space="preserve">literature </w:t>
      </w:r>
      <w:r>
        <w:rPr>
          <w:rFonts w:hint="default" w:ascii="Calibri" w:hAnsi="Calibri" w:cs="Calibri"/>
          <w:sz w:val="22"/>
          <w:szCs w:val="22"/>
          <w:lang w:val="en-AU"/>
        </w:rPr>
        <w:t>on Somaliland</w:t>
      </w:r>
      <w:r>
        <w:rPr>
          <w:rFonts w:hint="default" w:ascii="Calibri" w:hAnsi="Calibri" w:cs="Calibri"/>
          <w:sz w:val="22"/>
          <w:szCs w:val="22"/>
        </w:rPr>
        <w:t>.</w:t>
      </w:r>
      <w:r>
        <w:rPr>
          <w:rFonts w:hint="default" w:ascii="Calibri" w:hAnsi="Calibri" w:cs="Calibri"/>
          <w:sz w:val="22"/>
          <w:szCs w:val="22"/>
          <w:lang w:val="en-AU"/>
        </w:rPr>
        <w:t xml:space="preserve"> The religious focus of this literature review is</w:t>
      </w:r>
      <w:r>
        <w:rPr>
          <w:rFonts w:hint="default"/>
          <w:sz w:val="22"/>
          <w:szCs w:val="22"/>
          <w:lang w:val="en-AU"/>
        </w:rPr>
        <w:t xml:space="preserve"> on the Muslim context and the spirit creatures called jinn who possess humans for a variety of reasons. The geographical focus is on the Somali people of the Horn of Africa</w:t>
      </w:r>
      <w:bookmarkStart w:id="0" w:name="_GoBack"/>
      <w:bookmarkEnd w:id="0"/>
      <w:r>
        <w:rPr>
          <w:rFonts w:hint="default"/>
          <w:sz w:val="22"/>
          <w:szCs w:val="22"/>
          <w:lang w:val="en-AU"/>
        </w:rPr>
        <w:t xml:space="preserve">. Finally, my theoretical focus is on phenomenological and hermeneutic approaches to spirit possession in the field of anthropology of religion, on which I aim to centre this review while comparing it to other approaches. </w:t>
      </w:r>
      <w:r>
        <w:rPr>
          <w:rFonts w:hint="default" w:ascii="Calibri" w:hAnsi="Calibri" w:cs="Calibri"/>
          <w:sz w:val="22"/>
          <w:szCs w:val="22"/>
          <w:lang w:val="en-AU"/>
        </w:rPr>
        <w:t>Connected to this theoretical focus, I’m primarily interested in what could be called a focus on the ontology of spirits - whether they are ‘real’ or not - and how they can be thought of in the context of interpersonal experiences of possession, such as love or certain emotions.</w:t>
      </w:r>
    </w:p>
    <w:p>
      <w:pPr>
        <w:spacing w:line="360" w:lineRule="auto"/>
        <w:rPr>
          <w:rFonts w:hint="default" w:ascii="Calibri" w:hAnsi="Calibri" w:cs="Calibri"/>
          <w:sz w:val="22"/>
          <w:szCs w:val="22"/>
          <w:lang w:val="en-AU"/>
        </w:rPr>
      </w:pPr>
    </w:p>
    <w:p>
      <w:pPr>
        <w:spacing w:line="360" w:lineRule="auto"/>
        <w:rPr>
          <w:sz w:val="22"/>
          <w:szCs w:val="22"/>
          <w:lang w:val="en-AU"/>
        </w:rPr>
      </w:pPr>
      <w:r>
        <w:rPr>
          <w:rFonts w:hint="default" w:ascii="Calibri" w:hAnsi="Calibri" w:cs="Calibri"/>
          <w:sz w:val="22"/>
          <w:szCs w:val="22"/>
          <w:lang w:val="en-AU"/>
        </w:rPr>
        <w:t xml:space="preserve">Researching spirit possession in general, but even more so in a Somali context, must include a dialogue with I.M. Lewis, the “founding father of Somali Studies” (Hoehne and Luling 2010:1, cf Smith 2001: 204). In his central work, </w:t>
      </w:r>
      <w:r>
        <w:rPr>
          <w:rFonts w:hint="default" w:ascii="Calibri" w:hAnsi="Calibri" w:cs="Calibri"/>
          <w:i/>
          <w:iCs/>
          <w:sz w:val="22"/>
          <w:szCs w:val="22"/>
          <w:lang w:val="en-AU"/>
        </w:rPr>
        <w:t>Ecstatic Religion</w:t>
      </w:r>
      <w:r>
        <w:rPr>
          <w:rFonts w:hint="default" w:ascii="Calibri" w:hAnsi="Calibri" w:cs="Calibri"/>
          <w:i w:val="0"/>
          <w:iCs w:val="0"/>
          <w:sz w:val="22"/>
          <w:szCs w:val="22"/>
          <w:lang w:val="en-AU"/>
        </w:rPr>
        <w:t xml:space="preserve"> (1989) Lewis argues that there are two kinds of possession cults: “central” cults are male-dominated and sustain the social order, while “peripheral” cults are female dominated and a means to challenge patriarchy. In an earlier article (1966), he deals directly with the Somali situation. </w:t>
      </w:r>
      <w:r>
        <w:rPr>
          <w:sz w:val="22"/>
          <w:szCs w:val="22"/>
          <w:lang w:val="en-AU" w:eastAsia="en-AU"/>
        </w:rPr>
        <w:t>He observes that Somali religious life “is concerned with the cult of Allah” which is “almost exclusively dominated by men” with women being “mere passive agents”.</w:t>
      </w:r>
      <w:r>
        <w:rPr>
          <w:sz w:val="22"/>
          <w:szCs w:val="22"/>
        </w:rPr>
        <w:t xml:space="preserve"> </w:t>
      </w:r>
      <w:r>
        <w:rPr>
          <w:sz w:val="22"/>
          <w:szCs w:val="22"/>
          <w:lang w:val="en-AU"/>
        </w:rPr>
        <w:t xml:space="preserve">As a result, a peripheral possession practice developed. The primary context in which possession occurs is </w:t>
      </w:r>
      <w:r>
        <w:rPr>
          <w:sz w:val="22"/>
          <w:szCs w:val="22"/>
        </w:rPr>
        <w:t>by frustrated love and passion, which involves emotions that are not usually openly expressed by Somalis. Possession is described as “entering” a person by their rejected lover.</w:t>
      </w:r>
      <w:r>
        <w:rPr>
          <w:sz w:val="22"/>
          <w:szCs w:val="22"/>
          <w:lang w:val="en-AU"/>
        </w:rPr>
        <w:t xml:space="preserve"> Taking into consideration women</w:t>
      </w:r>
      <w:r>
        <w:rPr>
          <w:rFonts w:hint="default"/>
          <w:sz w:val="22"/>
          <w:szCs w:val="22"/>
          <w:lang w:val="en-AU"/>
        </w:rPr>
        <w:t xml:space="preserve">’s harsh living conditions, Lewis argues </w:t>
      </w:r>
      <w:r>
        <w:rPr>
          <w:sz w:val="22"/>
          <w:szCs w:val="22"/>
        </w:rPr>
        <w:t xml:space="preserve">that </w:t>
      </w:r>
      <w:r>
        <w:rPr>
          <w:sz w:val="22"/>
          <w:szCs w:val="22"/>
          <w:lang w:val="en-AU"/>
        </w:rPr>
        <w:t xml:space="preserve">spirits </w:t>
      </w:r>
      <w:r>
        <w:rPr>
          <w:sz w:val="22"/>
          <w:szCs w:val="22"/>
        </w:rPr>
        <w:t>are “[entering] the ‘sex-war’” (</w:t>
      </w:r>
      <w:r>
        <w:rPr>
          <w:sz w:val="22"/>
          <w:szCs w:val="22"/>
          <w:lang w:val="en-AU"/>
        </w:rPr>
        <w:t xml:space="preserve">1966: </w:t>
      </w:r>
      <w:r>
        <w:rPr>
          <w:sz w:val="22"/>
          <w:szCs w:val="22"/>
        </w:rPr>
        <w:t>315) as a means by which “women and other depressed categories exert mystical pressures upon their superiors in circumstances of deprivation and frustration when few other sanctions are available to them” (</w:t>
      </w:r>
      <w:r>
        <w:rPr>
          <w:sz w:val="22"/>
          <w:szCs w:val="22"/>
          <w:lang w:val="en-AU"/>
        </w:rPr>
        <w:t xml:space="preserve">1966: </w:t>
      </w:r>
      <w:r>
        <w:rPr>
          <w:sz w:val="22"/>
          <w:szCs w:val="22"/>
        </w:rPr>
        <w:t>318)</w:t>
      </w:r>
      <w:r>
        <w:rPr>
          <w:sz w:val="22"/>
          <w:szCs w:val="22"/>
          <w:lang w:val="en-AU"/>
        </w:rPr>
        <w:t>.</w:t>
      </w:r>
    </w:p>
    <w:p>
      <w:pPr>
        <w:spacing w:line="360" w:lineRule="auto"/>
        <w:rPr>
          <w:sz w:val="22"/>
          <w:szCs w:val="22"/>
          <w:lang w:val="en-AU"/>
        </w:rPr>
      </w:pPr>
    </w:p>
    <w:p>
      <w:pPr>
        <w:spacing w:line="360" w:lineRule="auto"/>
        <w:rPr>
          <w:rFonts w:hint="default" w:ascii="Calibri" w:hAnsi="Calibri" w:cs="Calibri"/>
          <w:sz w:val="22"/>
          <w:szCs w:val="22"/>
          <w:lang w:val="en-AU"/>
        </w:rPr>
      </w:pPr>
      <w:r>
        <w:rPr>
          <w:sz w:val="22"/>
          <w:szCs w:val="22"/>
          <w:lang w:val="en-AU"/>
        </w:rPr>
        <w:t>There are two more works which I consider foundational to the field.</w:t>
      </w:r>
      <w:r>
        <w:rPr>
          <w:rFonts w:hint="default"/>
          <w:sz w:val="22"/>
          <w:szCs w:val="22"/>
          <w:lang w:val="en-AU"/>
        </w:rPr>
        <w:t xml:space="preserve"> Janice Boddy’s work on </w:t>
      </w:r>
      <w:r>
        <w:rPr>
          <w:rFonts w:hint="default"/>
          <w:i/>
          <w:iCs/>
          <w:sz w:val="22"/>
          <w:szCs w:val="22"/>
          <w:lang w:val="en-AU"/>
        </w:rPr>
        <w:t>zar</w:t>
      </w:r>
      <w:r>
        <w:rPr>
          <w:rFonts w:hint="default"/>
          <w:i w:val="0"/>
          <w:iCs w:val="0"/>
          <w:sz w:val="22"/>
          <w:szCs w:val="22"/>
          <w:lang w:val="en-AU"/>
        </w:rPr>
        <w:t xml:space="preserve"> possession practices in Sudan critiques and develops Lewis’ approach. In </w:t>
      </w:r>
      <w:r>
        <w:rPr>
          <w:rFonts w:hint="default"/>
          <w:i/>
          <w:iCs/>
          <w:sz w:val="22"/>
          <w:szCs w:val="22"/>
          <w:lang w:val="en-AU"/>
        </w:rPr>
        <w:t xml:space="preserve">Wombs and Alien Spirits </w:t>
      </w:r>
      <w:r>
        <w:rPr>
          <w:rFonts w:hint="default"/>
          <w:i w:val="0"/>
          <w:iCs w:val="0"/>
          <w:sz w:val="22"/>
          <w:szCs w:val="22"/>
          <w:lang w:val="en-AU"/>
        </w:rPr>
        <w:t xml:space="preserve">(1989), she is also interested in gender roles and possession as resistance, but adds the element of embodiment, in that women embody a society’s moral norms which is why they are attacked by evil spirits that want to undermine these norms. </w:t>
      </w:r>
      <w:r>
        <w:rPr>
          <w:rFonts w:hint="default"/>
          <w:i/>
          <w:iCs/>
          <w:sz w:val="22"/>
          <w:szCs w:val="22"/>
          <w:lang w:val="en-AU"/>
        </w:rPr>
        <w:t>Zar</w:t>
      </w:r>
      <w:r>
        <w:rPr>
          <w:rFonts w:hint="default"/>
          <w:i w:val="0"/>
          <w:iCs w:val="0"/>
          <w:sz w:val="22"/>
          <w:szCs w:val="22"/>
          <w:lang w:val="en-AU"/>
        </w:rPr>
        <w:t xml:space="preserve"> ceremonies are both acts of healing for the individual and the community, and challenges to male powers. Secondly, Vincent Crapanzano’s </w:t>
      </w:r>
      <w:r>
        <w:rPr>
          <w:rFonts w:hint="default"/>
          <w:i/>
          <w:iCs/>
          <w:sz w:val="22"/>
          <w:szCs w:val="22"/>
          <w:lang w:val="en-AU"/>
        </w:rPr>
        <w:t xml:space="preserve">Tuhami </w:t>
      </w:r>
      <w:r>
        <w:rPr>
          <w:rFonts w:hint="default"/>
          <w:i w:val="0"/>
          <w:iCs w:val="0"/>
          <w:sz w:val="22"/>
          <w:szCs w:val="22"/>
          <w:lang w:val="en-AU"/>
        </w:rPr>
        <w:t xml:space="preserve">(1980) introduced a self-reflexive approach to the study of spirit possession. Considering the subjectivity of Tuhami, his informant who </w:t>
      </w:r>
      <w:r>
        <w:rPr>
          <w:rFonts w:hint="default" w:ascii="Calibri" w:hAnsi="Calibri" w:cs="Calibri"/>
          <w:sz w:val="22"/>
          <w:szCs w:val="22"/>
          <w:lang w:val="en-AU"/>
        </w:rPr>
        <w:t>would undoubtedly be considered to be mentally disturbed by standards of Western psychology, Crapanzano reflects on the truth of Tuhami’s tales of possession and relationships with spirits while at the same time beginning to doubt his own ability to “maintain ethnographic distance” (1980: 133).</w:t>
      </w:r>
    </w:p>
    <w:p>
      <w:pPr>
        <w:spacing w:line="360" w:lineRule="auto"/>
        <w:rPr>
          <w:rFonts w:hint="default"/>
          <w:i w:val="0"/>
          <w:iCs w:val="0"/>
          <w:sz w:val="22"/>
          <w:szCs w:val="22"/>
          <w:lang w:val="en-AU"/>
        </w:rPr>
      </w:pPr>
    </w:p>
    <w:p>
      <w:pPr>
        <w:spacing w:line="360" w:lineRule="auto"/>
        <w:rPr>
          <w:rFonts w:hint="default"/>
          <w:i w:val="0"/>
          <w:iCs w:val="0"/>
          <w:sz w:val="22"/>
          <w:szCs w:val="22"/>
          <w:lang w:val="en-AU"/>
        </w:rPr>
      </w:pPr>
      <w:r>
        <w:rPr>
          <w:rFonts w:hint="default"/>
          <w:i w:val="0"/>
          <w:iCs w:val="0"/>
          <w:sz w:val="22"/>
          <w:szCs w:val="22"/>
          <w:lang w:val="en-AU"/>
        </w:rPr>
        <w:t>In the following section, I will review contemporary works which are more specifically relevant to the area of my research, while at the same time mapping scholarly approaches to the topic. The first distinction that needs to be made is between works that are more theoretical in nature and those with an applied emphasis. In the Somali case, applied research in the area of spirit possession is conducted in the field of mental health, primarily among refugee communities, and published in articles. Studies often note that mental health is interpreted as possession, and offer an overview of symptoms, beliefs, and healing practices connected to spirit possession, with practical applications for mental health professionals (cf Molse et al 2010; Carroll 2004; Carroll et al 2007; Johnsdotter et al 2011). Marja Tiilikainen, while also involved in some of the mental health studies, moves towards a more theoretical perspective in her articles. Tiilikainen is the only anthropologist who has conducted major field work on spirit possession in Somaliland since Lewis. Her focus is on the emergence of Qur’anic healing practices with “’purely’ Islamic methods” which challenge traditional “</w:t>
      </w:r>
      <w:r>
        <w:rPr>
          <w:rFonts w:hint="default"/>
          <w:i/>
          <w:iCs/>
          <w:sz w:val="22"/>
          <w:szCs w:val="22"/>
          <w:lang w:val="en-AU"/>
        </w:rPr>
        <w:t>saar</w:t>
      </w:r>
      <w:r>
        <w:rPr>
          <w:rFonts w:hint="default"/>
          <w:i w:val="0"/>
          <w:iCs w:val="0"/>
          <w:sz w:val="22"/>
          <w:szCs w:val="22"/>
          <w:lang w:val="en-AU"/>
        </w:rPr>
        <w:t xml:space="preserve"> rituals” and “can be seen as part of Somali modernity” (Tiilikainen 2010: 175-6, 180).</w:t>
      </w:r>
    </w:p>
    <w:p>
      <w:pPr>
        <w:spacing w:line="360" w:lineRule="auto"/>
        <w:rPr>
          <w:rFonts w:hint="default"/>
          <w:i w:val="0"/>
          <w:iCs w:val="0"/>
          <w:sz w:val="22"/>
          <w:szCs w:val="22"/>
          <w:lang w:val="en-AU"/>
        </w:rPr>
      </w:pPr>
    </w:p>
    <w:p>
      <w:pPr>
        <w:spacing w:line="360" w:lineRule="auto"/>
        <w:rPr>
          <w:rFonts w:hint="default" w:ascii="Calibri" w:hAnsi="Calibri" w:eastAsia="Times New Roman" w:cs="Calibri"/>
          <w:kern w:val="0"/>
          <w:sz w:val="22"/>
          <w:szCs w:val="22"/>
          <w:lang w:val="en-US" w:eastAsia="en-AU"/>
        </w:rPr>
      </w:pPr>
      <w:r>
        <w:rPr>
          <w:rFonts w:hint="default"/>
          <w:i w:val="0"/>
          <w:iCs w:val="0"/>
          <w:sz w:val="22"/>
          <w:szCs w:val="22"/>
          <w:lang w:val="en-AU"/>
        </w:rPr>
        <w:t xml:space="preserve">In the area of theoretical research (as opposed to applied), four approaches can be identified and illustrated with contemporary examples. The starting point is what Boddy labelled “instrumentality” (Boddy 1994), by which I understand an interest in the relevance of possession for society, as well as a critical attitude with the intention of fostering resistance. Celia Rothenberg’s monograph, </w:t>
      </w:r>
      <w:r>
        <w:rPr>
          <w:rFonts w:hint="default"/>
          <w:i/>
          <w:iCs/>
          <w:sz w:val="22"/>
          <w:szCs w:val="22"/>
          <w:lang w:val="en-AU"/>
        </w:rPr>
        <w:t>Spirits of Palestine</w:t>
      </w:r>
      <w:r>
        <w:rPr>
          <w:rFonts w:hint="default"/>
          <w:i w:val="0"/>
          <w:iCs w:val="0"/>
          <w:sz w:val="22"/>
          <w:szCs w:val="22"/>
          <w:lang w:val="en-AU"/>
        </w:rPr>
        <w:t xml:space="preserve"> (2004) is an example for such an approach. The author searches stories about jinn possession for what they say about the social and political context people find themselves in. She discovers connections to moral norms, migration practices, and the Israeli occupation, as well as subtle critique of the patriarchy and the foreign oppressor. While her analysis is more detailed and more hermeneutic than Lewis’ deprivation theory - she does not only ask what possession offers a person</w:t>
      </w:r>
      <w:r>
        <w:rPr>
          <w:rFonts w:hint="default" w:ascii="Calibri" w:hAnsi="Calibri" w:eastAsia="Times New Roman" w:cs="Calibri"/>
          <w:kern w:val="0"/>
          <w:sz w:val="22"/>
          <w:szCs w:val="22"/>
          <w:lang w:val="en-US" w:eastAsia="en-AU"/>
        </w:rPr>
        <w:t xml:space="preserve"> but also what it says about society in general - the fact that all her case studies treat social problems make her work sound instrumentalist.</w:t>
      </w:r>
    </w:p>
    <w:p>
      <w:pPr>
        <w:spacing w:line="360" w:lineRule="auto"/>
        <w:rPr>
          <w:rFonts w:hint="default" w:ascii="Calibri" w:hAnsi="Calibri" w:cs="Calibri"/>
          <w:i w:val="0"/>
          <w:iCs w:val="0"/>
          <w:sz w:val="22"/>
          <w:szCs w:val="22"/>
          <w:lang w:val="en-AU"/>
        </w:rPr>
      </w:pPr>
      <w:r>
        <w:rPr>
          <w:rFonts w:hint="default" w:ascii="Calibri" w:hAnsi="Calibri" w:cs="Calibri"/>
          <w:i w:val="0"/>
          <w:iCs w:val="0"/>
          <w:sz w:val="22"/>
          <w:szCs w:val="22"/>
          <w:lang w:val="en-AU"/>
        </w:rPr>
        <w:t xml:space="preserve"> </w:t>
      </w:r>
    </w:p>
    <w:p>
      <w:pPr>
        <w:spacing w:line="360" w:lineRule="auto"/>
        <w:rPr>
          <w:sz w:val="22"/>
          <w:szCs w:val="22"/>
          <w:lang w:val="en-AU" w:eastAsia="en-AU"/>
        </w:rPr>
      </w:pPr>
      <w:r>
        <w:rPr>
          <w:rFonts w:hint="default" w:ascii="Calibri" w:hAnsi="Calibri" w:cs="Calibri"/>
          <w:sz w:val="22"/>
          <w:szCs w:val="22"/>
          <w:lang w:val="en-AU"/>
        </w:rPr>
        <w:t xml:space="preserve">A second approach comes out of Boddy’s work and it taken further in Kalpana Ram’s </w:t>
      </w:r>
      <w:r>
        <w:rPr>
          <w:rFonts w:hint="default" w:ascii="Calibri" w:hAnsi="Calibri" w:cs="Calibri"/>
          <w:i/>
          <w:iCs/>
          <w:sz w:val="22"/>
          <w:szCs w:val="22"/>
          <w:lang w:val="en-AU"/>
        </w:rPr>
        <w:t xml:space="preserve">Fertile Disorder </w:t>
      </w:r>
      <w:r>
        <w:rPr>
          <w:rFonts w:hint="default" w:ascii="Calibri" w:hAnsi="Calibri" w:cs="Calibri"/>
          <w:i w:val="0"/>
          <w:iCs w:val="0"/>
          <w:sz w:val="22"/>
          <w:szCs w:val="22"/>
          <w:lang w:val="en-AU"/>
        </w:rPr>
        <w:t xml:space="preserve">(2013). Here, the focus is on the embodied aspects of possession. The instrumentalists’ assumptions of an intentional, largely conscious, and rational actor are </w:t>
      </w:r>
      <w:r>
        <w:rPr>
          <w:rFonts w:hint="default"/>
          <w:sz w:val="22"/>
          <w:szCs w:val="22"/>
          <w:lang w:val="en-AU"/>
        </w:rPr>
        <w:t xml:space="preserve">questioned. Ram challenges the view that possessed women are either mentally ill or strategically employing the act of possession towards their own ends. Instead, she argues that the subject cannot be seen as “entirely whole” and unaffected by possession or inequality </w:t>
      </w:r>
      <w:r>
        <w:rPr>
          <w:sz w:val="22"/>
          <w:szCs w:val="22"/>
          <w:lang w:val="en-AU" w:eastAsia="en-AU"/>
        </w:rPr>
        <w:t>(2013:</w:t>
      </w:r>
      <w:r>
        <w:rPr>
          <w:sz w:val="22"/>
          <w:szCs w:val="22"/>
          <w:lang w:val="en-US" w:eastAsia="en-AU"/>
        </w:rPr>
        <w:t xml:space="preserve"> </w:t>
      </w:r>
      <w:r>
        <w:rPr>
          <w:sz w:val="22"/>
          <w:szCs w:val="22"/>
          <w:lang w:val="en-AU" w:eastAsia="en-AU"/>
        </w:rPr>
        <w:t>83-4).</w:t>
      </w:r>
      <w:r>
        <w:rPr>
          <w:sz w:val="22"/>
          <w:szCs w:val="22"/>
          <w:lang w:val="en-US" w:eastAsia="en-AU"/>
        </w:rPr>
        <w:t xml:space="preserve"> Rather, the impact of possession on the body must be taken into account and analysed.</w:t>
      </w:r>
    </w:p>
    <w:p>
      <w:pPr>
        <w:spacing w:line="360" w:lineRule="auto"/>
        <w:rPr>
          <w:rFonts w:hint="default" w:ascii="Calibri" w:hAnsi="Calibri" w:cs="Calibri"/>
          <w:i w:val="0"/>
          <w:iCs w:val="0"/>
          <w:sz w:val="22"/>
          <w:szCs w:val="22"/>
          <w:lang w:val="en-AU"/>
        </w:rPr>
      </w:pPr>
    </w:p>
    <w:p>
      <w:pPr>
        <w:spacing w:line="360" w:lineRule="auto"/>
        <w:rPr>
          <w:rFonts w:hint="default" w:ascii="Calibri" w:hAnsi="Calibri" w:cs="Calibri"/>
          <w:i w:val="0"/>
          <w:iCs w:val="0"/>
          <w:sz w:val="22"/>
          <w:szCs w:val="22"/>
          <w:lang w:val="en-AU"/>
        </w:rPr>
      </w:pPr>
      <w:r>
        <w:rPr>
          <w:rFonts w:hint="default" w:ascii="Calibri" w:hAnsi="Calibri" w:cs="Calibri"/>
          <w:i w:val="0"/>
          <w:iCs w:val="0"/>
          <w:sz w:val="22"/>
          <w:szCs w:val="22"/>
          <w:lang w:val="en-AU"/>
        </w:rPr>
        <w:t xml:space="preserve">The third approach may be called a contextualising analysis of spirit possession. Ashforth (2005) summarises what he considers the problem of other approaches: “While this literature [on witchcraft as an idiom expressing other realities] has revealed much about African social life, it suffers from the singular defect … of treating statements that Africans clearly intend as literal, or factual, as if they were meant to be metaphorical or figurative” (2005: 114). Bettina Schmidt, in </w:t>
      </w:r>
      <w:r>
        <w:rPr>
          <w:rFonts w:hint="default" w:ascii="Calibri" w:hAnsi="Calibri" w:cs="Calibri"/>
          <w:i/>
          <w:iCs/>
          <w:sz w:val="22"/>
          <w:szCs w:val="22"/>
          <w:lang w:val="en-AU"/>
        </w:rPr>
        <w:t xml:space="preserve">Spirits and Trance in Brazil </w:t>
      </w:r>
      <w:r>
        <w:rPr>
          <w:rFonts w:hint="default" w:ascii="Calibri" w:hAnsi="Calibri" w:cs="Calibri"/>
          <w:i w:val="0"/>
          <w:iCs w:val="0"/>
          <w:sz w:val="22"/>
          <w:szCs w:val="22"/>
          <w:lang w:val="en-AU"/>
        </w:rPr>
        <w:t xml:space="preserve">(2016) suggests to treat possession as a deictic concept which needs careful contextualising. </w:t>
      </w:r>
    </w:p>
    <w:p>
      <w:pPr>
        <w:spacing w:line="360" w:lineRule="auto"/>
        <w:rPr>
          <w:rFonts w:hint="default" w:ascii="Calibri" w:hAnsi="Calibri" w:cs="Calibri"/>
          <w:i w:val="0"/>
          <w:iCs w:val="0"/>
          <w:sz w:val="22"/>
          <w:szCs w:val="22"/>
          <w:lang w:val="en-AU"/>
        </w:rPr>
      </w:pPr>
    </w:p>
    <w:p>
      <w:pPr>
        <w:widowControl/>
        <w:spacing w:line="360" w:lineRule="auto"/>
        <w:jc w:val="left"/>
        <w:rPr>
          <w:rFonts w:hint="default" w:ascii="Calibri" w:hAnsi="Calibri" w:cs="Calibri"/>
          <w:i w:val="0"/>
          <w:iCs w:val="0"/>
          <w:sz w:val="22"/>
          <w:szCs w:val="22"/>
          <w:lang w:val="en-AU"/>
        </w:rPr>
      </w:pPr>
      <w:r>
        <w:rPr>
          <w:rFonts w:hint="default" w:ascii="Calibri" w:hAnsi="Calibri" w:cs="Calibri"/>
          <w:i w:val="0"/>
          <w:iCs w:val="0"/>
          <w:sz w:val="22"/>
          <w:szCs w:val="22"/>
          <w:lang w:val="en-AU"/>
        </w:rPr>
        <w:t xml:space="preserve">Such an approach does not necessarily limit its relevance to a particular situation; rather, a variety of explanations for possession may “contribute to furthering our understanding of the experience” (Schmidt 2016: ch.5). Her further emphasis on practice as opposed to belief opens the door for a phenomenological exploration of possession as a “phenomena unadulterated by preconceptions” (Heron 1992: 164). The move is from particularism to universalism, to “the things themselves” (Crotty 1998: 78ff), which is characteristic of the final approach. </w:t>
      </w:r>
    </w:p>
    <w:p>
      <w:pPr>
        <w:widowControl/>
        <w:spacing w:line="360" w:lineRule="auto"/>
        <w:jc w:val="left"/>
        <w:rPr>
          <w:rFonts w:hint="default" w:ascii="Calibri" w:hAnsi="Calibri" w:cs="Calibri"/>
          <w:i w:val="0"/>
          <w:iCs w:val="0"/>
          <w:sz w:val="22"/>
          <w:szCs w:val="22"/>
          <w:lang w:val="en-AU"/>
        </w:rPr>
      </w:pPr>
    </w:p>
    <w:p>
      <w:pPr>
        <w:widowControl/>
        <w:spacing w:line="360" w:lineRule="auto"/>
        <w:jc w:val="left"/>
        <w:rPr>
          <w:rFonts w:hint="default" w:ascii="Calibri" w:hAnsi="Calibri" w:eastAsia="Times New Roman" w:cs="Calibri"/>
          <w:kern w:val="0"/>
          <w:sz w:val="22"/>
          <w:szCs w:val="22"/>
          <w:lang w:val="en-US" w:eastAsia="en-AU"/>
        </w:rPr>
      </w:pPr>
      <w:r>
        <w:rPr>
          <w:rFonts w:hint="default" w:ascii="Calibri" w:hAnsi="Calibri" w:cs="Calibri"/>
          <w:i w:val="0"/>
          <w:iCs w:val="0"/>
          <w:sz w:val="22"/>
          <w:szCs w:val="22"/>
          <w:lang w:val="en-AU"/>
        </w:rPr>
        <w:t xml:space="preserve">I give two examples which raise the question of the ontology of spirit possession, but not in the sense of categorising different kinds of possession. Rather, the interest is in the reinterpretation of the phenomena in a particular context. Morton Axel Pedersen’s, </w:t>
      </w:r>
      <w:r>
        <w:rPr>
          <w:rFonts w:hint="default" w:ascii="Calibri" w:hAnsi="Calibri" w:cs="Calibri"/>
          <w:i/>
          <w:iCs/>
          <w:sz w:val="22"/>
          <w:szCs w:val="22"/>
          <w:lang w:val="en-AU"/>
        </w:rPr>
        <w:t>Not Quite Shamans</w:t>
      </w:r>
      <w:r>
        <w:rPr>
          <w:rFonts w:hint="default" w:ascii="Calibri" w:hAnsi="Calibri" w:cs="Calibri"/>
          <w:i w:val="0"/>
          <w:iCs w:val="0"/>
          <w:sz w:val="22"/>
          <w:szCs w:val="22"/>
          <w:lang w:val="en-AU"/>
        </w:rPr>
        <w:t xml:space="preserve"> (2011) offers an “ontology of transition” in Mongolia </w:t>
      </w:r>
      <w:r>
        <w:rPr>
          <w:rFonts w:hint="default" w:ascii="Calibri" w:hAnsi="Calibri" w:eastAsia="Times New Roman" w:cs="Calibri"/>
          <w:kern w:val="0"/>
          <w:sz w:val="22"/>
          <w:szCs w:val="22"/>
          <w:lang w:val="en-AU" w:eastAsia="en-AU"/>
        </w:rPr>
        <w:t xml:space="preserve">by which the </w:t>
      </w:r>
      <w:r>
        <w:rPr>
          <w:rFonts w:hint="default" w:ascii="Calibri" w:hAnsi="Calibri" w:eastAsia="Times New Roman" w:cs="Calibri"/>
          <w:kern w:val="0"/>
          <w:sz w:val="22"/>
          <w:szCs w:val="22"/>
          <w:lang w:val="en-US" w:eastAsia="en-AU"/>
        </w:rPr>
        <w:t xml:space="preserve">uncertainty of the </w:t>
      </w:r>
      <w:r>
        <w:rPr>
          <w:rFonts w:hint="default" w:ascii="Calibri" w:hAnsi="Calibri" w:eastAsia="Times New Roman" w:cs="Calibri"/>
          <w:kern w:val="0"/>
          <w:sz w:val="22"/>
          <w:szCs w:val="22"/>
          <w:lang w:val="en-AU" w:eastAsia="en-AU"/>
        </w:rPr>
        <w:t xml:space="preserve">historical collapse of the socialist state </w:t>
      </w:r>
      <w:r>
        <w:rPr>
          <w:rFonts w:hint="default" w:ascii="Calibri" w:hAnsi="Calibri" w:eastAsia="Times New Roman" w:cs="Calibri"/>
          <w:kern w:val="0"/>
          <w:sz w:val="22"/>
          <w:szCs w:val="22"/>
          <w:lang w:val="en-US" w:eastAsia="en-AU"/>
        </w:rPr>
        <w:t>was</w:t>
      </w:r>
      <w:r>
        <w:rPr>
          <w:rFonts w:hint="default" w:ascii="Calibri" w:hAnsi="Calibri" w:eastAsia="Times New Roman" w:cs="Calibri"/>
          <w:kern w:val="0"/>
          <w:sz w:val="22"/>
          <w:szCs w:val="22"/>
          <w:lang w:val="en-AU" w:eastAsia="en-AU"/>
        </w:rPr>
        <w:t xml:space="preserve"> paralleled in the spirit world</w:t>
      </w:r>
      <w:r>
        <w:rPr>
          <w:rFonts w:hint="default" w:ascii="Calibri" w:hAnsi="Calibri" w:eastAsia="Times New Roman" w:cs="Calibri"/>
          <w:kern w:val="0"/>
          <w:sz w:val="22"/>
          <w:szCs w:val="22"/>
          <w:lang w:val="en-US" w:eastAsia="en-AU"/>
        </w:rPr>
        <w:t>.</w:t>
      </w:r>
      <w:r>
        <w:rPr>
          <w:rFonts w:hint="default" w:ascii="Calibri" w:hAnsi="Calibri" w:eastAsia="Times New Roman" w:cs="Calibri"/>
          <w:kern w:val="0"/>
          <w:sz w:val="22"/>
          <w:szCs w:val="22"/>
          <w:lang w:val="en-AU" w:eastAsia="en-AU"/>
        </w:rPr>
        <w:t xml:space="preserve"> He concludes that “</w:t>
      </w:r>
      <w:r>
        <w:rPr>
          <w:rFonts w:hint="default" w:ascii="Calibri" w:hAnsi="Calibri" w:eastAsia="Times New Roman" w:cs="Calibri"/>
          <w:kern w:val="0"/>
          <w:sz w:val="22"/>
          <w:szCs w:val="22"/>
          <w:lang w:val="en-US" w:eastAsia="en-AU"/>
        </w:rPr>
        <w:t>t</w:t>
      </w:r>
      <w:r>
        <w:rPr>
          <w:rFonts w:hint="default" w:ascii="Calibri" w:hAnsi="Calibri" w:eastAsia="Times New Roman" w:cs="Calibri"/>
          <w:kern w:val="0"/>
          <w:sz w:val="22"/>
          <w:szCs w:val="22"/>
          <w:lang w:val="en-AU" w:eastAsia="en-AU"/>
        </w:rPr>
        <w:t>he restless spirits simply were uncertainty as such; they were materializations, actualizations, instantiations, and condensations of the all-pervasive state of cosmological turmoil” (</w:t>
      </w:r>
      <w:r>
        <w:rPr>
          <w:rFonts w:hint="default" w:ascii="Calibri" w:hAnsi="Calibri" w:eastAsia="Times New Roman" w:cs="Calibri"/>
          <w:kern w:val="0"/>
          <w:sz w:val="22"/>
          <w:szCs w:val="22"/>
          <w:lang w:val="en-US" w:eastAsia="en-AU"/>
        </w:rPr>
        <w:t xml:space="preserve">2011: </w:t>
      </w:r>
      <w:r>
        <w:rPr>
          <w:rFonts w:hint="default" w:ascii="Calibri" w:hAnsi="Calibri" w:eastAsia="Times New Roman" w:cs="Calibri"/>
          <w:kern w:val="0"/>
          <w:sz w:val="22"/>
          <w:szCs w:val="22"/>
          <w:lang w:val="en-AU" w:eastAsia="en-AU"/>
        </w:rPr>
        <w:t xml:space="preserve">39). </w:t>
      </w:r>
      <w:r>
        <w:rPr>
          <w:rFonts w:hint="default" w:ascii="Calibri" w:hAnsi="Calibri" w:eastAsia="Times New Roman" w:cs="Calibri"/>
          <w:kern w:val="0"/>
          <w:sz w:val="22"/>
          <w:szCs w:val="22"/>
          <w:lang w:val="en-US" w:eastAsia="en-AU"/>
        </w:rPr>
        <w:t>In other words, transition itself is a spiritual phenomenon. Ram’s work on possession in India offers an ontology of emotions. S</w:t>
      </w:r>
      <w:r>
        <w:rPr>
          <w:rFonts w:hint="default" w:ascii="Calibri" w:hAnsi="Calibri" w:eastAsia="Times New Roman" w:cs="Calibri"/>
          <w:kern w:val="0"/>
          <w:sz w:val="22"/>
          <w:szCs w:val="22"/>
          <w:lang w:val="en-AU" w:eastAsia="en-AU"/>
        </w:rPr>
        <w:t>he argues that “tragic loss is not only an ordeal of the interior emotions; it also produces new creatures in the world” (Ram 2013:</w:t>
      </w:r>
      <w:r>
        <w:rPr>
          <w:rFonts w:hint="default" w:ascii="Calibri" w:hAnsi="Calibri" w:eastAsia="Times New Roman" w:cs="Calibri"/>
          <w:kern w:val="0"/>
          <w:sz w:val="22"/>
          <w:szCs w:val="22"/>
          <w:lang w:val="en-US" w:eastAsia="en-AU"/>
        </w:rPr>
        <w:t xml:space="preserve"> </w:t>
      </w:r>
      <w:r>
        <w:rPr>
          <w:rFonts w:hint="default" w:ascii="Calibri" w:hAnsi="Calibri" w:eastAsia="Times New Roman" w:cs="Calibri"/>
          <w:kern w:val="0"/>
          <w:sz w:val="22"/>
          <w:szCs w:val="22"/>
          <w:lang w:val="en-AU" w:eastAsia="en-AU"/>
        </w:rPr>
        <w:t xml:space="preserve">86). </w:t>
      </w:r>
      <w:r>
        <w:rPr>
          <w:rFonts w:hint="default" w:ascii="Calibri" w:hAnsi="Calibri" w:eastAsia="Times New Roman" w:cs="Calibri"/>
          <w:kern w:val="0"/>
          <w:sz w:val="22"/>
          <w:szCs w:val="22"/>
          <w:lang w:val="en-US" w:eastAsia="en-AU"/>
        </w:rPr>
        <w:t xml:space="preserve">She suggests that a “society </w:t>
      </w:r>
      <w:r>
        <w:rPr>
          <w:rFonts w:hint="default" w:ascii="Calibri" w:hAnsi="Calibri" w:eastAsia="Times New Roman" w:cs="Calibri"/>
          <w:kern w:val="0"/>
          <w:sz w:val="22"/>
          <w:szCs w:val="22"/>
          <w:lang w:val="en-AU" w:eastAsia="en-AU"/>
        </w:rPr>
        <w:t>that understands emotions as “ghosts” rather than as “psychology” comes closer</w:t>
      </w:r>
      <w:r>
        <w:rPr>
          <w:rFonts w:hint="default" w:ascii="Calibri" w:hAnsi="Calibri" w:eastAsia="Times New Roman" w:cs="Calibri"/>
          <w:kern w:val="0"/>
          <w:sz w:val="22"/>
          <w:szCs w:val="22"/>
          <w:lang w:val="en-US" w:eastAsia="en-AU"/>
        </w:rPr>
        <w:t xml:space="preserve"> […]</w:t>
      </w:r>
      <w:r>
        <w:rPr>
          <w:rFonts w:hint="default" w:ascii="Calibri" w:hAnsi="Calibri" w:eastAsia="Times New Roman" w:cs="Calibri"/>
          <w:kern w:val="0"/>
          <w:sz w:val="22"/>
          <w:szCs w:val="22"/>
          <w:lang w:val="en-AU" w:eastAsia="en-AU"/>
        </w:rPr>
        <w:t xml:space="preserve"> to understanding the phenomenology of emotions” </w:t>
      </w:r>
      <w:r>
        <w:rPr>
          <w:rFonts w:hint="default" w:ascii="Calibri" w:hAnsi="Calibri" w:eastAsia="Times New Roman" w:cs="Calibri"/>
          <w:kern w:val="0"/>
          <w:sz w:val="22"/>
          <w:szCs w:val="22"/>
          <w:lang w:val="en-US" w:eastAsia="en-AU"/>
        </w:rPr>
        <w:t>(</w:t>
      </w:r>
      <w:r>
        <w:rPr>
          <w:rFonts w:hint="default" w:ascii="Calibri" w:hAnsi="Calibri" w:eastAsia="Times New Roman" w:cs="Calibri"/>
          <w:kern w:val="0"/>
          <w:sz w:val="22"/>
          <w:szCs w:val="22"/>
          <w:lang w:val="en-AU" w:eastAsia="en-AU"/>
        </w:rPr>
        <w:t>2013:</w:t>
      </w:r>
      <w:r>
        <w:rPr>
          <w:rFonts w:hint="default" w:ascii="Calibri" w:hAnsi="Calibri" w:eastAsia="Times New Roman" w:cs="Calibri"/>
          <w:kern w:val="0"/>
          <w:sz w:val="22"/>
          <w:szCs w:val="22"/>
          <w:lang w:val="en-US" w:eastAsia="en-AU"/>
        </w:rPr>
        <w:t xml:space="preserve"> </w:t>
      </w:r>
      <w:r>
        <w:rPr>
          <w:rFonts w:hint="default" w:ascii="Calibri" w:hAnsi="Calibri" w:eastAsia="Times New Roman" w:cs="Calibri"/>
          <w:kern w:val="0"/>
          <w:sz w:val="22"/>
          <w:szCs w:val="22"/>
          <w:lang w:val="en-AU" w:eastAsia="en-AU"/>
        </w:rPr>
        <w:t>105)</w:t>
      </w:r>
      <w:r>
        <w:rPr>
          <w:rFonts w:hint="default" w:ascii="Calibri" w:hAnsi="Calibri" w:eastAsia="Times New Roman" w:cs="Calibri"/>
          <w:kern w:val="0"/>
          <w:sz w:val="22"/>
          <w:szCs w:val="22"/>
          <w:lang w:val="en-US" w:eastAsia="en-AU"/>
        </w:rPr>
        <w:t>. It is along the lines of these studies’ phenomenological approach that the phenomenon of love possession in Somali culture can be freshly investigated.</w:t>
      </w:r>
    </w:p>
    <w:p>
      <w:pPr>
        <w:widowControl/>
        <w:spacing w:line="360" w:lineRule="auto"/>
        <w:jc w:val="left"/>
        <w:rPr>
          <w:rFonts w:hint="default" w:ascii="Calibri" w:hAnsi="Calibri" w:eastAsia="Times New Roman" w:cs="Calibri"/>
          <w:kern w:val="0"/>
          <w:sz w:val="22"/>
          <w:szCs w:val="22"/>
          <w:lang w:val="en-US" w:eastAsia="en-AU"/>
        </w:rPr>
      </w:pPr>
    </w:p>
    <w:p>
      <w:pPr>
        <w:widowControl/>
        <w:spacing w:line="360" w:lineRule="auto"/>
        <w:jc w:val="left"/>
        <w:rPr>
          <w:rFonts w:hint="default" w:ascii="Calibri" w:hAnsi="Calibri" w:cs="Calibri"/>
          <w:sz w:val="22"/>
          <w:szCs w:val="22"/>
          <w:lang w:val="en-AU"/>
        </w:rPr>
      </w:pPr>
      <w:r>
        <w:rPr>
          <w:rFonts w:hint="default" w:ascii="Calibri" w:hAnsi="Calibri" w:eastAsia="Times New Roman" w:cs="Calibri"/>
          <w:kern w:val="0"/>
          <w:sz w:val="22"/>
          <w:szCs w:val="22"/>
          <w:lang w:val="en-US" w:eastAsia="en-AU"/>
        </w:rPr>
        <w:t xml:space="preserve">Finally, after outlining the above approaches, a group of studies need to be mentioned which come from </w:t>
      </w:r>
      <w:r>
        <w:rPr>
          <w:rFonts w:hint="default" w:ascii="Calibri" w:hAnsi="Calibri" w:cs="Calibri"/>
          <w:sz w:val="22"/>
          <w:szCs w:val="22"/>
          <w:lang w:val="en-AU"/>
        </w:rPr>
        <w:t xml:space="preserve">scholars from majority Islamic countries on the nature of jinn, possession and Qur’anic healing. The works by Al-Ashqar (1998), Hulusi (2006), Ibn Ibraheem Ameen (2005) and Rahman (2014) are some of the few works that have been translated into English. They all fall into the category of Islamic theological studies. There is no study done by Somali scholars. However, popular material such as films and stories (cf </w:t>
      </w:r>
      <w:r>
        <w:rPr>
          <w:rFonts w:hint="default"/>
          <w:sz w:val="22"/>
          <w:szCs w:val="22"/>
          <w:lang w:val="en-AU"/>
        </w:rPr>
        <w:t>‘</w:t>
      </w:r>
      <w:r>
        <w:rPr>
          <w:sz w:val="22"/>
          <w:szCs w:val="22"/>
          <w:lang w:val="en-AU"/>
        </w:rPr>
        <w:t>The Marriage that happened between a Jinn and a Human</w:t>
      </w:r>
      <w:r>
        <w:rPr>
          <w:rFonts w:hint="default"/>
          <w:sz w:val="22"/>
          <w:szCs w:val="22"/>
          <w:lang w:val="en-AU"/>
        </w:rPr>
        <w:t>’; ‘The Jinn Play’]</w:t>
      </w:r>
      <w:r>
        <w:rPr>
          <w:rFonts w:hint="default" w:ascii="Calibri" w:hAnsi="Calibri" w:cs="Calibri"/>
          <w:sz w:val="22"/>
          <w:szCs w:val="22"/>
          <w:lang w:val="en-AU"/>
        </w:rPr>
        <w:t xml:space="preserve"> are circulated widely via news websites and social media, indicating that the topic is relevant in popular culture.</w:t>
      </w:r>
    </w:p>
    <w:p>
      <w:pPr>
        <w:widowControl/>
        <w:spacing w:line="360" w:lineRule="auto"/>
        <w:jc w:val="left"/>
        <w:rPr>
          <w:rFonts w:hint="default" w:ascii="Calibri" w:hAnsi="Calibri" w:eastAsia="Times New Roman" w:cs="Calibri"/>
          <w:kern w:val="0"/>
          <w:sz w:val="22"/>
          <w:szCs w:val="22"/>
          <w:lang w:val="en-AU" w:eastAsia="en-AU"/>
        </w:rPr>
      </w:pPr>
    </w:p>
    <w:p>
      <w:pPr>
        <w:widowControl/>
        <w:spacing w:line="360" w:lineRule="auto"/>
        <w:jc w:val="left"/>
        <w:rPr>
          <w:rFonts w:hint="default" w:ascii="Calibri" w:hAnsi="Calibri" w:eastAsia="Times New Roman" w:cs="Calibri"/>
          <w:kern w:val="0"/>
          <w:sz w:val="22"/>
          <w:szCs w:val="22"/>
          <w:lang w:val="en-AU" w:eastAsia="en-AU"/>
        </w:rPr>
      </w:pPr>
    </w:p>
    <w:p>
      <w:pPr>
        <w:spacing w:line="360" w:lineRule="auto"/>
        <w:rPr>
          <w:rFonts w:hint="default" w:ascii="Calibri" w:hAnsi="Calibri" w:cs="Calibri"/>
          <w:sz w:val="22"/>
          <w:szCs w:val="22"/>
          <w:lang w:val="en-AU"/>
        </w:rPr>
      </w:pPr>
    </w:p>
    <w:p>
      <w:pPr>
        <w:spacing w:line="360" w:lineRule="auto"/>
        <w:rPr>
          <w:rFonts w:hint="default" w:ascii="Calibri" w:hAnsi="Calibri" w:cs="Calibri"/>
          <w:sz w:val="22"/>
          <w:szCs w:val="22"/>
          <w:lang w:val="en-AU"/>
        </w:rPr>
      </w:pPr>
      <w:r>
        <w:rPr>
          <w:rFonts w:hint="default" w:ascii="Calibri" w:hAnsi="Calibri" w:cs="Calibri"/>
          <w:sz w:val="22"/>
          <w:szCs w:val="22"/>
          <w:lang w:val="en-AU"/>
        </w:rPr>
        <w:br w:type="page"/>
      </w:r>
    </w:p>
    <w:p>
      <w:pPr>
        <w:spacing w:line="240" w:lineRule="auto"/>
        <w:rPr>
          <w:rFonts w:hint="default" w:ascii="Calibri" w:hAnsi="Calibri" w:cs="Calibri"/>
          <w:b/>
          <w:bCs/>
          <w:sz w:val="22"/>
          <w:szCs w:val="22"/>
          <w:lang w:val="en-AU"/>
        </w:rPr>
      </w:pPr>
      <w:r>
        <w:rPr>
          <w:rFonts w:hint="default" w:ascii="Calibri" w:hAnsi="Calibri" w:cs="Calibri"/>
          <w:b/>
          <w:bCs/>
          <w:sz w:val="22"/>
          <w:szCs w:val="22"/>
          <w:lang w:val="en-AU"/>
        </w:rPr>
        <w:t>Bibliography</w:t>
      </w:r>
    </w:p>
    <w:p>
      <w:pPr>
        <w:spacing w:line="240" w:lineRule="auto"/>
        <w:rPr>
          <w:rFonts w:hint="default" w:ascii="Calibri" w:hAnsi="Calibri" w:cs="Calibri"/>
          <w:sz w:val="22"/>
          <w:szCs w:val="22"/>
          <w:lang w:val="en-AU"/>
        </w:rPr>
      </w:pPr>
    </w:p>
    <w:p>
      <w:pPr>
        <w:spacing w:line="240" w:lineRule="auto"/>
        <w:jc w:val="left"/>
        <w:rPr>
          <w:rFonts w:hint="default" w:ascii="Calibri" w:hAnsi="Calibri" w:cs="Calibri"/>
          <w:sz w:val="22"/>
          <w:szCs w:val="22"/>
          <w:lang w:val="en-AU"/>
        </w:rPr>
      </w:pPr>
      <w:r>
        <w:rPr>
          <w:rFonts w:hint="default" w:ascii="Calibri" w:hAnsi="Calibri" w:cs="Calibri"/>
          <w:sz w:val="22"/>
          <w:szCs w:val="22"/>
          <w:lang w:val="en-AU"/>
        </w:rPr>
        <w:t xml:space="preserve">Ahmed, Abullahi M. 1988. Somali Traditional Healers: Role and Status. In </w:t>
      </w:r>
      <w:r>
        <w:rPr>
          <w:rFonts w:hint="default" w:ascii="Calibri" w:hAnsi="Calibri" w:cs="Calibri"/>
          <w:i/>
          <w:iCs/>
          <w:sz w:val="22"/>
          <w:szCs w:val="22"/>
        </w:rPr>
        <w:t>Proceedings of the Third International Congress of Somali Studies</w:t>
      </w:r>
      <w:r>
        <w:rPr>
          <w:rFonts w:hint="default" w:ascii="Calibri" w:hAnsi="Calibri" w:cs="Calibri"/>
          <w:sz w:val="22"/>
          <w:szCs w:val="22"/>
          <w:lang w:val="en-AU"/>
        </w:rPr>
        <w:t>. Rome, Italy:</w:t>
      </w:r>
      <w:r>
        <w:rPr>
          <w:rFonts w:hint="default" w:ascii="Calibri" w:hAnsi="Calibri" w:cs="Calibri"/>
          <w:sz w:val="22"/>
          <w:szCs w:val="22"/>
        </w:rPr>
        <w:t xml:space="preserve"> Il Pensiero Scientifico Editore</w:t>
      </w:r>
      <w:r>
        <w:rPr>
          <w:rFonts w:hint="default" w:ascii="Calibri" w:hAnsi="Calibri" w:cs="Calibri"/>
          <w:sz w:val="22"/>
          <w:szCs w:val="22"/>
          <w:lang w:val="en-AU"/>
        </w:rPr>
        <w:t>.</w:t>
      </w:r>
    </w:p>
    <w:p>
      <w:pPr>
        <w:spacing w:line="240" w:lineRule="auto"/>
        <w:jc w:val="left"/>
        <w:rPr>
          <w:rFonts w:hint="default" w:ascii="Calibri" w:hAnsi="Calibri" w:cs="Calibri"/>
          <w:sz w:val="22"/>
          <w:szCs w:val="22"/>
          <w:lang w:val="en-AU"/>
        </w:rPr>
      </w:pPr>
    </w:p>
    <w:p>
      <w:pPr>
        <w:spacing w:line="240" w:lineRule="auto"/>
        <w:rPr>
          <w:rFonts w:hint="default"/>
          <w:sz w:val="22"/>
          <w:szCs w:val="22"/>
          <w:lang w:val="en-AU"/>
        </w:rPr>
      </w:pPr>
      <w:r>
        <w:rPr>
          <w:rFonts w:hint="default"/>
          <w:sz w:val="22"/>
          <w:szCs w:val="22"/>
          <w:lang w:val="en-AU"/>
        </w:rPr>
        <w:t xml:space="preserve">Al-Ashqar, Umar Sulaiman. 1998. </w:t>
      </w:r>
      <w:r>
        <w:rPr>
          <w:rFonts w:hint="default"/>
          <w:i/>
          <w:iCs/>
          <w:sz w:val="22"/>
          <w:szCs w:val="22"/>
          <w:lang w:val="en-AU"/>
        </w:rPr>
        <w:t>The World of the Jinn and Devils</w:t>
      </w:r>
      <w:r>
        <w:rPr>
          <w:rFonts w:hint="default"/>
          <w:sz w:val="22"/>
          <w:szCs w:val="22"/>
          <w:lang w:val="en-AU"/>
        </w:rPr>
        <w:t>. Jordan: Al-Basheer Publications and Translations.</w:t>
      </w:r>
    </w:p>
    <w:p>
      <w:pPr>
        <w:spacing w:line="240" w:lineRule="auto"/>
        <w:jc w:val="left"/>
        <w:rPr>
          <w:rFonts w:hint="default" w:ascii="Calibri" w:hAnsi="Calibri" w:cs="Calibri"/>
          <w:sz w:val="22"/>
          <w:szCs w:val="22"/>
          <w:lang w:val="en-AU"/>
        </w:rPr>
      </w:pPr>
    </w:p>
    <w:p>
      <w:pPr>
        <w:spacing w:line="240" w:lineRule="auto"/>
        <w:jc w:val="left"/>
        <w:rPr>
          <w:rFonts w:hint="default" w:ascii="Calibri" w:hAnsi="Calibri" w:cs="Calibri"/>
          <w:sz w:val="22"/>
          <w:szCs w:val="22"/>
          <w:lang w:val="en-AU"/>
        </w:rPr>
      </w:pPr>
      <w:r>
        <w:rPr>
          <w:rFonts w:hint="default" w:ascii="Calibri" w:hAnsi="Calibri" w:cs="Calibri"/>
          <w:sz w:val="22"/>
          <w:szCs w:val="22"/>
        </w:rPr>
        <w:t>Antoniotto, A</w:t>
      </w:r>
      <w:r>
        <w:rPr>
          <w:rFonts w:hint="default" w:ascii="Calibri" w:hAnsi="Calibri" w:cs="Calibri"/>
          <w:sz w:val="22"/>
          <w:szCs w:val="22"/>
          <w:lang w:val="en-AU"/>
        </w:rPr>
        <w:t>lberto</w:t>
      </w:r>
      <w:r>
        <w:rPr>
          <w:rFonts w:hint="default" w:ascii="Calibri" w:hAnsi="Calibri" w:cs="Calibri"/>
          <w:sz w:val="22"/>
          <w:szCs w:val="22"/>
        </w:rPr>
        <w:t>. 1984. Traditional medicine in Somalia: an anthropological approach to the concepts concerning disease</w:t>
      </w:r>
      <w:r>
        <w:rPr>
          <w:rFonts w:hint="default" w:ascii="Calibri" w:hAnsi="Calibri" w:cs="Calibri"/>
          <w:sz w:val="22"/>
          <w:szCs w:val="22"/>
          <w:lang w:val="en-AU"/>
        </w:rPr>
        <w:t>. In</w:t>
      </w:r>
      <w:r>
        <w:rPr>
          <w:rFonts w:hint="default" w:ascii="Calibri" w:hAnsi="Calibri" w:cs="Calibri"/>
          <w:sz w:val="22"/>
          <w:szCs w:val="22"/>
        </w:rPr>
        <w:t xml:space="preserve"> Labahn, T. </w:t>
      </w:r>
      <w:r>
        <w:rPr>
          <w:rFonts w:hint="default" w:ascii="Calibri" w:hAnsi="Calibri" w:cs="Calibri"/>
          <w:sz w:val="22"/>
          <w:szCs w:val="22"/>
          <w:lang w:val="en-AU"/>
        </w:rPr>
        <w:t>(</w:t>
      </w:r>
      <w:r>
        <w:rPr>
          <w:rFonts w:hint="default" w:ascii="Calibri" w:hAnsi="Calibri" w:cs="Calibri"/>
          <w:sz w:val="22"/>
          <w:szCs w:val="22"/>
        </w:rPr>
        <w:t>ed.</w:t>
      </w:r>
      <w:r>
        <w:rPr>
          <w:rFonts w:hint="default" w:ascii="Calibri" w:hAnsi="Calibri" w:cs="Calibri"/>
          <w:sz w:val="22"/>
          <w:szCs w:val="22"/>
          <w:lang w:val="en-AU"/>
        </w:rPr>
        <w:t>),</w:t>
      </w:r>
      <w:r>
        <w:rPr>
          <w:rFonts w:hint="default" w:ascii="Calibri" w:hAnsi="Calibri" w:cs="Calibri"/>
          <w:sz w:val="22"/>
          <w:szCs w:val="22"/>
        </w:rPr>
        <w:t xml:space="preserve"> </w:t>
      </w:r>
      <w:r>
        <w:rPr>
          <w:rFonts w:hint="default" w:ascii="Calibri" w:hAnsi="Calibri" w:cs="Calibri"/>
          <w:i/>
          <w:iCs/>
          <w:sz w:val="22"/>
          <w:szCs w:val="22"/>
        </w:rPr>
        <w:t>Proceedings of 2nd International Congress of Somali Studies</w:t>
      </w:r>
      <w:r>
        <w:rPr>
          <w:rFonts w:hint="default" w:ascii="Calibri" w:hAnsi="Calibri" w:cs="Calibri"/>
          <w:sz w:val="22"/>
          <w:szCs w:val="22"/>
          <w:lang w:val="en-AU"/>
        </w:rPr>
        <w:t xml:space="preserve">. Hamburg, Germany: </w:t>
      </w:r>
      <w:r>
        <w:rPr>
          <w:rFonts w:hint="default" w:ascii="Calibri" w:hAnsi="Calibri" w:cs="Calibri"/>
          <w:sz w:val="22"/>
          <w:szCs w:val="22"/>
        </w:rPr>
        <w:t>Univ. of Hamburg Verlag</w:t>
      </w:r>
      <w:r>
        <w:rPr>
          <w:rFonts w:hint="default" w:ascii="Calibri" w:hAnsi="Calibri" w:cs="Calibri"/>
          <w:sz w:val="22"/>
          <w:szCs w:val="22"/>
          <w:lang w:val="en-AU"/>
        </w:rPr>
        <w:t>.</w:t>
      </w:r>
    </w:p>
    <w:p>
      <w:pPr>
        <w:spacing w:line="240" w:lineRule="auto"/>
        <w:jc w:val="left"/>
        <w:rPr>
          <w:rFonts w:hint="default" w:ascii="Calibri" w:hAnsi="Calibri" w:cs="Calibri"/>
          <w:sz w:val="22"/>
          <w:szCs w:val="22"/>
          <w:lang w:val="en-AU"/>
        </w:rPr>
      </w:pPr>
    </w:p>
    <w:p>
      <w:pPr>
        <w:spacing w:line="240" w:lineRule="auto"/>
        <w:jc w:val="left"/>
        <w:rPr>
          <w:rFonts w:hint="default" w:ascii="Calibri" w:hAnsi="Calibri" w:cs="Calibri"/>
          <w:sz w:val="22"/>
          <w:szCs w:val="22"/>
          <w:lang w:val="en-AU"/>
        </w:rPr>
      </w:pPr>
      <w:r>
        <w:rPr>
          <w:rFonts w:hint="default" w:ascii="Calibri" w:hAnsi="Calibri" w:cs="Calibri"/>
          <w:sz w:val="22"/>
          <w:szCs w:val="22"/>
          <w:lang w:val="en-AU"/>
        </w:rPr>
        <w:t xml:space="preserve">Ashforth, Adam. 2005. </w:t>
      </w:r>
      <w:r>
        <w:rPr>
          <w:rFonts w:hint="default" w:ascii="Calibri" w:hAnsi="Calibri" w:cs="Calibri"/>
          <w:i/>
          <w:iCs/>
          <w:sz w:val="22"/>
          <w:szCs w:val="22"/>
          <w:lang w:val="en-AU"/>
        </w:rPr>
        <w:t>Witchcraft, Violence and Democracy in South Africa</w:t>
      </w:r>
      <w:r>
        <w:rPr>
          <w:rFonts w:hint="default" w:ascii="Calibri" w:hAnsi="Calibri" w:cs="Calibri"/>
          <w:i w:val="0"/>
          <w:iCs w:val="0"/>
          <w:sz w:val="22"/>
          <w:szCs w:val="22"/>
          <w:lang w:val="en-AU"/>
        </w:rPr>
        <w:t>. Chicago: University of Chicago Press.</w:t>
      </w:r>
    </w:p>
    <w:p>
      <w:pPr>
        <w:spacing w:line="240" w:lineRule="auto"/>
        <w:jc w:val="left"/>
        <w:rPr>
          <w:rFonts w:hint="default" w:ascii="Calibri" w:hAnsi="Calibri" w:cs="Calibri"/>
          <w:sz w:val="22"/>
          <w:szCs w:val="22"/>
        </w:rPr>
      </w:pPr>
    </w:p>
    <w:p>
      <w:pPr>
        <w:spacing w:line="240" w:lineRule="auto"/>
        <w:jc w:val="left"/>
        <w:rPr>
          <w:rFonts w:hint="default" w:ascii="Calibri" w:hAnsi="Calibri" w:cs="Calibri"/>
          <w:sz w:val="22"/>
          <w:szCs w:val="22"/>
          <w:lang w:val="en-AU"/>
        </w:rPr>
      </w:pPr>
      <w:r>
        <w:rPr>
          <w:rFonts w:hint="default" w:ascii="Calibri" w:hAnsi="Calibri" w:cs="Calibri"/>
          <w:sz w:val="22"/>
          <w:szCs w:val="22"/>
          <w:lang w:val="en-AU"/>
        </w:rPr>
        <w:t xml:space="preserve">Boddy, Janice. 1989. </w:t>
      </w:r>
      <w:r>
        <w:rPr>
          <w:rFonts w:hint="default" w:ascii="Calibri" w:hAnsi="Calibri" w:cs="Calibri"/>
          <w:i/>
          <w:iCs/>
          <w:sz w:val="22"/>
          <w:szCs w:val="22"/>
          <w:lang w:val="en-AU"/>
        </w:rPr>
        <w:t>Wombs and Alien Spirits: Women, Men, and the Zar Cult in Northern Sudan</w:t>
      </w:r>
      <w:r>
        <w:rPr>
          <w:rFonts w:hint="default" w:ascii="Calibri" w:hAnsi="Calibri" w:cs="Calibri"/>
          <w:i w:val="0"/>
          <w:iCs w:val="0"/>
          <w:sz w:val="22"/>
          <w:szCs w:val="22"/>
          <w:lang w:val="en-AU"/>
        </w:rPr>
        <w:t>. Madison, Wisconsin: University of Wisconsin Press.</w:t>
      </w:r>
    </w:p>
    <w:p>
      <w:pPr>
        <w:spacing w:line="240" w:lineRule="auto"/>
        <w:jc w:val="left"/>
        <w:rPr>
          <w:rFonts w:hint="default" w:ascii="Calibri" w:hAnsi="Calibri" w:cs="Calibri"/>
          <w:sz w:val="22"/>
          <w:szCs w:val="22"/>
        </w:rPr>
      </w:pPr>
    </w:p>
    <w:p>
      <w:pPr>
        <w:spacing w:line="240" w:lineRule="auto"/>
        <w:jc w:val="left"/>
        <w:rPr>
          <w:rFonts w:hint="default" w:ascii="Calibri" w:hAnsi="Calibri" w:cs="Calibri"/>
          <w:sz w:val="22"/>
          <w:szCs w:val="22"/>
        </w:rPr>
      </w:pPr>
      <w:r>
        <w:rPr>
          <w:rFonts w:hint="default" w:ascii="Calibri" w:hAnsi="Calibri" w:cs="Calibri"/>
          <w:sz w:val="22"/>
          <w:szCs w:val="22"/>
        </w:rPr>
        <w:t xml:space="preserve">Boddy, Janice. 1994. Spirit Possession Revisited: Beyond Instrumentality. </w:t>
      </w:r>
      <w:r>
        <w:rPr>
          <w:rFonts w:hint="default" w:ascii="Calibri" w:hAnsi="Calibri" w:cs="Calibri"/>
          <w:i/>
          <w:sz w:val="22"/>
          <w:szCs w:val="22"/>
        </w:rPr>
        <w:t xml:space="preserve">Annual Review of Anthropology </w:t>
      </w:r>
      <w:r>
        <w:rPr>
          <w:rFonts w:hint="default" w:ascii="Calibri" w:hAnsi="Calibri" w:cs="Calibri"/>
          <w:sz w:val="22"/>
          <w:szCs w:val="22"/>
        </w:rPr>
        <w:t>23, pp. 407-434.</w:t>
      </w:r>
    </w:p>
    <w:p>
      <w:pPr>
        <w:spacing w:line="240" w:lineRule="auto"/>
        <w:jc w:val="left"/>
        <w:rPr>
          <w:rFonts w:hint="default" w:ascii="Calibri" w:hAnsi="Calibri" w:cs="Calibri"/>
          <w:sz w:val="22"/>
          <w:szCs w:val="22"/>
        </w:rPr>
      </w:pPr>
    </w:p>
    <w:p>
      <w:pPr>
        <w:spacing w:line="240" w:lineRule="auto"/>
        <w:rPr>
          <w:rFonts w:hint="default" w:ascii="Calibri" w:hAnsi="Calibri" w:cs="Calibri"/>
          <w:sz w:val="22"/>
          <w:szCs w:val="22"/>
        </w:rPr>
      </w:pPr>
      <w:r>
        <w:rPr>
          <w:rFonts w:hint="default" w:ascii="Calibri" w:hAnsi="Calibri" w:cs="Calibri"/>
          <w:sz w:val="22"/>
          <w:szCs w:val="22"/>
          <w:lang w:val="en-AU"/>
        </w:rPr>
        <w:t xml:space="preserve">Brother Rahman. 2014. </w:t>
      </w:r>
      <w:r>
        <w:rPr>
          <w:rFonts w:hint="default" w:ascii="Calibri" w:hAnsi="Calibri" w:cs="Calibri"/>
          <w:sz w:val="22"/>
          <w:szCs w:val="22"/>
        </w:rPr>
        <w:t>Classifications of Djinn, Types &amp; Categories of Jinn/Djin</w:t>
      </w:r>
      <w:r>
        <w:rPr>
          <w:rFonts w:hint="default" w:ascii="Calibri" w:hAnsi="Calibri" w:cs="Calibri"/>
          <w:sz w:val="22"/>
          <w:szCs w:val="22"/>
          <w:lang w:val="en-AU"/>
        </w:rPr>
        <w:t>n. http://www.brotherrahman.net/classifications-of-djinn-types-categories-of-jinn-djinn. Accessed on 9/6/2015.</w:t>
      </w:r>
    </w:p>
    <w:p>
      <w:pPr>
        <w:spacing w:line="240" w:lineRule="auto"/>
        <w:jc w:val="left"/>
        <w:rPr>
          <w:rFonts w:hint="default" w:ascii="Calibri" w:hAnsi="Calibri" w:cs="Calibri"/>
          <w:sz w:val="22"/>
          <w:szCs w:val="22"/>
        </w:rPr>
      </w:pPr>
    </w:p>
    <w:p>
      <w:pPr>
        <w:spacing w:line="240" w:lineRule="auto"/>
        <w:jc w:val="left"/>
        <w:rPr>
          <w:rFonts w:hint="default" w:ascii="Calibri" w:hAnsi="Calibri" w:cs="Calibri"/>
          <w:sz w:val="22"/>
          <w:szCs w:val="22"/>
        </w:rPr>
      </w:pPr>
      <w:r>
        <w:rPr>
          <w:rFonts w:hint="default" w:ascii="Calibri" w:hAnsi="Calibri" w:cs="Calibri"/>
          <w:sz w:val="22"/>
          <w:szCs w:val="22"/>
        </w:rPr>
        <w:t xml:space="preserve">Carroll, J. , Epstein, R., Fiscella, K., Volpe, E., Diaz, K., Omar, S. 2007. Knowledge and beliefs about health promotion and preventive health care among Somali women in the United States. </w:t>
      </w:r>
      <w:r>
        <w:rPr>
          <w:rFonts w:hint="default" w:ascii="Calibri" w:hAnsi="Calibri" w:cs="Calibri"/>
          <w:i/>
          <w:iCs/>
          <w:sz w:val="22"/>
          <w:szCs w:val="22"/>
        </w:rPr>
        <w:t>Health Care for Women International</w:t>
      </w:r>
      <w:r>
        <w:rPr>
          <w:rFonts w:hint="default" w:ascii="Calibri" w:hAnsi="Calibri" w:cs="Calibri"/>
          <w:sz w:val="22"/>
          <w:szCs w:val="22"/>
        </w:rPr>
        <w:t xml:space="preserve"> 28</w:t>
      </w:r>
      <w:r>
        <w:rPr>
          <w:rFonts w:hint="default" w:ascii="Calibri" w:hAnsi="Calibri" w:cs="Calibri"/>
          <w:sz w:val="22"/>
          <w:szCs w:val="22"/>
          <w:lang w:val="en-AU"/>
        </w:rPr>
        <w:t>.</w:t>
      </w:r>
      <w:r>
        <w:rPr>
          <w:rFonts w:hint="default" w:ascii="Calibri" w:hAnsi="Calibri" w:cs="Calibri"/>
          <w:sz w:val="22"/>
          <w:szCs w:val="22"/>
        </w:rPr>
        <w:t xml:space="preserve"> </w:t>
      </w:r>
    </w:p>
    <w:p>
      <w:pPr>
        <w:spacing w:line="240" w:lineRule="auto"/>
        <w:jc w:val="left"/>
        <w:rPr>
          <w:rFonts w:hint="default" w:ascii="Calibri" w:hAnsi="Calibri" w:cs="Calibri"/>
          <w:sz w:val="22"/>
          <w:szCs w:val="22"/>
          <w:lang w:val="en-AU"/>
        </w:rPr>
      </w:pPr>
    </w:p>
    <w:p>
      <w:pPr>
        <w:spacing w:line="240" w:lineRule="auto"/>
        <w:jc w:val="left"/>
        <w:rPr>
          <w:rFonts w:hint="default" w:ascii="Calibri" w:hAnsi="Calibri" w:cs="Calibri"/>
          <w:sz w:val="22"/>
          <w:szCs w:val="22"/>
          <w:lang w:val="en-AU"/>
        </w:rPr>
      </w:pPr>
      <w:r>
        <w:rPr>
          <w:rFonts w:hint="default" w:ascii="Calibri" w:hAnsi="Calibri" w:cs="Calibri"/>
          <w:sz w:val="22"/>
          <w:szCs w:val="22"/>
          <w:lang w:val="en-AU"/>
        </w:rPr>
        <w:t xml:space="preserve">Carroll, Jennifer K. 2004. Murug, Waali, and Gini: Expressions of Distress in Refugees from Somalia. </w:t>
      </w:r>
      <w:r>
        <w:rPr>
          <w:rFonts w:hint="default" w:ascii="Calibri" w:hAnsi="Calibri" w:cs="Calibri"/>
          <w:i/>
          <w:iCs/>
          <w:sz w:val="22"/>
          <w:szCs w:val="22"/>
        </w:rPr>
        <w:t>Prim Care Companion J Clin Psychiatry</w:t>
      </w:r>
      <w:r>
        <w:rPr>
          <w:rFonts w:hint="default" w:ascii="Calibri" w:hAnsi="Calibri" w:cs="Calibri"/>
          <w:sz w:val="22"/>
          <w:szCs w:val="22"/>
        </w:rPr>
        <w:t xml:space="preserve"> 6</w:t>
      </w:r>
      <w:r>
        <w:rPr>
          <w:rFonts w:hint="default" w:ascii="Calibri" w:hAnsi="Calibri" w:cs="Calibri"/>
          <w:sz w:val="22"/>
          <w:szCs w:val="22"/>
          <w:lang w:val="en-AU"/>
        </w:rPr>
        <w:t>: 3.</w:t>
      </w:r>
    </w:p>
    <w:p>
      <w:pPr>
        <w:spacing w:line="240" w:lineRule="auto"/>
        <w:jc w:val="left"/>
        <w:rPr>
          <w:rFonts w:hint="default" w:ascii="Calibri" w:hAnsi="Calibri" w:cs="Calibri"/>
          <w:sz w:val="22"/>
          <w:szCs w:val="22"/>
          <w:lang w:val="en-AU"/>
        </w:rPr>
      </w:pPr>
    </w:p>
    <w:p>
      <w:pPr>
        <w:spacing w:line="240" w:lineRule="auto"/>
        <w:jc w:val="left"/>
        <w:rPr>
          <w:rFonts w:hint="default" w:ascii="Calibri" w:hAnsi="Calibri" w:cs="Calibri"/>
          <w:sz w:val="22"/>
          <w:szCs w:val="22"/>
          <w:lang w:val="en-AU"/>
        </w:rPr>
      </w:pPr>
      <w:r>
        <w:rPr>
          <w:rFonts w:hint="default" w:ascii="Calibri" w:hAnsi="Calibri" w:cs="Calibri"/>
          <w:sz w:val="22"/>
          <w:szCs w:val="22"/>
          <w:lang w:val="en-AU"/>
        </w:rPr>
        <w:t xml:space="preserve">Crapanzano, Vincent. 1980. </w:t>
      </w:r>
      <w:r>
        <w:rPr>
          <w:rFonts w:hint="default" w:ascii="Calibri" w:hAnsi="Calibri" w:cs="Calibri"/>
          <w:i/>
          <w:iCs/>
          <w:sz w:val="22"/>
          <w:szCs w:val="22"/>
          <w:lang w:val="en-AU"/>
        </w:rPr>
        <w:t>Tuhami - Portrait of a Moroccan</w:t>
      </w:r>
      <w:r>
        <w:rPr>
          <w:rFonts w:hint="default" w:ascii="Calibri" w:hAnsi="Calibri" w:cs="Calibri"/>
          <w:i w:val="0"/>
          <w:iCs w:val="0"/>
          <w:sz w:val="22"/>
          <w:szCs w:val="22"/>
          <w:lang w:val="en-AU"/>
        </w:rPr>
        <w:t>. Chicago: University of Chicago Press.</w:t>
      </w:r>
    </w:p>
    <w:p>
      <w:pPr>
        <w:spacing w:line="240" w:lineRule="auto"/>
        <w:rPr>
          <w:rFonts w:hint="default"/>
          <w:sz w:val="22"/>
          <w:szCs w:val="22"/>
          <w:lang w:val="en-AU"/>
        </w:rPr>
      </w:pPr>
    </w:p>
    <w:p>
      <w:pPr>
        <w:spacing w:line="240" w:lineRule="auto"/>
        <w:rPr>
          <w:rFonts w:hint="default"/>
          <w:sz w:val="22"/>
          <w:szCs w:val="22"/>
          <w:lang w:val="en-AU"/>
        </w:rPr>
      </w:pPr>
      <w:r>
        <w:rPr>
          <w:rFonts w:hint="default"/>
          <w:sz w:val="22"/>
          <w:szCs w:val="22"/>
        </w:rPr>
        <w:t xml:space="preserve">Giles, </w:t>
      </w:r>
      <w:r>
        <w:rPr>
          <w:rFonts w:hint="default"/>
          <w:sz w:val="22"/>
          <w:szCs w:val="22"/>
          <w:lang w:val="en-AU"/>
        </w:rPr>
        <w:t xml:space="preserve">Linda L. 1995. </w:t>
      </w:r>
      <w:r>
        <w:rPr>
          <w:rFonts w:hint="default"/>
          <w:sz w:val="22"/>
          <w:szCs w:val="22"/>
        </w:rPr>
        <w:t>Sociocultural Change and Spirit Possession on the Swahili Coast of East Africa</w:t>
      </w:r>
      <w:r>
        <w:rPr>
          <w:rFonts w:hint="default"/>
          <w:sz w:val="22"/>
          <w:szCs w:val="22"/>
          <w:lang w:val="en-AU"/>
        </w:rPr>
        <w:t xml:space="preserve">. </w:t>
      </w:r>
      <w:r>
        <w:rPr>
          <w:i/>
          <w:iCs/>
          <w:sz w:val="22"/>
          <w:szCs w:val="22"/>
        </w:rPr>
        <w:t>Anthropological Quarterly</w:t>
      </w:r>
      <w:r>
        <w:rPr>
          <w:sz w:val="22"/>
          <w:szCs w:val="22"/>
        </w:rPr>
        <w:t xml:space="preserve"> 68</w:t>
      </w:r>
      <w:r>
        <w:rPr>
          <w:sz w:val="22"/>
          <w:szCs w:val="22"/>
          <w:lang w:val="en-AU"/>
        </w:rPr>
        <w:t>:</w:t>
      </w:r>
      <w:r>
        <w:rPr>
          <w:sz w:val="22"/>
          <w:szCs w:val="22"/>
        </w:rPr>
        <w:t xml:space="preserve"> 2</w:t>
      </w:r>
      <w:r>
        <w:rPr>
          <w:sz w:val="22"/>
          <w:szCs w:val="22"/>
          <w:lang w:val="en-AU"/>
        </w:rPr>
        <w:t>.</w:t>
      </w:r>
    </w:p>
    <w:p>
      <w:pPr>
        <w:spacing w:line="240" w:lineRule="auto"/>
        <w:rPr>
          <w:rFonts w:hint="default"/>
          <w:sz w:val="22"/>
          <w:szCs w:val="22"/>
        </w:rPr>
      </w:pPr>
    </w:p>
    <w:p>
      <w:pPr>
        <w:spacing w:line="240" w:lineRule="auto"/>
        <w:rPr>
          <w:rFonts w:hint="default" w:ascii="Calibri" w:hAnsi="Calibri" w:cs="Calibri"/>
          <w:sz w:val="22"/>
          <w:szCs w:val="22"/>
          <w:lang w:val="en-GB"/>
        </w:rPr>
      </w:pPr>
      <w:r>
        <w:rPr>
          <w:rFonts w:hint="default" w:ascii="Calibri" w:hAnsi="Calibri" w:cs="Calibri"/>
          <w:sz w:val="22"/>
          <w:szCs w:val="22"/>
          <w:lang w:val="en-GB"/>
        </w:rPr>
        <w:t xml:space="preserve">Hoehne, M. V. and Luling V. 2010. Introduction: Lewis and the Remaining Challenges in Somali Studies. In Hoehne, M. V. and Luling V. (eds), </w:t>
      </w:r>
      <w:r>
        <w:rPr>
          <w:rFonts w:hint="default" w:ascii="Calibri" w:hAnsi="Calibri" w:cs="Calibri"/>
          <w:i/>
          <w:iCs/>
          <w:sz w:val="22"/>
          <w:szCs w:val="22"/>
          <w:lang w:val="en-GB"/>
        </w:rPr>
        <w:t>Milk and Peace, Drought and War</w:t>
      </w:r>
      <w:r>
        <w:rPr>
          <w:rFonts w:hint="default" w:ascii="Calibri" w:hAnsi="Calibri" w:cs="Calibri"/>
          <w:sz w:val="22"/>
          <w:szCs w:val="22"/>
          <w:lang w:val="en-GB"/>
        </w:rPr>
        <w:t>, London: Hurst and Co, pp. 1-16.</w:t>
      </w:r>
    </w:p>
    <w:p>
      <w:pPr>
        <w:spacing w:line="240" w:lineRule="auto"/>
        <w:rPr>
          <w:rFonts w:hint="default" w:ascii="Calibri" w:hAnsi="Calibri" w:cs="Calibri"/>
          <w:sz w:val="22"/>
          <w:szCs w:val="22"/>
          <w:lang w:val="en-GB"/>
        </w:rPr>
      </w:pPr>
    </w:p>
    <w:p>
      <w:pPr>
        <w:spacing w:line="240" w:lineRule="auto"/>
        <w:rPr>
          <w:rFonts w:hint="default"/>
          <w:sz w:val="22"/>
          <w:szCs w:val="22"/>
          <w:lang w:val="en-AU"/>
        </w:rPr>
      </w:pPr>
      <w:r>
        <w:rPr>
          <w:rFonts w:hint="default"/>
          <w:sz w:val="22"/>
          <w:szCs w:val="22"/>
          <w:lang w:val="en-AU"/>
        </w:rPr>
        <w:t xml:space="preserve">Hulusi, Ahmed. 2006. </w:t>
      </w:r>
      <w:r>
        <w:rPr>
          <w:rFonts w:hint="default"/>
          <w:i/>
          <w:iCs/>
          <w:sz w:val="22"/>
          <w:szCs w:val="22"/>
          <w:lang w:val="en-AU"/>
        </w:rPr>
        <w:t>Spirit Man Jinn</w:t>
      </w:r>
      <w:r>
        <w:rPr>
          <w:rFonts w:hint="default"/>
          <w:sz w:val="22"/>
          <w:szCs w:val="22"/>
          <w:lang w:val="en-AU"/>
        </w:rPr>
        <w:t>. Istanbul, Turkey: Kitsan.</w:t>
      </w:r>
    </w:p>
    <w:p>
      <w:pPr>
        <w:spacing w:line="240" w:lineRule="auto"/>
        <w:jc w:val="left"/>
        <w:rPr>
          <w:rFonts w:hint="default" w:ascii="Calibri" w:hAnsi="Calibri" w:cs="Calibri"/>
          <w:sz w:val="22"/>
          <w:szCs w:val="22"/>
        </w:rPr>
      </w:pPr>
    </w:p>
    <w:p>
      <w:pPr>
        <w:spacing w:line="240" w:lineRule="auto"/>
        <w:rPr>
          <w:rFonts w:hint="default"/>
          <w:sz w:val="22"/>
          <w:szCs w:val="22"/>
          <w:lang w:val="en-AU"/>
        </w:rPr>
      </w:pPr>
      <w:r>
        <w:rPr>
          <w:rFonts w:hint="default"/>
          <w:sz w:val="22"/>
          <w:szCs w:val="22"/>
          <w:lang w:val="en-AU"/>
        </w:rPr>
        <w:t xml:space="preserve">Ibn Ibraheem Ameen, Abu’l-Mundhir Khaleel. 2005. </w:t>
      </w:r>
      <w:r>
        <w:rPr>
          <w:rFonts w:hint="default"/>
          <w:i/>
          <w:iCs/>
          <w:sz w:val="22"/>
          <w:szCs w:val="22"/>
          <w:lang w:val="en-AU"/>
        </w:rPr>
        <w:t>The Jinn &amp; Human Sickness: Remedies in Light of the Qur’aan and Sunnah</w:t>
      </w:r>
      <w:r>
        <w:rPr>
          <w:rFonts w:hint="default"/>
          <w:sz w:val="22"/>
          <w:szCs w:val="22"/>
          <w:lang w:val="en-AU"/>
        </w:rPr>
        <w:t xml:space="preserve">. Riyadh, Saudi Arabia: Darussalam. </w:t>
      </w:r>
    </w:p>
    <w:p>
      <w:pPr>
        <w:spacing w:line="240" w:lineRule="auto"/>
        <w:jc w:val="left"/>
        <w:rPr>
          <w:rFonts w:hint="default" w:ascii="Calibri" w:hAnsi="Calibri" w:cs="Calibri"/>
          <w:sz w:val="22"/>
          <w:szCs w:val="22"/>
        </w:rPr>
      </w:pPr>
    </w:p>
    <w:p>
      <w:pPr>
        <w:spacing w:line="240" w:lineRule="auto"/>
        <w:jc w:val="left"/>
        <w:rPr>
          <w:rFonts w:hint="default" w:ascii="Calibri" w:hAnsi="Calibri" w:cs="Calibri"/>
          <w:sz w:val="22"/>
          <w:szCs w:val="22"/>
          <w:lang w:val="en-AU"/>
        </w:rPr>
      </w:pPr>
      <w:r>
        <w:rPr>
          <w:rFonts w:hint="default" w:ascii="Calibri" w:hAnsi="Calibri" w:cs="Calibri"/>
          <w:sz w:val="22"/>
          <w:szCs w:val="22"/>
        </w:rPr>
        <w:t>Johnsdotter</w:t>
      </w:r>
      <w:r>
        <w:rPr>
          <w:rFonts w:hint="default" w:ascii="Calibri" w:hAnsi="Calibri" w:cs="Calibri"/>
          <w:sz w:val="22"/>
          <w:szCs w:val="22"/>
          <w:lang w:val="en-AU"/>
        </w:rPr>
        <w:t>, Sara</w:t>
      </w:r>
      <w:r>
        <w:rPr>
          <w:rFonts w:hint="default" w:ascii="Calibri" w:hAnsi="Calibri" w:cs="Calibri"/>
          <w:sz w:val="22"/>
          <w:szCs w:val="22"/>
        </w:rPr>
        <w:t>, Karin Ingvarsdotter, Margareta Ostman and Aje Carlbom</w:t>
      </w:r>
      <w:r>
        <w:rPr>
          <w:rFonts w:hint="default" w:ascii="Calibri" w:hAnsi="Calibri" w:cs="Calibri"/>
          <w:sz w:val="22"/>
          <w:szCs w:val="22"/>
          <w:lang w:val="en-AU"/>
        </w:rPr>
        <w:t xml:space="preserve">. 2011. </w:t>
      </w:r>
      <w:r>
        <w:rPr>
          <w:rFonts w:hint="default" w:ascii="Calibri" w:hAnsi="Calibri" w:cs="Calibri"/>
          <w:sz w:val="22"/>
          <w:szCs w:val="22"/>
        </w:rPr>
        <w:t>Koran reading and negotiation with jinn: strategies to deal with mental</w:t>
      </w:r>
      <w:r>
        <w:rPr>
          <w:rFonts w:hint="default" w:ascii="Calibri" w:hAnsi="Calibri" w:cs="Calibri"/>
          <w:sz w:val="22"/>
          <w:szCs w:val="22"/>
          <w:lang w:val="en-AU"/>
        </w:rPr>
        <w:t xml:space="preserve"> </w:t>
      </w:r>
      <w:r>
        <w:rPr>
          <w:rFonts w:hint="default" w:ascii="Calibri" w:hAnsi="Calibri" w:cs="Calibri"/>
          <w:sz w:val="22"/>
          <w:szCs w:val="22"/>
        </w:rPr>
        <w:t>ill health among Swedish Somalis</w:t>
      </w:r>
      <w:r>
        <w:rPr>
          <w:rFonts w:hint="default" w:ascii="Calibri" w:hAnsi="Calibri" w:cs="Calibri"/>
          <w:sz w:val="22"/>
          <w:szCs w:val="22"/>
          <w:lang w:val="en-AU"/>
        </w:rPr>
        <w:t xml:space="preserve">. </w:t>
      </w:r>
      <w:r>
        <w:rPr>
          <w:rFonts w:hint="default" w:ascii="Calibri" w:hAnsi="Calibri" w:cs="Calibri"/>
          <w:i/>
          <w:iCs/>
          <w:sz w:val="22"/>
          <w:szCs w:val="22"/>
        </w:rPr>
        <w:t>Mental Health, Religion &amp; Culture</w:t>
      </w:r>
      <w:r>
        <w:rPr>
          <w:rFonts w:hint="default" w:ascii="Calibri" w:hAnsi="Calibri" w:cs="Calibri"/>
          <w:i/>
          <w:iCs/>
          <w:sz w:val="22"/>
          <w:szCs w:val="22"/>
          <w:lang w:val="en-AU"/>
        </w:rPr>
        <w:t xml:space="preserve"> </w:t>
      </w:r>
      <w:r>
        <w:rPr>
          <w:rFonts w:hint="default" w:ascii="Calibri" w:hAnsi="Calibri" w:cs="Calibri"/>
          <w:sz w:val="22"/>
          <w:szCs w:val="22"/>
          <w:lang w:val="en-AU"/>
        </w:rPr>
        <w:t>14:8.</w:t>
      </w:r>
    </w:p>
    <w:p>
      <w:pPr>
        <w:spacing w:line="240" w:lineRule="auto"/>
        <w:jc w:val="left"/>
        <w:rPr>
          <w:rFonts w:hint="default" w:ascii="Calibri" w:hAnsi="Calibri" w:cs="Calibri"/>
          <w:sz w:val="22"/>
          <w:szCs w:val="22"/>
          <w:lang w:val="en-AU"/>
        </w:rPr>
      </w:pPr>
    </w:p>
    <w:p>
      <w:pPr>
        <w:spacing w:line="240" w:lineRule="auto"/>
        <w:jc w:val="left"/>
        <w:rPr>
          <w:rFonts w:hint="default" w:ascii="Calibri" w:hAnsi="Calibri" w:cs="Calibri"/>
          <w:sz w:val="22"/>
          <w:szCs w:val="22"/>
          <w:lang w:val="en-AU"/>
        </w:rPr>
      </w:pPr>
      <w:r>
        <w:rPr>
          <w:rFonts w:hint="default" w:ascii="Calibri" w:hAnsi="Calibri" w:cs="Calibri"/>
          <w:sz w:val="22"/>
          <w:szCs w:val="22"/>
          <w:lang w:val="en-AU"/>
        </w:rPr>
        <w:t xml:space="preserve">Lewis, I.M. 1966. Spirit Possession and Deprivation Cults. </w:t>
      </w:r>
      <w:r>
        <w:rPr>
          <w:rFonts w:hint="default" w:ascii="Calibri" w:hAnsi="Calibri" w:cs="Calibri"/>
          <w:i/>
          <w:iCs/>
          <w:sz w:val="22"/>
          <w:szCs w:val="22"/>
          <w:lang w:val="en-AU"/>
        </w:rPr>
        <w:t xml:space="preserve">Man </w:t>
      </w:r>
      <w:r>
        <w:rPr>
          <w:rFonts w:hint="default" w:ascii="Calibri" w:hAnsi="Calibri" w:cs="Calibri"/>
          <w:sz w:val="22"/>
          <w:szCs w:val="22"/>
          <w:lang w:val="en-AU"/>
        </w:rPr>
        <w:t>1:3.</w:t>
      </w:r>
    </w:p>
    <w:p>
      <w:pPr>
        <w:spacing w:line="240" w:lineRule="auto"/>
        <w:jc w:val="left"/>
        <w:rPr>
          <w:rFonts w:hint="default" w:ascii="Calibri" w:hAnsi="Calibri" w:cs="Calibri"/>
          <w:sz w:val="22"/>
          <w:szCs w:val="22"/>
          <w:lang w:val="en-AU"/>
        </w:rPr>
      </w:pPr>
    </w:p>
    <w:p>
      <w:pPr>
        <w:spacing w:line="240" w:lineRule="auto"/>
        <w:jc w:val="left"/>
        <w:rPr>
          <w:rFonts w:hint="default" w:ascii="Calibri" w:hAnsi="Calibri" w:cs="Calibri"/>
          <w:sz w:val="22"/>
          <w:szCs w:val="22"/>
        </w:rPr>
      </w:pPr>
      <w:r>
        <w:rPr>
          <w:rFonts w:hint="default" w:ascii="Calibri" w:hAnsi="Calibri" w:cs="Calibri"/>
          <w:sz w:val="22"/>
          <w:szCs w:val="22"/>
        </w:rPr>
        <w:t xml:space="preserve">Lewis, I.M. 2003. </w:t>
      </w:r>
      <w:r>
        <w:rPr>
          <w:rFonts w:hint="default" w:ascii="Calibri" w:hAnsi="Calibri" w:cs="Calibri"/>
          <w:i/>
          <w:sz w:val="22"/>
          <w:szCs w:val="22"/>
        </w:rPr>
        <w:t>Ecstatic Religion: A Study of Shamanism and Spirit Possession</w:t>
      </w:r>
      <w:r>
        <w:rPr>
          <w:rFonts w:hint="default" w:ascii="Calibri" w:hAnsi="Calibri" w:cs="Calibri"/>
          <w:sz w:val="22"/>
          <w:szCs w:val="22"/>
        </w:rPr>
        <w:t>. New York: Routeledge.</w:t>
      </w:r>
    </w:p>
    <w:p>
      <w:pPr>
        <w:spacing w:line="240" w:lineRule="auto"/>
        <w:jc w:val="left"/>
        <w:rPr>
          <w:rFonts w:hint="default" w:ascii="Calibri" w:hAnsi="Calibri" w:cs="Calibri"/>
          <w:sz w:val="22"/>
          <w:szCs w:val="22"/>
        </w:rPr>
      </w:pPr>
    </w:p>
    <w:p>
      <w:pPr>
        <w:spacing w:line="240" w:lineRule="auto"/>
        <w:jc w:val="left"/>
        <w:rPr>
          <w:rFonts w:hint="default" w:ascii="Calibri" w:hAnsi="Calibri" w:cs="Calibri"/>
          <w:sz w:val="22"/>
          <w:szCs w:val="22"/>
          <w:lang w:val="en-AU"/>
        </w:rPr>
      </w:pPr>
      <w:r>
        <w:rPr>
          <w:rFonts w:hint="default" w:ascii="Calibri" w:hAnsi="Calibri" w:cs="Calibri"/>
          <w:sz w:val="22"/>
          <w:szCs w:val="22"/>
          <w:lang w:val="en-AU"/>
        </w:rPr>
        <w:t xml:space="preserve">Molsa, Mulki Elmi; Hjelde, Karin Harslof; Tiilikainen, Marja. 2010. </w:t>
      </w:r>
      <w:r>
        <w:rPr>
          <w:rFonts w:hint="default" w:ascii="Calibri" w:hAnsi="Calibri" w:cs="Calibri"/>
          <w:sz w:val="22"/>
          <w:szCs w:val="22"/>
        </w:rPr>
        <w:t>Changing Conceptions of Mental Distress</w:t>
      </w:r>
      <w:r>
        <w:rPr>
          <w:rFonts w:hint="default" w:ascii="Calibri" w:hAnsi="Calibri" w:cs="Calibri"/>
          <w:sz w:val="22"/>
          <w:szCs w:val="22"/>
          <w:lang w:val="en-AU"/>
        </w:rPr>
        <w:t xml:space="preserve"> </w:t>
      </w:r>
      <w:r>
        <w:rPr>
          <w:rFonts w:hint="default" w:ascii="Calibri" w:hAnsi="Calibri" w:cs="Calibri"/>
          <w:sz w:val="22"/>
          <w:szCs w:val="22"/>
        </w:rPr>
        <w:t>Among Somalis in Finland</w:t>
      </w:r>
      <w:r>
        <w:rPr>
          <w:rFonts w:hint="default" w:ascii="Calibri" w:hAnsi="Calibri" w:cs="Calibri"/>
          <w:sz w:val="22"/>
          <w:szCs w:val="22"/>
          <w:lang w:val="en-AU"/>
        </w:rPr>
        <w:t xml:space="preserve">. </w:t>
      </w:r>
      <w:r>
        <w:rPr>
          <w:rFonts w:hint="default" w:ascii="Calibri" w:hAnsi="Calibri" w:cs="Calibri"/>
          <w:i/>
          <w:iCs/>
          <w:sz w:val="22"/>
          <w:szCs w:val="22"/>
        </w:rPr>
        <w:t>Transcultural Psychiatry</w:t>
      </w:r>
      <w:r>
        <w:rPr>
          <w:rFonts w:hint="default" w:ascii="Calibri" w:hAnsi="Calibri" w:cs="Calibri"/>
          <w:sz w:val="22"/>
          <w:szCs w:val="22"/>
        </w:rPr>
        <w:t xml:space="preserve"> 47</w:t>
      </w:r>
      <w:r>
        <w:rPr>
          <w:rFonts w:hint="default" w:ascii="Calibri" w:hAnsi="Calibri" w:cs="Calibri"/>
          <w:sz w:val="22"/>
          <w:szCs w:val="22"/>
          <w:lang w:val="en-AU"/>
        </w:rPr>
        <w:t>:2.</w:t>
      </w:r>
    </w:p>
    <w:p>
      <w:pPr>
        <w:spacing w:line="240" w:lineRule="auto"/>
        <w:jc w:val="left"/>
        <w:rPr>
          <w:rFonts w:hint="default" w:ascii="Calibri" w:hAnsi="Calibri" w:cs="Calibri"/>
          <w:sz w:val="22"/>
          <w:szCs w:val="22"/>
          <w:lang w:val="en-AU"/>
        </w:rPr>
      </w:pPr>
    </w:p>
    <w:p>
      <w:pPr>
        <w:widowControl/>
        <w:spacing w:line="240" w:lineRule="auto"/>
        <w:jc w:val="left"/>
        <w:rPr>
          <w:rFonts w:hint="default" w:ascii="Calibri" w:hAnsi="Calibri" w:eastAsia="Times New Roman" w:cs="Calibri"/>
          <w:kern w:val="0"/>
          <w:sz w:val="22"/>
          <w:szCs w:val="22"/>
          <w:lang w:val="en-AU" w:eastAsia="en-AU"/>
        </w:rPr>
      </w:pPr>
      <w:r>
        <w:rPr>
          <w:rFonts w:hint="default" w:ascii="Calibri" w:hAnsi="Calibri" w:eastAsia="Times New Roman" w:cs="Calibri"/>
          <w:kern w:val="0"/>
          <w:sz w:val="22"/>
          <w:szCs w:val="22"/>
          <w:lang w:val="en-AU" w:eastAsia="en-AU"/>
        </w:rPr>
        <w:t xml:space="preserve">Pedersen, Morten Axel. 2011. </w:t>
      </w:r>
      <w:r>
        <w:rPr>
          <w:rFonts w:hint="default" w:ascii="Calibri" w:hAnsi="Calibri" w:eastAsia="Times New Roman" w:cs="Calibri"/>
          <w:i/>
          <w:kern w:val="0"/>
          <w:sz w:val="22"/>
          <w:szCs w:val="22"/>
          <w:lang w:val="en-AU" w:eastAsia="en-AU"/>
        </w:rPr>
        <w:t>Not Quite Shamans: Spirit Worlds and Political Lives in Northern Mongolia</w:t>
      </w:r>
      <w:r>
        <w:rPr>
          <w:rFonts w:hint="default" w:ascii="Calibri" w:hAnsi="Calibri" w:eastAsia="Times New Roman" w:cs="Calibri"/>
          <w:kern w:val="0"/>
          <w:sz w:val="22"/>
          <w:szCs w:val="22"/>
          <w:lang w:val="en-AU" w:eastAsia="en-AU"/>
        </w:rPr>
        <w:t>. Cornell University Press. Kindle Edition.</w:t>
      </w:r>
    </w:p>
    <w:p>
      <w:pPr>
        <w:spacing w:line="240" w:lineRule="auto"/>
        <w:rPr>
          <w:rFonts w:hint="default" w:ascii="Calibri" w:hAnsi="Calibri" w:cs="Calibri"/>
          <w:sz w:val="22"/>
          <w:szCs w:val="22"/>
          <w:lang w:val="en-AU"/>
        </w:rPr>
      </w:pPr>
    </w:p>
    <w:p>
      <w:pPr>
        <w:spacing w:line="240" w:lineRule="auto"/>
        <w:rPr>
          <w:rFonts w:hint="default" w:ascii="Calibri" w:hAnsi="Calibri" w:cs="Calibri"/>
          <w:sz w:val="22"/>
          <w:szCs w:val="22"/>
          <w:lang w:val="en-AU"/>
        </w:rPr>
      </w:pPr>
      <w:r>
        <w:rPr>
          <w:rFonts w:hint="default" w:ascii="Calibri" w:hAnsi="Calibri" w:cs="Calibri"/>
          <w:sz w:val="22"/>
          <w:szCs w:val="22"/>
          <w:lang w:val="en-AU"/>
        </w:rPr>
        <w:t>Perman, Tony. 2011. “</w:t>
      </w:r>
      <w:r>
        <w:rPr>
          <w:rFonts w:hint="default" w:ascii="Calibri" w:hAnsi="Calibri" w:cs="Calibri"/>
          <w:sz w:val="22"/>
          <w:szCs w:val="22"/>
        </w:rPr>
        <w:t>Awakening Spirits: The Ontology of Spirit,</w:t>
      </w:r>
      <w:r>
        <w:rPr>
          <w:rFonts w:hint="default" w:ascii="Calibri" w:hAnsi="Calibri" w:cs="Calibri"/>
          <w:sz w:val="22"/>
          <w:szCs w:val="22"/>
          <w:lang w:val="en-AU"/>
        </w:rPr>
        <w:t xml:space="preserve"> </w:t>
      </w:r>
      <w:r>
        <w:rPr>
          <w:rFonts w:hint="default" w:ascii="Calibri" w:hAnsi="Calibri" w:cs="Calibri"/>
          <w:sz w:val="22"/>
          <w:szCs w:val="22"/>
        </w:rPr>
        <w:t>Self, and Society in Ndau Spirit Possession</w:t>
      </w:r>
      <w:r>
        <w:rPr>
          <w:rFonts w:hint="default" w:ascii="Calibri" w:hAnsi="Calibri" w:cs="Calibri"/>
          <w:sz w:val="22"/>
          <w:szCs w:val="22"/>
          <w:lang w:val="en-AU"/>
        </w:rPr>
        <w:t xml:space="preserve"> </w:t>
      </w:r>
      <w:r>
        <w:rPr>
          <w:rFonts w:hint="default" w:ascii="Calibri" w:hAnsi="Calibri" w:cs="Calibri"/>
          <w:sz w:val="22"/>
          <w:szCs w:val="22"/>
        </w:rPr>
        <w:t>Practices in Zimbabwe</w:t>
      </w:r>
      <w:r>
        <w:rPr>
          <w:rFonts w:hint="default" w:ascii="Calibri" w:hAnsi="Calibri" w:cs="Calibri"/>
          <w:sz w:val="22"/>
          <w:szCs w:val="22"/>
          <w:lang w:val="en-AU"/>
        </w:rPr>
        <w:t xml:space="preserve">.” </w:t>
      </w:r>
      <w:r>
        <w:rPr>
          <w:rFonts w:hint="default" w:ascii="Calibri" w:hAnsi="Calibri" w:cs="Calibri"/>
          <w:i/>
          <w:iCs/>
          <w:sz w:val="22"/>
          <w:szCs w:val="22"/>
        </w:rPr>
        <w:t>Journal of Religion in Africa</w:t>
      </w:r>
      <w:r>
        <w:rPr>
          <w:rFonts w:hint="default" w:ascii="Calibri" w:hAnsi="Calibri" w:cs="Calibri"/>
          <w:sz w:val="22"/>
          <w:szCs w:val="22"/>
        </w:rPr>
        <w:t xml:space="preserve"> 41</w:t>
      </w:r>
      <w:r>
        <w:rPr>
          <w:rFonts w:hint="default" w:ascii="Calibri" w:hAnsi="Calibri" w:cs="Calibri"/>
          <w:sz w:val="22"/>
          <w:szCs w:val="22"/>
          <w:lang w:val="en-AU"/>
        </w:rPr>
        <w:t>.</w:t>
      </w:r>
    </w:p>
    <w:p>
      <w:pPr>
        <w:spacing w:line="240" w:lineRule="auto"/>
        <w:jc w:val="left"/>
        <w:rPr>
          <w:rFonts w:hint="default" w:ascii="Calibri" w:hAnsi="Calibri" w:cs="Calibri"/>
          <w:sz w:val="22"/>
          <w:szCs w:val="22"/>
        </w:rPr>
      </w:pPr>
    </w:p>
    <w:p>
      <w:pPr>
        <w:pStyle w:val="9"/>
        <w:spacing w:line="240" w:lineRule="auto"/>
        <w:rPr>
          <w:rFonts w:hint="default" w:ascii="Calibri" w:hAnsi="Calibri" w:cs="Calibri"/>
          <w:sz w:val="22"/>
          <w:szCs w:val="22"/>
          <w:lang w:val="en-GB"/>
        </w:rPr>
      </w:pPr>
      <w:r>
        <w:rPr>
          <w:rFonts w:hint="default" w:ascii="Calibri" w:hAnsi="Calibri" w:cs="Calibri"/>
          <w:sz w:val="22"/>
          <w:szCs w:val="22"/>
          <w:lang w:val="en-GB"/>
        </w:rPr>
        <w:t xml:space="preserve">Ram, Kalpana. 2013. </w:t>
      </w:r>
      <w:r>
        <w:rPr>
          <w:rFonts w:hint="default" w:ascii="Calibri" w:hAnsi="Calibri" w:cs="Calibri"/>
          <w:i/>
          <w:sz w:val="22"/>
          <w:szCs w:val="22"/>
          <w:lang w:val="en-GB"/>
        </w:rPr>
        <w:t>Fertile Disorder: Spirit Possession and Its Provocation of the Modern</w:t>
      </w:r>
      <w:r>
        <w:rPr>
          <w:rFonts w:hint="default" w:ascii="Calibri" w:hAnsi="Calibri" w:cs="Calibri"/>
          <w:sz w:val="22"/>
          <w:szCs w:val="22"/>
          <w:lang w:val="en-GB"/>
        </w:rPr>
        <w:t>. Honolulu: University of Hawai’i Press.</w:t>
      </w:r>
    </w:p>
    <w:p>
      <w:pPr>
        <w:rPr>
          <w:rFonts w:hint="default"/>
          <w:sz w:val="22"/>
          <w:szCs w:val="22"/>
          <w:lang w:val="en-GB"/>
        </w:rPr>
      </w:pPr>
    </w:p>
    <w:p>
      <w:pPr>
        <w:rPr>
          <w:rFonts w:hint="default"/>
          <w:sz w:val="22"/>
          <w:szCs w:val="22"/>
          <w:lang w:val="en-AU"/>
        </w:rPr>
      </w:pPr>
      <w:r>
        <w:rPr>
          <w:rFonts w:hint="default"/>
          <w:sz w:val="22"/>
          <w:szCs w:val="22"/>
          <w:lang w:val="en-AU"/>
        </w:rPr>
        <w:t xml:space="preserve">Rotherberg, Celia E. 2004. </w:t>
      </w:r>
      <w:r>
        <w:rPr>
          <w:rFonts w:hint="default"/>
          <w:i/>
          <w:iCs/>
          <w:sz w:val="22"/>
          <w:szCs w:val="22"/>
          <w:lang w:val="en-AU"/>
        </w:rPr>
        <w:t>Spirits of Palestine: Gender, Society, and Stories of the Jinn</w:t>
      </w:r>
      <w:r>
        <w:rPr>
          <w:rFonts w:hint="default"/>
          <w:sz w:val="22"/>
          <w:szCs w:val="22"/>
          <w:lang w:val="en-AU"/>
        </w:rPr>
        <w:t>. Oxford, UK: Lexington Books.</w:t>
      </w:r>
    </w:p>
    <w:p>
      <w:pPr>
        <w:rPr>
          <w:rFonts w:hint="default"/>
          <w:sz w:val="22"/>
          <w:szCs w:val="22"/>
          <w:lang w:val="en-GB"/>
        </w:rPr>
      </w:pPr>
    </w:p>
    <w:p>
      <w:pPr>
        <w:pStyle w:val="9"/>
        <w:spacing w:line="240" w:lineRule="auto"/>
        <w:rPr>
          <w:rFonts w:hint="default" w:ascii="Calibri" w:hAnsi="Calibri" w:cs="Calibri"/>
          <w:sz w:val="22"/>
          <w:szCs w:val="22"/>
          <w:lang w:val="en-AU"/>
        </w:rPr>
      </w:pPr>
      <w:r>
        <w:rPr>
          <w:rFonts w:hint="default" w:cs="Calibri"/>
          <w:sz w:val="22"/>
          <w:szCs w:val="22"/>
          <w:lang w:val="en-AU"/>
        </w:rPr>
        <w:t xml:space="preserve">Schmidt, Bettina E. 2016. </w:t>
      </w:r>
      <w:r>
        <w:rPr>
          <w:rFonts w:hint="default" w:cs="Calibri"/>
          <w:i/>
          <w:iCs/>
          <w:sz w:val="22"/>
          <w:szCs w:val="22"/>
          <w:lang w:val="en-AU"/>
        </w:rPr>
        <w:t>Spirits and Trance in Brazil: An Anthropology of Religious Experience</w:t>
      </w:r>
      <w:r>
        <w:rPr>
          <w:rFonts w:hint="default" w:cs="Calibri"/>
          <w:i w:val="0"/>
          <w:iCs w:val="0"/>
          <w:sz w:val="22"/>
          <w:szCs w:val="22"/>
          <w:lang w:val="en-AU"/>
        </w:rPr>
        <w:t>. London, UK: Bloomsbury. Kindle edition.</w:t>
      </w:r>
    </w:p>
    <w:p>
      <w:pPr>
        <w:pStyle w:val="9"/>
        <w:spacing w:line="240" w:lineRule="auto"/>
        <w:rPr>
          <w:rFonts w:hint="default" w:ascii="Calibri" w:hAnsi="Calibri" w:cs="Calibri"/>
          <w:sz w:val="22"/>
          <w:szCs w:val="22"/>
          <w:lang w:val="en-GB"/>
        </w:rPr>
      </w:pPr>
    </w:p>
    <w:p>
      <w:pPr>
        <w:pStyle w:val="9"/>
        <w:spacing w:line="240" w:lineRule="auto"/>
        <w:rPr>
          <w:rFonts w:hint="default" w:cs="Calibri"/>
          <w:i w:val="0"/>
          <w:iCs w:val="0"/>
          <w:sz w:val="22"/>
          <w:szCs w:val="22"/>
          <w:lang w:val="en-AU"/>
        </w:rPr>
      </w:pPr>
      <w:r>
        <w:rPr>
          <w:rFonts w:hint="default" w:cs="Calibri"/>
          <w:sz w:val="22"/>
          <w:szCs w:val="22"/>
          <w:lang w:val="en-AU"/>
        </w:rPr>
        <w:t xml:space="preserve">Smith, Frederick M. 2001. The Current State of Possession Studies as a Cross-Disciplinary Project. </w:t>
      </w:r>
      <w:r>
        <w:rPr>
          <w:rFonts w:hint="default" w:cs="Calibri"/>
          <w:i/>
          <w:iCs/>
          <w:sz w:val="22"/>
          <w:szCs w:val="22"/>
          <w:lang w:val="en-AU"/>
        </w:rPr>
        <w:t>Religious Studies Review</w:t>
      </w:r>
      <w:r>
        <w:rPr>
          <w:rFonts w:hint="default" w:cs="Calibri"/>
          <w:i w:val="0"/>
          <w:iCs w:val="0"/>
          <w:sz w:val="22"/>
          <w:szCs w:val="22"/>
          <w:lang w:val="en-AU"/>
        </w:rPr>
        <w:t xml:space="preserve"> 27: 3.</w:t>
      </w:r>
    </w:p>
    <w:p>
      <w:pPr>
        <w:pStyle w:val="9"/>
        <w:spacing w:line="240" w:lineRule="auto"/>
        <w:rPr>
          <w:rFonts w:hint="default" w:cs="Calibri"/>
          <w:i w:val="0"/>
          <w:iCs w:val="0"/>
          <w:sz w:val="22"/>
          <w:szCs w:val="22"/>
          <w:lang w:val="en-AU"/>
        </w:rPr>
      </w:pPr>
    </w:p>
    <w:p>
      <w:pPr>
        <w:spacing w:line="240" w:lineRule="auto"/>
        <w:rPr>
          <w:rFonts w:hint="default" w:ascii="Calibri" w:hAnsi="Calibri" w:cs="Calibri"/>
          <w:sz w:val="22"/>
          <w:szCs w:val="22"/>
          <w:lang w:val="en-AU"/>
        </w:rPr>
      </w:pPr>
      <w:r>
        <w:rPr>
          <w:rFonts w:hint="default" w:ascii="Calibri" w:hAnsi="Calibri" w:cs="Calibri"/>
          <w:sz w:val="22"/>
          <w:szCs w:val="22"/>
          <w:lang w:val="en-AU"/>
        </w:rPr>
        <w:t>Sooraan and Jawaan. ‘Riwaayada Jinka’ [‘The Jinn Play’]. https://www.youtube.com/watch?v=ynXaMIGFGQM. Accessed on 8/6/2015.</w:t>
      </w:r>
    </w:p>
    <w:p>
      <w:pPr>
        <w:pStyle w:val="9"/>
        <w:spacing w:line="240" w:lineRule="auto"/>
        <w:rPr>
          <w:rFonts w:hint="default" w:cs="Calibri"/>
          <w:i w:val="0"/>
          <w:iCs w:val="0"/>
          <w:sz w:val="22"/>
          <w:szCs w:val="22"/>
          <w:lang w:val="en-AU"/>
        </w:rPr>
      </w:pPr>
    </w:p>
    <w:p>
      <w:pPr>
        <w:pStyle w:val="9"/>
        <w:spacing w:line="240" w:lineRule="auto"/>
        <w:rPr>
          <w:rFonts w:hint="default" w:ascii="Calibri" w:hAnsi="Calibri" w:cs="Calibri"/>
          <w:sz w:val="22"/>
          <w:szCs w:val="22"/>
          <w:lang w:val="en-AU"/>
        </w:rPr>
      </w:pPr>
      <w:r>
        <w:rPr>
          <w:rFonts w:hint="default" w:ascii="Calibri" w:hAnsi="Calibri" w:cs="Calibri"/>
          <w:sz w:val="22"/>
          <w:szCs w:val="22"/>
          <w:lang w:val="en-AU"/>
        </w:rPr>
        <w:t xml:space="preserve">Tiilikainen, Marja. 2010. Spirits and the Human World in Northern Somalia. In Hoehne, Markus and Luling, Virginia (eds.), </w:t>
      </w:r>
      <w:r>
        <w:rPr>
          <w:rFonts w:hint="default" w:ascii="Calibri" w:hAnsi="Calibri" w:cs="Calibri"/>
          <w:i/>
          <w:iCs/>
          <w:sz w:val="22"/>
          <w:szCs w:val="22"/>
          <w:lang w:val="en-AU"/>
        </w:rPr>
        <w:t>Milk and Peace, Drought and War: Somali Culture, Society and Politics</w:t>
      </w:r>
      <w:r>
        <w:rPr>
          <w:rFonts w:hint="default" w:ascii="Calibri" w:hAnsi="Calibri" w:cs="Calibri"/>
          <w:sz w:val="22"/>
          <w:szCs w:val="22"/>
          <w:lang w:val="en-AU"/>
        </w:rPr>
        <w:t xml:space="preserve">. London, UK: Hurst and Company. </w:t>
      </w:r>
    </w:p>
    <w:p>
      <w:pPr>
        <w:spacing w:line="240" w:lineRule="auto"/>
        <w:jc w:val="left"/>
        <w:rPr>
          <w:rFonts w:hint="default" w:ascii="Calibri" w:hAnsi="Calibri" w:cs="Calibri"/>
          <w:sz w:val="22"/>
          <w:szCs w:val="22"/>
        </w:rPr>
      </w:pPr>
    </w:p>
    <w:p>
      <w:pPr>
        <w:spacing w:line="240" w:lineRule="auto"/>
        <w:jc w:val="left"/>
        <w:rPr>
          <w:rFonts w:hint="default" w:ascii="Calibri" w:hAnsi="Calibri" w:cs="Calibri"/>
          <w:sz w:val="22"/>
          <w:szCs w:val="22"/>
          <w:lang w:val="en-AU"/>
        </w:rPr>
      </w:pPr>
      <w:r>
        <w:rPr>
          <w:rFonts w:hint="default" w:ascii="Calibri" w:hAnsi="Calibri" w:cs="Calibri"/>
          <w:sz w:val="22"/>
          <w:szCs w:val="22"/>
          <w:lang w:val="en-AU"/>
        </w:rPr>
        <w:t xml:space="preserve">Tiilikainen, Marja. 2011. </w:t>
      </w:r>
      <w:r>
        <w:rPr>
          <w:rFonts w:hint="default" w:ascii="Calibri" w:hAnsi="Calibri" w:cs="Calibri"/>
          <w:sz w:val="22"/>
          <w:szCs w:val="22"/>
        </w:rPr>
        <w:t>Failed Diaspora: Experiences of Dhaqan Celis</w:t>
      </w:r>
      <w:r>
        <w:rPr>
          <w:rFonts w:hint="default" w:ascii="Calibri" w:hAnsi="Calibri" w:cs="Calibri"/>
          <w:sz w:val="22"/>
          <w:szCs w:val="22"/>
          <w:lang w:val="en-AU"/>
        </w:rPr>
        <w:t xml:space="preserve"> </w:t>
      </w:r>
      <w:r>
        <w:rPr>
          <w:rFonts w:hint="default" w:ascii="Calibri" w:hAnsi="Calibri" w:cs="Calibri"/>
          <w:sz w:val="22"/>
          <w:szCs w:val="22"/>
        </w:rPr>
        <w:t>and Mentally Ill Returnees in Somaliland</w:t>
      </w:r>
      <w:r>
        <w:rPr>
          <w:rFonts w:hint="default" w:ascii="Calibri" w:hAnsi="Calibri" w:cs="Calibri"/>
          <w:sz w:val="22"/>
          <w:szCs w:val="22"/>
          <w:lang w:val="en-AU"/>
        </w:rPr>
        <w:t xml:space="preserve">. </w:t>
      </w:r>
      <w:r>
        <w:rPr>
          <w:rFonts w:hint="default" w:ascii="Calibri" w:hAnsi="Calibri" w:cs="Calibri"/>
          <w:i/>
          <w:iCs/>
          <w:sz w:val="22"/>
          <w:szCs w:val="22"/>
        </w:rPr>
        <w:t>Nordic Journal of African Studies</w:t>
      </w:r>
      <w:r>
        <w:rPr>
          <w:rFonts w:hint="default" w:ascii="Calibri" w:hAnsi="Calibri" w:cs="Calibri"/>
          <w:sz w:val="22"/>
          <w:szCs w:val="22"/>
        </w:rPr>
        <w:t xml:space="preserve"> 20</w:t>
      </w:r>
      <w:r>
        <w:rPr>
          <w:rFonts w:hint="default" w:ascii="Calibri" w:hAnsi="Calibri" w:cs="Calibri"/>
          <w:sz w:val="22"/>
          <w:szCs w:val="22"/>
          <w:lang w:val="en-AU"/>
        </w:rPr>
        <w:t>:1.</w:t>
      </w:r>
    </w:p>
    <w:p>
      <w:pPr>
        <w:spacing w:line="240" w:lineRule="auto"/>
        <w:jc w:val="left"/>
        <w:rPr>
          <w:rFonts w:hint="default" w:ascii="Calibri" w:hAnsi="Calibri" w:cs="Calibri"/>
          <w:sz w:val="22"/>
          <w:szCs w:val="22"/>
          <w:lang w:val="en-AU"/>
        </w:rPr>
      </w:pPr>
    </w:p>
    <w:p>
      <w:pPr>
        <w:spacing w:line="240" w:lineRule="auto"/>
        <w:jc w:val="left"/>
        <w:rPr>
          <w:rFonts w:hint="default" w:ascii="Calibri" w:hAnsi="Calibri" w:cs="Calibri"/>
          <w:sz w:val="22"/>
          <w:szCs w:val="22"/>
          <w:lang w:val="en-AU"/>
        </w:rPr>
      </w:pPr>
      <w:r>
        <w:rPr>
          <w:rFonts w:hint="default" w:ascii="Calibri" w:hAnsi="Calibri" w:cs="Calibri"/>
          <w:sz w:val="22"/>
          <w:szCs w:val="22"/>
          <w:lang w:val="en-AU"/>
        </w:rPr>
        <w:t xml:space="preserve">Tiilikainen, Marja, and Koehn, Peter H. 2011. </w:t>
      </w:r>
      <w:r>
        <w:rPr>
          <w:rFonts w:hint="default" w:ascii="Calibri" w:hAnsi="Calibri" w:cs="Calibri"/>
          <w:sz w:val="22"/>
          <w:szCs w:val="22"/>
        </w:rPr>
        <w:t>Transforming the Boundaries of Health</w:t>
      </w:r>
      <w:r>
        <w:rPr>
          <w:rFonts w:hint="default" w:ascii="Calibri" w:hAnsi="Calibri" w:cs="Calibri"/>
          <w:sz w:val="22"/>
          <w:szCs w:val="22"/>
          <w:lang w:val="en-AU"/>
        </w:rPr>
        <w:t xml:space="preserve"> </w:t>
      </w:r>
      <w:r>
        <w:rPr>
          <w:rFonts w:hint="default" w:ascii="Calibri" w:hAnsi="Calibri" w:cs="Calibri"/>
          <w:sz w:val="22"/>
          <w:szCs w:val="22"/>
        </w:rPr>
        <w:t>Care: Insights from Somali Migrants</w:t>
      </w:r>
      <w:r>
        <w:rPr>
          <w:rFonts w:hint="default" w:ascii="Calibri" w:hAnsi="Calibri" w:cs="Calibri"/>
          <w:sz w:val="22"/>
          <w:szCs w:val="22"/>
          <w:lang w:val="en-AU"/>
        </w:rPr>
        <w:t xml:space="preserve">. </w:t>
      </w:r>
      <w:r>
        <w:rPr>
          <w:rFonts w:hint="default" w:ascii="Calibri" w:hAnsi="Calibri" w:cs="Calibri"/>
          <w:i/>
          <w:iCs/>
          <w:sz w:val="22"/>
          <w:szCs w:val="22"/>
          <w:lang w:val="en-AU"/>
        </w:rPr>
        <w:t>Medical Anthropology</w:t>
      </w:r>
      <w:r>
        <w:rPr>
          <w:rFonts w:hint="default" w:ascii="Calibri" w:hAnsi="Calibri" w:cs="Calibri"/>
          <w:sz w:val="22"/>
          <w:szCs w:val="22"/>
          <w:lang w:val="en-AU"/>
        </w:rPr>
        <w:t xml:space="preserve"> </w:t>
      </w:r>
      <w:r>
        <w:rPr>
          <w:rFonts w:hint="default" w:ascii="Calibri" w:hAnsi="Calibri" w:cs="Calibri"/>
          <w:sz w:val="22"/>
          <w:szCs w:val="22"/>
        </w:rPr>
        <w:t>30</w:t>
      </w:r>
      <w:r>
        <w:rPr>
          <w:rFonts w:hint="default" w:ascii="Calibri" w:hAnsi="Calibri" w:cs="Calibri"/>
          <w:sz w:val="22"/>
          <w:szCs w:val="22"/>
          <w:lang w:val="en-AU"/>
        </w:rPr>
        <w:t>:5.</w:t>
      </w:r>
    </w:p>
    <w:p>
      <w:pPr>
        <w:spacing w:line="240" w:lineRule="auto"/>
        <w:jc w:val="left"/>
        <w:rPr>
          <w:rFonts w:hint="default" w:ascii="Calibri" w:hAnsi="Calibri" w:cs="Calibri"/>
          <w:sz w:val="22"/>
          <w:szCs w:val="22"/>
          <w:lang w:val="en-AU"/>
        </w:rPr>
      </w:pPr>
    </w:p>
    <w:p>
      <w:pPr>
        <w:spacing w:line="240" w:lineRule="auto"/>
        <w:jc w:val="left"/>
        <w:rPr>
          <w:rFonts w:hint="default" w:ascii="Calibri" w:hAnsi="Calibri" w:cs="Calibri"/>
          <w:sz w:val="22"/>
          <w:szCs w:val="22"/>
          <w:lang w:val="en-AU"/>
        </w:rPr>
      </w:pPr>
      <w:r>
        <w:rPr>
          <w:rFonts w:hint="default" w:ascii="Calibri" w:hAnsi="Calibri" w:cs="Calibri"/>
          <w:sz w:val="22"/>
          <w:szCs w:val="22"/>
          <w:lang w:val="en-AU"/>
        </w:rPr>
        <w:t xml:space="preserve">Tiilikainen, Marja. 2012. </w:t>
      </w:r>
      <w:r>
        <w:rPr>
          <w:rFonts w:hint="default" w:ascii="Calibri" w:hAnsi="Calibri" w:cs="Calibri"/>
          <w:sz w:val="22"/>
          <w:szCs w:val="22"/>
        </w:rPr>
        <w:t>It’s Just Like the Internet:</w:t>
      </w:r>
      <w:r>
        <w:rPr>
          <w:rFonts w:hint="default" w:ascii="Calibri" w:hAnsi="Calibri" w:cs="Calibri"/>
          <w:sz w:val="22"/>
          <w:szCs w:val="22"/>
          <w:lang w:val="en-AU"/>
        </w:rPr>
        <w:t xml:space="preserve"> </w:t>
      </w:r>
      <w:r>
        <w:rPr>
          <w:rFonts w:hint="default" w:ascii="Calibri" w:hAnsi="Calibri" w:cs="Calibri"/>
          <w:sz w:val="22"/>
          <w:szCs w:val="22"/>
        </w:rPr>
        <w:t>Transnational Healing Practices between</w:t>
      </w:r>
      <w:r>
        <w:rPr>
          <w:rFonts w:hint="default" w:ascii="Calibri" w:hAnsi="Calibri" w:cs="Calibri"/>
          <w:sz w:val="22"/>
          <w:szCs w:val="22"/>
          <w:lang w:val="en-AU"/>
        </w:rPr>
        <w:t xml:space="preserve"> </w:t>
      </w:r>
      <w:r>
        <w:rPr>
          <w:rFonts w:hint="default" w:ascii="Calibri" w:hAnsi="Calibri" w:cs="Calibri"/>
          <w:sz w:val="22"/>
          <w:szCs w:val="22"/>
        </w:rPr>
        <w:t>Somaliland and the Somali Diaspora</w:t>
      </w:r>
      <w:r>
        <w:rPr>
          <w:rFonts w:hint="default" w:ascii="Calibri" w:hAnsi="Calibri" w:cs="Calibri"/>
          <w:sz w:val="22"/>
          <w:szCs w:val="22"/>
          <w:lang w:val="en-AU"/>
        </w:rPr>
        <w:t xml:space="preserve">. In </w:t>
      </w:r>
      <w:r>
        <w:rPr>
          <w:rFonts w:hint="default" w:ascii="Calibri" w:hAnsi="Calibri" w:cs="Calibri"/>
          <w:sz w:val="22"/>
          <w:szCs w:val="22"/>
        </w:rPr>
        <w:t>H</w:t>
      </w:r>
      <w:r>
        <w:rPr>
          <w:rFonts w:hint="default" w:ascii="Calibri" w:hAnsi="Calibri" w:cs="Calibri"/>
          <w:sz w:val="22"/>
          <w:szCs w:val="22"/>
          <w:lang w:val="en-AU"/>
        </w:rPr>
        <w:t xml:space="preserve">. </w:t>
      </w:r>
      <w:r>
        <w:rPr>
          <w:rFonts w:hint="default" w:ascii="Calibri" w:hAnsi="Calibri" w:cs="Calibri"/>
          <w:sz w:val="22"/>
          <w:szCs w:val="22"/>
        </w:rPr>
        <w:t>Dilger, A</w:t>
      </w:r>
      <w:r>
        <w:rPr>
          <w:rFonts w:hint="default" w:ascii="Calibri" w:hAnsi="Calibri" w:cs="Calibri"/>
          <w:sz w:val="22"/>
          <w:szCs w:val="22"/>
          <w:lang w:val="en-AU"/>
        </w:rPr>
        <w:t>.</w:t>
      </w:r>
      <w:r>
        <w:rPr>
          <w:rFonts w:hint="default" w:ascii="Calibri" w:hAnsi="Calibri" w:cs="Calibri"/>
          <w:sz w:val="22"/>
          <w:szCs w:val="22"/>
        </w:rPr>
        <w:t xml:space="preserve"> Kane, and S</w:t>
      </w:r>
      <w:r>
        <w:rPr>
          <w:rFonts w:hint="default" w:ascii="Calibri" w:hAnsi="Calibri" w:cs="Calibri"/>
          <w:sz w:val="22"/>
          <w:szCs w:val="22"/>
          <w:lang w:val="en-AU"/>
        </w:rPr>
        <w:t>.</w:t>
      </w:r>
      <w:r>
        <w:rPr>
          <w:rFonts w:hint="default" w:ascii="Calibri" w:hAnsi="Calibri" w:cs="Calibri"/>
          <w:sz w:val="22"/>
          <w:szCs w:val="22"/>
        </w:rPr>
        <w:t xml:space="preserve"> A. Langwick</w:t>
      </w:r>
      <w:r>
        <w:rPr>
          <w:rFonts w:hint="default" w:ascii="Calibri" w:hAnsi="Calibri" w:cs="Calibri"/>
          <w:sz w:val="22"/>
          <w:szCs w:val="22"/>
          <w:lang w:val="en-AU"/>
        </w:rPr>
        <w:t xml:space="preserve"> (eds.), </w:t>
      </w:r>
      <w:r>
        <w:rPr>
          <w:rFonts w:hint="default" w:ascii="Calibri" w:hAnsi="Calibri" w:cs="Calibri"/>
          <w:i/>
          <w:iCs/>
          <w:sz w:val="22"/>
          <w:szCs w:val="22"/>
          <w:lang w:val="en-AU"/>
        </w:rPr>
        <w:t>Medicine, Mobility and Power in Global Africa</w:t>
      </w:r>
      <w:r>
        <w:rPr>
          <w:rFonts w:hint="default" w:ascii="Calibri" w:hAnsi="Calibri" w:cs="Calibri"/>
          <w:sz w:val="22"/>
          <w:szCs w:val="22"/>
          <w:lang w:val="en-AU"/>
        </w:rPr>
        <w:t>. Bloomington: Indiana University Press.</w:t>
      </w:r>
    </w:p>
    <w:p>
      <w:pPr>
        <w:spacing w:line="240" w:lineRule="auto"/>
        <w:jc w:val="left"/>
        <w:rPr>
          <w:rFonts w:hint="default" w:ascii="Calibri" w:hAnsi="Calibri" w:cs="Calibri"/>
          <w:sz w:val="22"/>
          <w:szCs w:val="22"/>
          <w:lang w:val="en-AU"/>
        </w:rPr>
      </w:pPr>
    </w:p>
    <w:p>
      <w:pPr>
        <w:spacing w:line="240" w:lineRule="auto"/>
        <w:rPr>
          <w:rFonts w:hint="default"/>
          <w:sz w:val="22"/>
          <w:szCs w:val="22"/>
          <w:lang w:val="en-AU"/>
        </w:rPr>
      </w:pPr>
      <w:r>
        <w:rPr>
          <w:rFonts w:hint="default"/>
          <w:sz w:val="22"/>
          <w:szCs w:val="22"/>
          <w:lang w:val="en-AU"/>
        </w:rPr>
        <w:t>Unknown. ‘</w:t>
      </w:r>
      <w:r>
        <w:rPr>
          <w:sz w:val="22"/>
          <w:szCs w:val="22"/>
        </w:rPr>
        <w:t>Guur-kii dhex maray Jinka iyo Insiga</w:t>
      </w:r>
      <w:r>
        <w:rPr>
          <w:rFonts w:hint="default"/>
          <w:sz w:val="22"/>
          <w:szCs w:val="22"/>
          <w:lang w:val="en-AU"/>
        </w:rPr>
        <w:t>’</w:t>
      </w:r>
      <w:r>
        <w:rPr>
          <w:sz w:val="22"/>
          <w:szCs w:val="22"/>
          <w:lang w:val="en-AU"/>
        </w:rPr>
        <w:t xml:space="preserve"> (</w:t>
      </w:r>
      <w:r>
        <w:rPr>
          <w:rFonts w:hint="default"/>
          <w:sz w:val="22"/>
          <w:szCs w:val="22"/>
          <w:lang w:val="en-AU"/>
        </w:rPr>
        <w:t>‘</w:t>
      </w:r>
      <w:r>
        <w:rPr>
          <w:sz w:val="22"/>
          <w:szCs w:val="22"/>
          <w:lang w:val="en-AU"/>
        </w:rPr>
        <w:t>The Marriage that happened between a Jinn and a Human</w:t>
      </w:r>
      <w:r>
        <w:rPr>
          <w:rFonts w:hint="default"/>
          <w:sz w:val="22"/>
          <w:szCs w:val="22"/>
          <w:lang w:val="en-AU"/>
        </w:rPr>
        <w:t>’</w:t>
      </w:r>
      <w:r>
        <w:rPr>
          <w:sz w:val="22"/>
          <w:szCs w:val="22"/>
          <w:lang w:val="en-AU"/>
        </w:rPr>
        <w:t xml:space="preserve">). </w:t>
      </w:r>
      <w:r>
        <w:rPr>
          <w:rFonts w:hint="default"/>
          <w:sz w:val="22"/>
          <w:szCs w:val="22"/>
          <w:lang w:val="en-AU"/>
        </w:rPr>
        <w:fldChar w:fldCharType="begin"/>
      </w:r>
      <w:r>
        <w:rPr>
          <w:rFonts w:hint="default"/>
          <w:sz w:val="22"/>
          <w:szCs w:val="22"/>
          <w:lang w:val="en-AU"/>
        </w:rPr>
        <w:instrText xml:space="preserve"> HYPERLINK "http://www.baahiye.com/2017/08/20/guur-kii-dhex-maray-jinka-iyo-insiga/" </w:instrText>
      </w:r>
      <w:r>
        <w:rPr>
          <w:rFonts w:hint="default"/>
          <w:sz w:val="22"/>
          <w:szCs w:val="22"/>
          <w:lang w:val="en-AU"/>
        </w:rPr>
        <w:fldChar w:fldCharType="separate"/>
      </w:r>
      <w:r>
        <w:rPr>
          <w:rStyle w:val="6"/>
          <w:rFonts w:hint="default"/>
          <w:sz w:val="22"/>
          <w:szCs w:val="28"/>
          <w:lang w:val="en-AU"/>
        </w:rPr>
        <w:t>http://www.baahiye.com/2017/08/20/guur-kii-dhex-maray-jinka-iyo-insiga/</w:t>
      </w:r>
      <w:r>
        <w:rPr>
          <w:rFonts w:hint="default"/>
          <w:sz w:val="22"/>
          <w:szCs w:val="22"/>
          <w:lang w:val="en-AU"/>
        </w:rPr>
        <w:fldChar w:fldCharType="end"/>
      </w:r>
      <w:r>
        <w:rPr>
          <w:rFonts w:hint="default"/>
          <w:sz w:val="22"/>
          <w:szCs w:val="22"/>
          <w:lang w:val="en-AU"/>
        </w:rPr>
        <w:t xml:space="preserve">; video: </w:t>
      </w:r>
      <w:r>
        <w:rPr>
          <w:rFonts w:hint="default"/>
          <w:sz w:val="22"/>
          <w:szCs w:val="22"/>
          <w:lang w:val="en-AU"/>
        </w:rPr>
        <w:fldChar w:fldCharType="begin"/>
      </w:r>
      <w:r>
        <w:rPr>
          <w:rFonts w:hint="default"/>
          <w:sz w:val="22"/>
          <w:szCs w:val="22"/>
          <w:lang w:val="en-AU"/>
        </w:rPr>
        <w:instrText xml:space="preserve"> HYPERLINK "https://youtu.be/rH8o1hpxpWg." </w:instrText>
      </w:r>
      <w:r>
        <w:rPr>
          <w:rFonts w:hint="default"/>
          <w:sz w:val="22"/>
          <w:szCs w:val="22"/>
          <w:lang w:val="en-AU"/>
        </w:rPr>
        <w:fldChar w:fldCharType="separate"/>
      </w:r>
      <w:r>
        <w:rPr>
          <w:rStyle w:val="6"/>
          <w:rFonts w:hint="default"/>
          <w:sz w:val="22"/>
          <w:szCs w:val="22"/>
          <w:lang w:val="en-AU"/>
        </w:rPr>
        <w:t>https://youtu.be/rH8o1hpxpWg.</w:t>
      </w:r>
      <w:r>
        <w:rPr>
          <w:rFonts w:hint="default"/>
          <w:sz w:val="22"/>
          <w:szCs w:val="22"/>
          <w:lang w:val="en-AU"/>
        </w:rPr>
        <w:fldChar w:fldCharType="end"/>
      </w:r>
      <w:r>
        <w:rPr>
          <w:rFonts w:hint="default"/>
          <w:sz w:val="22"/>
          <w:szCs w:val="22"/>
          <w:lang w:val="en-AU"/>
        </w:rPr>
        <w:t xml:space="preserve"> Accessed on 12/12/2017.</w:t>
      </w:r>
    </w:p>
    <w:p>
      <w:pPr>
        <w:spacing w:line="240" w:lineRule="auto"/>
        <w:jc w:val="left"/>
        <w:rPr>
          <w:rFonts w:hint="default" w:ascii="Calibri" w:hAnsi="Calibri" w:cs="Calibri"/>
          <w:sz w:val="22"/>
          <w:szCs w:val="22"/>
          <w:lang w:val="en-AU"/>
        </w:rPr>
      </w:pPr>
    </w:p>
    <w:p>
      <w:pPr>
        <w:spacing w:line="360" w:lineRule="auto"/>
        <w:rPr>
          <w:sz w:val="21"/>
          <w:szCs w:val="21"/>
          <w:lang w:val="en-GB"/>
        </w:rPr>
      </w:pPr>
    </w:p>
    <w:p>
      <w:pPr>
        <w:spacing w:line="360" w:lineRule="auto"/>
        <w:rPr>
          <w:rFonts w:hint="default"/>
          <w:sz w:val="22"/>
          <w:szCs w:val="22"/>
          <w:lang w:val="en-AU"/>
        </w:rPr>
      </w:pPr>
      <w:r>
        <w:rPr>
          <w:sz w:val="21"/>
          <w:szCs w:val="21"/>
          <w:lang w:val="en-AU"/>
        </w:rPr>
        <w:t>Word count (bibliography excluded): 1630</w:t>
      </w:r>
    </w:p>
    <w:sectPr>
      <w:headerReference r:id="rId3" w:type="default"/>
      <w:footerReference r:id="rId4" w:type="default"/>
      <w:pgSz w:w="11906" w:h="16838"/>
      <w:pgMar w:top="1440" w:right="1800" w:bottom="1440" w:left="1800" w:header="720" w:footer="720" w:gutter="0"/>
      <w:pgNumType w:fmt="decimal"/>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A3"/>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43"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mbria">
    <w:panose1 w:val="02040503050406030204"/>
    <w:charset w:val="00"/>
    <w:family w:val="roman"/>
    <w:pitch w:val="default"/>
    <w:sig w:usb0="E00002FF" w:usb1="400004FF" w:usb2="00000000" w:usb3="00000000" w:csb0="2000019F" w:csb1="00000000"/>
  </w:font>
  <w:font w:name="Calibri">
    <w:panose1 w:val="020F0502020204030204"/>
    <w:charset w:val="00"/>
    <w:family w:val="swiss"/>
    <w:pitch w:val="default"/>
    <w:sig w:usb0="E0002AFF" w:usb1="C000247B" w:usb2="00000009" w:usb3="00000000" w:csb0="200001FF" w:csb1="00000000"/>
  </w:font>
  <w:font w:name="Open Sans">
    <w:panose1 w:val="020B0606030504020204"/>
    <w:charset w:val="00"/>
    <w:family w:val="auto"/>
    <w:pitch w:val="default"/>
    <w:sig w:usb0="E00002EF" w:usb1="4000205B" w:usb2="00000028" w:usb3="00000000" w:csb0="2000019F" w:csb1="00000000"/>
  </w:font>
  <w:font w:name="MS PGothic">
    <w:panose1 w:val="020B0600070205080204"/>
    <w:charset w:val="80"/>
    <w:family w:val="auto"/>
    <w:pitch w:val="default"/>
    <w:sig w:usb0="E00002FF" w:usb1="6AC7FDFB" w:usb2="08000012" w:usb3="00000000" w:csb0="4002009F" w:csb1="DFD70000"/>
  </w:font>
  <w:font w:name="Open Sans Semibold">
    <w:panose1 w:val="020B0706030804020204"/>
    <w:charset w:val="00"/>
    <w:family w:val="auto"/>
    <w:pitch w:val="default"/>
    <w:sig w:usb0="E00002EF" w:usb1="4000205B" w:usb2="00000028" w:usb3="00000000" w:csb0="2000019F" w:csb1="00000000"/>
  </w:font>
  <w:font w:name="Sitka Banner">
    <w:panose1 w:val="02000505000000020004"/>
    <w:charset w:val="00"/>
    <w:family w:val="auto"/>
    <w:pitch w:val="default"/>
    <w:sig w:usb0="A00002EF" w:usb1="4000204B" w:usb2="00000000" w:usb3="00000000" w:csb0="2000019F" w:csb1="00000000"/>
  </w:font>
  <w:font w:name="Calibri Light">
    <w:panose1 w:val="020F0302020204030204"/>
    <w:charset w:val="00"/>
    <w:family w:val="auto"/>
    <w:pitch w:val="default"/>
    <w:sig w:usb0="E0002AFF" w:usb1="C000247B" w:usb2="00000009" w:usb3="00000000" w:csb0="200001FF" w:csb1="00000000"/>
  </w:font>
  <w:font w:name="AdvOT55a0d69b">
    <w:altName w:val="Segoe Print"/>
    <w:panose1 w:val="00000000000000000000"/>
    <w:charset w:val="00"/>
    <w:family w:val="auto"/>
    <w:pitch w:val="default"/>
    <w:sig w:usb0="00000000" w:usb1="00000000" w:usb2="00000000" w:usb3="00000000" w:csb0="00000001" w:csb1="00000000"/>
  </w:font>
  <w:font w:name="AdvPS9440">
    <w:altName w:val="Segoe Print"/>
    <w:panose1 w:val="00000000000000000000"/>
    <w:charset w:val="00"/>
    <w:family w:val="auto"/>
    <w:pitch w:val="default"/>
    <w:sig w:usb0="00000000" w:usb1="00000000" w:usb2="00000000" w:usb3="00000000" w:csb0="00000001" w:csb1="00000000"/>
  </w:font>
  <w:font w:name="Segoe Print">
    <w:panose1 w:val="02000600000000000000"/>
    <w:charset w:val="00"/>
    <w:family w:val="auto"/>
    <w:pitch w:val="default"/>
    <w:sig w:usb0="0000028F" w:usb1="00000000" w:usb2="00000000" w:usb3="00000000" w:csb0="2000009F" w:csb1="47010000"/>
  </w:font>
  <w:font w:name="Calibri">
    <w:panose1 w:val="020F0502020204030204"/>
    <w:charset w:val="86"/>
    <w:family w:val="swiss"/>
    <w:pitch w:val="default"/>
    <w:sig w:usb0="E0002AFF" w:usb1="C000247B" w:usb2="00000009" w:usb3="00000000" w:csb0="200001FF" w:csb1="00000000"/>
  </w:font>
  <w:font w:name="Helvetica Neue">
    <w:altName w:val="Times New Roman"/>
    <w:panose1 w:val="00000000000000000000"/>
    <w:charset w:val="00"/>
    <w:family w:val="roman"/>
    <w:pitch w:val="default"/>
    <w:sig w:usb0="00000000" w:usb1="00000000" w:usb2="00000000" w:usb3="00000000" w:csb0="00000000" w:csb1="00000000"/>
  </w:font>
  <w:font w:name="Code">
    <w:altName w:val="Segoe Print"/>
    <w:panose1 w:val="00000000000000000000"/>
    <w:charset w:val="00"/>
    <w:family w:val="swiss"/>
    <w:pitch w:val="default"/>
    <w:sig w:usb0="00000000" w:usb1="00000000" w:usb2="00000000" w:usb3="00000000" w:csb0="00000001" w:csb1="00000000"/>
  </w:font>
  <w:font w:name="TimesNewRomanPS-ItalicMT">
    <w:altName w:val="MS Gothic"/>
    <w:panose1 w:val="00000000000000000000"/>
    <w:charset w:val="80"/>
    <w:family w:val="auto"/>
    <w:pitch w:val="default"/>
    <w:sig w:usb0="00000000" w:usb1="00000000" w:usb2="00000010" w:usb3="00000000" w:csb0="00020000" w:csb1="00000000"/>
  </w:font>
  <w:font w:name="Garamond-Bold">
    <w:altName w:val="Segoe Print"/>
    <w:panose1 w:val="00000000000000000000"/>
    <w:charset w:val="00"/>
    <w:family w:val="auto"/>
    <w:pitch w:val="default"/>
    <w:sig w:usb0="00000000" w:usb1="00000000" w:usb2="00000000" w:usb3="00000000" w:csb0="00000001" w:csb1="00000000"/>
  </w:font>
  <w:font w:name="MS Gothic">
    <w:panose1 w:val="020B0609070205080204"/>
    <w:charset w:val="80"/>
    <w:family w:val="auto"/>
    <w:pitch w:val="default"/>
    <w:sig w:usb0="E00002FF" w:usb1="6AC7FDFB" w:usb2="08000012" w:usb3="00000000" w:csb0="4002009F" w:csb1="DFD70000"/>
  </w:font>
  <w:font w:name="Symbol">
    <w:panose1 w:val="05050102010706020507"/>
    <w:charset w:val="00"/>
    <w:family w:val="auto"/>
    <w:pitch w:val="default"/>
    <w:sig w:usb0="00000000" w:usb1="00000000" w:usb2="00000000" w:usb3="00000000" w:csb0="80000000" w:csb1="00000000"/>
  </w:font>
  <w:font w:name="sans-serif">
    <w:altName w:val="Segoe Print"/>
    <w:panose1 w:val="00000000000000000000"/>
    <w:charset w:val="00"/>
    <w:family w:val="auto"/>
    <w:pitch w:val="default"/>
    <w:sig w:usb0="00000000" w:usb1="00000000" w:usb2="00000000" w:usb3="00000000" w:csb0="00000000" w:csb1="00000000"/>
  </w:font>
  <w:font w:name="AdvTimes">
    <w:altName w:val="Segoe Print"/>
    <w:panose1 w:val="00000000000000000000"/>
    <w:charset w:val="00"/>
    <w:family w:val="auto"/>
    <w:pitch w:val="default"/>
    <w:sig w:usb0="00000000" w:usb1="00000000" w:usb2="00000000" w:usb3="00000000" w:csb0="00000001" w:csb1="00000000"/>
  </w:font>
  <w:font w:name="AdvTimes-i">
    <w:altName w:val="Malgun Gothic"/>
    <w:panose1 w:val="00000000000000000000"/>
    <w:charset w:val="81"/>
    <w:family w:val="auto"/>
    <w:pitch w:val="default"/>
    <w:sig w:usb0="00000000" w:usb1="00000000" w:usb2="00000000" w:usb3="00000000" w:csb0="00080000" w:csb1="00000000"/>
  </w:font>
  <w:font w:name="AdvMT_RM">
    <w:altName w:val="Segoe Print"/>
    <w:panose1 w:val="00000000000000000000"/>
    <w:charset w:val="00"/>
    <w:family w:val="auto"/>
    <w:pitch w:val="default"/>
    <w:sig w:usb0="00000000" w:usb1="00000000" w:usb2="00000000" w:usb3="00000000" w:csb0="00000001" w:csb1="00000000"/>
  </w:font>
  <w:font w:name="AdvTimes-bi">
    <w:altName w:val="Segoe Print"/>
    <w:panose1 w:val="00000000000000000000"/>
    <w:charset w:val="00"/>
    <w:family w:val="auto"/>
    <w:pitch w:val="default"/>
    <w:sig w:usb0="00000000" w:usb1="00000000" w:usb2="00000000" w:usb3="00000000" w:csb0="00000001" w:csb1="00000000"/>
  </w:font>
  <w:font w:name="Minion-Regular">
    <w:altName w:val="Segoe Print"/>
    <w:panose1 w:val="00000000000000000000"/>
    <w:charset w:val="00"/>
    <w:family w:val="roman"/>
    <w:pitch w:val="default"/>
    <w:sig w:usb0="00000000" w:usb1="00000000" w:usb2="00000000" w:usb3="00000000" w:csb0="00000001" w:csb1="00000000"/>
  </w:font>
  <w:font w:name="Minion-Italic">
    <w:altName w:val="Segoe Print"/>
    <w:panose1 w:val="00000000000000000000"/>
    <w:charset w:val="00"/>
    <w:family w:val="roman"/>
    <w:pitch w:val="default"/>
    <w:sig w:usb0="00000000" w:usb1="00000000" w:usb2="00000000" w:usb3="00000000" w:csb0="00000001" w:csb1="00000000"/>
  </w:font>
  <w:font w:name="TimesNewRomanPSMT">
    <w:altName w:val="Times New Roman"/>
    <w:panose1 w:val="00000000000000000000"/>
    <w:charset w:val="00"/>
    <w:family w:val="roman"/>
    <w:pitch w:val="default"/>
    <w:sig w:usb0="00000000" w:usb1="00000000" w:usb2="00000000" w:usb3="00000000" w:csb0="00000001" w:csb1="00000000"/>
  </w:font>
  <w:font w:name="AdvSTP_PSTimR">
    <w:altName w:val="Malgun Gothic"/>
    <w:panose1 w:val="00000000000000000000"/>
    <w:charset w:val="81"/>
    <w:family w:val="auto"/>
    <w:pitch w:val="default"/>
    <w:sig w:usb0="00000000" w:usb1="00000000" w:usb2="00000000" w:usb3="00000000" w:csb0="00080000" w:csb1="00000000"/>
  </w:font>
  <w:font w:name="AdvSTP_PSTimI">
    <w:altName w:val="Segoe Print"/>
    <w:panose1 w:val="00000000000000000000"/>
    <w:charset w:val="00"/>
    <w:family w:val="auto"/>
    <w:pitch w:val="default"/>
    <w:sig w:usb0="00000000" w:usb1="00000000" w:usb2="00000000" w:usb3="00000000" w:csb0="00000001" w:csb1="00000000"/>
  </w:font>
  <w:font w:name="Malgun Gothic">
    <w:panose1 w:val="020B0503020000020004"/>
    <w:charset w:val="81"/>
    <w:family w:val="auto"/>
    <w:pitch w:val="default"/>
    <w:sig w:usb0="9000002F" w:usb1="29D77CFB" w:usb2="00000012" w:usb3="00000000" w:csb0="00080001" w:csb1="00000000"/>
  </w:font>
  <w:font w:name="MFFTP R+ Times">
    <w:altName w:val="Segoe Print"/>
    <w:panose1 w:val="00000000000000000000"/>
    <w:charset w:val="00"/>
    <w:family w:val="roman"/>
    <w:pitch w:val="default"/>
    <w:sig w:usb0="00000000" w:usb1="00000000" w:usb2="00000000" w:usb3="00000000" w:csb0="00000001" w:csb1="00000000"/>
  </w:font>
  <w:font w:name="Lucida Grande">
    <w:altName w:val="Microsoft Sans Serif"/>
    <w:panose1 w:val="020B0600040502020204"/>
    <w:charset w:val="00"/>
    <w:family w:val="auto"/>
    <w:pitch w:val="default"/>
    <w:sig w:usb0="00000000" w:usb1="00000000" w:usb2="00000000" w:usb3="00000000" w:csb0="000001BF" w:csb1="00000000"/>
  </w:font>
  <w:font w:name="Microsoft Sans Serif">
    <w:panose1 w:val="020B0604020202020204"/>
    <w:charset w:val="00"/>
    <w:family w:val="auto"/>
    <w:pitch w:val="default"/>
    <w:sig w:usb0="E5002EFF" w:usb1="C000605B" w:usb2="00000029" w:usb3="00000000" w:csb0="200101FF" w:csb1="20280000"/>
  </w:font>
  <w:font w:name="AdvPTimes">
    <w:altName w:val="Segoe Print"/>
    <w:panose1 w:val="00000000000000000000"/>
    <w:charset w:val="00"/>
    <w:family w:val="roman"/>
    <w:pitch w:val="default"/>
    <w:sig w:usb0="00000000" w:usb1="00000000" w:usb2="00000000" w:usb3="00000000" w:csb0="00000001" w:csb1="00000000"/>
  </w:font>
  <w:font w:name="AdvTimes-i">
    <w:altName w:val="Segoe Print"/>
    <w:panose1 w:val="00000000000000000000"/>
    <w:charset w:val="00"/>
    <w:family w:val="auto"/>
    <w:pitch w:val="default"/>
    <w:sig w:usb0="00000000" w:usb1="00000000" w:usb2="00000000" w:usb3="00000000" w:csb0="00000001" w:csb1="00000000"/>
  </w:font>
  <w:font w:name="AdvP705F">
    <w:altName w:val="Segoe Print"/>
    <w:panose1 w:val="00000000000000000000"/>
    <w:charset w:val="00"/>
    <w:family w:val="swiss"/>
    <w:pitch w:val="default"/>
    <w:sig w:usb0="00000000" w:usb1="00000000" w:usb2="00000000" w:usb3="00000000" w:csb0="00000001" w:csb1="00000000"/>
  </w:font>
  <w:font w:name="AdvP7627">
    <w:altName w:val="Segoe Print"/>
    <w:panose1 w:val="00000000000000000000"/>
    <w:charset w:val="00"/>
    <w:family w:val="roman"/>
    <w:pitch w:val="default"/>
    <w:sig w:usb0="00000000" w:usb1="00000000" w:usb2="00000000" w:usb3="00000000" w:csb0="00000001" w:csb1="00000000"/>
  </w:font>
  <w:font w:name="Brill">
    <w:altName w:val="Segoe Print"/>
    <w:panose1 w:val="00000000000000000000"/>
    <w:charset w:val="00"/>
    <w:family w:val="auto"/>
    <w:pitch w:val="default"/>
    <w:sig w:usb0="00000000" w:usb1="00000000" w:usb2="00000000" w:usb3="00000000" w:csb0="00000001" w:csb1="00000000"/>
  </w:font>
  <w:font w:name="Brill">
    <w:altName w:val="Segoe Print"/>
    <w:panose1 w:val="00000000000000000000"/>
    <w:charset w:val="EE"/>
    <w:family w:val="auto"/>
    <w:pitch w:val="default"/>
    <w:sig w:usb0="00000000" w:usb1="00000000" w:usb2="00000000" w:usb3="00000000" w:csb0="00000002" w:csb1="00000000"/>
  </w:font>
  <w:font w:name="Segoe Print">
    <w:panose1 w:val="02000600000000000000"/>
    <w:charset w:val="EE"/>
    <w:family w:val="auto"/>
    <w:pitch w:val="default"/>
    <w:sig w:usb0="0000028F" w:usb1="00000000" w:usb2="00000000" w:usb3="00000000" w:csb0="2000009F" w:csb1="47010000"/>
  </w:font>
  <w:font w:name="Arial">
    <w:panose1 w:val="020B0604020202020204"/>
    <w:charset w:val="EE"/>
    <w:family w:val="auto"/>
    <w:pitch w:val="default"/>
    <w:sig w:usb0="E0002EFF" w:usb1="C0007843" w:usb2="00000009" w:usb3="00000000" w:csb0="400001FF" w:csb1="FFFF0000"/>
  </w:font>
  <w:font w:name="Brill">
    <w:altName w:val="Segoe Print"/>
    <w:panose1 w:val="00000000000000000000"/>
    <w:charset w:val="A3"/>
    <w:family w:val="auto"/>
    <w:pitch w:val="default"/>
    <w:sig w:usb0="00000000" w:usb1="00000000" w:usb2="00000000" w:usb3="00000000" w:csb0="00000100" w:csb1="00000000"/>
  </w:font>
  <w:font w:name="Segoe Print">
    <w:panose1 w:val="02000600000000000000"/>
    <w:charset w:val="A3"/>
    <w:family w:val="auto"/>
    <w:pitch w:val="default"/>
    <w:sig w:usb0="0000028F" w:usb1="00000000" w:usb2="00000000" w:usb3="00000000" w:csb0="2000009F" w:csb1="47010000"/>
  </w:font>
  <w:font w:name="Microsoft YaHei">
    <w:panose1 w:val="020B0503020204020204"/>
    <w:charset w:val="86"/>
    <w:family w:val="auto"/>
    <w:pitch w:val="default"/>
    <w:sig w:usb0="80000287" w:usb1="28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2"/>
    </w:pPr>
    <w:r>
      <w:rPr>
        <w:sz w:val="18"/>
      </w:rPr>
      <mc:AlternateContent>
        <mc:Choice Requires="wps">
          <w:drawing>
            <wp:anchor distT="0" distB="0" distL="114300" distR="114300" simplePos="0" relativeHeight="2048" behindDoc="0" locked="0" layoutInCell="1" allowOverlap="1">
              <wp:simplePos x="0" y="0"/>
              <wp:positionH relativeFrom="margin">
                <wp:align>right</wp:align>
              </wp:positionH>
              <wp:positionV relativeFrom="paragraph">
                <wp:posOffset>0</wp:posOffset>
              </wp:positionV>
              <wp:extent cx="1828800" cy="1828800"/>
              <wp:effectExtent l="0" t="0" r="0" b="0"/>
              <wp:wrapNone/>
              <wp:docPr id="2" name="Text Box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2"/>
                            <w:rPr>
                              <w:lang w:val="en-AU"/>
                            </w:rPr>
                          </w:pPr>
                          <w:r>
                            <w:rPr>
                              <w:lang w:val="en-AU"/>
                            </w:rPr>
                            <w:fldChar w:fldCharType="begin"/>
                          </w:r>
                          <w:r>
                            <w:rPr>
                              <w:lang w:val="en-AU"/>
                            </w:rPr>
                            <w:instrText xml:space="preserve"> PAGE  \* MERGEFORMAT </w:instrText>
                          </w:r>
                          <w:r>
                            <w:rPr>
                              <w:lang w:val="en-AU"/>
                            </w:rPr>
                            <w:fldChar w:fldCharType="separate"/>
                          </w:r>
                          <w:r>
                            <w:rPr>
                              <w:lang w:val="en-AU"/>
                            </w:rPr>
                            <w:t>1</w:t>
                          </w:r>
                          <w:r>
                            <w:rPr>
                              <w:lang w:val="en-AU"/>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048;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">
              <v:fill on="f" focussize="0,0"/>
              <v:stroke on="f" weight="0.5pt"/>
              <v:imagedata o:title=""/>
              <o:lock v:ext="edit" aspectratio="f"/>
              <v:textbox inset="0mm,0mm,0mm,0mm" style="mso-fit-shape-to-text:t;">
                <w:txbxContent>
                  <w:p>
                    <w:pPr>
                      <w:pStyle w:val="2"/>
                      <w:rPr>
                        <w:lang w:val="en-AU"/>
                      </w:rPr>
                    </w:pPr>
                    <w:r>
                      <w:rPr>
                        <w:lang w:val="en-AU"/>
                      </w:rPr>
                      <w:fldChar w:fldCharType="begin"/>
                    </w:r>
                    <w:r>
                      <w:rPr>
                        <w:lang w:val="en-AU"/>
                      </w:rPr>
                      <w:instrText xml:space="preserve"> PAGE  \* MERGEFORMAT </w:instrText>
                    </w:r>
                    <w:r>
                      <w:rPr>
                        <w:lang w:val="en-AU"/>
                      </w:rPr>
                      <w:fldChar w:fldCharType="separate"/>
                    </w:r>
                    <w:r>
                      <w:rPr>
                        <w:lang w:val="en-AU"/>
                      </w:rPr>
                      <w:t>1</w:t>
                    </w:r>
                    <w:r>
                      <w:rPr>
                        <w:lang w:val="en-AU"/>
                      </w:rPr>
                      <w:fldChar w:fldCharType="end"/>
                    </w:r>
                  </w:p>
                </w:txbxContent>
              </v:textbox>
            </v:shape>
          </w:pict>
        </mc:Fallback>
      </mc:AlternateConten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rPr>
        <w:rFonts w:hint="default"/>
        <w:lang w:val="en-AU"/>
      </w:rPr>
    </w:pPr>
    <w:r>
      <w:rPr>
        <w:rFonts w:hint="default"/>
        <w:lang w:val="en-AU"/>
      </w:rPr>
      <w:t>TRDL7107 Assignment 3</w:t>
    </w:r>
    <w:r>
      <w:rPr>
        <w:lang w:val="en-AU"/>
      </w:rPr>
      <w:tab/>
    </w:r>
    <w:r>
      <w:rPr>
        <w:lang w:val="en-AU"/>
      </w:rPr>
      <w:tab/>
    </w:r>
    <w:r>
      <w:rPr>
        <w:lang w:val="en-AU"/>
      </w:rPr>
      <w:t xml:space="preserve">Aaron Moratz, Student ID </w:t>
    </w:r>
    <w:r>
      <w:rPr>
        <w:rFonts w:hint="default"/>
        <w:lang w:val="en-AU"/>
      </w:rPr>
      <w:t>1703964</w:t>
    </w:r>
  </w:p>
  <w:p>
    <w:pPr>
      <w:pStyle w:val="3"/>
      <w:rPr>
        <w:rFonts w:hint="default"/>
        <w:lang w:val="en-AU"/>
      </w:rPr>
    </w:pPr>
    <w:r>
      <w:rPr>
        <w:rFonts w:hint="default"/>
        <w:lang w:val="en-AU"/>
      </w:rPr>
      <w:t>Literature Review</w:t>
    </w:r>
  </w:p>
  <w:p>
    <w:pPr>
      <w:pStyle w:val="3"/>
    </w:pPr>
  </w:p>
  <w:p>
    <w:pPr>
      <w:pStyle w:val="3"/>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70"/>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72A27"/>
    <w:rsid w:val="107222AA"/>
    <w:rsid w:val="14D71912"/>
    <w:rsid w:val="1D431603"/>
    <w:rsid w:val="34F91D87"/>
    <w:rsid w:val="3D6F3827"/>
    <w:rsid w:val="42F2357A"/>
    <w:rsid w:val="44F95B44"/>
    <w:rsid w:val="4B5B7BD2"/>
    <w:rsid w:val="4BEA1367"/>
    <w:rsid w:val="506B7791"/>
    <w:rsid w:val="551A5E14"/>
    <w:rsid w:val="661052CD"/>
    <w:rsid w:val="6641135B"/>
    <w:rsid w:val="66535B12"/>
    <w:rsid w:val="6CA85705"/>
    <w:rsid w:val="6ED73EA7"/>
    <w:rsid w:val="738036D7"/>
    <w:rsid w:val="781D0FD5"/>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SimSu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character" w:default="1" w:styleId="5">
    <w:name w:val="Default Paragraph Font"/>
    <w:semiHidden/>
    <w:qFormat/>
    <w:uiPriority w:val="0"/>
  </w:style>
  <w:style w:type="table" w:default="1" w:styleId="8">
    <w:name w:val="Normal Table"/>
    <w:semiHidden/>
    <w:uiPriority w:val="0"/>
    <w:tblPr>
      <w:tblLayout w:type="fixed"/>
      <w:tblCellMar>
        <w:top w:w="0" w:type="dxa"/>
        <w:left w:w="108" w:type="dxa"/>
        <w:bottom w:w="0" w:type="dxa"/>
        <w:right w:w="108" w:type="dxa"/>
      </w:tblCellMar>
    </w:tblPr>
  </w:style>
  <w:style w:type="paragraph" w:styleId="2">
    <w:name w:val="footer"/>
    <w:basedOn w:val="1"/>
    <w:uiPriority w:val="0"/>
    <w:pPr>
      <w:tabs>
        <w:tab w:val="center" w:pos="4153"/>
        <w:tab w:val="right" w:pos="8306"/>
      </w:tabs>
      <w:snapToGrid w:val="0"/>
      <w:jc w:val="left"/>
    </w:pPr>
    <w:rPr>
      <w:sz w:val="18"/>
      <w:szCs w:val="18"/>
    </w:rPr>
  </w:style>
  <w:style w:type="paragraph" w:styleId="3">
    <w:name w:val="header"/>
    <w:basedOn w:val="1"/>
    <w:uiPriority w:val="0"/>
    <w:pPr>
      <w:tabs>
        <w:tab w:val="center" w:pos="4153"/>
        <w:tab w:val="right" w:pos="8306"/>
      </w:tabs>
      <w:snapToGrid w:val="0"/>
    </w:pPr>
    <w:rPr>
      <w:sz w:val="18"/>
      <w:szCs w:val="18"/>
    </w:rPr>
  </w:style>
  <w:style w:type="paragraph" w:styleId="4">
    <w:name w:val="Normal (Web)"/>
    <w:uiPriority w:val="0"/>
    <w:pPr>
      <w:spacing w:before="0" w:beforeAutospacing="1" w:after="0" w:afterAutospacing="1"/>
      <w:ind w:left="0" w:right="0"/>
      <w:jc w:val="left"/>
    </w:pPr>
    <w:rPr>
      <w:rFonts w:ascii="Times New Roman" w:hAnsi="Times New Roman" w:eastAsia="SimSun" w:cs="Times New Roman"/>
      <w:kern w:val="0"/>
      <w:sz w:val="24"/>
      <w:szCs w:val="24"/>
      <w:lang w:val="en-US" w:eastAsia="zh-CN" w:bidi="ar"/>
    </w:rPr>
  </w:style>
  <w:style w:type="character" w:styleId="6">
    <w:name w:val="Hyperlink"/>
    <w:basedOn w:val="5"/>
    <w:uiPriority w:val="0"/>
    <w:rPr>
      <w:color w:val="0000FF"/>
      <w:u w:val="single"/>
    </w:rPr>
  </w:style>
  <w:style w:type="character" w:styleId="7">
    <w:name w:val="Strong"/>
    <w:basedOn w:val="5"/>
    <w:qFormat/>
    <w:uiPriority w:val="0"/>
    <w:rPr>
      <w:b/>
      <w:bCs/>
    </w:rPr>
  </w:style>
  <w:style w:type="paragraph" w:customStyle="1" w:styleId="9">
    <w:name w:val="No Spacing1"/>
    <w:qFormat/>
    <w:uiPriority w:val="1"/>
    <w:rPr>
      <w:rFonts w:ascii="Calibri" w:hAnsi="Calibri" w:eastAsia="Calibri" w:cs="Times New Roman"/>
      <w:sz w:val="22"/>
      <w:szCs w:val="22"/>
      <w:lang w:val="en-AU" w:eastAsia="en-US" w:bidi="ar-SA"/>
    </w:rPr>
  </w:style>
  <w:style w:type="paragraph" w:customStyle="1" w:styleId="10">
    <w:name w:val="Default"/>
    <w:unhideWhenUsed/>
    <w:uiPriority w:val="99"/>
    <w:pPr>
      <w:widowControl w:val="0"/>
      <w:autoSpaceDE w:val="0"/>
      <w:autoSpaceDN w:val="0"/>
      <w:adjustRightInd w:val="0"/>
      <w:spacing w:beforeLines="0" w:afterLines="0"/>
    </w:pPr>
    <w:rPr>
      <w:rFonts w:hint="default" w:ascii="MFFTP R+ Times" w:hAnsi="MFFTP R+ Times" w:eastAsia="MFFTP R+ Times"/>
      <w:color w:val="000000"/>
      <w:sz w:val="24"/>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customXml" Target="../customXml/item1.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Office_10.2.0.5978_F1E327BC-269C-435d-A152-05C5408002CA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2017-11-12T14:43:00Z</dcterms:created>
  <dc:creator>AM</dc:creator>
  <cp:lastModifiedBy>AM</cp:lastModifiedBy>
  <dcterms:modified xsi:type="dcterms:W3CDTF">2017-12-12T13:27:04Z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2057-10.2.0.5978</vt:lpwstr>
  </property>
</Properties>
</file>