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C4AAA" w14:textId="778851E9" w:rsidR="00D4692F" w:rsidRDefault="00D4692F" w:rsidP="004D45A7">
      <w:pPr>
        <w:pBdr>
          <w:bottom w:val="single" w:sz="6" w:space="1" w:color="auto"/>
        </w:pBdr>
        <w:rPr>
          <w:b/>
          <w:bCs/>
          <w:color w:val="7030A0"/>
          <w:sz w:val="28"/>
          <w:szCs w:val="24"/>
        </w:rPr>
      </w:pPr>
      <w:r>
        <w:rPr>
          <w:noProof/>
        </w:rPr>
        <w:drawing>
          <wp:anchor distT="0" distB="0" distL="114300" distR="114300" simplePos="0" relativeHeight="251658240" behindDoc="0" locked="0" layoutInCell="1" allowOverlap="1" wp14:anchorId="24ADFCB4" wp14:editId="43BB5513">
            <wp:simplePos x="0" y="0"/>
            <wp:positionH relativeFrom="margin">
              <wp:align>center</wp:align>
            </wp:positionH>
            <wp:positionV relativeFrom="paragraph">
              <wp:posOffset>-387350</wp:posOffset>
            </wp:positionV>
            <wp:extent cx="2109762" cy="840306"/>
            <wp:effectExtent l="0" t="0" r="5080" b="0"/>
            <wp:wrapNone/>
            <wp:docPr id="639863595" name="Picture 6"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9762" cy="8403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44BCE4" w14:textId="268C8BFD" w:rsidR="00D4692F" w:rsidRDefault="00D4692F" w:rsidP="004D45A7">
      <w:pPr>
        <w:pBdr>
          <w:bottom w:val="single" w:sz="6" w:space="1" w:color="auto"/>
        </w:pBdr>
        <w:rPr>
          <w:b/>
          <w:bCs/>
          <w:color w:val="7030A0"/>
          <w:sz w:val="28"/>
          <w:szCs w:val="24"/>
        </w:rPr>
      </w:pPr>
    </w:p>
    <w:p w14:paraId="598F4712" w14:textId="2E511466" w:rsidR="00640FC1" w:rsidRPr="00640FC1" w:rsidRDefault="00640FC1" w:rsidP="00D4692F">
      <w:pPr>
        <w:pBdr>
          <w:bottom w:val="single" w:sz="6" w:space="1" w:color="auto"/>
        </w:pBdr>
        <w:jc w:val="center"/>
        <w:rPr>
          <w:b/>
          <w:bCs/>
          <w:color w:val="7030A0"/>
          <w:sz w:val="28"/>
          <w:szCs w:val="24"/>
        </w:rPr>
      </w:pPr>
      <w:r w:rsidRPr="00640FC1">
        <w:rPr>
          <w:b/>
          <w:bCs/>
          <w:color w:val="7030A0"/>
          <w:sz w:val="28"/>
          <w:szCs w:val="24"/>
        </w:rPr>
        <w:t>Master of Business Administration</w:t>
      </w:r>
    </w:p>
    <w:p w14:paraId="6117AA57" w14:textId="64799DE5" w:rsidR="00640FC1" w:rsidRDefault="00640FC1" w:rsidP="00D4692F">
      <w:pPr>
        <w:pBdr>
          <w:bottom w:val="single" w:sz="6" w:space="1" w:color="auto"/>
        </w:pBdr>
        <w:jc w:val="center"/>
        <w:rPr>
          <w:b/>
          <w:bCs/>
          <w:color w:val="7030A0"/>
          <w:sz w:val="28"/>
          <w:szCs w:val="24"/>
        </w:rPr>
      </w:pPr>
      <w:r w:rsidRPr="00640FC1">
        <w:rPr>
          <w:b/>
          <w:bCs/>
          <w:color w:val="7030A0"/>
          <w:sz w:val="28"/>
          <w:szCs w:val="24"/>
        </w:rPr>
        <w:t>Module: Strategic Management</w:t>
      </w:r>
    </w:p>
    <w:p w14:paraId="6A6332D5" w14:textId="0BCE0F64" w:rsidR="000C4B1A" w:rsidRDefault="00640FC1" w:rsidP="00D4692F">
      <w:pPr>
        <w:pBdr>
          <w:bottom w:val="single" w:sz="6" w:space="1" w:color="auto"/>
        </w:pBdr>
        <w:jc w:val="center"/>
        <w:rPr>
          <w:b/>
          <w:bCs/>
          <w:color w:val="7030A0"/>
          <w:sz w:val="28"/>
          <w:szCs w:val="24"/>
        </w:rPr>
      </w:pPr>
      <w:r w:rsidRPr="00640FC1">
        <w:rPr>
          <w:b/>
          <w:bCs/>
          <w:color w:val="7030A0"/>
          <w:sz w:val="28"/>
          <w:szCs w:val="24"/>
        </w:rPr>
        <w:t>Module Code: LCMB7003</w:t>
      </w:r>
    </w:p>
    <w:p w14:paraId="7AA1F4FC" w14:textId="1577A880" w:rsidR="000C4B1A" w:rsidRPr="0013418C" w:rsidRDefault="000C4B1A" w:rsidP="004D45A7">
      <w:pPr>
        <w:rPr>
          <w:b/>
          <w:bCs/>
          <w:color w:val="7030A0"/>
          <w:sz w:val="28"/>
          <w:szCs w:val="24"/>
        </w:rPr>
      </w:pPr>
    </w:p>
    <w:p w14:paraId="09D53784" w14:textId="233FA581" w:rsidR="00640FC1" w:rsidRDefault="00640FC1" w:rsidP="00640FC1">
      <w:pPr>
        <w:jc w:val="center"/>
        <w:rPr>
          <w:b/>
          <w:bCs/>
          <w:sz w:val="32"/>
          <w:szCs w:val="28"/>
        </w:rPr>
      </w:pPr>
      <w:r>
        <w:fldChar w:fldCharType="begin"/>
      </w:r>
      <w:r>
        <w:instrText xml:space="preserve"> INCLUDEPICTURE "/Users/ijtehad/Library/Group Containers/UBF8T346G9.ms/WebArchiveCopyPasteTempFiles/com.microsoft.Word/University-of-Wales-Trinity-Saint-David.png" \* MERGEFORMATINET </w:instrText>
      </w:r>
      <w:r w:rsidR="00D41E68">
        <w:fldChar w:fldCharType="separate"/>
      </w:r>
      <w:r>
        <w:fldChar w:fldCharType="end"/>
      </w:r>
    </w:p>
    <w:p w14:paraId="76094AC8" w14:textId="77777777" w:rsidR="00640FC1" w:rsidRDefault="00640FC1" w:rsidP="00640FC1">
      <w:pPr>
        <w:jc w:val="center"/>
        <w:rPr>
          <w:b/>
          <w:bCs/>
          <w:sz w:val="32"/>
          <w:szCs w:val="28"/>
        </w:rPr>
      </w:pPr>
    </w:p>
    <w:p w14:paraId="7636A6BA" w14:textId="53BF8976" w:rsidR="00640FC1" w:rsidRPr="00640FC1" w:rsidRDefault="00640FC1" w:rsidP="00640FC1">
      <w:pPr>
        <w:jc w:val="center"/>
        <w:rPr>
          <w:b/>
          <w:bCs/>
          <w:sz w:val="32"/>
          <w:szCs w:val="28"/>
        </w:rPr>
      </w:pPr>
      <w:r w:rsidRPr="00640FC1">
        <w:rPr>
          <w:b/>
          <w:bCs/>
          <w:sz w:val="32"/>
          <w:szCs w:val="28"/>
        </w:rPr>
        <w:t>Strategic Market Entry Report</w:t>
      </w:r>
    </w:p>
    <w:p w14:paraId="29A72CBA" w14:textId="77777777" w:rsidR="00640FC1" w:rsidRPr="00640FC1" w:rsidRDefault="00640FC1" w:rsidP="00640FC1">
      <w:pPr>
        <w:jc w:val="center"/>
        <w:rPr>
          <w:b/>
          <w:bCs/>
          <w:sz w:val="32"/>
          <w:szCs w:val="28"/>
        </w:rPr>
      </w:pPr>
      <w:r w:rsidRPr="00640FC1">
        <w:rPr>
          <w:b/>
          <w:bCs/>
          <w:sz w:val="32"/>
          <w:szCs w:val="28"/>
        </w:rPr>
        <w:t>Expansion of Greggs plc into the Netherlands</w:t>
      </w:r>
    </w:p>
    <w:p w14:paraId="32405F0F" w14:textId="77777777" w:rsidR="000C4B1A" w:rsidRDefault="000C4B1A" w:rsidP="004D45A7">
      <w:pPr>
        <w:rPr>
          <w:b/>
          <w:bCs/>
        </w:rPr>
      </w:pPr>
    </w:p>
    <w:p w14:paraId="701A71C3" w14:textId="77777777" w:rsidR="00640FC1" w:rsidRDefault="00640FC1" w:rsidP="00640FC1">
      <w:pPr>
        <w:rPr>
          <w:b/>
          <w:bCs/>
        </w:rPr>
      </w:pPr>
    </w:p>
    <w:p w14:paraId="15309B02" w14:textId="77777777" w:rsidR="00640FC1" w:rsidRDefault="00640FC1" w:rsidP="00640FC1">
      <w:pPr>
        <w:rPr>
          <w:b/>
          <w:bCs/>
        </w:rPr>
      </w:pPr>
    </w:p>
    <w:p w14:paraId="2494ADC2" w14:textId="77777777" w:rsidR="00640FC1" w:rsidRDefault="00640FC1" w:rsidP="00640FC1">
      <w:pPr>
        <w:rPr>
          <w:b/>
          <w:bCs/>
        </w:rPr>
      </w:pPr>
    </w:p>
    <w:p w14:paraId="202B3583" w14:textId="39B5F4DC" w:rsidR="00640FC1" w:rsidRPr="00D4692F" w:rsidRDefault="00640FC1" w:rsidP="00D4692F">
      <w:pPr>
        <w:jc w:val="center"/>
        <w:rPr>
          <w:b/>
          <w:bCs/>
        </w:rPr>
      </w:pPr>
      <w:r w:rsidRPr="00640FC1">
        <w:rPr>
          <w:b/>
          <w:bCs/>
        </w:rPr>
        <w:t>Lecturer: Amare Desta</w:t>
      </w:r>
    </w:p>
    <w:p w14:paraId="0759A72E" w14:textId="0CDB25AF" w:rsidR="000C4B1A" w:rsidRPr="0013418C" w:rsidRDefault="000C4B1A" w:rsidP="00D4692F">
      <w:pPr>
        <w:jc w:val="center"/>
        <w:rPr>
          <w:b/>
          <w:bCs/>
        </w:rPr>
      </w:pPr>
      <w:r>
        <w:rPr>
          <w:b/>
          <w:bCs/>
        </w:rPr>
        <w:t xml:space="preserve">Student Name: </w:t>
      </w:r>
      <w:r w:rsidR="00640FC1" w:rsidRPr="00640FC1">
        <w:rPr>
          <w:b/>
          <w:bCs/>
        </w:rPr>
        <w:t>Mouin Uddin</w:t>
      </w:r>
    </w:p>
    <w:p w14:paraId="156F54B9" w14:textId="4F18E66E" w:rsidR="008E36B5" w:rsidRDefault="000C4B1A" w:rsidP="00D4692F">
      <w:pPr>
        <w:jc w:val="center"/>
        <w:rPr>
          <w:b/>
          <w:bCs/>
        </w:rPr>
      </w:pPr>
      <w:r>
        <w:rPr>
          <w:b/>
          <w:bCs/>
        </w:rPr>
        <w:t xml:space="preserve">Student ID: </w:t>
      </w:r>
      <w:r w:rsidR="00640FC1" w:rsidRPr="00640FC1">
        <w:rPr>
          <w:b/>
          <w:bCs/>
        </w:rPr>
        <w:t>2434996</w:t>
      </w:r>
    </w:p>
    <w:p w14:paraId="762C13D4" w14:textId="77777777" w:rsidR="00640FC1" w:rsidRDefault="00640FC1" w:rsidP="004D45A7">
      <w:pPr>
        <w:rPr>
          <w:b/>
          <w:bCs/>
        </w:rPr>
      </w:pPr>
    </w:p>
    <w:p w14:paraId="1B5BDE95" w14:textId="77777777" w:rsidR="00640FC1" w:rsidRDefault="00640FC1" w:rsidP="004D45A7">
      <w:pPr>
        <w:rPr>
          <w:b/>
          <w:bCs/>
        </w:rPr>
      </w:pPr>
    </w:p>
    <w:p w14:paraId="7986677C" w14:textId="77777777" w:rsidR="00640FC1" w:rsidRDefault="00640FC1" w:rsidP="004D45A7">
      <w:pPr>
        <w:rPr>
          <w:b/>
          <w:bCs/>
        </w:rPr>
      </w:pPr>
    </w:p>
    <w:p w14:paraId="5871C383" w14:textId="038E549C" w:rsidR="00640FC1" w:rsidRDefault="00640FC1" w:rsidP="00640FC1">
      <w:pPr>
        <w:jc w:val="center"/>
        <w:rPr>
          <w:b/>
          <w:bCs/>
        </w:rPr>
      </w:pPr>
      <w:r>
        <w:rPr>
          <w:b/>
          <w:bCs/>
        </w:rPr>
        <w:t>Word Count: 5021</w:t>
      </w:r>
    </w:p>
    <w:p w14:paraId="7051185B" w14:textId="0A230E22" w:rsidR="005C6A3B" w:rsidRDefault="00640FC1" w:rsidP="00640FC1">
      <w:pPr>
        <w:jc w:val="center"/>
        <w:rPr>
          <w:b/>
          <w:bCs/>
        </w:rPr>
      </w:pPr>
      <w:r>
        <w:rPr>
          <w:b/>
          <w:bCs/>
        </w:rPr>
        <w:t>Date of Submission:</w:t>
      </w:r>
      <w:bookmarkStart w:id="0" w:name="_Hlk214271077"/>
      <w:r w:rsidR="00D4692F">
        <w:rPr>
          <w:rFonts w:cstheme="minorBidi" w:hint="cs"/>
          <w:b/>
          <w:bCs/>
          <w:cs/>
          <w:lang w:bidi="bn-IN"/>
        </w:rPr>
        <w:t xml:space="preserve"> </w:t>
      </w:r>
      <w:r w:rsidR="002D5E4D">
        <w:rPr>
          <w:rFonts w:cstheme="minorBidi"/>
          <w:b/>
          <w:bCs/>
          <w:lang w:val="en-DE" w:bidi="bn-IN"/>
        </w:rPr>
        <w:t>22</w:t>
      </w:r>
      <w:r w:rsidR="00D4692F">
        <w:rPr>
          <w:rFonts w:cstheme="minorBidi"/>
          <w:b/>
          <w:bCs/>
          <w:lang w:val="en-DE" w:bidi="bn-IN"/>
        </w:rPr>
        <w:t>-12-2025</w:t>
      </w:r>
      <w:r w:rsidR="005C6A3B">
        <w:rPr>
          <w:b/>
          <w:bCs/>
        </w:rPr>
        <w:br w:type="page"/>
      </w:r>
    </w:p>
    <w:p w14:paraId="6CD53CA1" w14:textId="6AA703D8" w:rsidR="00640FC1" w:rsidRPr="00640FC1" w:rsidRDefault="00640FC1" w:rsidP="00640FC1">
      <w:pPr>
        <w:pStyle w:val="TOC1"/>
      </w:pPr>
      <w:r w:rsidRPr="00640FC1">
        <w:lastRenderedPageBreak/>
        <w:t>Table of Contents</w:t>
      </w:r>
    </w:p>
    <w:p w14:paraId="240979F6" w14:textId="730DA08D" w:rsidR="00640FC1" w:rsidRPr="00640FC1" w:rsidRDefault="00640FC1" w:rsidP="00640FC1">
      <w:pPr>
        <w:pStyle w:val="TOC1"/>
        <w:rPr>
          <w:rFonts w:eastAsiaTheme="minorEastAsia"/>
          <w:noProof/>
          <w:lang w:bidi="bn-IN"/>
        </w:rPr>
      </w:pPr>
      <w:r w:rsidRPr="00640FC1">
        <w:fldChar w:fldCharType="begin"/>
      </w:r>
      <w:r w:rsidRPr="00640FC1">
        <w:instrText xml:space="preserve"> TOC \o "1-3" \h \z \u </w:instrText>
      </w:r>
      <w:r w:rsidRPr="00640FC1">
        <w:fldChar w:fldCharType="separate"/>
      </w:r>
      <w:hyperlink w:anchor="_Toc215667921" w:history="1">
        <w:r w:rsidRPr="00640FC1">
          <w:rPr>
            <w:rStyle w:val="Hyperlink"/>
            <w:rFonts w:eastAsiaTheme="majorEastAsia"/>
            <w:b w:val="0"/>
            <w:bCs w:val="0"/>
            <w:noProof/>
            <w:sz w:val="24"/>
            <w:szCs w:val="24"/>
          </w:rPr>
          <w:t>1. Introduction</w:t>
        </w:r>
        <w:r w:rsidRPr="00640FC1">
          <w:rPr>
            <w:noProof/>
            <w:webHidden/>
          </w:rPr>
          <w:tab/>
        </w:r>
        <w:r w:rsidRPr="00640FC1">
          <w:rPr>
            <w:noProof/>
            <w:webHidden/>
          </w:rPr>
          <w:fldChar w:fldCharType="begin"/>
        </w:r>
        <w:r w:rsidRPr="00640FC1">
          <w:rPr>
            <w:noProof/>
            <w:webHidden/>
          </w:rPr>
          <w:instrText xml:space="preserve"> PAGEREF _Toc215667921 \h </w:instrText>
        </w:r>
        <w:r w:rsidRPr="00640FC1">
          <w:rPr>
            <w:noProof/>
            <w:webHidden/>
          </w:rPr>
        </w:r>
        <w:r w:rsidRPr="00640FC1">
          <w:rPr>
            <w:noProof/>
            <w:webHidden/>
          </w:rPr>
          <w:fldChar w:fldCharType="separate"/>
        </w:r>
        <w:r w:rsidRPr="00640FC1">
          <w:rPr>
            <w:noProof/>
            <w:webHidden/>
          </w:rPr>
          <w:t>3</w:t>
        </w:r>
        <w:r w:rsidRPr="00640FC1">
          <w:rPr>
            <w:noProof/>
            <w:webHidden/>
          </w:rPr>
          <w:fldChar w:fldCharType="end"/>
        </w:r>
      </w:hyperlink>
    </w:p>
    <w:p w14:paraId="1A9895F5" w14:textId="5A83149E" w:rsidR="00640FC1" w:rsidRPr="00640FC1" w:rsidRDefault="00D41E68" w:rsidP="00640FC1">
      <w:pPr>
        <w:pStyle w:val="TOC1"/>
        <w:rPr>
          <w:rFonts w:eastAsiaTheme="minorEastAsia"/>
          <w:noProof/>
          <w:lang w:bidi="bn-IN"/>
        </w:rPr>
      </w:pPr>
      <w:hyperlink w:anchor="_Toc215667922" w:history="1">
        <w:r w:rsidR="00640FC1" w:rsidRPr="00640FC1">
          <w:rPr>
            <w:rStyle w:val="Hyperlink"/>
            <w:rFonts w:eastAsiaTheme="majorEastAsia"/>
            <w:b w:val="0"/>
            <w:bCs w:val="0"/>
            <w:noProof/>
            <w:sz w:val="24"/>
            <w:szCs w:val="24"/>
          </w:rPr>
          <w:t>2. Selection of Organisation and Target Market</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_Toc215667922 \h </w:instrText>
        </w:r>
        <w:r w:rsidR="00640FC1" w:rsidRPr="00640FC1">
          <w:rPr>
            <w:noProof/>
            <w:webHidden/>
          </w:rPr>
        </w:r>
        <w:r w:rsidR="00640FC1" w:rsidRPr="00640FC1">
          <w:rPr>
            <w:noProof/>
            <w:webHidden/>
          </w:rPr>
          <w:fldChar w:fldCharType="separate"/>
        </w:r>
        <w:r w:rsidR="00640FC1" w:rsidRPr="00640FC1">
          <w:rPr>
            <w:noProof/>
            <w:webHidden/>
          </w:rPr>
          <w:t>4</w:t>
        </w:r>
        <w:r w:rsidR="00640FC1" w:rsidRPr="00640FC1">
          <w:rPr>
            <w:noProof/>
            <w:webHidden/>
          </w:rPr>
          <w:fldChar w:fldCharType="end"/>
        </w:r>
      </w:hyperlink>
    </w:p>
    <w:p w14:paraId="6ABD8555" w14:textId="3D86E1DC"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23" w:history="1">
        <w:r w:rsidR="00640FC1" w:rsidRPr="00640FC1">
          <w:rPr>
            <w:rStyle w:val="Hyperlink"/>
            <w:rFonts w:ascii="Times New Roman" w:eastAsiaTheme="majorEastAsia" w:hAnsi="Times New Roman" w:cs="Times New Roman"/>
            <w:noProof/>
            <w:sz w:val="24"/>
          </w:rPr>
          <w:t>2.1 Overview of Greggs plc</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_Toc215667923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4</w:t>
        </w:r>
        <w:r w:rsidR="00640FC1" w:rsidRPr="00640FC1">
          <w:rPr>
            <w:rFonts w:ascii="Times New Roman" w:hAnsi="Times New Roman" w:cs="Times New Roman"/>
            <w:noProof/>
            <w:webHidden/>
            <w:sz w:val="24"/>
          </w:rPr>
          <w:fldChar w:fldCharType="end"/>
        </w:r>
      </w:hyperlink>
    </w:p>
    <w:p w14:paraId="03B109F7" w14:textId="03E592EB"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24" w:history="1">
        <w:r w:rsidR="00640FC1" w:rsidRPr="00640FC1">
          <w:rPr>
            <w:rStyle w:val="Hyperlink"/>
            <w:rFonts w:ascii="Times New Roman" w:eastAsiaTheme="majorEastAsia" w:hAnsi="Times New Roman" w:cs="Times New Roman"/>
            <w:noProof/>
            <w:sz w:val="24"/>
          </w:rPr>
          <w:t>2.2 Rationale for International Expansion</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_Toc215667924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4</w:t>
        </w:r>
        <w:r w:rsidR="00640FC1" w:rsidRPr="00640FC1">
          <w:rPr>
            <w:rFonts w:ascii="Times New Roman" w:hAnsi="Times New Roman" w:cs="Times New Roman"/>
            <w:noProof/>
            <w:webHidden/>
            <w:sz w:val="24"/>
          </w:rPr>
          <w:fldChar w:fldCharType="end"/>
        </w:r>
      </w:hyperlink>
    </w:p>
    <w:p w14:paraId="39D7F46A" w14:textId="74DA3253"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25" w:history="1">
        <w:r w:rsidR="00640FC1" w:rsidRPr="00640FC1">
          <w:rPr>
            <w:rStyle w:val="Hyperlink"/>
            <w:rFonts w:ascii="Times New Roman" w:eastAsiaTheme="majorEastAsia" w:hAnsi="Times New Roman" w:cs="Times New Roman"/>
            <w:noProof/>
            <w:sz w:val="24"/>
          </w:rPr>
          <w:t>2.3 Justification for Selecting the Netherlands</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_Toc215667925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5</w:t>
        </w:r>
        <w:r w:rsidR="00640FC1" w:rsidRPr="00640FC1">
          <w:rPr>
            <w:rFonts w:ascii="Times New Roman" w:hAnsi="Times New Roman" w:cs="Times New Roman"/>
            <w:noProof/>
            <w:webHidden/>
            <w:sz w:val="24"/>
          </w:rPr>
          <w:fldChar w:fldCharType="end"/>
        </w:r>
      </w:hyperlink>
    </w:p>
    <w:p w14:paraId="2CC85C61" w14:textId="2103729A" w:rsidR="00640FC1" w:rsidRPr="00640FC1" w:rsidRDefault="00D41E68" w:rsidP="00640FC1">
      <w:pPr>
        <w:pStyle w:val="TOC1"/>
        <w:rPr>
          <w:rFonts w:eastAsiaTheme="minorEastAsia"/>
          <w:noProof/>
          <w:lang w:bidi="bn-IN"/>
        </w:rPr>
      </w:pPr>
      <w:hyperlink w:anchor="_Toc215667926" w:history="1">
        <w:r w:rsidR="00640FC1" w:rsidRPr="00640FC1">
          <w:rPr>
            <w:rStyle w:val="Hyperlink"/>
            <w:rFonts w:eastAsiaTheme="majorEastAsia"/>
            <w:b w:val="0"/>
            <w:bCs w:val="0"/>
            <w:noProof/>
            <w:sz w:val="24"/>
            <w:szCs w:val="24"/>
          </w:rPr>
          <w:t>3. Comprehensive Strategic Analysis</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_Toc215667926 \h </w:instrText>
        </w:r>
        <w:r w:rsidR="00640FC1" w:rsidRPr="00640FC1">
          <w:rPr>
            <w:noProof/>
            <w:webHidden/>
          </w:rPr>
        </w:r>
        <w:r w:rsidR="00640FC1" w:rsidRPr="00640FC1">
          <w:rPr>
            <w:noProof/>
            <w:webHidden/>
          </w:rPr>
          <w:fldChar w:fldCharType="separate"/>
        </w:r>
        <w:r w:rsidR="00640FC1" w:rsidRPr="00640FC1">
          <w:rPr>
            <w:noProof/>
            <w:webHidden/>
          </w:rPr>
          <w:t>6</w:t>
        </w:r>
        <w:r w:rsidR="00640FC1" w:rsidRPr="00640FC1">
          <w:rPr>
            <w:noProof/>
            <w:webHidden/>
          </w:rPr>
          <w:fldChar w:fldCharType="end"/>
        </w:r>
      </w:hyperlink>
    </w:p>
    <w:p w14:paraId="1D8CAEDC" w14:textId="6A230C30"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27" w:history="1">
        <w:r w:rsidR="00640FC1" w:rsidRPr="00640FC1">
          <w:rPr>
            <w:rStyle w:val="Hyperlink"/>
            <w:rFonts w:ascii="Times New Roman" w:eastAsiaTheme="majorEastAsia" w:hAnsi="Times New Roman" w:cs="Times New Roman"/>
            <w:noProof/>
            <w:sz w:val="24"/>
          </w:rPr>
          <w:t>3.1 Macro-Environmental Analysis: PESTLE</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_Toc215667927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6</w:t>
        </w:r>
        <w:r w:rsidR="00640FC1" w:rsidRPr="00640FC1">
          <w:rPr>
            <w:rFonts w:ascii="Times New Roman" w:hAnsi="Times New Roman" w:cs="Times New Roman"/>
            <w:noProof/>
            <w:webHidden/>
            <w:sz w:val="24"/>
          </w:rPr>
          <w:fldChar w:fldCharType="end"/>
        </w:r>
      </w:hyperlink>
    </w:p>
    <w:p w14:paraId="391CFB8C" w14:textId="13ADBD28"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28" w:history="1">
        <w:r w:rsidR="00640FC1" w:rsidRPr="00640FC1">
          <w:rPr>
            <w:rStyle w:val="Hyperlink"/>
            <w:rFonts w:ascii="Times New Roman" w:eastAsiaTheme="majorEastAsia" w:hAnsi="Times New Roman" w:cs="Times New Roman"/>
            <w:noProof/>
            <w:sz w:val="24"/>
          </w:rPr>
          <w:t>3.2 Industry &amp; Competitive Analysis (Porter’s Five Forces)</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_Toc215667928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8</w:t>
        </w:r>
        <w:r w:rsidR="00640FC1" w:rsidRPr="00640FC1">
          <w:rPr>
            <w:rFonts w:ascii="Times New Roman" w:hAnsi="Times New Roman" w:cs="Times New Roman"/>
            <w:noProof/>
            <w:webHidden/>
            <w:sz w:val="24"/>
          </w:rPr>
          <w:fldChar w:fldCharType="end"/>
        </w:r>
      </w:hyperlink>
    </w:p>
    <w:p w14:paraId="27EB0A98" w14:textId="0F99C70F"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29" w:history="1">
        <w:r w:rsidR="00640FC1" w:rsidRPr="00640FC1">
          <w:rPr>
            <w:rStyle w:val="Hyperlink"/>
            <w:rFonts w:ascii="Times New Roman" w:eastAsiaTheme="majorEastAsia" w:hAnsi="Times New Roman" w:cs="Times New Roman"/>
            <w:noProof/>
            <w:sz w:val="24"/>
          </w:rPr>
          <w:t>3.3 Internal Strategic Capability Analysis (VRIO)</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_Toc215667929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10</w:t>
        </w:r>
        <w:r w:rsidR="00640FC1" w:rsidRPr="00640FC1">
          <w:rPr>
            <w:rFonts w:ascii="Times New Roman" w:hAnsi="Times New Roman" w:cs="Times New Roman"/>
            <w:noProof/>
            <w:webHidden/>
            <w:sz w:val="24"/>
          </w:rPr>
          <w:fldChar w:fldCharType="end"/>
        </w:r>
      </w:hyperlink>
    </w:p>
    <w:p w14:paraId="7F022FCC" w14:textId="4C3A81F8" w:rsidR="00640FC1" w:rsidRPr="00640FC1" w:rsidRDefault="00D41E68" w:rsidP="00640FC1">
      <w:pPr>
        <w:pStyle w:val="TOC1"/>
        <w:rPr>
          <w:rFonts w:eastAsiaTheme="minorEastAsia"/>
          <w:noProof/>
          <w:lang w:bidi="bn-IN"/>
        </w:rPr>
      </w:pPr>
      <w:hyperlink w:anchor="_Toc215667930" w:history="1">
        <w:r w:rsidR="00640FC1" w:rsidRPr="00640FC1">
          <w:rPr>
            <w:rStyle w:val="Hyperlink"/>
            <w:rFonts w:eastAsiaTheme="majorEastAsia"/>
            <w:b w:val="0"/>
            <w:bCs w:val="0"/>
            <w:noProof/>
            <w:sz w:val="24"/>
            <w:szCs w:val="24"/>
          </w:rPr>
          <w:t>3.4 Additional Strategic Tools</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_Toc215667930 \h </w:instrText>
        </w:r>
        <w:r w:rsidR="00640FC1" w:rsidRPr="00640FC1">
          <w:rPr>
            <w:noProof/>
            <w:webHidden/>
          </w:rPr>
        </w:r>
        <w:r w:rsidR="00640FC1" w:rsidRPr="00640FC1">
          <w:rPr>
            <w:noProof/>
            <w:webHidden/>
          </w:rPr>
          <w:fldChar w:fldCharType="separate"/>
        </w:r>
        <w:r w:rsidR="00640FC1" w:rsidRPr="00640FC1">
          <w:rPr>
            <w:noProof/>
            <w:webHidden/>
          </w:rPr>
          <w:t>11</w:t>
        </w:r>
        <w:r w:rsidR="00640FC1" w:rsidRPr="00640FC1">
          <w:rPr>
            <w:noProof/>
            <w:webHidden/>
          </w:rPr>
          <w:fldChar w:fldCharType="end"/>
        </w:r>
      </w:hyperlink>
    </w:p>
    <w:p w14:paraId="11F0A95C" w14:textId="777D615D"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31" w:history="1">
        <w:r w:rsidR="00640FC1" w:rsidRPr="00640FC1">
          <w:rPr>
            <w:rStyle w:val="Hyperlink"/>
            <w:rFonts w:ascii="Times New Roman" w:eastAsiaTheme="majorEastAsia" w:hAnsi="Times New Roman" w:cs="Times New Roman"/>
            <w:noProof/>
            <w:sz w:val="24"/>
          </w:rPr>
          <w:t>3.4.1 Porter’s Generic Strategy Fit</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_Toc215667931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11</w:t>
        </w:r>
        <w:r w:rsidR="00640FC1" w:rsidRPr="00640FC1">
          <w:rPr>
            <w:rFonts w:ascii="Times New Roman" w:hAnsi="Times New Roman" w:cs="Times New Roman"/>
            <w:noProof/>
            <w:webHidden/>
            <w:sz w:val="24"/>
          </w:rPr>
          <w:fldChar w:fldCharType="end"/>
        </w:r>
      </w:hyperlink>
    </w:p>
    <w:p w14:paraId="589DF8D3" w14:textId="2C9230B0" w:rsidR="00640FC1" w:rsidRPr="00640FC1" w:rsidRDefault="00D41E68">
      <w:pPr>
        <w:pStyle w:val="TOC3"/>
        <w:tabs>
          <w:tab w:val="right" w:leader="dot" w:pos="9016"/>
        </w:tabs>
        <w:rPr>
          <w:rFonts w:ascii="Times New Roman" w:eastAsiaTheme="minorEastAsia" w:hAnsi="Times New Roman" w:cs="Times New Roman"/>
          <w:i w:val="0"/>
          <w:iCs w:val="0"/>
          <w:noProof/>
          <w:sz w:val="24"/>
          <w:lang w:bidi="bn-IN"/>
        </w:rPr>
      </w:pPr>
      <w:hyperlink w:anchor="_Toc215667932" w:history="1">
        <w:r w:rsidR="00640FC1" w:rsidRPr="00640FC1">
          <w:rPr>
            <w:rStyle w:val="Hyperlink"/>
            <w:rFonts w:ascii="Times New Roman" w:eastAsiaTheme="majorEastAsia" w:hAnsi="Times New Roman" w:cs="Times New Roman"/>
            <w:noProof/>
            <w:sz w:val="24"/>
          </w:rPr>
          <w:t>3.4.2 Ansoff Matrix – Market Development Strategy</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_Toc215667932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12</w:t>
        </w:r>
        <w:r w:rsidR="00640FC1" w:rsidRPr="00640FC1">
          <w:rPr>
            <w:rFonts w:ascii="Times New Roman" w:hAnsi="Times New Roman" w:cs="Times New Roman"/>
            <w:noProof/>
            <w:webHidden/>
            <w:sz w:val="24"/>
          </w:rPr>
          <w:fldChar w:fldCharType="end"/>
        </w:r>
      </w:hyperlink>
    </w:p>
    <w:p w14:paraId="3F5F9EA7" w14:textId="3A6818EE" w:rsidR="00640FC1" w:rsidRPr="00640FC1" w:rsidRDefault="00D41E68">
      <w:pPr>
        <w:pStyle w:val="TOC3"/>
        <w:tabs>
          <w:tab w:val="right" w:leader="dot" w:pos="9016"/>
        </w:tabs>
        <w:rPr>
          <w:rFonts w:ascii="Times New Roman" w:eastAsiaTheme="minorEastAsia" w:hAnsi="Times New Roman" w:cs="Times New Roman"/>
          <w:i w:val="0"/>
          <w:iCs w:val="0"/>
          <w:noProof/>
          <w:sz w:val="24"/>
          <w:lang w:bidi="bn-IN"/>
        </w:rPr>
      </w:pPr>
      <w:hyperlink w:anchor="_Toc215667933" w:history="1">
        <w:r w:rsidR="00640FC1" w:rsidRPr="00640FC1">
          <w:rPr>
            <w:rStyle w:val="Hyperlink"/>
            <w:rFonts w:ascii="Times New Roman" w:eastAsiaTheme="majorEastAsia" w:hAnsi="Times New Roman" w:cs="Times New Roman"/>
            <w:noProof/>
            <w:sz w:val="24"/>
          </w:rPr>
          <w:t>3.4.3 Critical Reflection on the Tools Used</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_Toc215667933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12</w:t>
        </w:r>
        <w:r w:rsidR="00640FC1" w:rsidRPr="00640FC1">
          <w:rPr>
            <w:rFonts w:ascii="Times New Roman" w:hAnsi="Times New Roman" w:cs="Times New Roman"/>
            <w:noProof/>
            <w:webHidden/>
            <w:sz w:val="24"/>
          </w:rPr>
          <w:fldChar w:fldCharType="end"/>
        </w:r>
      </w:hyperlink>
    </w:p>
    <w:p w14:paraId="52564B00" w14:textId="217F0C57" w:rsidR="00640FC1" w:rsidRPr="00640FC1" w:rsidRDefault="00D41E68" w:rsidP="00640FC1">
      <w:pPr>
        <w:pStyle w:val="TOC1"/>
        <w:rPr>
          <w:rFonts w:eastAsiaTheme="minorEastAsia"/>
          <w:noProof/>
          <w:lang w:bidi="bn-IN"/>
        </w:rPr>
      </w:pPr>
      <w:hyperlink w:anchor="_Toc215667934" w:history="1">
        <w:r w:rsidR="00640FC1" w:rsidRPr="00640FC1">
          <w:rPr>
            <w:rStyle w:val="Hyperlink"/>
            <w:rFonts w:eastAsiaTheme="majorEastAsia"/>
            <w:b w:val="0"/>
            <w:bCs w:val="0"/>
            <w:noProof/>
            <w:sz w:val="24"/>
            <w:szCs w:val="24"/>
          </w:rPr>
          <w:t>4. Strategy Development &amp; Formulation</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_Toc215667934 \h </w:instrText>
        </w:r>
        <w:r w:rsidR="00640FC1" w:rsidRPr="00640FC1">
          <w:rPr>
            <w:noProof/>
            <w:webHidden/>
          </w:rPr>
        </w:r>
        <w:r w:rsidR="00640FC1" w:rsidRPr="00640FC1">
          <w:rPr>
            <w:noProof/>
            <w:webHidden/>
          </w:rPr>
          <w:fldChar w:fldCharType="separate"/>
        </w:r>
        <w:r w:rsidR="00640FC1" w:rsidRPr="00640FC1">
          <w:rPr>
            <w:noProof/>
            <w:webHidden/>
          </w:rPr>
          <w:t>12</w:t>
        </w:r>
        <w:r w:rsidR="00640FC1" w:rsidRPr="00640FC1">
          <w:rPr>
            <w:noProof/>
            <w:webHidden/>
          </w:rPr>
          <w:fldChar w:fldCharType="end"/>
        </w:r>
      </w:hyperlink>
    </w:p>
    <w:p w14:paraId="53883323" w14:textId="2255806A"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35" w:history="1">
        <w:r w:rsidR="00640FC1" w:rsidRPr="00640FC1">
          <w:rPr>
            <w:rStyle w:val="Hyperlink"/>
            <w:rFonts w:ascii="Times New Roman" w:eastAsiaTheme="majorEastAsia" w:hAnsi="Times New Roman" w:cs="Times New Roman"/>
            <w:noProof/>
            <w:sz w:val="24"/>
          </w:rPr>
          <w:t>4.1 Strategic Objectives for Netherlands Market Entry</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_Toc215667935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12</w:t>
        </w:r>
        <w:r w:rsidR="00640FC1" w:rsidRPr="00640FC1">
          <w:rPr>
            <w:rFonts w:ascii="Times New Roman" w:hAnsi="Times New Roman" w:cs="Times New Roman"/>
            <w:noProof/>
            <w:webHidden/>
            <w:sz w:val="24"/>
          </w:rPr>
          <w:fldChar w:fldCharType="end"/>
        </w:r>
      </w:hyperlink>
    </w:p>
    <w:p w14:paraId="2B1EB463" w14:textId="399F63D9"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36" w:history="1">
        <w:r w:rsidR="00640FC1" w:rsidRPr="00640FC1">
          <w:rPr>
            <w:rStyle w:val="Hyperlink"/>
            <w:rFonts w:ascii="Times New Roman" w:eastAsiaTheme="majorEastAsia" w:hAnsi="Times New Roman" w:cs="Times New Roman"/>
            <w:noProof/>
            <w:sz w:val="24"/>
          </w:rPr>
          <w:t>4.2 Entry Mode Strategy</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_Toc215667936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12</w:t>
        </w:r>
        <w:r w:rsidR="00640FC1" w:rsidRPr="00640FC1">
          <w:rPr>
            <w:rFonts w:ascii="Times New Roman" w:hAnsi="Times New Roman" w:cs="Times New Roman"/>
            <w:noProof/>
            <w:webHidden/>
            <w:sz w:val="24"/>
          </w:rPr>
          <w:fldChar w:fldCharType="end"/>
        </w:r>
      </w:hyperlink>
    </w:p>
    <w:p w14:paraId="53FAF84E" w14:textId="1F54906C"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37" w:history="1">
        <w:r w:rsidR="00640FC1" w:rsidRPr="00640FC1">
          <w:rPr>
            <w:rStyle w:val="Hyperlink"/>
            <w:rFonts w:ascii="Times New Roman" w:eastAsiaTheme="majorEastAsia" w:hAnsi="Times New Roman" w:cs="Times New Roman"/>
            <w:noProof/>
            <w:sz w:val="24"/>
          </w:rPr>
          <w:t>4.3 Competitive Strategy (Porter’s Generic Strategy)</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_Toc215667937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13</w:t>
        </w:r>
        <w:r w:rsidR="00640FC1" w:rsidRPr="00640FC1">
          <w:rPr>
            <w:rFonts w:ascii="Times New Roman" w:hAnsi="Times New Roman" w:cs="Times New Roman"/>
            <w:noProof/>
            <w:webHidden/>
            <w:sz w:val="24"/>
          </w:rPr>
          <w:fldChar w:fldCharType="end"/>
        </w:r>
      </w:hyperlink>
    </w:p>
    <w:p w14:paraId="5E14A6F8" w14:textId="4E49A21F"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38" w:history="1">
        <w:r w:rsidR="00640FC1" w:rsidRPr="00640FC1">
          <w:rPr>
            <w:rStyle w:val="Hyperlink"/>
            <w:rFonts w:ascii="Times New Roman" w:eastAsiaTheme="majorEastAsia" w:hAnsi="Times New Roman" w:cs="Times New Roman"/>
            <w:noProof/>
            <w:sz w:val="24"/>
          </w:rPr>
          <w:t>4.4 Market Positioning &amp; Value Proposition</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_Toc215667938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14</w:t>
        </w:r>
        <w:r w:rsidR="00640FC1" w:rsidRPr="00640FC1">
          <w:rPr>
            <w:rFonts w:ascii="Times New Roman" w:hAnsi="Times New Roman" w:cs="Times New Roman"/>
            <w:noProof/>
            <w:webHidden/>
            <w:sz w:val="24"/>
          </w:rPr>
          <w:fldChar w:fldCharType="end"/>
        </w:r>
      </w:hyperlink>
    </w:p>
    <w:p w14:paraId="595661BE" w14:textId="0EA54F0D"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39" w:history="1">
        <w:r w:rsidR="00640FC1" w:rsidRPr="00640FC1">
          <w:rPr>
            <w:rStyle w:val="Hyperlink"/>
            <w:rFonts w:ascii="Times New Roman" w:eastAsiaTheme="majorEastAsia" w:hAnsi="Times New Roman" w:cs="Times New Roman"/>
            <w:noProof/>
            <w:sz w:val="24"/>
          </w:rPr>
          <w:t>4.5 Marketing &amp; Product Localisation Strategy</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_Toc215667939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15</w:t>
        </w:r>
        <w:r w:rsidR="00640FC1" w:rsidRPr="00640FC1">
          <w:rPr>
            <w:rFonts w:ascii="Times New Roman" w:hAnsi="Times New Roman" w:cs="Times New Roman"/>
            <w:noProof/>
            <w:webHidden/>
            <w:sz w:val="24"/>
          </w:rPr>
          <w:fldChar w:fldCharType="end"/>
        </w:r>
      </w:hyperlink>
    </w:p>
    <w:p w14:paraId="61F09435" w14:textId="42B54522"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40" w:history="1">
        <w:r w:rsidR="00640FC1" w:rsidRPr="00640FC1">
          <w:rPr>
            <w:rStyle w:val="Hyperlink"/>
            <w:rFonts w:ascii="Times New Roman" w:eastAsiaTheme="majorEastAsia" w:hAnsi="Times New Roman" w:cs="Times New Roman"/>
            <w:noProof/>
            <w:sz w:val="24"/>
          </w:rPr>
          <w:t>4.6 Supply Chain &amp; Operations Strategy</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_Toc215667940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16</w:t>
        </w:r>
        <w:r w:rsidR="00640FC1" w:rsidRPr="00640FC1">
          <w:rPr>
            <w:rFonts w:ascii="Times New Roman" w:hAnsi="Times New Roman" w:cs="Times New Roman"/>
            <w:noProof/>
            <w:webHidden/>
            <w:sz w:val="24"/>
          </w:rPr>
          <w:fldChar w:fldCharType="end"/>
        </w:r>
      </w:hyperlink>
    </w:p>
    <w:p w14:paraId="65729B74" w14:textId="310EBED5" w:rsidR="00640FC1" w:rsidRPr="00640FC1" w:rsidRDefault="00D41E68" w:rsidP="00640FC1">
      <w:pPr>
        <w:pStyle w:val="TOC1"/>
        <w:rPr>
          <w:rFonts w:eastAsiaTheme="minorEastAsia"/>
          <w:noProof/>
          <w:lang w:bidi="bn-IN"/>
        </w:rPr>
      </w:pPr>
      <w:hyperlink w:anchor="_Toc215667941" w:history="1">
        <w:r w:rsidR="00640FC1" w:rsidRPr="00640FC1">
          <w:rPr>
            <w:rStyle w:val="Hyperlink"/>
            <w:rFonts w:eastAsiaTheme="majorEastAsia"/>
            <w:b w:val="0"/>
            <w:bCs w:val="0"/>
            <w:noProof/>
            <w:sz w:val="24"/>
            <w:szCs w:val="24"/>
          </w:rPr>
          <w:t>5. Performance Evaluation Framework</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_Toc215667941 \h </w:instrText>
        </w:r>
        <w:r w:rsidR="00640FC1" w:rsidRPr="00640FC1">
          <w:rPr>
            <w:noProof/>
            <w:webHidden/>
          </w:rPr>
        </w:r>
        <w:r w:rsidR="00640FC1" w:rsidRPr="00640FC1">
          <w:rPr>
            <w:noProof/>
            <w:webHidden/>
          </w:rPr>
          <w:fldChar w:fldCharType="separate"/>
        </w:r>
        <w:r w:rsidR="00640FC1" w:rsidRPr="00640FC1">
          <w:rPr>
            <w:noProof/>
            <w:webHidden/>
          </w:rPr>
          <w:t>16</w:t>
        </w:r>
        <w:r w:rsidR="00640FC1" w:rsidRPr="00640FC1">
          <w:rPr>
            <w:noProof/>
            <w:webHidden/>
          </w:rPr>
          <w:fldChar w:fldCharType="end"/>
        </w:r>
      </w:hyperlink>
    </w:p>
    <w:p w14:paraId="78C2A80C" w14:textId="4F16E837"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42" w:history="1">
        <w:r w:rsidR="00640FC1" w:rsidRPr="00640FC1">
          <w:rPr>
            <w:rStyle w:val="Hyperlink"/>
            <w:rFonts w:ascii="Times New Roman" w:eastAsiaTheme="majorEastAsia" w:hAnsi="Times New Roman" w:cs="Times New Roman"/>
            <w:noProof/>
            <w:sz w:val="24"/>
          </w:rPr>
          <w:t>5.1 Choice of Framework (Balanced Scorecard)</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_Toc215667942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16</w:t>
        </w:r>
        <w:r w:rsidR="00640FC1" w:rsidRPr="00640FC1">
          <w:rPr>
            <w:rFonts w:ascii="Times New Roman" w:hAnsi="Times New Roman" w:cs="Times New Roman"/>
            <w:noProof/>
            <w:webHidden/>
            <w:sz w:val="24"/>
          </w:rPr>
          <w:fldChar w:fldCharType="end"/>
        </w:r>
      </w:hyperlink>
    </w:p>
    <w:p w14:paraId="5EB5DEAD" w14:textId="5589C397"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43" w:history="1">
        <w:r w:rsidR="00640FC1" w:rsidRPr="00640FC1">
          <w:rPr>
            <w:rStyle w:val="Hyperlink"/>
            <w:rFonts w:ascii="Times New Roman" w:eastAsiaTheme="majorEastAsia" w:hAnsi="Times New Roman" w:cs="Times New Roman"/>
            <w:noProof/>
            <w:sz w:val="24"/>
          </w:rPr>
          <w:t>5.2 BSC Perspective: Financial KPIs</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_Toc215667943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17</w:t>
        </w:r>
        <w:r w:rsidR="00640FC1" w:rsidRPr="00640FC1">
          <w:rPr>
            <w:rFonts w:ascii="Times New Roman" w:hAnsi="Times New Roman" w:cs="Times New Roman"/>
            <w:noProof/>
            <w:webHidden/>
            <w:sz w:val="24"/>
          </w:rPr>
          <w:fldChar w:fldCharType="end"/>
        </w:r>
      </w:hyperlink>
    </w:p>
    <w:p w14:paraId="022C7888" w14:textId="3490EABB"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44" w:history="1">
        <w:r w:rsidR="00640FC1" w:rsidRPr="00640FC1">
          <w:rPr>
            <w:rStyle w:val="Hyperlink"/>
            <w:rFonts w:ascii="Times New Roman" w:eastAsiaTheme="majorEastAsia" w:hAnsi="Times New Roman" w:cs="Times New Roman"/>
            <w:noProof/>
            <w:sz w:val="24"/>
          </w:rPr>
          <w:t>5.3 BSC Perspective: Customer KPIs</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_Toc215667944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17</w:t>
        </w:r>
        <w:r w:rsidR="00640FC1" w:rsidRPr="00640FC1">
          <w:rPr>
            <w:rFonts w:ascii="Times New Roman" w:hAnsi="Times New Roman" w:cs="Times New Roman"/>
            <w:noProof/>
            <w:webHidden/>
            <w:sz w:val="24"/>
          </w:rPr>
          <w:fldChar w:fldCharType="end"/>
        </w:r>
      </w:hyperlink>
    </w:p>
    <w:p w14:paraId="7F18992C" w14:textId="195225C2"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45" w:history="1">
        <w:r w:rsidR="00640FC1" w:rsidRPr="00640FC1">
          <w:rPr>
            <w:rStyle w:val="Hyperlink"/>
            <w:rFonts w:ascii="Times New Roman" w:eastAsiaTheme="majorEastAsia" w:hAnsi="Times New Roman" w:cs="Times New Roman"/>
            <w:noProof/>
            <w:sz w:val="24"/>
          </w:rPr>
          <w:t>5.4 BSC Perspective: Internal Process KPIs</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_Toc215667945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18</w:t>
        </w:r>
        <w:r w:rsidR="00640FC1" w:rsidRPr="00640FC1">
          <w:rPr>
            <w:rFonts w:ascii="Times New Roman" w:hAnsi="Times New Roman" w:cs="Times New Roman"/>
            <w:noProof/>
            <w:webHidden/>
            <w:sz w:val="24"/>
          </w:rPr>
          <w:fldChar w:fldCharType="end"/>
        </w:r>
      </w:hyperlink>
    </w:p>
    <w:p w14:paraId="6DB92DC9" w14:textId="10A14184" w:rsidR="00640FC1" w:rsidRPr="00640FC1" w:rsidRDefault="00D41E68">
      <w:pPr>
        <w:pStyle w:val="TOC2"/>
        <w:tabs>
          <w:tab w:val="right" w:leader="dot" w:pos="9016"/>
        </w:tabs>
        <w:rPr>
          <w:rFonts w:ascii="Times New Roman" w:eastAsiaTheme="minorEastAsia" w:hAnsi="Times New Roman" w:cs="Times New Roman"/>
          <w:smallCaps w:val="0"/>
          <w:noProof/>
          <w:sz w:val="24"/>
          <w:lang w:bidi="bn-IN"/>
        </w:rPr>
      </w:pPr>
      <w:hyperlink w:anchor="_Toc215667946" w:history="1">
        <w:r w:rsidR="00640FC1" w:rsidRPr="00640FC1">
          <w:rPr>
            <w:rStyle w:val="Hyperlink"/>
            <w:rFonts w:ascii="Times New Roman" w:eastAsiaTheme="majorEastAsia" w:hAnsi="Times New Roman" w:cs="Times New Roman"/>
            <w:noProof/>
            <w:sz w:val="24"/>
          </w:rPr>
          <w:t>5.5 BSC Perspective: Learning &amp; Growth KPIs</w:t>
        </w:r>
        <w:r w:rsidR="00640FC1" w:rsidRPr="00640FC1">
          <w:rPr>
            <w:rFonts w:ascii="Times New Roman" w:hAnsi="Times New Roman" w:cs="Times New Roman"/>
            <w:noProof/>
            <w:webHidden/>
            <w:sz w:val="24"/>
          </w:rPr>
          <w:tab/>
        </w:r>
        <w:r w:rsidR="00640FC1" w:rsidRPr="00640FC1">
          <w:rPr>
            <w:rFonts w:ascii="Times New Roman" w:hAnsi="Times New Roman" w:cs="Times New Roman"/>
            <w:noProof/>
            <w:webHidden/>
            <w:sz w:val="24"/>
          </w:rPr>
          <w:fldChar w:fldCharType="begin"/>
        </w:r>
        <w:r w:rsidR="00640FC1" w:rsidRPr="00640FC1">
          <w:rPr>
            <w:rFonts w:ascii="Times New Roman" w:hAnsi="Times New Roman" w:cs="Times New Roman"/>
            <w:noProof/>
            <w:webHidden/>
            <w:sz w:val="24"/>
          </w:rPr>
          <w:instrText xml:space="preserve"> PAGEREF _Toc215667946 \h </w:instrText>
        </w:r>
        <w:r w:rsidR="00640FC1" w:rsidRPr="00640FC1">
          <w:rPr>
            <w:rFonts w:ascii="Times New Roman" w:hAnsi="Times New Roman" w:cs="Times New Roman"/>
            <w:noProof/>
            <w:webHidden/>
            <w:sz w:val="24"/>
          </w:rPr>
        </w:r>
        <w:r w:rsidR="00640FC1" w:rsidRPr="00640FC1">
          <w:rPr>
            <w:rFonts w:ascii="Times New Roman" w:hAnsi="Times New Roman" w:cs="Times New Roman"/>
            <w:noProof/>
            <w:webHidden/>
            <w:sz w:val="24"/>
          </w:rPr>
          <w:fldChar w:fldCharType="separate"/>
        </w:r>
        <w:r w:rsidR="00640FC1" w:rsidRPr="00640FC1">
          <w:rPr>
            <w:rFonts w:ascii="Times New Roman" w:hAnsi="Times New Roman" w:cs="Times New Roman"/>
            <w:noProof/>
            <w:webHidden/>
            <w:sz w:val="24"/>
          </w:rPr>
          <w:t>18</w:t>
        </w:r>
        <w:r w:rsidR="00640FC1" w:rsidRPr="00640FC1">
          <w:rPr>
            <w:rFonts w:ascii="Times New Roman" w:hAnsi="Times New Roman" w:cs="Times New Roman"/>
            <w:noProof/>
            <w:webHidden/>
            <w:sz w:val="24"/>
          </w:rPr>
          <w:fldChar w:fldCharType="end"/>
        </w:r>
      </w:hyperlink>
    </w:p>
    <w:p w14:paraId="741E7213" w14:textId="3525B384" w:rsidR="00640FC1" w:rsidRPr="00640FC1" w:rsidRDefault="00D41E68" w:rsidP="00640FC1">
      <w:pPr>
        <w:pStyle w:val="TOC1"/>
        <w:rPr>
          <w:rFonts w:eastAsiaTheme="minorEastAsia"/>
          <w:noProof/>
          <w:lang w:bidi="bn-IN"/>
        </w:rPr>
      </w:pPr>
      <w:hyperlink w:anchor="_Toc215667947" w:history="1">
        <w:r w:rsidR="00640FC1" w:rsidRPr="00640FC1">
          <w:rPr>
            <w:rStyle w:val="Hyperlink"/>
            <w:rFonts w:eastAsiaTheme="majorEastAsia"/>
            <w:b w:val="0"/>
            <w:bCs w:val="0"/>
            <w:noProof/>
            <w:sz w:val="24"/>
            <w:szCs w:val="24"/>
          </w:rPr>
          <w:t>6. Discussion: Strategic Integration &amp; Implementation Considerations</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_Toc215667947 \h </w:instrText>
        </w:r>
        <w:r w:rsidR="00640FC1" w:rsidRPr="00640FC1">
          <w:rPr>
            <w:noProof/>
            <w:webHidden/>
          </w:rPr>
        </w:r>
        <w:r w:rsidR="00640FC1" w:rsidRPr="00640FC1">
          <w:rPr>
            <w:noProof/>
            <w:webHidden/>
          </w:rPr>
          <w:fldChar w:fldCharType="separate"/>
        </w:r>
        <w:r w:rsidR="00640FC1" w:rsidRPr="00640FC1">
          <w:rPr>
            <w:noProof/>
            <w:webHidden/>
          </w:rPr>
          <w:t>19</w:t>
        </w:r>
        <w:r w:rsidR="00640FC1" w:rsidRPr="00640FC1">
          <w:rPr>
            <w:noProof/>
            <w:webHidden/>
          </w:rPr>
          <w:fldChar w:fldCharType="end"/>
        </w:r>
      </w:hyperlink>
    </w:p>
    <w:p w14:paraId="4F0B3F0F" w14:textId="7015118A" w:rsidR="00640FC1" w:rsidRPr="00640FC1" w:rsidRDefault="00D41E68" w:rsidP="00640FC1">
      <w:pPr>
        <w:pStyle w:val="TOC1"/>
        <w:rPr>
          <w:rFonts w:eastAsiaTheme="minorEastAsia"/>
          <w:noProof/>
          <w:lang w:bidi="bn-IN"/>
        </w:rPr>
      </w:pPr>
      <w:hyperlink w:anchor="_Toc215667948" w:history="1">
        <w:r w:rsidR="00640FC1" w:rsidRPr="00640FC1">
          <w:rPr>
            <w:rStyle w:val="Hyperlink"/>
            <w:rFonts w:eastAsiaTheme="majorEastAsia"/>
            <w:b w:val="0"/>
            <w:bCs w:val="0"/>
            <w:noProof/>
            <w:sz w:val="24"/>
            <w:szCs w:val="24"/>
          </w:rPr>
          <w:t>7. Conclusion</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_Toc215667948 \h </w:instrText>
        </w:r>
        <w:r w:rsidR="00640FC1" w:rsidRPr="00640FC1">
          <w:rPr>
            <w:noProof/>
            <w:webHidden/>
          </w:rPr>
        </w:r>
        <w:r w:rsidR="00640FC1" w:rsidRPr="00640FC1">
          <w:rPr>
            <w:noProof/>
            <w:webHidden/>
          </w:rPr>
          <w:fldChar w:fldCharType="separate"/>
        </w:r>
        <w:r w:rsidR="00640FC1" w:rsidRPr="00640FC1">
          <w:rPr>
            <w:noProof/>
            <w:webHidden/>
          </w:rPr>
          <w:t>20</w:t>
        </w:r>
        <w:r w:rsidR="00640FC1" w:rsidRPr="00640FC1">
          <w:rPr>
            <w:noProof/>
            <w:webHidden/>
          </w:rPr>
          <w:fldChar w:fldCharType="end"/>
        </w:r>
      </w:hyperlink>
    </w:p>
    <w:p w14:paraId="7D7EFB89" w14:textId="6E62981C" w:rsidR="00640FC1" w:rsidRPr="00640FC1" w:rsidRDefault="00D41E68" w:rsidP="00640FC1">
      <w:pPr>
        <w:pStyle w:val="TOC1"/>
        <w:rPr>
          <w:rFonts w:eastAsiaTheme="minorEastAsia"/>
          <w:noProof/>
          <w:lang w:bidi="bn-IN"/>
        </w:rPr>
      </w:pPr>
      <w:hyperlink w:anchor="_Toc215667949" w:history="1">
        <w:r w:rsidR="00640FC1" w:rsidRPr="00640FC1">
          <w:rPr>
            <w:rStyle w:val="Hyperlink"/>
            <w:rFonts w:eastAsiaTheme="majorEastAsia"/>
            <w:b w:val="0"/>
            <w:bCs w:val="0"/>
            <w:noProof/>
            <w:sz w:val="24"/>
            <w:szCs w:val="24"/>
          </w:rPr>
          <w:t>8. References</w:t>
        </w:r>
        <w:r w:rsidR="00640FC1" w:rsidRPr="00640FC1">
          <w:rPr>
            <w:noProof/>
            <w:webHidden/>
          </w:rPr>
          <w:tab/>
        </w:r>
        <w:r w:rsidR="00640FC1" w:rsidRPr="00640FC1">
          <w:rPr>
            <w:noProof/>
            <w:webHidden/>
          </w:rPr>
          <w:fldChar w:fldCharType="begin"/>
        </w:r>
        <w:r w:rsidR="00640FC1" w:rsidRPr="00640FC1">
          <w:rPr>
            <w:noProof/>
            <w:webHidden/>
          </w:rPr>
          <w:instrText xml:space="preserve"> PAGEREF _Toc215667949 \h </w:instrText>
        </w:r>
        <w:r w:rsidR="00640FC1" w:rsidRPr="00640FC1">
          <w:rPr>
            <w:noProof/>
            <w:webHidden/>
          </w:rPr>
        </w:r>
        <w:r w:rsidR="00640FC1" w:rsidRPr="00640FC1">
          <w:rPr>
            <w:noProof/>
            <w:webHidden/>
          </w:rPr>
          <w:fldChar w:fldCharType="separate"/>
        </w:r>
        <w:r w:rsidR="00640FC1" w:rsidRPr="00640FC1">
          <w:rPr>
            <w:noProof/>
            <w:webHidden/>
          </w:rPr>
          <w:t>21</w:t>
        </w:r>
        <w:r w:rsidR="00640FC1" w:rsidRPr="00640FC1">
          <w:rPr>
            <w:noProof/>
            <w:webHidden/>
          </w:rPr>
          <w:fldChar w:fldCharType="end"/>
        </w:r>
      </w:hyperlink>
    </w:p>
    <w:p w14:paraId="49F39E60" w14:textId="0B84B5DA" w:rsidR="005C6A3B" w:rsidRDefault="00640FC1" w:rsidP="005C6A3B">
      <w:r w:rsidRPr="00640FC1">
        <w:rPr>
          <w:szCs w:val="24"/>
        </w:rPr>
        <w:fldChar w:fldCharType="end"/>
      </w:r>
      <w:r w:rsidR="005C6A3B">
        <w:br w:type="page"/>
      </w:r>
    </w:p>
    <w:p w14:paraId="220F9D82" w14:textId="77777777" w:rsidR="005C6A3B" w:rsidRPr="00B31170" w:rsidRDefault="005C6A3B" w:rsidP="005C6A3B">
      <w:pPr>
        <w:pStyle w:val="Heading1"/>
      </w:pPr>
      <w:bookmarkStart w:id="1" w:name="_Toc215667704"/>
      <w:bookmarkStart w:id="2" w:name="_Toc215667921"/>
      <w:r w:rsidRPr="00B31170">
        <w:lastRenderedPageBreak/>
        <w:t>1. Introduction</w:t>
      </w:r>
      <w:bookmarkEnd w:id="1"/>
      <w:bookmarkEnd w:id="2"/>
    </w:p>
    <w:p w14:paraId="4C1A512D" w14:textId="69A16802" w:rsidR="005C6A3B" w:rsidRPr="00B31170" w:rsidRDefault="00811600" w:rsidP="005C6A3B">
      <w:pPr>
        <w:rPr>
          <w:color w:val="000000"/>
        </w:rPr>
      </w:pPr>
      <w:r w:rsidRPr="00811600">
        <w:rPr>
          <w:color w:val="000000"/>
        </w:rPr>
        <w:t>Gregg’s plc is a major competitor in the food-to-go retailing industry in the United Kingdom that is characteri</w:t>
      </w:r>
      <w:r>
        <w:rPr>
          <w:color w:val="000000"/>
        </w:rPr>
        <w:t>s</w:t>
      </w:r>
      <w:r w:rsidRPr="00811600">
        <w:rPr>
          <w:color w:val="000000"/>
        </w:rPr>
        <w:t xml:space="preserve">ed by low prices, convenience, and a strong bakery tradition. However, the domestic market has started to be saturated, and this limits the potential </w:t>
      </w:r>
      <w:r>
        <w:rPr>
          <w:color w:val="000000"/>
        </w:rPr>
        <w:t>for</w:t>
      </w:r>
      <w:r w:rsidRPr="00811600">
        <w:rPr>
          <w:color w:val="000000"/>
        </w:rPr>
        <w:t xml:space="preserve"> further growth. As a reaction to changing lifestyles of the consumers and a growing shift towards demanding fast, value-based food, global business development becomes one of the available options in the context of sustainable long-term development (Mio, Costantini and Panfilo, 2022). This report aims </w:t>
      </w:r>
      <w:r>
        <w:rPr>
          <w:color w:val="000000"/>
        </w:rPr>
        <w:t>to</w:t>
      </w:r>
      <w:r w:rsidRPr="00811600">
        <w:rPr>
          <w:color w:val="000000"/>
        </w:rPr>
        <w:t xml:space="preserve"> develop an evidence</w:t>
      </w:r>
      <w:r>
        <w:rPr>
          <w:color w:val="000000"/>
        </w:rPr>
        <w:t>-</w:t>
      </w:r>
      <w:r w:rsidRPr="00811600">
        <w:rPr>
          <w:color w:val="000000"/>
        </w:rPr>
        <w:t xml:space="preserve">based market-entry strategy </w:t>
      </w:r>
      <w:r>
        <w:rPr>
          <w:color w:val="000000"/>
        </w:rPr>
        <w:t>for</w:t>
      </w:r>
      <w:r w:rsidRPr="00811600">
        <w:rPr>
          <w:color w:val="000000"/>
        </w:rPr>
        <w:t xml:space="preserve"> Greggs. The discussion will be focused on the Netherlands</w:t>
      </w:r>
      <w:r>
        <w:rPr>
          <w:color w:val="000000"/>
        </w:rPr>
        <w:t>,</w:t>
      </w:r>
      <w:r w:rsidRPr="00811600">
        <w:rPr>
          <w:color w:val="000000"/>
        </w:rPr>
        <w:t xml:space="preserve"> </w:t>
      </w:r>
      <w:r>
        <w:rPr>
          <w:color w:val="000000"/>
        </w:rPr>
        <w:t>which</w:t>
      </w:r>
      <w:r w:rsidRPr="00811600">
        <w:rPr>
          <w:color w:val="000000"/>
        </w:rPr>
        <w:t xml:space="preserve"> is a market that is well aligned with the operational strengths and product orientation of Greggs. Strategic frameworks are used to review the external environment, </w:t>
      </w:r>
      <w:r>
        <w:rPr>
          <w:color w:val="000000"/>
        </w:rPr>
        <w:t xml:space="preserve">the </w:t>
      </w:r>
      <w:r w:rsidRPr="00811600">
        <w:rPr>
          <w:color w:val="000000"/>
        </w:rPr>
        <w:t>competitive environment, and the internal capabilities. Then, the proper entry strategy is developed, along with performance metrics that are meant to support the successful implementation</w:t>
      </w:r>
      <w:r w:rsidR="005C6A3B" w:rsidRPr="00B31170">
        <w:rPr>
          <w:color w:val="000000"/>
        </w:rPr>
        <w:t>.</w:t>
      </w:r>
    </w:p>
    <w:p w14:paraId="28A91A18" w14:textId="77777777" w:rsidR="005C6A3B" w:rsidRPr="00B31170" w:rsidRDefault="005C6A3B" w:rsidP="005C6A3B">
      <w:pPr>
        <w:rPr>
          <w:color w:val="000000"/>
        </w:rPr>
      </w:pPr>
    </w:p>
    <w:p w14:paraId="488ECA37" w14:textId="77777777" w:rsidR="005C6A3B" w:rsidRDefault="005C6A3B">
      <w:pPr>
        <w:spacing w:before="0" w:after="160" w:line="259" w:lineRule="auto"/>
        <w:jc w:val="left"/>
        <w:rPr>
          <w:bCs/>
          <w:color w:val="000000"/>
        </w:rPr>
      </w:pPr>
      <w:r>
        <w:rPr>
          <w:bCs/>
          <w:color w:val="000000"/>
        </w:rPr>
        <w:br w:type="page"/>
      </w:r>
    </w:p>
    <w:p w14:paraId="7A5AD006" w14:textId="68741677" w:rsidR="005C6A3B" w:rsidRPr="00B31170" w:rsidRDefault="005C6A3B" w:rsidP="005C6A3B">
      <w:pPr>
        <w:pStyle w:val="Heading1"/>
      </w:pPr>
      <w:bookmarkStart w:id="3" w:name="_Toc215667705"/>
      <w:bookmarkStart w:id="4" w:name="_Toc215667922"/>
      <w:r w:rsidRPr="00B31170">
        <w:lastRenderedPageBreak/>
        <w:t>2. Selection of Organisation and Target Market</w:t>
      </w:r>
      <w:bookmarkEnd w:id="3"/>
      <w:bookmarkEnd w:id="4"/>
    </w:p>
    <w:p w14:paraId="08EB770F" w14:textId="77777777" w:rsidR="005C6A3B" w:rsidRPr="00B31170" w:rsidRDefault="005C6A3B" w:rsidP="005C6A3B">
      <w:pPr>
        <w:pStyle w:val="Heading2"/>
      </w:pPr>
      <w:bookmarkStart w:id="5" w:name="_Toc215667706"/>
      <w:bookmarkStart w:id="6" w:name="_Toc215667923"/>
      <w:r w:rsidRPr="00B31170">
        <w:t>2.1 Overview of Greggs plc</w:t>
      </w:r>
      <w:bookmarkEnd w:id="5"/>
      <w:bookmarkEnd w:id="6"/>
    </w:p>
    <w:p w14:paraId="06D6D81D" w14:textId="7D0F0375" w:rsidR="0056762E" w:rsidRDefault="0056762E" w:rsidP="005C6A3B">
      <w:pPr>
        <w:rPr>
          <w:color w:val="000000"/>
        </w:rPr>
      </w:pPr>
      <w:r w:rsidRPr="0056762E">
        <w:rPr>
          <w:color w:val="000000"/>
        </w:rPr>
        <w:t xml:space="preserve">Gregg’s </w:t>
      </w:r>
      <w:r>
        <w:rPr>
          <w:color w:val="000000"/>
        </w:rPr>
        <w:t>PLC</w:t>
      </w:r>
      <w:r w:rsidRPr="0056762E">
        <w:rPr>
          <w:color w:val="000000"/>
        </w:rPr>
        <w:t xml:space="preserve"> is a critical player in the food-to-go retailer based on </w:t>
      </w:r>
      <w:r>
        <w:rPr>
          <w:color w:val="000000"/>
        </w:rPr>
        <w:t xml:space="preserve">a </w:t>
      </w:r>
      <w:r w:rsidRPr="0056762E">
        <w:rPr>
          <w:color w:val="000000"/>
        </w:rPr>
        <w:t xml:space="preserve">bakery in the United Kingdom. </w:t>
      </w:r>
      <w:r>
        <w:rPr>
          <w:color w:val="000000"/>
        </w:rPr>
        <w:t>Its</w:t>
      </w:r>
      <w:r w:rsidRPr="0056762E">
        <w:rPr>
          <w:color w:val="000000"/>
        </w:rPr>
        <w:t xml:space="preserve"> business model is essentially based on delivering fresh, cheap, and convenient bakery products to customers who prefer rapidity and simplicity</w:t>
      </w:r>
      <w:r>
        <w:rPr>
          <w:color w:val="000000"/>
        </w:rPr>
        <w:t xml:space="preserve"> </w:t>
      </w:r>
      <w:r w:rsidRPr="00B31170">
        <w:rPr>
          <w:color w:val="000000"/>
        </w:rPr>
        <w:t xml:space="preserve">(Chatterjee </w:t>
      </w:r>
      <w:r w:rsidRPr="00B31170">
        <w:rPr>
          <w:i/>
          <w:iCs/>
          <w:color w:val="000000"/>
        </w:rPr>
        <w:t>et al.</w:t>
      </w:r>
      <w:r w:rsidRPr="00B31170">
        <w:rPr>
          <w:color w:val="000000"/>
        </w:rPr>
        <w:t>, 2022)</w:t>
      </w:r>
      <w:r w:rsidRPr="0056762E">
        <w:rPr>
          <w:color w:val="000000"/>
        </w:rPr>
        <w:t>. The company has an integrated supply chain with the centralised bakeries providing a network of thousands of stores in the country</w:t>
      </w:r>
      <w:r>
        <w:rPr>
          <w:color w:val="000000"/>
        </w:rPr>
        <w:t>,</w:t>
      </w:r>
      <w:r w:rsidRPr="0056762E">
        <w:rPr>
          <w:color w:val="000000"/>
        </w:rPr>
        <w:t xml:space="preserve"> which ensures high quality control, waste reduction and standard prices. Moreover, Greggs can be credited with its strong value proposition that includes </w:t>
      </w:r>
      <w:r>
        <w:rPr>
          <w:color w:val="000000"/>
        </w:rPr>
        <w:t xml:space="preserve">low-priced </w:t>
      </w:r>
      <w:r w:rsidRPr="0056762E">
        <w:rPr>
          <w:color w:val="000000"/>
        </w:rPr>
        <w:t xml:space="preserve">dishes of low price, breakfast offers, and </w:t>
      </w:r>
      <w:r>
        <w:rPr>
          <w:color w:val="000000"/>
        </w:rPr>
        <w:t xml:space="preserve">a </w:t>
      </w:r>
      <w:r w:rsidRPr="0056762E">
        <w:rPr>
          <w:color w:val="000000"/>
        </w:rPr>
        <w:t>gradually growing vegan catalogue.</w:t>
      </w:r>
    </w:p>
    <w:p w14:paraId="4AB292D6" w14:textId="59F4F82E" w:rsidR="005C6A3B" w:rsidRPr="00B31170" w:rsidRDefault="005C6A3B" w:rsidP="005C6A3B">
      <w:pPr>
        <w:rPr>
          <w:color w:val="000000"/>
        </w:rPr>
      </w:pPr>
      <w:r w:rsidRPr="00B31170">
        <w:rPr>
          <w:color w:val="000000"/>
        </w:rPr>
        <w:t>On the economic front</w:t>
      </w:r>
      <w:r>
        <w:rPr>
          <w:color w:val="000000"/>
        </w:rPr>
        <w:t>,</w:t>
      </w:r>
      <w:r w:rsidRPr="00B31170">
        <w:rPr>
          <w:color w:val="000000"/>
        </w:rPr>
        <w:t xml:space="preserve"> Greggs has shown great strength. It has recorded a steadily increasing revenue growth over the last ten years, enhanced by the extended working hours, frequent store refurbishments, and the increasing pace of digital sales (Rahayu </w:t>
      </w:r>
      <w:r w:rsidRPr="00B31170">
        <w:rPr>
          <w:i/>
          <w:iCs/>
          <w:color w:val="000000"/>
        </w:rPr>
        <w:t>et al.</w:t>
      </w:r>
      <w:r w:rsidRPr="00B31170">
        <w:rPr>
          <w:color w:val="000000"/>
        </w:rPr>
        <w:t>, 2023). The company has expanded its retail presence</w:t>
      </w:r>
      <w:r>
        <w:rPr>
          <w:color w:val="000000"/>
        </w:rPr>
        <w:t>,</w:t>
      </w:r>
      <w:r w:rsidRPr="00B31170">
        <w:rPr>
          <w:color w:val="000000"/>
        </w:rPr>
        <w:t xml:space="preserve"> passing through, in many cases, high-traffic transport ports and cities. This financial strength is providing Greggs with a sense of assurance and the ability to consider going international.</w:t>
      </w:r>
    </w:p>
    <w:p w14:paraId="3FB7ED57" w14:textId="77777777" w:rsidR="005C6A3B" w:rsidRPr="00B31170" w:rsidRDefault="005C6A3B" w:rsidP="005C6A3B">
      <w:pPr>
        <w:rPr>
          <w:color w:val="000000"/>
        </w:rPr>
      </w:pPr>
      <w:r w:rsidRPr="00B31170">
        <w:rPr>
          <w:color w:val="000000"/>
        </w:rPr>
        <w:t xml:space="preserve">Greggs has developed strong logistics, menu standardisation and retail efficiency capabilities operationally. The advantages of centralised production are the high economies of scale and its supply chain ensures the availability of the products (Betto </w:t>
      </w:r>
      <w:r w:rsidRPr="00B31170">
        <w:rPr>
          <w:i/>
          <w:iCs/>
          <w:color w:val="000000"/>
        </w:rPr>
        <w:t>et al.</w:t>
      </w:r>
      <w:r w:rsidRPr="00B31170">
        <w:rPr>
          <w:color w:val="000000"/>
        </w:rPr>
        <w:t>, 2022). The organisation also makes investments in digital solutions - such as mobile ordering systems and loyalty reward programmes in order to improve the customer experience. These skills place Greggs in a favourable position to have an international expansion that is well-managed and controlled.</w:t>
      </w:r>
    </w:p>
    <w:p w14:paraId="0E18F508" w14:textId="77777777" w:rsidR="005C6A3B" w:rsidRPr="00B31170" w:rsidRDefault="005C6A3B" w:rsidP="005C6A3B">
      <w:pPr>
        <w:rPr>
          <w:color w:val="000000"/>
        </w:rPr>
      </w:pPr>
    </w:p>
    <w:p w14:paraId="6E7CDFE3" w14:textId="77777777" w:rsidR="005C6A3B" w:rsidRPr="00B31170" w:rsidRDefault="005C6A3B" w:rsidP="005C6A3B">
      <w:pPr>
        <w:pStyle w:val="Heading2"/>
      </w:pPr>
      <w:bookmarkStart w:id="7" w:name="_Toc215667707"/>
      <w:bookmarkStart w:id="8" w:name="_Toc215667924"/>
      <w:r w:rsidRPr="00B31170">
        <w:t>2.2 Rationale for International Expansion</w:t>
      </w:r>
      <w:bookmarkEnd w:id="7"/>
      <w:bookmarkEnd w:id="8"/>
    </w:p>
    <w:p w14:paraId="47A5F935" w14:textId="322D5767" w:rsidR="005C6A3B" w:rsidRPr="00B31170" w:rsidRDefault="005C6A3B" w:rsidP="005C6A3B">
      <w:pPr>
        <w:rPr>
          <w:color w:val="000000"/>
        </w:rPr>
      </w:pPr>
      <w:r w:rsidRPr="00B31170">
        <w:rPr>
          <w:color w:val="000000"/>
        </w:rPr>
        <w:t>Greggs is now facing a mature and highly competitive domestic environment. The density of stores is high, and the chances of extending growth to the domestic area seem limited. In addition, the changing customer expectations are putting pressure to be innovative and diversified. Organi</w:t>
      </w:r>
      <w:r>
        <w:rPr>
          <w:color w:val="000000"/>
        </w:rPr>
        <w:t>s</w:t>
      </w:r>
      <w:r w:rsidRPr="00B31170">
        <w:rPr>
          <w:color w:val="000000"/>
        </w:rPr>
        <w:t>ational expansion internationally has offered Greggs the prospect of new sources of revenue, decreased long</w:t>
      </w:r>
      <w:r>
        <w:rPr>
          <w:color w:val="000000"/>
        </w:rPr>
        <w:t>-</w:t>
      </w:r>
      <w:r w:rsidRPr="00B31170">
        <w:rPr>
          <w:color w:val="000000"/>
        </w:rPr>
        <w:t xml:space="preserve">term risk, and expanded brand image (Gattino </w:t>
      </w:r>
      <w:r w:rsidRPr="00B31170">
        <w:rPr>
          <w:i/>
          <w:iCs/>
          <w:color w:val="000000"/>
        </w:rPr>
        <w:t>et al.</w:t>
      </w:r>
      <w:r w:rsidRPr="00B31170">
        <w:rPr>
          <w:color w:val="000000"/>
        </w:rPr>
        <w:t>, 2023). This plan is in line with the overall goal of the company in a</w:t>
      </w:r>
      <w:r>
        <w:rPr>
          <w:color w:val="000000"/>
        </w:rPr>
        <w:t>ss</w:t>
      </w:r>
      <w:r w:rsidRPr="00B31170">
        <w:rPr>
          <w:color w:val="000000"/>
        </w:rPr>
        <w:t xml:space="preserve">essing expansion prospects </w:t>
      </w:r>
      <w:r w:rsidRPr="00B31170">
        <w:rPr>
          <w:color w:val="000000"/>
        </w:rPr>
        <w:lastRenderedPageBreak/>
        <w:t>outside the traditional markets. Expansion to a new country will enable Greggs to implement its already tested model in a new environment where the need for fast and inexpensive food keeps growing, thus sustaining long-term sustainability and competitiveness.</w:t>
      </w:r>
    </w:p>
    <w:p w14:paraId="455635C1" w14:textId="77777777" w:rsidR="005C6A3B" w:rsidRPr="00B31170" w:rsidRDefault="005C6A3B" w:rsidP="005C6A3B">
      <w:pPr>
        <w:pStyle w:val="Heading2"/>
      </w:pPr>
      <w:bookmarkStart w:id="9" w:name="_Toc215667708"/>
      <w:bookmarkStart w:id="10" w:name="_Toc215667925"/>
      <w:r w:rsidRPr="00B31170">
        <w:t>2.3 Justification for Selecting the Netherlands</w:t>
      </w:r>
      <w:bookmarkEnd w:id="9"/>
      <w:bookmarkEnd w:id="10"/>
    </w:p>
    <w:p w14:paraId="4BD182CE" w14:textId="56EF38DC" w:rsidR="005C6A3B" w:rsidRPr="00B31170" w:rsidRDefault="005C6A3B" w:rsidP="005C6A3B">
      <w:pPr>
        <w:rPr>
          <w:color w:val="000000"/>
        </w:rPr>
      </w:pPr>
      <w:r w:rsidRPr="00B31170">
        <w:rPr>
          <w:color w:val="000000"/>
        </w:rPr>
        <w:t xml:space="preserve">The Netherlands is a very lucrative market for Greggs. It also has a powerful bakery and coffee culture, where customers love to have fast foods, pastry, and hot drinks on their way to work, or on work breaks, which are behaviours that Greggs can capitalise on (Banovic </w:t>
      </w:r>
      <w:r w:rsidRPr="00B31170">
        <w:rPr>
          <w:i/>
          <w:iCs/>
          <w:color w:val="000000"/>
        </w:rPr>
        <w:t>et al.</w:t>
      </w:r>
      <w:r w:rsidRPr="00B31170">
        <w:rPr>
          <w:color w:val="000000"/>
        </w:rPr>
        <w:t>, 2022). Dutch cities have their high-footfall zones and transport networks, which Greggs will prefer as the location of their stores. Also, the economic stability and high purchasing power of the country only enhance the possibility of success.</w:t>
      </w:r>
    </w:p>
    <w:p w14:paraId="2BD4315F" w14:textId="32653693" w:rsidR="005C6A3B" w:rsidRPr="00B31170" w:rsidRDefault="005C6A3B" w:rsidP="005C6A3B">
      <w:pPr>
        <w:rPr>
          <w:color w:val="000000"/>
        </w:rPr>
      </w:pPr>
      <w:r w:rsidRPr="00B31170">
        <w:rPr>
          <w:color w:val="000000"/>
        </w:rPr>
        <w:t xml:space="preserve">Dutch consumers appreciate low prices, convenience and simple food selection as part of their culture, which aligns well with the Greggs model of low pricing and fast service. The fact that the Netherlands is close to the United Kingdom enables logistics and diminishes the risks of expansion in the early stages (Henn </w:t>
      </w:r>
      <w:r w:rsidRPr="00B31170">
        <w:rPr>
          <w:i/>
          <w:iCs/>
          <w:color w:val="000000"/>
        </w:rPr>
        <w:t>et al.</w:t>
      </w:r>
      <w:r w:rsidRPr="00B31170">
        <w:rPr>
          <w:color w:val="000000"/>
        </w:rPr>
        <w:t>, 2022). The English proficiency level is high, which can help Greggs to communicate its brand. The consumer behaviour in the Dutch quick-service food sector has witnessed the rising interest in on-the-go consumption and affordable food. All these will make the Netherlands a reasonable and strategically viable first global entry point by Greggs.</w:t>
      </w:r>
    </w:p>
    <w:p w14:paraId="0676DA23" w14:textId="77777777" w:rsidR="005C6A3B" w:rsidRPr="00B31170" w:rsidRDefault="005C6A3B" w:rsidP="005C6A3B">
      <w:pPr>
        <w:pStyle w:val="Heading1"/>
      </w:pPr>
      <w:bookmarkStart w:id="11" w:name="_Toc215667709"/>
      <w:bookmarkStart w:id="12" w:name="_Toc215667926"/>
      <w:r w:rsidRPr="00B31170">
        <w:lastRenderedPageBreak/>
        <w:t>3. Comprehensive Strategic Analysis</w:t>
      </w:r>
      <w:bookmarkEnd w:id="11"/>
      <w:bookmarkEnd w:id="12"/>
      <w:r w:rsidRPr="00B31170">
        <w:t> </w:t>
      </w:r>
    </w:p>
    <w:p w14:paraId="189B3547" w14:textId="77777777" w:rsidR="005C6A3B" w:rsidRPr="00B31170" w:rsidRDefault="005C6A3B" w:rsidP="005C6A3B">
      <w:pPr>
        <w:pStyle w:val="Heading2"/>
      </w:pPr>
      <w:bookmarkStart w:id="13" w:name="_Toc215667710"/>
      <w:bookmarkStart w:id="14" w:name="_Toc215667927"/>
      <w:r w:rsidRPr="00B31170">
        <w:t>3.1 Macro-Environmental Analysis: PESTLE</w:t>
      </w:r>
      <w:bookmarkEnd w:id="13"/>
      <w:bookmarkEnd w:id="14"/>
    </w:p>
    <w:p w14:paraId="4CFA4F5B" w14:textId="77777777" w:rsidR="001B4723" w:rsidRDefault="001B4723" w:rsidP="001B4723">
      <w:pPr>
        <w:keepNext/>
        <w:jc w:val="center"/>
      </w:pPr>
      <w:r>
        <w:fldChar w:fldCharType="begin"/>
      </w:r>
      <w:r>
        <w:instrText xml:space="preserve"> INCLUDEPICTURE "/Users/ijtehad/Library/Group Containers/UBF8T346G9.ms/WebArchiveCopyPasteTempFiles/com.microsoft.Word/PESTEL.jpg" \* MERGEFORMATINET </w:instrText>
      </w:r>
      <w:r>
        <w:fldChar w:fldCharType="separate"/>
      </w:r>
      <w:r>
        <w:rPr>
          <w:noProof/>
        </w:rPr>
        <w:drawing>
          <wp:inline distT="0" distB="0" distL="0" distR="0" wp14:anchorId="2D6F3E72" wp14:editId="1ED75513">
            <wp:extent cx="5731510" cy="3234690"/>
            <wp:effectExtent l="0" t="0" r="0" b="3810"/>
            <wp:docPr id="1857882517" name="Picture 5"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EL Analysis (PEST Analysis) EXPLAINED with EXAMPLES | B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34690"/>
                    </a:xfrm>
                    <a:prstGeom prst="rect">
                      <a:avLst/>
                    </a:prstGeom>
                    <a:noFill/>
                    <a:ln>
                      <a:noFill/>
                    </a:ln>
                  </pic:spPr>
                </pic:pic>
              </a:graphicData>
            </a:graphic>
          </wp:inline>
        </w:drawing>
      </w:r>
      <w:r>
        <w:fldChar w:fldCharType="end"/>
      </w:r>
    </w:p>
    <w:p w14:paraId="7D7C3106" w14:textId="170BF679" w:rsidR="001B4723" w:rsidRDefault="001B4723" w:rsidP="001B4723">
      <w:pPr>
        <w:pStyle w:val="Caption"/>
        <w:rPr>
          <w:lang w:val="en-US"/>
        </w:rPr>
      </w:pPr>
      <w:r>
        <w:t xml:space="preserve">Figure </w:t>
      </w:r>
      <w:r>
        <w:fldChar w:fldCharType="begin"/>
      </w:r>
      <w:r>
        <w:instrText xml:space="preserve"> SEQ Figure \* ARABIC </w:instrText>
      </w:r>
      <w:r>
        <w:fldChar w:fldCharType="separate"/>
      </w:r>
      <w:r>
        <w:t>1</w:t>
      </w:r>
      <w:r>
        <w:fldChar w:fldCharType="end"/>
      </w:r>
      <w:r>
        <w:rPr>
          <w:lang w:val="en-US"/>
        </w:rPr>
        <w:t xml:space="preserve">: </w:t>
      </w:r>
      <w:r w:rsidRPr="009D25B0">
        <w:rPr>
          <w:lang w:val="en-US"/>
        </w:rPr>
        <w:t>PESTLE</w:t>
      </w:r>
      <w:r>
        <w:rPr>
          <w:lang w:val="en-US"/>
        </w:rPr>
        <w:t xml:space="preserve"> Analysis</w:t>
      </w:r>
    </w:p>
    <w:p w14:paraId="5EBF525C" w14:textId="52A7768F" w:rsidR="001B4723" w:rsidRDefault="001B4723" w:rsidP="001B4723">
      <w:pPr>
        <w:pStyle w:val="Caption"/>
        <w:rPr>
          <w:b w:val="0"/>
          <w:color w:val="000000"/>
        </w:rPr>
      </w:pPr>
      <w:r w:rsidRPr="00B31170">
        <w:rPr>
          <w:color w:val="000000"/>
        </w:rPr>
        <w:t>(Stancu et al., 2022)</w:t>
      </w:r>
    </w:p>
    <w:p w14:paraId="15579FFD" w14:textId="7DF94454" w:rsidR="005C6A3B" w:rsidRPr="00B31170" w:rsidRDefault="005C6A3B" w:rsidP="005C6A3B">
      <w:pPr>
        <w:rPr>
          <w:color w:val="000000"/>
        </w:rPr>
      </w:pPr>
      <w:r w:rsidRPr="005C6A3B">
        <w:rPr>
          <w:b/>
          <w:color w:val="000000"/>
        </w:rPr>
        <w:t>Political Factors:</w:t>
      </w:r>
      <w:r w:rsidRPr="00B31170">
        <w:rPr>
          <w:bCs/>
          <w:color w:val="000000"/>
        </w:rPr>
        <w:t xml:space="preserve"> </w:t>
      </w:r>
      <w:r w:rsidRPr="00B31170">
        <w:rPr>
          <w:color w:val="000000"/>
        </w:rPr>
        <w:t>The political climate in the Netherlands is predictable and stable. The government has well</w:t>
      </w:r>
      <w:r>
        <w:rPr>
          <w:color w:val="000000"/>
        </w:rPr>
        <w:t>-</w:t>
      </w:r>
      <w:r w:rsidRPr="00B31170">
        <w:rPr>
          <w:color w:val="000000"/>
        </w:rPr>
        <w:t>established institutions, is characteri</w:t>
      </w:r>
      <w:r>
        <w:rPr>
          <w:color w:val="000000"/>
        </w:rPr>
        <w:t>s</w:t>
      </w:r>
      <w:r w:rsidRPr="00B31170">
        <w:rPr>
          <w:color w:val="000000"/>
        </w:rPr>
        <w:t xml:space="preserve">ed by low corruption levels and follows defined policies. Such circumstances reduce </w:t>
      </w:r>
      <w:r>
        <w:rPr>
          <w:color w:val="000000"/>
        </w:rPr>
        <w:t xml:space="preserve">the </w:t>
      </w:r>
      <w:r w:rsidRPr="00B31170">
        <w:rPr>
          <w:color w:val="000000"/>
        </w:rPr>
        <w:t>uncertainty of new entrants like Greggs. The Netherlands is also open to foreign investment due to transparent policies, reliable infrastructure, and pro</w:t>
      </w:r>
      <w:r>
        <w:rPr>
          <w:color w:val="000000"/>
        </w:rPr>
        <w:t>-</w:t>
      </w:r>
      <w:r w:rsidRPr="00B31170">
        <w:rPr>
          <w:color w:val="000000"/>
        </w:rPr>
        <w:t xml:space="preserve">business policies (Stancu </w:t>
      </w:r>
      <w:r w:rsidRPr="00B31170">
        <w:rPr>
          <w:i/>
          <w:iCs/>
          <w:color w:val="000000"/>
        </w:rPr>
        <w:t>et al.</w:t>
      </w:r>
      <w:r w:rsidRPr="00B31170">
        <w:rPr>
          <w:color w:val="000000"/>
        </w:rPr>
        <w:t>, 2022). However, the Dutch government attaches much importance to the safety and sustainability of food</w:t>
      </w:r>
      <w:r>
        <w:rPr>
          <w:color w:val="000000"/>
        </w:rPr>
        <w:t>,</w:t>
      </w:r>
      <w:r w:rsidRPr="00B31170">
        <w:rPr>
          <w:color w:val="000000"/>
        </w:rPr>
        <w:t xml:space="preserve"> and this can lead to a need to modify the existing sourcing and packaging procedure at Greggs.</w:t>
      </w:r>
    </w:p>
    <w:p w14:paraId="406C61D5" w14:textId="758E0838" w:rsidR="005C6A3B" w:rsidRPr="00B31170" w:rsidRDefault="005C6A3B" w:rsidP="005C6A3B">
      <w:pPr>
        <w:rPr>
          <w:color w:val="000000"/>
        </w:rPr>
      </w:pPr>
      <w:r w:rsidRPr="005C6A3B">
        <w:rPr>
          <w:b/>
          <w:color w:val="000000"/>
        </w:rPr>
        <w:t>Economic Factors:</w:t>
      </w:r>
      <w:r w:rsidRPr="00B31170">
        <w:rPr>
          <w:color w:val="000000"/>
        </w:rPr>
        <w:t xml:space="preserve"> Economic conditions are also favo</w:t>
      </w:r>
      <w:r>
        <w:rPr>
          <w:color w:val="000000"/>
        </w:rPr>
        <w:t>u</w:t>
      </w:r>
      <w:r w:rsidRPr="00B31170">
        <w:rPr>
          <w:color w:val="000000"/>
        </w:rPr>
        <w:t xml:space="preserve">rable in terms of market entry. The Netherlands has a strong GDP per capita and constant economic growth. There is consumer purchasing power and the population density in the urban centres and commuter population are high (Hay </w:t>
      </w:r>
      <w:r w:rsidRPr="00B31170">
        <w:rPr>
          <w:i/>
          <w:iCs/>
          <w:color w:val="000000"/>
        </w:rPr>
        <w:t>et al.</w:t>
      </w:r>
      <w:r w:rsidRPr="00B31170">
        <w:rPr>
          <w:color w:val="000000"/>
        </w:rPr>
        <w:t xml:space="preserve">, 2021). These will create an inclination towards the need </w:t>
      </w:r>
      <w:r>
        <w:rPr>
          <w:color w:val="000000"/>
        </w:rPr>
        <w:t>for</w:t>
      </w:r>
      <w:r w:rsidRPr="00B31170">
        <w:rPr>
          <w:color w:val="000000"/>
        </w:rPr>
        <w:t xml:space="preserve"> speedy and inexpensive food products. The labour is also higher than in the United Kingdom and may lead </w:t>
      </w:r>
      <w:r w:rsidRPr="00B31170">
        <w:rPr>
          <w:color w:val="000000"/>
        </w:rPr>
        <w:lastRenderedPageBreak/>
        <w:t>to a rise in the cost of operation. However, the market of quick-service restaurants in the Netherlands keeps growing as people are interested in solutions with quick meals.</w:t>
      </w:r>
    </w:p>
    <w:p w14:paraId="18518440" w14:textId="30D381A6" w:rsidR="005C6A3B" w:rsidRPr="00B31170" w:rsidRDefault="005C6A3B" w:rsidP="005C6A3B">
      <w:pPr>
        <w:rPr>
          <w:color w:val="000000"/>
        </w:rPr>
      </w:pPr>
      <w:r w:rsidRPr="005C6A3B">
        <w:rPr>
          <w:b/>
          <w:color w:val="000000"/>
        </w:rPr>
        <w:t>Social &amp; Cultural Factors:</w:t>
      </w:r>
      <w:r w:rsidRPr="00B31170">
        <w:rPr>
          <w:color w:val="000000"/>
        </w:rPr>
        <w:t xml:space="preserve"> Social and cultural factors are the ones that are not incompatible with Gregg's offering. The Dutch people have a long tradition of bakery culture, and they consume a lot of bread, pastries, and coffee. A good number of people eat out, especially in towns that have effective transport networks (Polynskaya, 2021). The level of health awareness is also increasing, making the vegan and the lower-calorie products of Greggs potentially popular among the younger generation. The Dutch society is also price</w:t>
      </w:r>
      <w:r>
        <w:rPr>
          <w:color w:val="000000"/>
        </w:rPr>
        <w:t>-</w:t>
      </w:r>
      <w:r w:rsidRPr="00B31170">
        <w:rPr>
          <w:color w:val="000000"/>
        </w:rPr>
        <w:t>conscious</w:t>
      </w:r>
      <w:r>
        <w:rPr>
          <w:color w:val="000000"/>
        </w:rPr>
        <w:t>,</w:t>
      </w:r>
      <w:r w:rsidRPr="00B31170">
        <w:rPr>
          <w:color w:val="000000"/>
        </w:rPr>
        <w:t xml:space="preserve"> and this goes hand in hand with the low-price strategy by Greggs.</w:t>
      </w:r>
    </w:p>
    <w:p w14:paraId="04EB8926" w14:textId="0C4F974A" w:rsidR="005C6A3B" w:rsidRPr="00B31170" w:rsidRDefault="005C6A3B" w:rsidP="005C6A3B">
      <w:pPr>
        <w:rPr>
          <w:color w:val="000000"/>
        </w:rPr>
      </w:pPr>
      <w:r w:rsidRPr="005C6A3B">
        <w:rPr>
          <w:b/>
          <w:color w:val="000000"/>
        </w:rPr>
        <w:t>Technological Factors:</w:t>
      </w:r>
      <w:r w:rsidRPr="00B31170">
        <w:rPr>
          <w:color w:val="000000"/>
        </w:rPr>
        <w:t xml:space="preserve"> The Netherlands has an advanced technological development. Online payment systems, mobile ordering, and delivery systems are well embraced</w:t>
      </w:r>
      <w:r>
        <w:rPr>
          <w:color w:val="000000"/>
        </w:rPr>
        <w:t>,</w:t>
      </w:r>
      <w:r w:rsidRPr="00B31170">
        <w:rPr>
          <w:color w:val="000000"/>
        </w:rPr>
        <w:t xml:space="preserve"> and Greggs can capitali</w:t>
      </w:r>
      <w:r>
        <w:rPr>
          <w:color w:val="000000"/>
        </w:rPr>
        <w:t>s</w:t>
      </w:r>
      <w:r w:rsidRPr="00B31170">
        <w:rPr>
          <w:color w:val="000000"/>
        </w:rPr>
        <w:t>e on this to advertise its application and loyalty program (Sokolova and Rojas-Vallejos, 2025). There are also good cold-chain logistics networks in the country that facilitate food distribution. Adoption of technology can also lead to a further increase in the efficiency of the operations by means of forecasting and automatic procedures.</w:t>
      </w:r>
    </w:p>
    <w:p w14:paraId="2572EB56" w14:textId="67294497" w:rsidR="005C6A3B" w:rsidRPr="00B31170" w:rsidRDefault="005C6A3B" w:rsidP="005C6A3B">
      <w:pPr>
        <w:rPr>
          <w:color w:val="000000"/>
        </w:rPr>
      </w:pPr>
      <w:r w:rsidRPr="005C6A3B">
        <w:rPr>
          <w:b/>
          <w:color w:val="000000"/>
        </w:rPr>
        <w:t>Legal Factors:</w:t>
      </w:r>
      <w:r w:rsidRPr="00B31170">
        <w:rPr>
          <w:color w:val="000000"/>
        </w:rPr>
        <w:t xml:space="preserve"> Legal requirements are high</w:t>
      </w:r>
      <w:r>
        <w:rPr>
          <w:color w:val="000000"/>
        </w:rPr>
        <w:t>,</w:t>
      </w:r>
      <w:r w:rsidRPr="00B31170">
        <w:rPr>
          <w:color w:val="000000"/>
        </w:rPr>
        <w:t xml:space="preserve"> especially in food safety, labour requirements and environmental compliance (Boimah and Weible, 2023). EU standards on food allergens, labelling and hygiene are to be fulfilled. Greggs might be required to change its packaging to be recycling</w:t>
      </w:r>
      <w:r>
        <w:rPr>
          <w:color w:val="000000"/>
        </w:rPr>
        <w:t>-</w:t>
      </w:r>
      <w:r w:rsidRPr="00B31170">
        <w:rPr>
          <w:color w:val="000000"/>
        </w:rPr>
        <w:t>friendly and single-use plastic.</w:t>
      </w:r>
    </w:p>
    <w:p w14:paraId="44BB0DC5" w14:textId="353936A3" w:rsidR="005C6A3B" w:rsidRPr="00B31170" w:rsidRDefault="005C6A3B" w:rsidP="005C6A3B">
      <w:pPr>
        <w:rPr>
          <w:color w:val="000000"/>
        </w:rPr>
      </w:pPr>
      <w:r w:rsidRPr="005C6A3B">
        <w:rPr>
          <w:b/>
          <w:color w:val="000000"/>
        </w:rPr>
        <w:t>Environmental Factors:</w:t>
      </w:r>
      <w:r w:rsidRPr="00B31170">
        <w:rPr>
          <w:color w:val="000000"/>
        </w:rPr>
        <w:t xml:space="preserve"> First of all, environmental concerns. Dutch customers and regulators require companies to solve the problem of carbon emission</w:t>
      </w:r>
      <w:r>
        <w:rPr>
          <w:color w:val="000000"/>
        </w:rPr>
        <w:t>s</w:t>
      </w:r>
      <w:r w:rsidRPr="00B31170">
        <w:rPr>
          <w:color w:val="000000"/>
        </w:rPr>
        <w:t>, waste, and sustainable sourcing. The current sustainability commitments of Greggs will facilitate compliance (Boimah and Weible, 2023). Nevertheless, shipment of products to the United Kingdom can be a cause of environmental concern and hence the significance of local sourcing.</w:t>
      </w:r>
    </w:p>
    <w:p w14:paraId="570C1C00" w14:textId="77777777" w:rsidR="005C6A3B" w:rsidRPr="00B31170" w:rsidRDefault="005C6A3B" w:rsidP="005C6A3B">
      <w:pPr>
        <w:rPr>
          <w:color w:val="000000"/>
        </w:rPr>
      </w:pPr>
    </w:p>
    <w:p w14:paraId="069B1940" w14:textId="53286139" w:rsidR="005C6A3B" w:rsidRPr="00B31170" w:rsidRDefault="005C6A3B" w:rsidP="005C6A3B">
      <w:pPr>
        <w:rPr>
          <w:color w:val="000000"/>
        </w:rPr>
      </w:pPr>
      <w:r w:rsidRPr="005C6A3B">
        <w:rPr>
          <w:b/>
          <w:color w:val="000000"/>
        </w:rPr>
        <w:t>PESTLE Critical Reflection on Limitations:</w:t>
      </w:r>
      <w:r w:rsidRPr="00B31170">
        <w:rPr>
          <w:color w:val="000000"/>
        </w:rPr>
        <w:t xml:space="preserve"> PESTLE has some limitations. It can </w:t>
      </w:r>
      <w:r>
        <w:rPr>
          <w:color w:val="000000"/>
        </w:rPr>
        <w:t>simplify</w:t>
      </w:r>
      <w:r w:rsidRPr="00B31170">
        <w:rPr>
          <w:color w:val="000000"/>
        </w:rPr>
        <w:t xml:space="preserve"> complicated interactions between factors and gives generali</w:t>
      </w:r>
      <w:r>
        <w:rPr>
          <w:color w:val="000000"/>
        </w:rPr>
        <w:t>s</w:t>
      </w:r>
      <w:r w:rsidRPr="00B31170">
        <w:rPr>
          <w:color w:val="000000"/>
        </w:rPr>
        <w:t>ed information without considering competitors or internal strengths (Mendocilla, Miravitlles</w:t>
      </w:r>
      <w:r>
        <w:rPr>
          <w:color w:val="000000"/>
        </w:rPr>
        <w:t>,</w:t>
      </w:r>
      <w:r w:rsidRPr="00B31170">
        <w:rPr>
          <w:color w:val="000000"/>
        </w:rPr>
        <w:t xml:space="preserve"> Matamoros and Matute, 2021). Despite this, it provides an effective point of departure in the reali</w:t>
      </w:r>
      <w:r>
        <w:rPr>
          <w:color w:val="000000"/>
        </w:rPr>
        <w:t>s</w:t>
      </w:r>
      <w:r w:rsidRPr="00B31170">
        <w:rPr>
          <w:color w:val="000000"/>
        </w:rPr>
        <w:t>ation of external conditions.</w:t>
      </w:r>
    </w:p>
    <w:p w14:paraId="07245949" w14:textId="77777777" w:rsidR="005C6A3B" w:rsidRPr="00B31170" w:rsidRDefault="005C6A3B" w:rsidP="005C6A3B">
      <w:pPr>
        <w:rPr>
          <w:color w:val="000000"/>
        </w:rPr>
      </w:pPr>
    </w:p>
    <w:p w14:paraId="766CEF6A" w14:textId="77777777" w:rsidR="005C6A3B" w:rsidRDefault="005C6A3B" w:rsidP="005C6A3B">
      <w:pPr>
        <w:pStyle w:val="Heading2"/>
      </w:pPr>
      <w:bookmarkStart w:id="15" w:name="_Toc215667711"/>
      <w:bookmarkStart w:id="16" w:name="_Toc215667928"/>
      <w:r w:rsidRPr="00B31170">
        <w:lastRenderedPageBreak/>
        <w:t>3.2 Industry &amp; Competitive Analysis (Porter’s Five Forces)</w:t>
      </w:r>
      <w:bookmarkEnd w:id="15"/>
      <w:bookmarkEnd w:id="16"/>
    </w:p>
    <w:p w14:paraId="4AC9889D" w14:textId="77777777" w:rsidR="001B4723" w:rsidRDefault="001B4723" w:rsidP="001B4723">
      <w:pPr>
        <w:keepNext/>
        <w:jc w:val="center"/>
      </w:pPr>
      <w:r>
        <w:fldChar w:fldCharType="begin"/>
      </w:r>
      <w:r>
        <w:instrText xml:space="preserve"> INCLUDEPICTURE "/Users/ijtehad/Library/Group Containers/UBF8T346G9.ms/WebArchiveCopyPasteTempFiles/com.microsoft.Word/6755a3c31be05ecbe8170892_Porters-Five-Forces.webp" \* MERGEFORMATINET </w:instrText>
      </w:r>
      <w:r>
        <w:fldChar w:fldCharType="separate"/>
      </w:r>
      <w:r>
        <w:rPr>
          <w:noProof/>
        </w:rPr>
        <w:drawing>
          <wp:inline distT="0" distB="0" distL="0" distR="0" wp14:anchorId="5C303775" wp14:editId="60123953">
            <wp:extent cx="5731510" cy="3845560"/>
            <wp:effectExtent l="0" t="0" r="0" b="0"/>
            <wp:docPr id="421993748" name="Picture 4" descr="Porter's Five Forces Framework: Key Elements of the Framework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Framework: Key Elements of the Framework to Kno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45560"/>
                    </a:xfrm>
                    <a:prstGeom prst="rect">
                      <a:avLst/>
                    </a:prstGeom>
                    <a:noFill/>
                    <a:ln>
                      <a:noFill/>
                    </a:ln>
                  </pic:spPr>
                </pic:pic>
              </a:graphicData>
            </a:graphic>
          </wp:inline>
        </w:drawing>
      </w:r>
      <w:r>
        <w:fldChar w:fldCharType="end"/>
      </w:r>
    </w:p>
    <w:p w14:paraId="76C99510" w14:textId="235E773B" w:rsidR="001B4723" w:rsidRDefault="001B4723" w:rsidP="001B4723">
      <w:pPr>
        <w:pStyle w:val="Caption"/>
        <w:rPr>
          <w:lang w:val="en-US"/>
        </w:rPr>
      </w:pPr>
      <w:r>
        <w:t xml:space="preserve">Figure </w:t>
      </w:r>
      <w:r>
        <w:fldChar w:fldCharType="begin"/>
      </w:r>
      <w:r>
        <w:instrText xml:space="preserve"> SEQ Figure \* ARABIC </w:instrText>
      </w:r>
      <w:r>
        <w:fldChar w:fldCharType="separate"/>
      </w:r>
      <w:r>
        <w:t>2</w:t>
      </w:r>
      <w:r>
        <w:fldChar w:fldCharType="end"/>
      </w:r>
      <w:r>
        <w:rPr>
          <w:lang w:val="en-US"/>
        </w:rPr>
        <w:t xml:space="preserve">: </w:t>
      </w:r>
      <w:r w:rsidRPr="007F2005">
        <w:rPr>
          <w:lang w:val="en-US"/>
        </w:rPr>
        <w:t>Porter’s Five Forces</w:t>
      </w:r>
    </w:p>
    <w:p w14:paraId="3A4F9FCF" w14:textId="49630527" w:rsidR="001B4723" w:rsidRDefault="001B4723" w:rsidP="001B4723">
      <w:pPr>
        <w:pStyle w:val="Caption"/>
        <w:rPr>
          <w:b w:val="0"/>
          <w:color w:val="000000"/>
        </w:rPr>
      </w:pPr>
      <w:r w:rsidRPr="00B31170">
        <w:rPr>
          <w:color w:val="000000"/>
        </w:rPr>
        <w:t>(Czarnecka and Schivinski, 2022)</w:t>
      </w:r>
    </w:p>
    <w:p w14:paraId="1881FF5E" w14:textId="3CEBBA1C" w:rsidR="005C6A3B" w:rsidRPr="00B31170" w:rsidRDefault="005C6A3B" w:rsidP="005C6A3B">
      <w:pPr>
        <w:rPr>
          <w:color w:val="000000"/>
        </w:rPr>
      </w:pPr>
      <w:r w:rsidRPr="005C6A3B">
        <w:rPr>
          <w:b/>
          <w:color w:val="000000"/>
        </w:rPr>
        <w:t>Rivalry Among Competitors:</w:t>
      </w:r>
      <w:r w:rsidRPr="00B31170">
        <w:rPr>
          <w:bCs/>
          <w:color w:val="000000"/>
        </w:rPr>
        <w:t xml:space="preserve"> </w:t>
      </w:r>
      <w:r w:rsidRPr="00B31170">
        <w:rPr>
          <w:color w:val="000000"/>
          <w:sz w:val="22"/>
        </w:rPr>
        <w:t xml:space="preserve">The competition in the Dutch bakery and quick-service restaurant industry is very stiff. The market is dominated by the brands of Albert Heijn to Go, HEMA, Delifrance and Starbucks, as well as local independent bakeries with substantial market shares </w:t>
      </w:r>
      <w:r w:rsidRPr="00B31170">
        <w:rPr>
          <w:color w:val="000000"/>
        </w:rPr>
        <w:t>(Mendocilla, Miravitlles</w:t>
      </w:r>
      <w:r>
        <w:rPr>
          <w:color w:val="000000"/>
        </w:rPr>
        <w:t>,</w:t>
      </w:r>
      <w:r w:rsidRPr="00B31170">
        <w:rPr>
          <w:color w:val="000000"/>
        </w:rPr>
        <w:t xml:space="preserve"> Matamoros and Matute, 2021)</w:t>
      </w:r>
      <w:r w:rsidRPr="00B31170">
        <w:rPr>
          <w:color w:val="000000"/>
          <w:sz w:val="22"/>
        </w:rPr>
        <w:t>. Price, convenience and quality of products are factors that drive competition. Greggs will have to differentiate itself with the offering of special savoury bakery products and a strong value proposition.</w:t>
      </w:r>
    </w:p>
    <w:p w14:paraId="4E2E7551" w14:textId="4F0502A3" w:rsidR="005C6A3B" w:rsidRPr="00B31170" w:rsidRDefault="005C6A3B" w:rsidP="005C6A3B">
      <w:pPr>
        <w:rPr>
          <w:color w:val="000000"/>
        </w:rPr>
      </w:pPr>
      <w:r w:rsidRPr="005C6A3B">
        <w:rPr>
          <w:b/>
          <w:color w:val="000000"/>
        </w:rPr>
        <w:t>Threat of New Entrants:</w:t>
      </w:r>
      <w:r>
        <w:rPr>
          <w:bCs/>
          <w:color w:val="000000"/>
        </w:rPr>
        <w:t xml:space="preserve"> The threat of n</w:t>
      </w:r>
      <w:r w:rsidRPr="00B31170">
        <w:rPr>
          <w:color w:val="000000"/>
          <w:sz w:val="22"/>
        </w:rPr>
        <w:t>ew entrants is moderate. Starting with one bakery or cafe is not very hard, but going to the next level of becoming a nationally recognised chain requires a lot of capital, logistic</w:t>
      </w:r>
      <w:r>
        <w:rPr>
          <w:color w:val="000000"/>
          <w:sz w:val="22"/>
        </w:rPr>
        <w:t>al</w:t>
      </w:r>
      <w:r w:rsidRPr="00B31170">
        <w:rPr>
          <w:color w:val="000000"/>
          <w:sz w:val="22"/>
        </w:rPr>
        <w:t xml:space="preserve"> development, and brand awareness. The fact that Greggs has been involved in large</w:t>
      </w:r>
      <w:r>
        <w:rPr>
          <w:color w:val="000000"/>
          <w:sz w:val="22"/>
        </w:rPr>
        <w:t>-</w:t>
      </w:r>
      <w:r w:rsidRPr="00B31170">
        <w:rPr>
          <w:color w:val="000000"/>
          <w:sz w:val="22"/>
        </w:rPr>
        <w:t xml:space="preserve">scale operations may also be an advantage </w:t>
      </w:r>
      <w:r w:rsidRPr="00B31170">
        <w:rPr>
          <w:color w:val="000000"/>
        </w:rPr>
        <w:t>(Czarnecka and Schivinski, 2022)</w:t>
      </w:r>
      <w:r w:rsidRPr="00B31170">
        <w:rPr>
          <w:color w:val="000000"/>
          <w:sz w:val="22"/>
        </w:rPr>
        <w:t>. However, there is a lot of competition over prime spots within transport hubs</w:t>
      </w:r>
      <w:r>
        <w:rPr>
          <w:color w:val="000000"/>
          <w:sz w:val="22"/>
        </w:rPr>
        <w:t>,</w:t>
      </w:r>
      <w:r w:rsidRPr="00B31170">
        <w:rPr>
          <w:color w:val="000000"/>
          <w:sz w:val="22"/>
        </w:rPr>
        <w:t xml:space="preserve"> which may increase barriers to entry.</w:t>
      </w:r>
    </w:p>
    <w:p w14:paraId="675778CB" w14:textId="0E430B3F" w:rsidR="005C6A3B" w:rsidRPr="00B31170" w:rsidRDefault="005C6A3B" w:rsidP="005C6A3B">
      <w:pPr>
        <w:rPr>
          <w:color w:val="000000"/>
        </w:rPr>
      </w:pPr>
      <w:r w:rsidRPr="005C6A3B">
        <w:rPr>
          <w:b/>
          <w:color w:val="000000"/>
        </w:rPr>
        <w:t>Bargaining Power of Supplier:</w:t>
      </w:r>
      <w:r w:rsidRPr="00B31170">
        <w:rPr>
          <w:bCs/>
          <w:color w:val="000000"/>
        </w:rPr>
        <w:t xml:space="preserve"> </w:t>
      </w:r>
      <w:r w:rsidRPr="00B31170">
        <w:rPr>
          <w:color w:val="000000"/>
          <w:sz w:val="22"/>
        </w:rPr>
        <w:t>There is a moderate supplier bargaining power. This is because the Netherlands is enjoying a mature food supply chain with various sourcing opportunities</w:t>
      </w:r>
      <w:r>
        <w:rPr>
          <w:color w:val="000000"/>
          <w:sz w:val="22"/>
        </w:rPr>
        <w:t>,</w:t>
      </w:r>
      <w:r w:rsidRPr="00B31170">
        <w:rPr>
          <w:color w:val="000000"/>
          <w:sz w:val="22"/>
        </w:rPr>
        <w:t xml:space="preserve"> hence limiting </w:t>
      </w:r>
      <w:r w:rsidRPr="00B31170">
        <w:rPr>
          <w:color w:val="000000"/>
          <w:sz w:val="22"/>
        </w:rPr>
        <w:lastRenderedPageBreak/>
        <w:t xml:space="preserve">its reliance on a certain supplier </w:t>
      </w:r>
      <w:r w:rsidRPr="00B31170">
        <w:rPr>
          <w:color w:val="000000"/>
        </w:rPr>
        <w:t>(Chehimi and Naro, 2024)</w:t>
      </w:r>
      <w:r w:rsidRPr="00B31170">
        <w:rPr>
          <w:color w:val="000000"/>
          <w:sz w:val="22"/>
        </w:rPr>
        <w:t>. However, in case Greggs imports the products of the United Kingdom, the exchange rate fluctuations, transportation rates, and post-Brexit trade regulations may create vulnerability. Supplier risk would be addressed by local sourcing.</w:t>
      </w:r>
    </w:p>
    <w:p w14:paraId="21C1F1D1" w14:textId="3D63CC73" w:rsidR="005C6A3B" w:rsidRPr="00B31170" w:rsidRDefault="005C6A3B" w:rsidP="005C6A3B">
      <w:pPr>
        <w:rPr>
          <w:color w:val="000000"/>
        </w:rPr>
      </w:pPr>
      <w:r w:rsidRPr="005C6A3B">
        <w:rPr>
          <w:b/>
          <w:color w:val="000000"/>
        </w:rPr>
        <w:t>Bargaining Power of Customers:</w:t>
      </w:r>
      <w:r w:rsidRPr="00B31170">
        <w:rPr>
          <w:bCs/>
          <w:color w:val="000000"/>
        </w:rPr>
        <w:t xml:space="preserve"> </w:t>
      </w:r>
      <w:r w:rsidRPr="00B31170">
        <w:rPr>
          <w:color w:val="000000"/>
          <w:sz w:val="22"/>
        </w:rPr>
        <w:t xml:space="preserve">There is high bargaining power </w:t>
      </w:r>
      <w:r>
        <w:rPr>
          <w:color w:val="000000"/>
          <w:sz w:val="22"/>
        </w:rPr>
        <w:t>with</w:t>
      </w:r>
      <w:r w:rsidRPr="00B31170">
        <w:rPr>
          <w:color w:val="000000"/>
          <w:sz w:val="22"/>
        </w:rPr>
        <w:t xml:space="preserve"> customers. The Dutch consumers have a lot of options in regards to bakery and cafe, which allows them to change the alternatives easily in case of price rise or quality deterioration. These consumers judge brands in terms of taste, freshness, and value </w:t>
      </w:r>
      <w:r w:rsidRPr="00B31170">
        <w:rPr>
          <w:color w:val="000000"/>
        </w:rPr>
        <w:t>(Chehimi and Naro, 2024)</w:t>
      </w:r>
      <w:r w:rsidRPr="00B31170">
        <w:rPr>
          <w:color w:val="000000"/>
          <w:sz w:val="22"/>
        </w:rPr>
        <w:t>. The appealing prices and quality of the products that Greggs offers will play a significant role in attracting consumers, who are cost-conscious, whereas the high demands towards the service and sustainability also give greater power to the customers.</w:t>
      </w:r>
    </w:p>
    <w:p w14:paraId="2866B23F" w14:textId="58167319" w:rsidR="005C6A3B" w:rsidRPr="00B31170" w:rsidRDefault="005C6A3B" w:rsidP="005C6A3B">
      <w:pPr>
        <w:rPr>
          <w:color w:val="000000"/>
        </w:rPr>
      </w:pPr>
      <w:r w:rsidRPr="005C6A3B">
        <w:rPr>
          <w:b/>
          <w:color w:val="000000"/>
        </w:rPr>
        <w:t>Threat of Substitutes:</w:t>
      </w:r>
      <w:r w:rsidRPr="00B31170">
        <w:rPr>
          <w:bCs/>
          <w:color w:val="000000"/>
        </w:rPr>
        <w:t xml:space="preserve"> </w:t>
      </w:r>
      <w:r w:rsidRPr="00B31170">
        <w:rPr>
          <w:color w:val="000000"/>
          <w:sz w:val="22"/>
        </w:rPr>
        <w:t xml:space="preserve">The threat of substitutes is high. Consumers can choose between meal deals in the supermarket, home-prepared snacks, or healthier options </w:t>
      </w:r>
      <w:r>
        <w:rPr>
          <w:color w:val="000000"/>
          <w:sz w:val="22"/>
        </w:rPr>
        <w:t>from</w:t>
      </w:r>
      <w:r w:rsidRPr="00B31170">
        <w:rPr>
          <w:color w:val="000000"/>
          <w:sz w:val="22"/>
        </w:rPr>
        <w:t xml:space="preserve"> the new brands. Greggs also competes with fresh bakery products from local shops </w:t>
      </w:r>
      <w:r w:rsidRPr="00B31170">
        <w:rPr>
          <w:color w:val="000000"/>
        </w:rPr>
        <w:t xml:space="preserve">(Brouthers </w:t>
      </w:r>
      <w:r w:rsidRPr="00B31170">
        <w:rPr>
          <w:i/>
          <w:iCs/>
          <w:color w:val="000000"/>
        </w:rPr>
        <w:t>et al.</w:t>
      </w:r>
      <w:r w:rsidRPr="00B31170">
        <w:rPr>
          <w:color w:val="000000"/>
        </w:rPr>
        <w:t>, 2022)</w:t>
      </w:r>
      <w:r w:rsidRPr="00B31170">
        <w:rPr>
          <w:color w:val="000000"/>
          <w:sz w:val="22"/>
        </w:rPr>
        <w:t>. To be competitive, Greggs should focus on convenience, speed and product diversification.</w:t>
      </w:r>
    </w:p>
    <w:p w14:paraId="06D0F421" w14:textId="71C74176" w:rsidR="005C6A3B" w:rsidRPr="00B31170" w:rsidRDefault="005C6A3B" w:rsidP="005C6A3B">
      <w:pPr>
        <w:rPr>
          <w:color w:val="000000"/>
        </w:rPr>
      </w:pPr>
      <w:r w:rsidRPr="005C6A3B">
        <w:rPr>
          <w:b/>
          <w:color w:val="000000"/>
        </w:rPr>
        <w:t>Limitations of Porter’s Model:</w:t>
      </w:r>
      <w:r w:rsidRPr="00B31170">
        <w:rPr>
          <w:color w:val="000000"/>
          <w:sz w:val="22"/>
        </w:rPr>
        <w:t xml:space="preserve"> It assumes the industries to be in a fixed state</w:t>
      </w:r>
      <w:r>
        <w:rPr>
          <w:color w:val="000000"/>
          <w:sz w:val="22"/>
        </w:rPr>
        <w:t>,</w:t>
      </w:r>
      <w:r w:rsidRPr="00B31170">
        <w:rPr>
          <w:color w:val="000000"/>
          <w:sz w:val="22"/>
        </w:rPr>
        <w:t xml:space="preserve"> which is not actually the case in the real market. In addition, the framework focuses on competition but ignores collaboration opportunities, digital disruption, and internal competencies </w:t>
      </w:r>
      <w:r w:rsidRPr="00B31170">
        <w:rPr>
          <w:color w:val="000000"/>
        </w:rPr>
        <w:t xml:space="preserve">(Brouthers </w:t>
      </w:r>
      <w:r w:rsidRPr="00B31170">
        <w:rPr>
          <w:i/>
          <w:iCs/>
          <w:color w:val="000000"/>
        </w:rPr>
        <w:t>et al.</w:t>
      </w:r>
      <w:r w:rsidRPr="00B31170">
        <w:rPr>
          <w:color w:val="000000"/>
        </w:rPr>
        <w:t>, 2022)</w:t>
      </w:r>
      <w:r w:rsidRPr="00B31170">
        <w:rPr>
          <w:color w:val="000000"/>
          <w:sz w:val="22"/>
        </w:rPr>
        <w:t>. Nevertheless, it is still a practical instrument in determining the competitive forces that Greggs has to deal with</w:t>
      </w:r>
      <w:r>
        <w:rPr>
          <w:color w:val="000000"/>
          <w:sz w:val="22"/>
        </w:rPr>
        <w:t>,</w:t>
      </w:r>
      <w:r w:rsidRPr="00B31170">
        <w:rPr>
          <w:color w:val="000000"/>
          <w:sz w:val="22"/>
        </w:rPr>
        <w:t xml:space="preserve"> despite these limitations.</w:t>
      </w:r>
    </w:p>
    <w:p w14:paraId="19325648" w14:textId="77777777" w:rsidR="005C6A3B" w:rsidRPr="00B31170" w:rsidRDefault="005C6A3B" w:rsidP="005C6A3B">
      <w:pPr>
        <w:rPr>
          <w:color w:val="000000"/>
        </w:rPr>
      </w:pPr>
    </w:p>
    <w:p w14:paraId="1FBC1179" w14:textId="77777777" w:rsidR="005C6A3B" w:rsidRDefault="005C6A3B" w:rsidP="005C6A3B">
      <w:pPr>
        <w:pStyle w:val="Heading2"/>
      </w:pPr>
      <w:bookmarkStart w:id="17" w:name="_Toc215667712"/>
      <w:bookmarkStart w:id="18" w:name="_Toc215667929"/>
      <w:r w:rsidRPr="00B31170">
        <w:lastRenderedPageBreak/>
        <w:t>3.3 Internal Strategic Capability Analysis (VRIO)</w:t>
      </w:r>
      <w:bookmarkEnd w:id="17"/>
      <w:bookmarkEnd w:id="18"/>
      <w:r w:rsidRPr="00B31170">
        <w:t xml:space="preserve"> </w:t>
      </w:r>
    </w:p>
    <w:p w14:paraId="7DC35550" w14:textId="77777777" w:rsidR="001B4723" w:rsidRDefault="001B4723" w:rsidP="001B4723">
      <w:pPr>
        <w:keepNext/>
        <w:jc w:val="center"/>
      </w:pPr>
      <w:r>
        <w:fldChar w:fldCharType="begin"/>
      </w:r>
      <w:r>
        <w:instrText xml:space="preserve"> INCLUDEPICTURE "/Users/ijtehad/Library/Group Containers/UBF8T346G9.ms/WebArchiveCopyPasteTempFiles/com.microsoft.Word/67cb4dadc9d331e264e751c0_67352172ae66a6da3f92145d_6735216842d7954059240fe2_VRIO.webp" \* MERGEFORMATINET </w:instrText>
      </w:r>
      <w:r>
        <w:fldChar w:fldCharType="separate"/>
      </w:r>
      <w:r>
        <w:rPr>
          <w:noProof/>
        </w:rPr>
        <w:drawing>
          <wp:inline distT="0" distB="0" distL="0" distR="0" wp14:anchorId="0B2BA3B2" wp14:editId="06F78DDD">
            <wp:extent cx="5731510" cy="3820160"/>
            <wp:effectExtent l="0" t="0" r="0" b="2540"/>
            <wp:docPr id="888588882" name="Picture 3" descr="Unlock Competitive Edge with VRIO Analysis: A Strategic Guide | ClearPoint  Strateg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lock Competitive Edge with VRIO Analysis: A Strategic Guide | ClearPoint  Strategy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r>
        <w:fldChar w:fldCharType="end"/>
      </w:r>
    </w:p>
    <w:p w14:paraId="04F81A22" w14:textId="4A350758" w:rsidR="001B4723" w:rsidRDefault="001B4723" w:rsidP="001B4723">
      <w:pPr>
        <w:pStyle w:val="Caption"/>
        <w:rPr>
          <w:lang w:val="en-US"/>
        </w:rPr>
      </w:pPr>
      <w:r>
        <w:t xml:space="preserve">Figure </w:t>
      </w:r>
      <w:r>
        <w:fldChar w:fldCharType="begin"/>
      </w:r>
      <w:r>
        <w:instrText xml:space="preserve"> SEQ Figure \* ARABIC </w:instrText>
      </w:r>
      <w:r>
        <w:fldChar w:fldCharType="separate"/>
      </w:r>
      <w:r>
        <w:t>3</w:t>
      </w:r>
      <w:r>
        <w:fldChar w:fldCharType="end"/>
      </w:r>
      <w:r>
        <w:rPr>
          <w:lang w:val="en-US"/>
        </w:rPr>
        <w:t xml:space="preserve">: </w:t>
      </w:r>
      <w:r w:rsidRPr="005315C8">
        <w:rPr>
          <w:lang w:val="en-US"/>
        </w:rPr>
        <w:t>VRIO</w:t>
      </w:r>
      <w:r>
        <w:rPr>
          <w:lang w:val="en-US"/>
        </w:rPr>
        <w:t xml:space="preserve"> F</w:t>
      </w:r>
      <w:r w:rsidRPr="001B4723">
        <w:rPr>
          <w:lang w:val="en-US"/>
        </w:rPr>
        <w:t xml:space="preserve">ramework </w:t>
      </w:r>
      <w:r>
        <w:rPr>
          <w:lang w:val="en-US"/>
        </w:rPr>
        <w:t>A</w:t>
      </w:r>
      <w:r w:rsidRPr="001B4723">
        <w:rPr>
          <w:lang w:val="en-US"/>
        </w:rPr>
        <w:t>nalysis</w:t>
      </w:r>
    </w:p>
    <w:p w14:paraId="27C227CA" w14:textId="51DF777F" w:rsidR="001B4723" w:rsidRDefault="001B4723" w:rsidP="001B4723">
      <w:pPr>
        <w:pStyle w:val="Caption"/>
        <w:rPr>
          <w:b w:val="0"/>
          <w:color w:val="000000"/>
        </w:rPr>
      </w:pPr>
      <w:r w:rsidRPr="00B31170">
        <w:rPr>
          <w:color w:val="000000"/>
        </w:rPr>
        <w:t>(Cassia and Magno, 2022)</w:t>
      </w:r>
    </w:p>
    <w:p w14:paraId="3B24B5CA" w14:textId="7DA1157C" w:rsidR="005C6A3B" w:rsidRPr="00B31170" w:rsidRDefault="005C6A3B" w:rsidP="005C6A3B">
      <w:pPr>
        <w:rPr>
          <w:color w:val="000000"/>
        </w:rPr>
      </w:pPr>
      <w:r w:rsidRPr="001B4723">
        <w:rPr>
          <w:b/>
          <w:color w:val="000000"/>
        </w:rPr>
        <w:t>Valuable Resources:</w:t>
      </w:r>
      <w:r w:rsidRPr="00B31170">
        <w:rPr>
          <w:bCs/>
          <w:color w:val="000000"/>
        </w:rPr>
        <w:t xml:space="preserve"> </w:t>
      </w:r>
      <w:r w:rsidRPr="00B31170">
        <w:rPr>
          <w:color w:val="000000"/>
        </w:rPr>
        <w:t>Greggs has a number of valuable resources. It has a vertically integrated chain of supply</w:t>
      </w:r>
      <w:r>
        <w:rPr>
          <w:color w:val="000000"/>
        </w:rPr>
        <w:t>,</w:t>
      </w:r>
      <w:r w:rsidRPr="00B31170">
        <w:rPr>
          <w:color w:val="000000"/>
        </w:rPr>
        <w:t xml:space="preserve"> which gives it control over quality and cost. It has a good brand image, which is based on low prices and convenience, and which brings in a wide range of customers. Greggs also has a strong digital presence, as it has a developed mobile application and loyalty programme (Cassia and Magno, 2022). All these helps retain customers and make the orders efficient. Innovation of the company</w:t>
      </w:r>
      <w:r>
        <w:rPr>
          <w:color w:val="000000"/>
        </w:rPr>
        <w:t>’s</w:t>
      </w:r>
      <w:r w:rsidRPr="00B31170">
        <w:rPr>
          <w:color w:val="000000"/>
        </w:rPr>
        <w:t xml:space="preserve"> products</w:t>
      </w:r>
      <w:r>
        <w:rPr>
          <w:color w:val="000000"/>
        </w:rPr>
        <w:t>,</w:t>
      </w:r>
      <w:r w:rsidRPr="00B31170">
        <w:rPr>
          <w:color w:val="000000"/>
        </w:rPr>
        <w:t xml:space="preserve"> especially </w:t>
      </w:r>
      <w:r>
        <w:rPr>
          <w:color w:val="000000"/>
        </w:rPr>
        <w:t>i</w:t>
      </w:r>
      <w:r w:rsidRPr="00B31170">
        <w:rPr>
          <w:color w:val="000000"/>
        </w:rPr>
        <w:t>n the vegan and plant-based products</w:t>
      </w:r>
      <w:r>
        <w:rPr>
          <w:color w:val="000000"/>
        </w:rPr>
        <w:t>,</w:t>
      </w:r>
      <w:r w:rsidRPr="00B31170">
        <w:rPr>
          <w:color w:val="000000"/>
        </w:rPr>
        <w:t xml:space="preserve"> further provide</w:t>
      </w:r>
      <w:r>
        <w:rPr>
          <w:color w:val="000000"/>
        </w:rPr>
        <w:t>s</w:t>
      </w:r>
      <w:r w:rsidRPr="00B31170">
        <w:rPr>
          <w:color w:val="000000"/>
        </w:rPr>
        <w:t xml:space="preserve"> value to the company in the markets where healthy food consumption is growing.</w:t>
      </w:r>
    </w:p>
    <w:p w14:paraId="0A5ED19D" w14:textId="268002DF" w:rsidR="005C6A3B" w:rsidRPr="00B31170" w:rsidRDefault="005C6A3B" w:rsidP="005C6A3B">
      <w:pPr>
        <w:rPr>
          <w:color w:val="000000"/>
        </w:rPr>
      </w:pPr>
      <w:r w:rsidRPr="005C6A3B">
        <w:rPr>
          <w:b/>
          <w:color w:val="000000"/>
        </w:rPr>
        <w:t>Rarity &amp; Imitability Assessment:</w:t>
      </w:r>
      <w:r w:rsidRPr="00B31170">
        <w:rPr>
          <w:color w:val="000000"/>
        </w:rPr>
        <w:t xml:space="preserve"> It has rare</w:t>
      </w:r>
      <w:r>
        <w:rPr>
          <w:color w:val="000000"/>
        </w:rPr>
        <w:t xml:space="preserve"> resources</w:t>
      </w:r>
      <w:r w:rsidRPr="00B31170">
        <w:rPr>
          <w:color w:val="000000"/>
        </w:rPr>
        <w:t>. Savoury bakery items</w:t>
      </w:r>
      <w:r>
        <w:rPr>
          <w:color w:val="000000"/>
        </w:rPr>
        <w:t>,</w:t>
      </w:r>
      <w:r w:rsidRPr="00B31170">
        <w:rPr>
          <w:color w:val="000000"/>
        </w:rPr>
        <w:t xml:space="preserve"> including sausage rolls and pastries</w:t>
      </w:r>
      <w:r>
        <w:rPr>
          <w:color w:val="000000"/>
        </w:rPr>
        <w:t>,</w:t>
      </w:r>
      <w:r w:rsidRPr="00B31170">
        <w:rPr>
          <w:color w:val="000000"/>
        </w:rPr>
        <w:t xml:space="preserve"> are not commonly</w:t>
      </w:r>
      <w:r>
        <w:rPr>
          <w:color w:val="000000"/>
        </w:rPr>
        <w:t xml:space="preserve"> found</w:t>
      </w:r>
      <w:r w:rsidRPr="00B31170">
        <w:rPr>
          <w:color w:val="000000"/>
        </w:rPr>
        <w:t xml:space="preserve"> in the Netherlands</w:t>
      </w:r>
      <w:r>
        <w:rPr>
          <w:color w:val="000000"/>
        </w:rPr>
        <w:t>,</w:t>
      </w:r>
      <w:r w:rsidRPr="00B31170">
        <w:rPr>
          <w:color w:val="000000"/>
        </w:rPr>
        <w:t xml:space="preserve"> which are typically made in a British style. This provides Greggs with a unique market entry. Its centralised production model is also not common in Dutch bakeries</w:t>
      </w:r>
      <w:r>
        <w:rPr>
          <w:color w:val="000000"/>
        </w:rPr>
        <w:t>,</w:t>
      </w:r>
      <w:r w:rsidRPr="00B31170">
        <w:rPr>
          <w:color w:val="000000"/>
        </w:rPr>
        <w:t xml:space="preserve"> which usually bake in-store. This gives it cost benefits and regularity (Cassia and Magno, 2022). Immutability varies. Other </w:t>
      </w:r>
      <w:r w:rsidRPr="00B31170">
        <w:rPr>
          <w:color w:val="000000"/>
        </w:rPr>
        <w:lastRenderedPageBreak/>
        <w:t>rivals might copy menu entrees, but it would not be easy to replicate the whole production network and economies of scale like Greggs. Efficiency, training, and standardised processes are also a part of the brand culture that forms operational barriers which are not easily replicated.</w:t>
      </w:r>
    </w:p>
    <w:p w14:paraId="729C3598" w14:textId="17FAE72D" w:rsidR="005C6A3B" w:rsidRPr="00B31170" w:rsidRDefault="005C6A3B" w:rsidP="005C6A3B">
      <w:pPr>
        <w:rPr>
          <w:color w:val="000000"/>
        </w:rPr>
      </w:pPr>
      <w:r w:rsidRPr="005C6A3B">
        <w:rPr>
          <w:b/>
          <w:color w:val="000000"/>
        </w:rPr>
        <w:t>Organisational Capability:</w:t>
      </w:r>
      <w:r w:rsidRPr="00B31170">
        <w:rPr>
          <w:bCs/>
          <w:color w:val="000000"/>
        </w:rPr>
        <w:t xml:space="preserve"> </w:t>
      </w:r>
      <w:r w:rsidRPr="00B31170">
        <w:rPr>
          <w:color w:val="000000"/>
        </w:rPr>
        <w:t xml:space="preserve">Organisational capability is one of the strengths. Greggs is a long-established company with decades of successful and high-volume operations. Its capacity to coordinate logistics, store layout and quality of its products in thousands of stores indicates good internal coordination (Lambert, Jones and Clinton, 2021). These capabilities </w:t>
      </w:r>
      <w:r>
        <w:rPr>
          <w:color w:val="000000"/>
        </w:rPr>
        <w:t>giv</w:t>
      </w:r>
      <w:r w:rsidRPr="00B31170">
        <w:rPr>
          <w:color w:val="000000"/>
        </w:rPr>
        <w:t>e Greggs confidence in entering new markets. Internationalisation is also enhanced with effective leadership and technological transformation.</w:t>
      </w:r>
    </w:p>
    <w:p w14:paraId="6DC105F2" w14:textId="240BDABA" w:rsidR="005C6A3B" w:rsidRPr="00B31170" w:rsidRDefault="005C6A3B" w:rsidP="005C6A3B">
      <w:pPr>
        <w:rPr>
          <w:color w:val="000000"/>
        </w:rPr>
      </w:pPr>
      <w:r w:rsidRPr="005C6A3B">
        <w:rPr>
          <w:b/>
          <w:color w:val="000000"/>
        </w:rPr>
        <w:t>Strategic Recommendations of NL Expansion:</w:t>
      </w:r>
      <w:r w:rsidRPr="00B31170">
        <w:rPr>
          <w:color w:val="000000"/>
        </w:rPr>
        <w:t xml:space="preserve"> The strategic recommendations </w:t>
      </w:r>
      <w:r>
        <w:rPr>
          <w:color w:val="000000"/>
        </w:rPr>
        <w:t>for</w:t>
      </w:r>
      <w:r w:rsidRPr="00B31170">
        <w:rPr>
          <w:color w:val="000000"/>
        </w:rPr>
        <w:t xml:space="preserve"> expanding to the Netherlands are evident. The abilities of Greggs can help it to lead in terms of costs, dependable product delivery, and service. The strengths are in favo</w:t>
      </w:r>
      <w:r>
        <w:rPr>
          <w:color w:val="000000"/>
        </w:rPr>
        <w:t>u</w:t>
      </w:r>
      <w:r w:rsidRPr="00B31170">
        <w:rPr>
          <w:color w:val="000000"/>
        </w:rPr>
        <w:t>r of entering into a value</w:t>
      </w:r>
      <w:r>
        <w:rPr>
          <w:color w:val="000000"/>
        </w:rPr>
        <w:t>-</w:t>
      </w:r>
      <w:r w:rsidRPr="00B31170">
        <w:rPr>
          <w:color w:val="000000"/>
        </w:rPr>
        <w:t>based market (Lambert, Jones and Clinton, 2021). However, Greggs would have to adjust its supply chain to the local situations and also make sure that it does not violate the Dutch regulations. It can benefit its operational preparedness by forming local partnerships.</w:t>
      </w:r>
    </w:p>
    <w:p w14:paraId="210E0D2D" w14:textId="4D949C7A" w:rsidR="005C6A3B" w:rsidRPr="00B31170" w:rsidRDefault="005C6A3B" w:rsidP="005C6A3B">
      <w:pPr>
        <w:rPr>
          <w:color w:val="000000"/>
        </w:rPr>
      </w:pPr>
      <w:r w:rsidRPr="005C6A3B">
        <w:rPr>
          <w:b/>
          <w:color w:val="000000"/>
        </w:rPr>
        <w:t>Limitations of VRIO:</w:t>
      </w:r>
      <w:r w:rsidRPr="00B31170">
        <w:rPr>
          <w:color w:val="000000"/>
        </w:rPr>
        <w:t xml:space="preserve"> VRIO has its weaknesses. It pays attention to internal factors and does not pay attention to consumer preferences or external risks (Rani </w:t>
      </w:r>
      <w:r w:rsidRPr="00B31170">
        <w:rPr>
          <w:i/>
          <w:iCs/>
          <w:color w:val="000000"/>
        </w:rPr>
        <w:t>et al.</w:t>
      </w:r>
      <w:r w:rsidRPr="00B31170">
        <w:rPr>
          <w:color w:val="000000"/>
        </w:rPr>
        <w:t>, 2023). It</w:t>
      </w:r>
      <w:r>
        <w:rPr>
          <w:color w:val="000000"/>
        </w:rPr>
        <w:t>,</w:t>
      </w:r>
      <w:r w:rsidRPr="00B31170">
        <w:rPr>
          <w:color w:val="000000"/>
        </w:rPr>
        <w:t xml:space="preserve"> however</w:t>
      </w:r>
      <w:r>
        <w:rPr>
          <w:color w:val="000000"/>
        </w:rPr>
        <w:t>,</w:t>
      </w:r>
      <w:r w:rsidRPr="00B31170">
        <w:rPr>
          <w:color w:val="000000"/>
        </w:rPr>
        <w:t xml:space="preserve"> assists in </w:t>
      </w:r>
      <w:r>
        <w:rPr>
          <w:color w:val="000000"/>
        </w:rPr>
        <w:t>emphasising</w:t>
      </w:r>
      <w:r w:rsidRPr="00B31170">
        <w:rPr>
          <w:color w:val="000000"/>
        </w:rPr>
        <w:t xml:space="preserve"> resources that support Gregg's competitive advantage.</w:t>
      </w:r>
    </w:p>
    <w:p w14:paraId="331C3F5B" w14:textId="77777777" w:rsidR="005C6A3B" w:rsidRPr="00B31170" w:rsidRDefault="005C6A3B" w:rsidP="005C6A3B">
      <w:pPr>
        <w:rPr>
          <w:color w:val="000000"/>
        </w:rPr>
      </w:pPr>
    </w:p>
    <w:p w14:paraId="5DB74EE3" w14:textId="77777777" w:rsidR="005C6A3B" w:rsidRPr="00B31170" w:rsidRDefault="005C6A3B" w:rsidP="005C6A3B">
      <w:pPr>
        <w:pStyle w:val="Heading1"/>
      </w:pPr>
      <w:bookmarkStart w:id="19" w:name="_Toc215667713"/>
      <w:bookmarkStart w:id="20" w:name="_Toc215667930"/>
      <w:r w:rsidRPr="00B31170">
        <w:t>3.4 Additional Strategic Tools</w:t>
      </w:r>
      <w:bookmarkEnd w:id="19"/>
      <w:bookmarkEnd w:id="20"/>
    </w:p>
    <w:p w14:paraId="5C5A4995" w14:textId="77777777" w:rsidR="005C6A3B" w:rsidRPr="00B31170" w:rsidRDefault="005C6A3B" w:rsidP="005C6A3B">
      <w:pPr>
        <w:pStyle w:val="Heading2"/>
      </w:pPr>
      <w:bookmarkStart w:id="21" w:name="_Toc215667714"/>
      <w:bookmarkStart w:id="22" w:name="_Toc215667931"/>
      <w:r w:rsidRPr="00B31170">
        <w:t>3.4.1 Porter’s Generic Strategy Fit</w:t>
      </w:r>
      <w:bookmarkEnd w:id="21"/>
      <w:bookmarkEnd w:id="22"/>
    </w:p>
    <w:p w14:paraId="0EC5C148" w14:textId="21F95DDE" w:rsidR="005C6A3B" w:rsidRPr="00B31170" w:rsidRDefault="005C6A3B" w:rsidP="005C6A3B">
      <w:pPr>
        <w:rPr>
          <w:color w:val="000000"/>
        </w:rPr>
      </w:pPr>
      <w:r w:rsidRPr="00B31170">
        <w:rPr>
          <w:color w:val="000000"/>
        </w:rPr>
        <w:t>Greggs is mainly a cost-leader company. It is characterised by its centralised production, efficient logistics</w:t>
      </w:r>
      <w:r>
        <w:rPr>
          <w:color w:val="000000"/>
        </w:rPr>
        <w:t>,</w:t>
      </w:r>
      <w:r w:rsidRPr="00B31170">
        <w:rPr>
          <w:color w:val="000000"/>
        </w:rPr>
        <w:t xml:space="preserve"> as well as low-cost menu. In the Netherlands, this approach fits well with the consumer demands of low</w:t>
      </w:r>
      <w:r>
        <w:rPr>
          <w:color w:val="000000"/>
        </w:rPr>
        <w:t>-</w:t>
      </w:r>
      <w:r w:rsidRPr="00B31170">
        <w:rPr>
          <w:color w:val="000000"/>
        </w:rPr>
        <w:t xml:space="preserve">priced and convenient food. However, Greggs also enjoys the advantage of slight differentiation due to its savoury bakery products and the strong vegan product range. This mixed strategy can strengthen its competitive standing (Rani </w:t>
      </w:r>
      <w:r w:rsidRPr="00B31170">
        <w:rPr>
          <w:i/>
          <w:iCs/>
          <w:color w:val="000000"/>
        </w:rPr>
        <w:t>et al.</w:t>
      </w:r>
      <w:r w:rsidRPr="00B31170">
        <w:rPr>
          <w:color w:val="000000"/>
        </w:rPr>
        <w:t>, 2023). Cost leadership appeals to value-sensitive customers, whereas product differentiation is the source of differentiation. This equilibrium will be necessary since Greggs will be competing with the supermarkets and the already established cafe chains.</w:t>
      </w:r>
    </w:p>
    <w:p w14:paraId="5394AD10" w14:textId="77777777" w:rsidR="005C6A3B" w:rsidRPr="00B31170" w:rsidRDefault="005C6A3B" w:rsidP="005C6A3B">
      <w:pPr>
        <w:pStyle w:val="Heading3"/>
      </w:pPr>
      <w:bookmarkStart w:id="23" w:name="_Toc215667715"/>
      <w:bookmarkStart w:id="24" w:name="_Toc215667932"/>
      <w:r w:rsidRPr="00B31170">
        <w:lastRenderedPageBreak/>
        <w:t>3.4.2 Ansoff Matrix – Market Development Strategy</w:t>
      </w:r>
      <w:bookmarkEnd w:id="23"/>
      <w:bookmarkEnd w:id="24"/>
    </w:p>
    <w:p w14:paraId="09C02AB6" w14:textId="37F584E4" w:rsidR="005C6A3B" w:rsidRPr="00B31170" w:rsidRDefault="005C6A3B" w:rsidP="005C6A3B">
      <w:pPr>
        <w:rPr>
          <w:color w:val="000000"/>
        </w:rPr>
      </w:pPr>
      <w:r w:rsidRPr="00B31170">
        <w:rPr>
          <w:color w:val="000000"/>
        </w:rPr>
        <w:t xml:space="preserve">The market-development quadrant of the Ansoff Matrix is suitable in the case of Greggs entering the Netherlands. The business will launch its current product lines in a new geographical market. The method uses competencies that have been developed and also reduces the risks involved in coming up with new products (Tsiotsou, 2022). </w:t>
      </w:r>
      <w:r>
        <w:rPr>
          <w:color w:val="000000"/>
        </w:rPr>
        <w:t xml:space="preserve">The </w:t>
      </w:r>
      <w:r w:rsidRPr="00B31170">
        <w:rPr>
          <w:color w:val="000000"/>
        </w:rPr>
        <w:t>Netherlands will be appropriate since the bakery and snack products will be at an advanced stage of demand. Greggs will be able to utili</w:t>
      </w:r>
      <w:r>
        <w:rPr>
          <w:color w:val="000000"/>
        </w:rPr>
        <w:t>s</w:t>
      </w:r>
      <w:r w:rsidRPr="00B31170">
        <w:rPr>
          <w:color w:val="000000"/>
        </w:rPr>
        <w:t>e its robust operational systems to grow at a slow pace. Market development also enables Greggs to rebrand existing products and modif</w:t>
      </w:r>
      <w:r>
        <w:rPr>
          <w:color w:val="000000"/>
        </w:rPr>
        <w:t>y</w:t>
      </w:r>
      <w:r w:rsidRPr="00B31170">
        <w:rPr>
          <w:color w:val="000000"/>
        </w:rPr>
        <w:t xml:space="preserve"> flavours and recipes to fit local tastes. This plan promotes moderate growth at a manageable risk.</w:t>
      </w:r>
    </w:p>
    <w:p w14:paraId="2C33512C" w14:textId="77777777" w:rsidR="005C6A3B" w:rsidRPr="00B31170" w:rsidRDefault="005C6A3B" w:rsidP="005C6A3B">
      <w:pPr>
        <w:pStyle w:val="Heading3"/>
      </w:pPr>
      <w:bookmarkStart w:id="25" w:name="_Toc215667716"/>
      <w:bookmarkStart w:id="26" w:name="_Toc215667933"/>
      <w:r w:rsidRPr="00B31170">
        <w:t>3.4.3 Critical Reflection on the Tools Used</w:t>
      </w:r>
      <w:bookmarkEnd w:id="25"/>
      <w:bookmarkEnd w:id="26"/>
    </w:p>
    <w:p w14:paraId="47BDE2A5" w14:textId="31BF31AA" w:rsidR="005C6A3B" w:rsidRDefault="005C6A3B" w:rsidP="005C6A3B">
      <w:pPr>
        <w:rPr>
          <w:color w:val="000000"/>
        </w:rPr>
      </w:pPr>
      <w:r w:rsidRPr="00B31170">
        <w:rPr>
          <w:color w:val="000000"/>
        </w:rPr>
        <w:t xml:space="preserve">These instruments bring order, all of which are limited. Porter's model is static. Ansoff makes strategy decisions easy (Tsiotsou, 2022). VRIO does not take into account external forces. PESTLE is broad. However, when used together, they provide a balanced insight into the strategic position of Greggs and reveal the market </w:t>
      </w:r>
      <w:r>
        <w:rPr>
          <w:color w:val="000000"/>
        </w:rPr>
        <w:t xml:space="preserve">entry opportunities </w:t>
      </w:r>
      <w:r w:rsidRPr="00B31170">
        <w:rPr>
          <w:color w:val="000000"/>
        </w:rPr>
        <w:t>in the Netherlands.</w:t>
      </w:r>
    </w:p>
    <w:p w14:paraId="32D8F52A" w14:textId="77777777" w:rsidR="005C6A3B" w:rsidRPr="00B31170" w:rsidRDefault="005C6A3B" w:rsidP="005C6A3B">
      <w:pPr>
        <w:rPr>
          <w:color w:val="000000"/>
        </w:rPr>
      </w:pPr>
    </w:p>
    <w:p w14:paraId="2DDE5FF8" w14:textId="11BCAA84" w:rsidR="005C6A3B" w:rsidRPr="00B31170" w:rsidRDefault="005C6A3B" w:rsidP="005C6A3B">
      <w:pPr>
        <w:pStyle w:val="Heading1"/>
      </w:pPr>
      <w:bookmarkStart w:id="27" w:name="_Toc215667717"/>
      <w:bookmarkStart w:id="28" w:name="_Toc215667934"/>
      <w:r w:rsidRPr="00B31170">
        <w:t>4. Strategy Development &amp; Formulation</w:t>
      </w:r>
      <w:bookmarkEnd w:id="27"/>
      <w:bookmarkEnd w:id="28"/>
    </w:p>
    <w:p w14:paraId="47146810" w14:textId="77777777" w:rsidR="005C6A3B" w:rsidRPr="00B31170" w:rsidRDefault="005C6A3B" w:rsidP="005C6A3B">
      <w:pPr>
        <w:pStyle w:val="Heading2"/>
      </w:pPr>
      <w:bookmarkStart w:id="29" w:name="_Toc215667718"/>
      <w:bookmarkStart w:id="30" w:name="_Toc215667935"/>
      <w:r w:rsidRPr="00B31170">
        <w:t>4.1 Strategic Objectives for Netherlands Market Entry</w:t>
      </w:r>
      <w:bookmarkEnd w:id="29"/>
      <w:bookmarkEnd w:id="30"/>
    </w:p>
    <w:p w14:paraId="74E905C7" w14:textId="0D7F92F9" w:rsidR="005C6A3B" w:rsidRPr="00B31170" w:rsidRDefault="005C6A3B" w:rsidP="005C6A3B">
      <w:pPr>
        <w:rPr>
          <w:color w:val="000000"/>
        </w:rPr>
      </w:pPr>
      <w:r w:rsidRPr="00B31170">
        <w:rPr>
          <w:color w:val="000000"/>
        </w:rPr>
        <w:t>Greggs</w:t>
      </w:r>
      <w:r>
        <w:rPr>
          <w:color w:val="000000"/>
        </w:rPr>
        <w:t>’</w:t>
      </w:r>
      <w:r w:rsidRPr="00B31170">
        <w:rPr>
          <w:color w:val="000000"/>
        </w:rPr>
        <w:t xml:space="preserve"> strategic goals of entering the Netherlands are on sustainable growth, establishment of a brand and positioning. The first goal will be to create a good brand image in key cities and transport cent</w:t>
      </w:r>
      <w:r>
        <w:rPr>
          <w:color w:val="000000"/>
        </w:rPr>
        <w:t>re</w:t>
      </w:r>
      <w:r w:rsidRPr="00B31170">
        <w:rPr>
          <w:color w:val="000000"/>
        </w:rPr>
        <w:t xml:space="preserve">s in the Netherlands. It will help Greggs to target commuters and working professionals who value convenience (Watson </w:t>
      </w:r>
      <w:r w:rsidRPr="00B31170">
        <w:rPr>
          <w:i/>
          <w:iCs/>
          <w:color w:val="000000"/>
        </w:rPr>
        <w:t>et al.</w:t>
      </w:r>
      <w:r w:rsidRPr="00B31170">
        <w:rPr>
          <w:color w:val="000000"/>
        </w:rPr>
        <w:t xml:space="preserve">, 2018). The second is to establish a significant market share within the quick-service bakery market </w:t>
      </w:r>
      <w:r>
        <w:rPr>
          <w:color w:val="000000"/>
        </w:rPr>
        <w:t>by</w:t>
      </w:r>
      <w:r w:rsidRPr="00B31170">
        <w:rPr>
          <w:color w:val="000000"/>
        </w:rPr>
        <w:t xml:space="preserve"> providing low priced products. The third goal is to be responsible</w:t>
      </w:r>
      <w:r>
        <w:rPr>
          <w:color w:val="000000"/>
        </w:rPr>
        <w:t>,</w:t>
      </w:r>
      <w:r w:rsidRPr="00B31170">
        <w:rPr>
          <w:color w:val="000000"/>
        </w:rPr>
        <w:t xml:space="preserve"> with a clear focus </w:t>
      </w:r>
      <w:r>
        <w:rPr>
          <w:color w:val="000000"/>
        </w:rPr>
        <w:t>on</w:t>
      </w:r>
      <w:r w:rsidRPr="00B31170">
        <w:rPr>
          <w:color w:val="000000"/>
        </w:rPr>
        <w:t xml:space="preserve"> sustainability, minimising waste, and efficiency of resource use. These goals collectively lead Greggs to a long-term and well-organi</w:t>
      </w:r>
      <w:r>
        <w:rPr>
          <w:color w:val="000000"/>
        </w:rPr>
        <w:t>s</w:t>
      </w:r>
      <w:r w:rsidRPr="00B31170">
        <w:rPr>
          <w:color w:val="000000"/>
        </w:rPr>
        <w:t>ed entry that will consolidate its position internationally.</w:t>
      </w:r>
    </w:p>
    <w:p w14:paraId="2A8F8693" w14:textId="77777777" w:rsidR="005C6A3B" w:rsidRPr="00B31170" w:rsidRDefault="005C6A3B" w:rsidP="005C6A3B">
      <w:pPr>
        <w:rPr>
          <w:color w:val="000000"/>
        </w:rPr>
      </w:pPr>
    </w:p>
    <w:p w14:paraId="5F2A82CD" w14:textId="77777777" w:rsidR="005C6A3B" w:rsidRPr="00B31170" w:rsidRDefault="005C6A3B" w:rsidP="005C6A3B">
      <w:pPr>
        <w:pStyle w:val="Heading2"/>
      </w:pPr>
      <w:bookmarkStart w:id="31" w:name="_Toc215667719"/>
      <w:bookmarkStart w:id="32" w:name="_Toc215667936"/>
      <w:r w:rsidRPr="00B31170">
        <w:t>4.2 Entry Mode Strategy</w:t>
      </w:r>
      <w:bookmarkEnd w:id="31"/>
      <w:bookmarkEnd w:id="32"/>
    </w:p>
    <w:p w14:paraId="7CE8E4A9" w14:textId="6ABC70AB" w:rsidR="005C6A3B" w:rsidRPr="00B31170" w:rsidRDefault="005C6A3B" w:rsidP="005C6A3B">
      <w:pPr>
        <w:rPr>
          <w:color w:val="000000"/>
        </w:rPr>
      </w:pPr>
      <w:r w:rsidRPr="00B31170">
        <w:rPr>
          <w:color w:val="000000"/>
        </w:rPr>
        <w:t xml:space="preserve">Greggs can enter the Dutch market in a number of ways. The direct investment has complete control but has a lot of risk in terms of finances and necessitates a great deal of understanding </w:t>
      </w:r>
      <w:r w:rsidRPr="00B31170">
        <w:rPr>
          <w:color w:val="000000"/>
        </w:rPr>
        <w:lastRenderedPageBreak/>
        <w:t xml:space="preserve">of local laws, </w:t>
      </w:r>
      <w:r>
        <w:rPr>
          <w:color w:val="000000"/>
        </w:rPr>
        <w:t xml:space="preserve">the </w:t>
      </w:r>
      <w:r w:rsidRPr="00B31170">
        <w:rPr>
          <w:color w:val="000000"/>
        </w:rPr>
        <w:t xml:space="preserve">labour market, and consumer behaviour. It also requires much managerial ability and operational skills in a new environment (Watson </w:t>
      </w:r>
      <w:r w:rsidRPr="00B31170">
        <w:rPr>
          <w:i/>
          <w:iCs/>
          <w:color w:val="000000"/>
        </w:rPr>
        <w:t>et al.</w:t>
      </w:r>
      <w:r w:rsidRPr="00B31170">
        <w:rPr>
          <w:color w:val="000000"/>
        </w:rPr>
        <w:t>, 2018). Though Greggs has a good internal capacity, direct investment can be a strain on resources in the early stages.</w:t>
      </w:r>
    </w:p>
    <w:p w14:paraId="0D9920B5" w14:textId="3068931E" w:rsidR="005C6A3B" w:rsidRPr="00B31170" w:rsidRDefault="005C6A3B" w:rsidP="005C6A3B">
      <w:pPr>
        <w:rPr>
          <w:color w:val="000000"/>
        </w:rPr>
      </w:pPr>
      <w:r w:rsidRPr="00B31170">
        <w:rPr>
          <w:color w:val="000000"/>
        </w:rPr>
        <w:t xml:space="preserve">Joint venture gives the opportunity to share the risk and have the local market knowledge. A Dutch partner might offer insight into the knowledge about the supply chains, property markets, and consumer preferences (Watson </w:t>
      </w:r>
      <w:r w:rsidRPr="00B31170">
        <w:rPr>
          <w:i/>
          <w:iCs/>
          <w:color w:val="000000"/>
        </w:rPr>
        <w:t>et al.</w:t>
      </w:r>
      <w:r w:rsidRPr="00B31170">
        <w:rPr>
          <w:color w:val="000000"/>
        </w:rPr>
        <w:t>, 2018). Nonetheless, joint ventures might not be easy to control</w:t>
      </w:r>
      <w:r>
        <w:rPr>
          <w:color w:val="000000"/>
        </w:rPr>
        <w:t>,</w:t>
      </w:r>
      <w:r w:rsidRPr="00B31170">
        <w:rPr>
          <w:color w:val="000000"/>
        </w:rPr>
        <w:t xml:space="preserve"> as partners within such ventures might have varying priorities or expectations. The process of decision-making may be slow, and the issues of brand direction or the standard of operation can be contested.</w:t>
      </w:r>
    </w:p>
    <w:p w14:paraId="4688763A" w14:textId="36E0C223" w:rsidR="005C6A3B" w:rsidRPr="00B31170" w:rsidRDefault="005C6A3B" w:rsidP="005C6A3B">
      <w:pPr>
        <w:rPr>
          <w:color w:val="000000"/>
        </w:rPr>
      </w:pPr>
      <w:r w:rsidRPr="00B31170">
        <w:rPr>
          <w:color w:val="000000"/>
        </w:rPr>
        <w:t>The franchise approach comes with a less risky avenue. The master-franchise model will enable Greggs to work with a local franchisee who can have an understanding of the Dutch market. This will make the financial requirements less and the growth quicker (Vărzaru, 2022). Real estate, labour and local compliance would be handled by the franchisee, and Greggs offers standards of the brand, training and product development. This will guarantee uniformity among the stores and maintain brand integrity.</w:t>
      </w:r>
    </w:p>
    <w:p w14:paraId="7C2C6AEE" w14:textId="4078D286" w:rsidR="005C6A3B" w:rsidRPr="00B31170" w:rsidRDefault="005C6A3B" w:rsidP="005C6A3B">
      <w:pPr>
        <w:rPr>
          <w:color w:val="000000"/>
        </w:rPr>
      </w:pPr>
      <w:r w:rsidRPr="00B31170">
        <w:rPr>
          <w:color w:val="000000"/>
        </w:rPr>
        <w:t xml:space="preserve">An integrated approach can also be productive. Greggs can establish a few flagship stores in big cities to control its brand. At the same time, regional expansion might be handled by a master-franchise partner (Sokolova and Rojas-Vallejos, 2025). This balance strikes </w:t>
      </w:r>
      <w:r>
        <w:rPr>
          <w:color w:val="000000"/>
        </w:rPr>
        <w:t>a</w:t>
      </w:r>
      <w:r w:rsidRPr="00B31170">
        <w:rPr>
          <w:color w:val="000000"/>
        </w:rPr>
        <w:t xml:space="preserve"> balance between scalability and control. It will</w:t>
      </w:r>
      <w:r>
        <w:rPr>
          <w:color w:val="000000"/>
        </w:rPr>
        <w:t xml:space="preserve"> also</w:t>
      </w:r>
      <w:r w:rsidRPr="00B31170">
        <w:rPr>
          <w:color w:val="000000"/>
        </w:rPr>
        <w:t xml:space="preserve"> enable Greggs to experiment </w:t>
      </w:r>
      <w:r>
        <w:rPr>
          <w:color w:val="000000"/>
        </w:rPr>
        <w:t>i</w:t>
      </w:r>
      <w:r w:rsidRPr="00B31170">
        <w:rPr>
          <w:color w:val="000000"/>
        </w:rPr>
        <w:t xml:space="preserve">n the market, refine products and even make adjustments </w:t>
      </w:r>
      <w:r>
        <w:rPr>
          <w:color w:val="000000"/>
        </w:rPr>
        <w:t>to</w:t>
      </w:r>
      <w:r w:rsidRPr="00B31170">
        <w:rPr>
          <w:color w:val="000000"/>
        </w:rPr>
        <w:t xml:space="preserve"> its offer prior to broader rollout.</w:t>
      </w:r>
    </w:p>
    <w:p w14:paraId="4F0F20D3" w14:textId="59635736" w:rsidR="005C6A3B" w:rsidRPr="00B31170" w:rsidRDefault="005C6A3B" w:rsidP="005C6A3B">
      <w:pPr>
        <w:rPr>
          <w:color w:val="000000"/>
        </w:rPr>
      </w:pPr>
      <w:r w:rsidRPr="00B31170">
        <w:rPr>
          <w:color w:val="000000"/>
        </w:rPr>
        <w:t>At large, the master-franchise model that will be backed with one or two pilot stores owned directly will offer a balanced entry strategy (Sokolova and Rojas-Vallejos, 2025). It minimi</w:t>
      </w:r>
      <w:r>
        <w:rPr>
          <w:color w:val="000000"/>
        </w:rPr>
        <w:t>s</w:t>
      </w:r>
      <w:r w:rsidRPr="00B31170">
        <w:rPr>
          <w:color w:val="000000"/>
        </w:rPr>
        <w:t>es initial risk, it allows quicker market penetration, and it provides the flexibility of operations. The risk factors are partner selection, quality control and supply-chain reliability, yet the issues can be addressed by clear contracts and close supervision.</w:t>
      </w:r>
    </w:p>
    <w:p w14:paraId="126B1BF1" w14:textId="77777777" w:rsidR="005C6A3B" w:rsidRPr="00B31170" w:rsidRDefault="005C6A3B" w:rsidP="005C6A3B">
      <w:pPr>
        <w:rPr>
          <w:color w:val="000000"/>
        </w:rPr>
      </w:pPr>
    </w:p>
    <w:p w14:paraId="5F26027E" w14:textId="77777777" w:rsidR="005C6A3B" w:rsidRDefault="005C6A3B" w:rsidP="005C6A3B">
      <w:pPr>
        <w:pStyle w:val="Heading2"/>
      </w:pPr>
      <w:bookmarkStart w:id="33" w:name="_Toc215667720"/>
      <w:bookmarkStart w:id="34" w:name="_Toc215667937"/>
      <w:r w:rsidRPr="00B31170">
        <w:t>4.3 Competitive Strategy (Porter’s Generic Strategy)</w:t>
      </w:r>
      <w:bookmarkEnd w:id="33"/>
      <w:bookmarkEnd w:id="34"/>
      <w:r w:rsidRPr="00B31170">
        <w:t xml:space="preserve"> </w:t>
      </w:r>
    </w:p>
    <w:p w14:paraId="321BA57F" w14:textId="248DC9FD" w:rsidR="005C6A3B" w:rsidRDefault="005C6A3B" w:rsidP="005C6A3B">
      <w:pPr>
        <w:rPr>
          <w:color w:val="000000"/>
        </w:rPr>
      </w:pPr>
      <w:r w:rsidRPr="00B31170">
        <w:rPr>
          <w:color w:val="000000"/>
        </w:rPr>
        <w:t xml:space="preserve">The competitive strategy adopted by Greggs in the Netherlands must be cost leadership with selective differentiation. It is possible to achieve cost leadership because of its centralised production model, which reduces the unit cost and provides a uniform quality (Boimah and Weible, 2023). This will be in line with the Dutch consumer expectations of good value. </w:t>
      </w:r>
      <w:r w:rsidRPr="00B31170">
        <w:rPr>
          <w:color w:val="000000"/>
        </w:rPr>
        <w:lastRenderedPageBreak/>
        <w:t>Another factor that favo</w:t>
      </w:r>
      <w:r>
        <w:rPr>
          <w:color w:val="000000"/>
        </w:rPr>
        <w:t>u</w:t>
      </w:r>
      <w:r w:rsidRPr="00B31170">
        <w:rPr>
          <w:color w:val="000000"/>
        </w:rPr>
        <w:t xml:space="preserve">rs </w:t>
      </w:r>
      <w:r>
        <w:rPr>
          <w:color w:val="000000"/>
        </w:rPr>
        <w:t xml:space="preserve">a </w:t>
      </w:r>
      <w:r w:rsidRPr="00B31170">
        <w:rPr>
          <w:color w:val="000000"/>
        </w:rPr>
        <w:t>low-cost structure is the efficient store layout in Greggs and quick service.</w:t>
      </w:r>
    </w:p>
    <w:p w14:paraId="5CABA420" w14:textId="77777777" w:rsidR="001B4723" w:rsidRDefault="001B4723" w:rsidP="001B4723">
      <w:pPr>
        <w:keepNext/>
        <w:jc w:val="center"/>
      </w:pPr>
      <w:r>
        <w:fldChar w:fldCharType="begin"/>
      </w:r>
      <w:r>
        <w:instrText xml:space="preserve"> INCLUDEPICTURE "/Users/ijtehad/Library/Group Containers/UBF8T346G9.ms/WebArchiveCopyPasteTempFiles/com.microsoft.Word/Porters-Generic-Strategies.png?ssl=1" \* MERGEFORMATINET </w:instrText>
      </w:r>
      <w:r>
        <w:fldChar w:fldCharType="separate"/>
      </w:r>
      <w:r>
        <w:rPr>
          <w:noProof/>
        </w:rPr>
        <w:drawing>
          <wp:inline distT="0" distB="0" distL="0" distR="0" wp14:anchorId="0766410F" wp14:editId="3B93A25B">
            <wp:extent cx="4659737" cy="3392475"/>
            <wp:effectExtent l="0" t="0" r="1270" b="0"/>
            <wp:docPr id="1291978934" name="Picture 2"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EXPLAINED with EXAMPLES | B2U"/>
                    <pic:cNvPicPr>
                      <a:picLocks noChangeAspect="1" noChangeArrowheads="1"/>
                    </pic:cNvPicPr>
                  </pic:nvPicPr>
                  <pic:blipFill rotWithShape="1">
                    <a:blip r:embed="rId12">
                      <a:extLst>
                        <a:ext uri="{28A0092B-C50C-407E-A947-70E740481C1C}">
                          <a14:useLocalDpi xmlns:a14="http://schemas.microsoft.com/office/drawing/2010/main" val="0"/>
                        </a:ext>
                      </a:extLst>
                    </a:blip>
                    <a:srcRect l="8946" r="13841"/>
                    <a:stretch/>
                  </pic:blipFill>
                  <pic:spPr bwMode="auto">
                    <a:xfrm>
                      <a:off x="0" y="0"/>
                      <a:ext cx="4696597" cy="341931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3A769F5" w14:textId="760A0560" w:rsidR="001B4723" w:rsidRDefault="001B4723" w:rsidP="001B4723">
      <w:pPr>
        <w:pStyle w:val="Caption"/>
        <w:rPr>
          <w:lang w:val="en-US"/>
        </w:rPr>
      </w:pPr>
      <w:r>
        <w:t xml:space="preserve">Figure </w:t>
      </w:r>
      <w:r>
        <w:fldChar w:fldCharType="begin"/>
      </w:r>
      <w:r>
        <w:instrText xml:space="preserve"> SEQ Figure \* ARABIC </w:instrText>
      </w:r>
      <w:r>
        <w:fldChar w:fldCharType="separate"/>
      </w:r>
      <w:r>
        <w:t>4</w:t>
      </w:r>
      <w:r>
        <w:fldChar w:fldCharType="end"/>
      </w:r>
      <w:r>
        <w:rPr>
          <w:lang w:val="en-US"/>
        </w:rPr>
        <w:t xml:space="preserve">: </w:t>
      </w:r>
      <w:r w:rsidRPr="004F7357">
        <w:rPr>
          <w:lang w:val="en-US"/>
        </w:rPr>
        <w:t>Porter’s Generic Strategy</w:t>
      </w:r>
      <w:r>
        <w:rPr>
          <w:lang w:val="en-US"/>
        </w:rPr>
        <w:t xml:space="preserve"> </w:t>
      </w:r>
    </w:p>
    <w:p w14:paraId="6E9E6B00" w14:textId="28035A2E" w:rsidR="001B4723" w:rsidRPr="00B31170" w:rsidRDefault="001B4723" w:rsidP="001B4723">
      <w:pPr>
        <w:pStyle w:val="Caption"/>
        <w:rPr>
          <w:color w:val="000000"/>
        </w:rPr>
      </w:pPr>
      <w:r w:rsidRPr="00B31170">
        <w:rPr>
          <w:color w:val="000000"/>
        </w:rPr>
        <w:t>(Boimah and Weible, 2023)</w:t>
      </w:r>
    </w:p>
    <w:p w14:paraId="69A8D4C6" w14:textId="04CEE861" w:rsidR="005C6A3B" w:rsidRPr="00B31170" w:rsidRDefault="005C6A3B" w:rsidP="005C6A3B">
      <w:pPr>
        <w:rPr>
          <w:color w:val="000000"/>
        </w:rPr>
      </w:pPr>
      <w:r w:rsidRPr="00B31170">
        <w:rPr>
          <w:color w:val="000000"/>
        </w:rPr>
        <w:t>Nevertheless, cost leadership might not be an adequate strategy in a market that appreciates quality and tradition. The differentiation of Greggs lies in its exclusive savoury bakery items</w:t>
      </w:r>
      <w:r>
        <w:rPr>
          <w:color w:val="000000"/>
        </w:rPr>
        <w:t>,</w:t>
      </w:r>
      <w:r w:rsidRPr="00B31170">
        <w:rPr>
          <w:color w:val="000000"/>
        </w:rPr>
        <w:t xml:space="preserve"> including sausage rolls, bakes, and its pending vegan collection (Cassia and Magno, 2022). These services are not common in the Netherlands market and may create interest and experiment</w:t>
      </w:r>
      <w:r>
        <w:rPr>
          <w:color w:val="000000"/>
        </w:rPr>
        <w:t>ation</w:t>
      </w:r>
      <w:r w:rsidRPr="00B31170">
        <w:rPr>
          <w:color w:val="000000"/>
        </w:rPr>
        <w:t xml:space="preserve"> among customers. A hybrid approach will enable Greggs to be unique but affordable. This will be the key to appealing to the value consumers as well as the customers who want new flavours or convenient meals.</w:t>
      </w:r>
    </w:p>
    <w:p w14:paraId="0CF78F64" w14:textId="77777777" w:rsidR="005C6A3B" w:rsidRPr="00B31170" w:rsidRDefault="005C6A3B" w:rsidP="005C6A3B">
      <w:pPr>
        <w:rPr>
          <w:color w:val="000000"/>
        </w:rPr>
      </w:pPr>
    </w:p>
    <w:p w14:paraId="3BD37C19" w14:textId="77777777" w:rsidR="005C6A3B" w:rsidRDefault="005C6A3B" w:rsidP="005C6A3B">
      <w:pPr>
        <w:pStyle w:val="Heading2"/>
      </w:pPr>
      <w:bookmarkStart w:id="35" w:name="_Toc215667721"/>
      <w:bookmarkStart w:id="36" w:name="_Toc215667938"/>
      <w:r w:rsidRPr="00B31170">
        <w:t>4.4 Market Positioning &amp; Value Proposition</w:t>
      </w:r>
      <w:bookmarkEnd w:id="35"/>
      <w:bookmarkEnd w:id="36"/>
    </w:p>
    <w:p w14:paraId="1044B28B" w14:textId="6A225B87" w:rsidR="005C6A3B" w:rsidRPr="00B31170" w:rsidRDefault="005C6A3B" w:rsidP="005C6A3B">
      <w:pPr>
        <w:rPr>
          <w:color w:val="000000"/>
        </w:rPr>
      </w:pPr>
      <w:r w:rsidRPr="00B31170">
        <w:rPr>
          <w:color w:val="000000"/>
        </w:rPr>
        <w:t xml:space="preserve">Greggs needs to position </w:t>
      </w:r>
      <w:r>
        <w:rPr>
          <w:color w:val="000000"/>
        </w:rPr>
        <w:t xml:space="preserve">itself </w:t>
      </w:r>
      <w:r w:rsidRPr="00B31170">
        <w:rPr>
          <w:color w:val="000000"/>
        </w:rPr>
        <w:t>as a low</w:t>
      </w:r>
      <w:r>
        <w:rPr>
          <w:color w:val="000000"/>
        </w:rPr>
        <w:t>-</w:t>
      </w:r>
      <w:r w:rsidRPr="00B31170">
        <w:rPr>
          <w:color w:val="000000"/>
        </w:rPr>
        <w:t xml:space="preserve">price, fresh and fast-service British bakery brand targeting busy Dutch consumers. Its value chain focuses on providing delicious and convenient food at a price that is acceptable to commuters and office employees (Czarnecka and Schivinski, 2022). The positioning will assist in distinguishing Greggs among the current </w:t>
      </w:r>
      <w:r w:rsidRPr="00B31170">
        <w:rPr>
          <w:color w:val="000000"/>
        </w:rPr>
        <w:lastRenderedPageBreak/>
        <w:t xml:space="preserve">bakery chains that have a tendency to concentrate on traditional pastries or </w:t>
      </w:r>
      <w:r>
        <w:rPr>
          <w:color w:val="000000"/>
        </w:rPr>
        <w:t xml:space="preserve">a </w:t>
      </w:r>
      <w:r w:rsidRPr="00B31170">
        <w:rPr>
          <w:color w:val="000000"/>
        </w:rPr>
        <w:t>high-end cafe experience.</w:t>
      </w:r>
    </w:p>
    <w:p w14:paraId="36822F5A" w14:textId="5492AB68" w:rsidR="005C6A3B" w:rsidRPr="00B31170" w:rsidRDefault="005C6A3B" w:rsidP="005C6A3B">
      <w:pPr>
        <w:rPr>
          <w:color w:val="000000"/>
        </w:rPr>
      </w:pPr>
      <w:r w:rsidRPr="00B31170">
        <w:rPr>
          <w:color w:val="000000"/>
        </w:rPr>
        <w:t xml:space="preserve">The local companies like Delifrance, HEMA and Albert Heijn </w:t>
      </w:r>
      <w:r>
        <w:rPr>
          <w:color w:val="000000"/>
        </w:rPr>
        <w:t>t</w:t>
      </w:r>
      <w:r w:rsidRPr="00B31170">
        <w:rPr>
          <w:color w:val="000000"/>
        </w:rPr>
        <w:t>o Go have a combination of snacks, sandwiches and pastry but their prices are generally higher and their services slower. Greggs has an opportunity to satisfy a niche by providing hot savoury ready-to-eat fast foods (Mendocilla, Miravitlles</w:t>
      </w:r>
      <w:r>
        <w:rPr>
          <w:color w:val="000000"/>
        </w:rPr>
        <w:t>,</w:t>
      </w:r>
      <w:r w:rsidRPr="00B31170">
        <w:rPr>
          <w:color w:val="000000"/>
        </w:rPr>
        <w:t xml:space="preserve"> Matamoros and Matute, 2021). </w:t>
      </w:r>
      <w:r>
        <w:rPr>
          <w:color w:val="000000"/>
        </w:rPr>
        <w:t xml:space="preserve">It’s a </w:t>
      </w:r>
      <w:r w:rsidRPr="00B31170">
        <w:rPr>
          <w:color w:val="000000"/>
        </w:rPr>
        <w:t>great brand</w:t>
      </w:r>
      <w:r>
        <w:rPr>
          <w:color w:val="000000"/>
        </w:rPr>
        <w:t>,</w:t>
      </w:r>
      <w:r w:rsidRPr="00B31170">
        <w:rPr>
          <w:color w:val="000000"/>
        </w:rPr>
        <w:t xml:space="preserve"> and </w:t>
      </w:r>
      <w:r>
        <w:rPr>
          <w:color w:val="000000"/>
        </w:rPr>
        <w:t xml:space="preserve">a </w:t>
      </w:r>
      <w:r w:rsidRPr="00B31170">
        <w:rPr>
          <w:color w:val="000000"/>
        </w:rPr>
        <w:t>streamlined menu can attract speedy, reliable and low-end consumers. The strategy of making Greggs an affordable option to have on a daily basis will help the business to gain good traction on the market and foster revisions.</w:t>
      </w:r>
    </w:p>
    <w:p w14:paraId="3B5F53A8" w14:textId="77777777" w:rsidR="005C6A3B" w:rsidRPr="00B31170" w:rsidRDefault="005C6A3B" w:rsidP="005C6A3B">
      <w:pPr>
        <w:rPr>
          <w:color w:val="000000"/>
        </w:rPr>
      </w:pPr>
    </w:p>
    <w:p w14:paraId="2794E734" w14:textId="77777777" w:rsidR="005C6A3B" w:rsidRDefault="005C6A3B" w:rsidP="005C6A3B">
      <w:pPr>
        <w:pStyle w:val="Heading2"/>
      </w:pPr>
      <w:bookmarkStart w:id="37" w:name="_Toc215667722"/>
      <w:bookmarkStart w:id="38" w:name="_Toc215667939"/>
      <w:r w:rsidRPr="00B31170">
        <w:t>4.5 Marketing &amp; Product Localisation Strategy</w:t>
      </w:r>
      <w:bookmarkEnd w:id="37"/>
      <w:bookmarkEnd w:id="38"/>
    </w:p>
    <w:p w14:paraId="53192434" w14:textId="77EC1F19" w:rsidR="005C6A3B" w:rsidRPr="00B31170" w:rsidRDefault="005C6A3B" w:rsidP="005C6A3B">
      <w:pPr>
        <w:rPr>
          <w:color w:val="000000"/>
        </w:rPr>
      </w:pPr>
      <w:r w:rsidRPr="00B31170">
        <w:rPr>
          <w:color w:val="000000"/>
        </w:rPr>
        <w:t>The Netherlands marketing should be focused on the value, convenience and freshness. Gregg’s ought to emphasise its British roots yet customise its messages to suit Dutch preference</w:t>
      </w:r>
      <w:r>
        <w:rPr>
          <w:color w:val="000000"/>
        </w:rPr>
        <w:t>s</w:t>
      </w:r>
      <w:r w:rsidRPr="00B31170">
        <w:rPr>
          <w:color w:val="000000"/>
        </w:rPr>
        <w:t xml:space="preserve"> on direct and honest food (Chehimi and Naro, 2024). Advertisements can emphasi</w:t>
      </w:r>
      <w:r>
        <w:rPr>
          <w:color w:val="000000"/>
        </w:rPr>
        <w:t>s</w:t>
      </w:r>
      <w:r w:rsidRPr="00B31170">
        <w:rPr>
          <w:color w:val="000000"/>
        </w:rPr>
        <w:t>e speed, fried meals, and veganism. Digital marketing will play a significant role as Dutch consumers use mobile apps and online services extensively to choose where to dine.</w:t>
      </w:r>
    </w:p>
    <w:p w14:paraId="068EC65F" w14:textId="77777777" w:rsidR="005C6A3B" w:rsidRPr="00B31170" w:rsidRDefault="005C6A3B" w:rsidP="005C6A3B">
      <w:pPr>
        <w:rPr>
          <w:color w:val="000000"/>
        </w:rPr>
      </w:pPr>
      <w:r w:rsidRPr="00B31170">
        <w:rPr>
          <w:color w:val="000000"/>
        </w:rPr>
        <w:t xml:space="preserve">Localisation of products is inevitable. Greggs must keep its traditional products, including sausage rolls and baked products, but it needs to add the Dutch-themed products. Another pastry that Greggs uses to prepare a “kaasbroodje” would appeal to the local taste (Rani </w:t>
      </w:r>
      <w:r w:rsidRPr="00B31170">
        <w:rPr>
          <w:i/>
          <w:iCs/>
          <w:color w:val="000000"/>
        </w:rPr>
        <w:t>et al.</w:t>
      </w:r>
      <w:r w:rsidRPr="00B31170">
        <w:rPr>
          <w:color w:val="000000"/>
        </w:rPr>
        <w:t>, 2023). The addition of stroopwafel flavoured sweets or flavours that are typical of the seasons can also draw attention. The priority should be given to the plant-based alternatives, as the Dutch have strong vegan and flexitarian societies.</w:t>
      </w:r>
    </w:p>
    <w:p w14:paraId="3AD9EECD" w14:textId="2F0EA249" w:rsidR="005C6A3B" w:rsidRDefault="005C6A3B" w:rsidP="005C6A3B">
      <w:pPr>
        <w:rPr>
          <w:color w:val="000000"/>
        </w:rPr>
      </w:pPr>
      <w:r w:rsidRPr="00B31170">
        <w:rPr>
          <w:color w:val="000000"/>
        </w:rPr>
        <w:t>The pricing should be competitive. Gregg’s ought to offer value meals for breakfast and lunch. Low-priced coffee-and-snack offers will be necessary in transport hubs. The choice of location must focus on the Amsterdam Central Station, Utrecht Centraal and Rotterdam Centraal</w:t>
      </w:r>
      <w:r>
        <w:rPr>
          <w:color w:val="000000"/>
        </w:rPr>
        <w:t>,</w:t>
      </w:r>
      <w:r w:rsidRPr="00B31170">
        <w:rPr>
          <w:color w:val="000000"/>
        </w:rPr>
        <w:t xml:space="preserve"> where there is heavy traffic </w:t>
      </w:r>
      <w:r>
        <w:rPr>
          <w:color w:val="000000"/>
        </w:rPr>
        <w:t>on</w:t>
      </w:r>
      <w:r w:rsidRPr="00B31170">
        <w:rPr>
          <w:color w:val="000000"/>
        </w:rPr>
        <w:t xml:space="preserve"> foot (Rani </w:t>
      </w:r>
      <w:r w:rsidRPr="00B31170">
        <w:rPr>
          <w:i/>
          <w:iCs/>
          <w:color w:val="000000"/>
        </w:rPr>
        <w:t>et al.</w:t>
      </w:r>
      <w:r w:rsidRPr="00B31170">
        <w:rPr>
          <w:color w:val="000000"/>
        </w:rPr>
        <w:t>, 2023). Business district and university stores can do the same. A well-defined locali</w:t>
      </w:r>
      <w:r>
        <w:rPr>
          <w:color w:val="000000"/>
        </w:rPr>
        <w:t>s</w:t>
      </w:r>
      <w:r w:rsidRPr="00B31170">
        <w:rPr>
          <w:color w:val="000000"/>
        </w:rPr>
        <w:t>ed marketing will have the effect of helping Greggs to build familiarity and trust in a new environment.</w:t>
      </w:r>
    </w:p>
    <w:p w14:paraId="149696DB" w14:textId="77777777" w:rsidR="005C6A3B" w:rsidRPr="00B31170" w:rsidRDefault="005C6A3B" w:rsidP="005C6A3B">
      <w:pPr>
        <w:rPr>
          <w:color w:val="000000"/>
        </w:rPr>
      </w:pPr>
    </w:p>
    <w:p w14:paraId="5D863E18" w14:textId="77777777" w:rsidR="005C6A3B" w:rsidRDefault="005C6A3B" w:rsidP="005C6A3B">
      <w:pPr>
        <w:pStyle w:val="Heading2"/>
      </w:pPr>
      <w:bookmarkStart w:id="39" w:name="_Toc215667723"/>
      <w:bookmarkStart w:id="40" w:name="_Toc215667940"/>
      <w:r w:rsidRPr="00B31170">
        <w:lastRenderedPageBreak/>
        <w:t>4.6 Supply Chain &amp; Operations Strategy</w:t>
      </w:r>
      <w:bookmarkEnd w:id="39"/>
      <w:bookmarkEnd w:id="40"/>
    </w:p>
    <w:p w14:paraId="55AAF428" w14:textId="324CDCAC" w:rsidR="005C6A3B" w:rsidRPr="00B31170" w:rsidRDefault="005C6A3B" w:rsidP="005C6A3B">
      <w:pPr>
        <w:rPr>
          <w:color w:val="000000"/>
        </w:rPr>
      </w:pPr>
      <w:r w:rsidRPr="00B31170">
        <w:rPr>
          <w:color w:val="000000"/>
        </w:rPr>
        <w:t xml:space="preserve">The supply-chain strategy used by Greggs has to be efficient, effective, and sustainable. The hybrid approach that integrates partial imports of the UK and domestic sourcing would be viable in the initial expansion. Some of the main components, including pastry bases, might be prepared in the central bakeries of the United Kingdom and exported to the Netherlands (Lambert, Jones and Clinton, 2021). This provides uniformity in taste and quality. Nevertheless, the fresh ingredients, dairy, and vegetables should be obtained locally to save the transportation costs that will reduce sustainability expectations. It will be necessary to collaborate with well-established Dutch logistics companies. The Netherlands possesses well </w:t>
      </w:r>
      <w:r>
        <w:rPr>
          <w:color w:val="000000"/>
        </w:rPr>
        <w:t>well-</w:t>
      </w:r>
      <w:r w:rsidRPr="00B31170">
        <w:rPr>
          <w:color w:val="000000"/>
        </w:rPr>
        <w:t>developed cold-chain, which facilitates the distribution of food in safe and efficient ways (Lambert, Jones and Clinton, 2021). The collaboration with local partners may also assist Greggs in going through the regulatory requirements and keeping the inventory levels steady.</w:t>
      </w:r>
    </w:p>
    <w:p w14:paraId="41F3DF19" w14:textId="2AC6CF08" w:rsidR="005C6A3B" w:rsidRDefault="005C6A3B" w:rsidP="005C6A3B">
      <w:pPr>
        <w:rPr>
          <w:color w:val="000000"/>
        </w:rPr>
      </w:pPr>
      <w:r w:rsidRPr="00B31170">
        <w:rPr>
          <w:color w:val="000000"/>
        </w:rPr>
        <w:t>Operatively, Greggs can use its established store concept that comprises effective layouts, open displays of products and quick service cycles. Sustainability should be involved in the routine activities. These are waste minimi</w:t>
      </w:r>
      <w:r>
        <w:rPr>
          <w:color w:val="000000"/>
          <w:lang w:val="en-US"/>
        </w:rPr>
        <w:t>s</w:t>
      </w:r>
      <w:r w:rsidRPr="00B31170">
        <w:rPr>
          <w:color w:val="000000"/>
        </w:rPr>
        <w:t>ation, energy</w:t>
      </w:r>
      <w:r>
        <w:rPr>
          <w:color w:val="000000"/>
          <w:lang w:val="en-US"/>
        </w:rPr>
        <w:t>-</w:t>
      </w:r>
      <w:r w:rsidRPr="00B31170">
        <w:rPr>
          <w:color w:val="000000"/>
        </w:rPr>
        <w:t>saving machines, and recyclable wrappings. The Dutch consumers highly value the behaviour of environmental responsibility</w:t>
      </w:r>
      <w:r>
        <w:rPr>
          <w:color w:val="000000"/>
          <w:lang w:val="en-US"/>
        </w:rPr>
        <w:t>. T</w:t>
      </w:r>
      <w:r w:rsidRPr="00B31170">
        <w:rPr>
          <w:color w:val="000000"/>
        </w:rPr>
        <w:t>hus visible sustainability will reinforce the brand (Tsiotsou, 2022). The integration of the operational capabilities of Greggs with the local collaborations and customi</w:t>
      </w:r>
      <w:r>
        <w:rPr>
          <w:color w:val="000000"/>
          <w:lang w:val="en-US"/>
        </w:rPr>
        <w:t>s</w:t>
      </w:r>
      <w:r w:rsidRPr="00B31170">
        <w:rPr>
          <w:color w:val="000000"/>
        </w:rPr>
        <w:t>ed operations will help to create a consistent and adaptable supply chain that will enable the company to achieve success in the long</w:t>
      </w:r>
      <w:r>
        <w:rPr>
          <w:color w:val="000000"/>
          <w:lang w:val="en-US"/>
        </w:rPr>
        <w:t xml:space="preserve"> </w:t>
      </w:r>
      <w:r w:rsidRPr="00B31170">
        <w:rPr>
          <w:color w:val="000000"/>
        </w:rPr>
        <w:t>term in the Dutch market.</w:t>
      </w:r>
    </w:p>
    <w:p w14:paraId="512E489F" w14:textId="77777777" w:rsidR="005C6A3B" w:rsidRPr="00B31170" w:rsidRDefault="005C6A3B" w:rsidP="005C6A3B">
      <w:pPr>
        <w:rPr>
          <w:color w:val="000000"/>
        </w:rPr>
      </w:pPr>
    </w:p>
    <w:p w14:paraId="43C29E9E" w14:textId="77777777" w:rsidR="005C6A3B" w:rsidRPr="00B31170" w:rsidRDefault="005C6A3B" w:rsidP="005C6A3B">
      <w:pPr>
        <w:pStyle w:val="Heading1"/>
      </w:pPr>
      <w:bookmarkStart w:id="41" w:name="_Toc215667724"/>
      <w:bookmarkStart w:id="42" w:name="_Toc215667941"/>
      <w:r w:rsidRPr="00B31170">
        <w:t>5. Performance Evaluation Framework</w:t>
      </w:r>
      <w:bookmarkEnd w:id="41"/>
      <w:bookmarkEnd w:id="42"/>
    </w:p>
    <w:p w14:paraId="1C4BF9C1" w14:textId="77777777" w:rsidR="005C6A3B" w:rsidRPr="00B31170" w:rsidRDefault="005C6A3B" w:rsidP="005C6A3B">
      <w:pPr>
        <w:pStyle w:val="Heading2"/>
      </w:pPr>
      <w:bookmarkStart w:id="43" w:name="_Toc215667725"/>
      <w:bookmarkStart w:id="44" w:name="_Toc215667942"/>
      <w:r w:rsidRPr="00B31170">
        <w:t>5.1 Choice of Framework (Balanced Scorecard)</w:t>
      </w:r>
      <w:bookmarkEnd w:id="43"/>
      <w:bookmarkEnd w:id="44"/>
    </w:p>
    <w:p w14:paraId="29B9193C" w14:textId="6CD7522D" w:rsidR="005C6A3B" w:rsidRDefault="005C6A3B" w:rsidP="005C6A3B">
      <w:pPr>
        <w:rPr>
          <w:color w:val="000000"/>
        </w:rPr>
      </w:pPr>
      <w:r w:rsidRPr="00B31170">
        <w:rPr>
          <w:color w:val="000000"/>
        </w:rPr>
        <w:t>The most suitable model that can be used to evaluate Greggs</w:t>
      </w:r>
      <w:r>
        <w:rPr>
          <w:color w:val="000000"/>
          <w:lang w:val="en-US"/>
        </w:rPr>
        <w:t>’</w:t>
      </w:r>
      <w:r w:rsidRPr="00B31170">
        <w:rPr>
          <w:color w:val="000000"/>
        </w:rPr>
        <w:t xml:space="preserve"> expansion to the Netherlands is the Balanced Scorecard (BSC). It also provides a systematic outlook on performance on financial, customer, internal process, and learning dimensions. This model can help Greggs to balance short</w:t>
      </w:r>
      <w:r>
        <w:rPr>
          <w:color w:val="000000"/>
          <w:lang w:val="en-US"/>
        </w:rPr>
        <w:t>-</w:t>
      </w:r>
      <w:r w:rsidRPr="00B31170">
        <w:rPr>
          <w:color w:val="000000"/>
        </w:rPr>
        <w:t>term activities with overall long</w:t>
      </w:r>
      <w:r>
        <w:rPr>
          <w:color w:val="000000"/>
          <w:lang w:val="en-US"/>
        </w:rPr>
        <w:t>-</w:t>
      </w:r>
      <w:r w:rsidRPr="00B31170">
        <w:rPr>
          <w:color w:val="000000"/>
        </w:rPr>
        <w:t xml:space="preserve">term strategic goals. Moreover, the BSC makes it easy to conduct continuous monitoring, which cannot be avoided in the case of early market entry when there is high uncertainty (Watson </w:t>
      </w:r>
      <w:r w:rsidRPr="00B31170">
        <w:rPr>
          <w:i/>
          <w:iCs/>
          <w:color w:val="000000"/>
        </w:rPr>
        <w:t>et al.</w:t>
      </w:r>
      <w:r w:rsidRPr="00B31170">
        <w:rPr>
          <w:color w:val="000000"/>
        </w:rPr>
        <w:t xml:space="preserve">, 2018). The Triple Bottom Line (TBL) is a great idea to base the sustainability assessment on, but it lacks operational and financial control </w:t>
      </w:r>
      <w:r w:rsidRPr="00B31170">
        <w:rPr>
          <w:color w:val="000000"/>
        </w:rPr>
        <w:lastRenderedPageBreak/>
        <w:t>visibility. The BSC can therefore be considered more balanced</w:t>
      </w:r>
      <w:r>
        <w:rPr>
          <w:color w:val="000000"/>
        </w:rPr>
        <w:t>,</w:t>
      </w:r>
      <w:r w:rsidRPr="00B31170">
        <w:rPr>
          <w:color w:val="000000"/>
        </w:rPr>
        <w:t xml:space="preserve"> providing a wider view of progress</w:t>
      </w:r>
      <w:r>
        <w:rPr>
          <w:color w:val="000000"/>
        </w:rPr>
        <w:t>,</w:t>
      </w:r>
      <w:r w:rsidRPr="00B31170">
        <w:rPr>
          <w:color w:val="000000"/>
        </w:rPr>
        <w:t xml:space="preserve"> thus making it best suited to monitor the progress in a new international market.</w:t>
      </w:r>
    </w:p>
    <w:p w14:paraId="23C5DEE2" w14:textId="77777777" w:rsidR="001B4723" w:rsidRDefault="001B4723" w:rsidP="001B4723">
      <w:pPr>
        <w:keepNext/>
        <w:jc w:val="center"/>
      </w:pPr>
      <w:r>
        <w:rPr>
          <w:noProof/>
          <w:color w:val="000000"/>
        </w:rPr>
        <w:drawing>
          <wp:inline distT="0" distB="0" distL="0" distR="0" wp14:anchorId="411087F0" wp14:editId="011E6AE5">
            <wp:extent cx="5731510" cy="3199130"/>
            <wp:effectExtent l="0" t="0" r="0" b="1270"/>
            <wp:docPr id="379405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405634" name="Picture 37940563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40EBF090" w14:textId="6258C09D" w:rsidR="001B4723" w:rsidRDefault="001B4723" w:rsidP="001B4723">
      <w:pPr>
        <w:pStyle w:val="Caption"/>
        <w:rPr>
          <w:lang w:val="en-US"/>
        </w:rPr>
      </w:pPr>
      <w:r>
        <w:t xml:space="preserve">Figure </w:t>
      </w:r>
      <w:r>
        <w:fldChar w:fldCharType="begin"/>
      </w:r>
      <w:r>
        <w:instrText xml:space="preserve"> SEQ Figure \* ARABIC </w:instrText>
      </w:r>
      <w:r>
        <w:fldChar w:fldCharType="separate"/>
      </w:r>
      <w:r>
        <w:t>5</w:t>
      </w:r>
      <w:r>
        <w:fldChar w:fldCharType="end"/>
      </w:r>
      <w:r>
        <w:rPr>
          <w:lang w:val="en-US"/>
        </w:rPr>
        <w:t xml:space="preserve">: </w:t>
      </w:r>
      <w:r w:rsidRPr="00EE33A9">
        <w:rPr>
          <w:lang w:val="en-US"/>
        </w:rPr>
        <w:t>Greggs - Netherlands Expansion Balanced Scorecard</w:t>
      </w:r>
    </w:p>
    <w:p w14:paraId="34E13825" w14:textId="4CF728FB" w:rsidR="001B4723" w:rsidRPr="00B31170" w:rsidRDefault="001B4723" w:rsidP="001B4723">
      <w:pPr>
        <w:pStyle w:val="Caption"/>
        <w:rPr>
          <w:color w:val="000000"/>
        </w:rPr>
      </w:pPr>
      <w:r w:rsidRPr="001B4723">
        <w:rPr>
          <w:lang w:val="en-GB"/>
        </w:rPr>
        <w:t>(Watson et al., 2018)</w:t>
      </w:r>
    </w:p>
    <w:p w14:paraId="3D09EE82" w14:textId="77777777" w:rsidR="005C6A3B" w:rsidRPr="00B31170" w:rsidRDefault="005C6A3B" w:rsidP="005C6A3B">
      <w:pPr>
        <w:pStyle w:val="Heading2"/>
      </w:pPr>
      <w:bookmarkStart w:id="45" w:name="_Toc215667726"/>
      <w:bookmarkStart w:id="46" w:name="_Toc215667943"/>
      <w:r w:rsidRPr="00B31170">
        <w:t>5.2 BSC Perspective: Financial KPIs</w:t>
      </w:r>
      <w:bookmarkEnd w:id="45"/>
      <w:bookmarkEnd w:id="46"/>
    </w:p>
    <w:p w14:paraId="410FD7A7" w14:textId="5B61D23A" w:rsidR="005C6A3B" w:rsidRPr="00B31170" w:rsidRDefault="005C6A3B" w:rsidP="005C6A3B">
      <w:pPr>
        <w:rPr>
          <w:color w:val="000000"/>
        </w:rPr>
      </w:pPr>
      <w:r w:rsidRPr="00B31170">
        <w:rPr>
          <w:color w:val="000000"/>
        </w:rPr>
        <w:t xml:space="preserve">The viability of the Dutch expansion is based on financial performance. The demand will be studied through revenue per store and will allow </w:t>
      </w:r>
      <w:r>
        <w:rPr>
          <w:color w:val="000000"/>
        </w:rPr>
        <w:t>for comparison of</w:t>
      </w:r>
      <w:r w:rsidRPr="00B31170">
        <w:rPr>
          <w:color w:val="000000"/>
        </w:rPr>
        <w:t xml:space="preserve"> the locations. This measure shows the speed at which the brand is taking off in the high-traffic cities and transit spots. Another necessary KPI is the break-even period</w:t>
      </w:r>
      <w:r>
        <w:rPr>
          <w:color w:val="000000"/>
        </w:rPr>
        <w:t>,</w:t>
      </w:r>
      <w:r w:rsidRPr="00B31170">
        <w:rPr>
          <w:color w:val="000000"/>
        </w:rPr>
        <w:t xml:space="preserve"> where the stores are in a position to pay back initial investment costs (Vărzaru, 2022). Reduced break</w:t>
      </w:r>
      <w:r>
        <w:rPr>
          <w:color w:val="000000"/>
        </w:rPr>
        <w:t>-</w:t>
      </w:r>
      <w:r w:rsidRPr="00B31170">
        <w:rPr>
          <w:color w:val="000000"/>
        </w:rPr>
        <w:t>even means high acceptance and effective activities. Return on investment (ROI) is an indicator of the total value created by the expansion</w:t>
      </w:r>
      <w:r>
        <w:rPr>
          <w:color w:val="000000"/>
        </w:rPr>
        <w:t>,</w:t>
      </w:r>
      <w:r w:rsidRPr="00B31170">
        <w:rPr>
          <w:color w:val="000000"/>
        </w:rPr>
        <w:t xml:space="preserve"> and it concerns how useful Greggs utili</w:t>
      </w:r>
      <w:r>
        <w:rPr>
          <w:color w:val="000000"/>
        </w:rPr>
        <w:t>s</w:t>
      </w:r>
      <w:r w:rsidRPr="00B31170">
        <w:rPr>
          <w:color w:val="000000"/>
        </w:rPr>
        <w:t xml:space="preserve">es its resources and whether its strategic choices can bring any meaningful returns. All this financial information gives </w:t>
      </w:r>
      <w:r>
        <w:rPr>
          <w:color w:val="000000"/>
        </w:rPr>
        <w:t>a</w:t>
      </w:r>
      <w:r w:rsidRPr="00B31170">
        <w:rPr>
          <w:color w:val="000000"/>
        </w:rPr>
        <w:t xml:space="preserve"> clear image of commercial success and helps to decide the further development.</w:t>
      </w:r>
    </w:p>
    <w:p w14:paraId="17D10720" w14:textId="77777777" w:rsidR="005C6A3B" w:rsidRPr="00B31170" w:rsidRDefault="005C6A3B" w:rsidP="005C6A3B">
      <w:pPr>
        <w:pStyle w:val="Heading2"/>
      </w:pPr>
      <w:bookmarkStart w:id="47" w:name="_Toc215667727"/>
      <w:bookmarkStart w:id="48" w:name="_Toc215667944"/>
      <w:r w:rsidRPr="00B31170">
        <w:t>5.3 BSC Perspective: Customer KPIs</w:t>
      </w:r>
      <w:bookmarkEnd w:id="47"/>
      <w:bookmarkEnd w:id="48"/>
    </w:p>
    <w:p w14:paraId="490B07DA" w14:textId="559A3E1A" w:rsidR="005C6A3B" w:rsidRPr="00B31170" w:rsidRDefault="005C6A3B" w:rsidP="005C6A3B">
      <w:pPr>
        <w:rPr>
          <w:color w:val="000000"/>
        </w:rPr>
      </w:pPr>
      <w:r w:rsidRPr="00B31170">
        <w:rPr>
          <w:color w:val="000000"/>
        </w:rPr>
        <w:t xml:space="preserve">Customer KPIs will also help Greggs know how the Dutch consumers will react to what the company offers. The level of satisfaction measured by the feedback instruments, online </w:t>
      </w:r>
      <w:r w:rsidRPr="00B31170">
        <w:rPr>
          <w:color w:val="000000"/>
        </w:rPr>
        <w:lastRenderedPageBreak/>
        <w:t>reviews, and app reviews will show how Greggs meets the expectations of locals in terms of taste, service, and value. Attraction and visibility will be measured by counting footfalls in the stores and especially in train stations and business districts. This KPI is used to measure the performance of the store-location strategy (Vărzaru, 2022). There is also the issue of the repeat purchase rate</w:t>
      </w:r>
      <w:r>
        <w:rPr>
          <w:color w:val="000000"/>
        </w:rPr>
        <w:t>,</w:t>
      </w:r>
      <w:r w:rsidRPr="00B31170">
        <w:rPr>
          <w:color w:val="000000"/>
        </w:rPr>
        <w:t xml:space="preserve"> which indicates loyalty and long</w:t>
      </w:r>
      <w:r>
        <w:rPr>
          <w:color w:val="000000"/>
        </w:rPr>
        <w:t>-</w:t>
      </w:r>
      <w:r w:rsidRPr="00B31170">
        <w:rPr>
          <w:color w:val="000000"/>
        </w:rPr>
        <w:t>term involvement. The high level of repeat visits indicates that customers consider Greggs as a daily experience and not a trial. Such KPIs help Greggs to optimi</w:t>
      </w:r>
      <w:r>
        <w:rPr>
          <w:color w:val="000000"/>
        </w:rPr>
        <w:t>s</w:t>
      </w:r>
      <w:r w:rsidRPr="00B31170">
        <w:rPr>
          <w:color w:val="000000"/>
        </w:rPr>
        <w:t>e its menu, service model and marketing messages in order to attain a comfortable and growing customer base.</w:t>
      </w:r>
    </w:p>
    <w:p w14:paraId="47391CFF" w14:textId="77777777" w:rsidR="005C6A3B" w:rsidRPr="00B31170" w:rsidRDefault="005C6A3B" w:rsidP="005C6A3B">
      <w:pPr>
        <w:pStyle w:val="Heading2"/>
      </w:pPr>
      <w:bookmarkStart w:id="49" w:name="_Toc215667728"/>
      <w:bookmarkStart w:id="50" w:name="_Toc215667945"/>
      <w:r w:rsidRPr="00B31170">
        <w:t>5.4 BSC Perspective: Internal Process KPIs</w:t>
      </w:r>
      <w:bookmarkEnd w:id="49"/>
      <w:bookmarkEnd w:id="50"/>
    </w:p>
    <w:p w14:paraId="751A4491" w14:textId="1BA7FD06" w:rsidR="005C6A3B" w:rsidRPr="00B31170" w:rsidRDefault="005C6A3B" w:rsidP="005C6A3B">
      <w:pPr>
        <w:rPr>
          <w:color w:val="000000"/>
        </w:rPr>
      </w:pPr>
      <w:r w:rsidRPr="00B31170">
        <w:rPr>
          <w:color w:val="000000"/>
        </w:rPr>
        <w:t xml:space="preserve">KPIs relating to internal processes will show the efficiency with which Greggs will be functioning in the Netherlands. Speed of order is very important as Dutch consumers are very fast in their demands in terms of the speed of service, particularly in transport terminals. Minimal waiting periods are a positive indicator of high performance and coordination of staff. Another important KPI is food waste reduction; waste management helps to achieve sustainability and control costs. High levels of waste can be a pointer </w:t>
      </w:r>
      <w:r>
        <w:rPr>
          <w:color w:val="000000"/>
        </w:rPr>
        <w:t>to</w:t>
      </w:r>
      <w:r w:rsidRPr="00B31170">
        <w:rPr>
          <w:color w:val="000000"/>
        </w:rPr>
        <w:t xml:space="preserve"> forecasting or a lack of fit of a product to local demand (Gattino </w:t>
      </w:r>
      <w:r w:rsidRPr="00B31170">
        <w:rPr>
          <w:i/>
          <w:iCs/>
          <w:color w:val="000000"/>
        </w:rPr>
        <w:t>et al.</w:t>
      </w:r>
      <w:r w:rsidRPr="00B31170">
        <w:rPr>
          <w:color w:val="000000"/>
        </w:rPr>
        <w:t>, 2023). The efficiency of the supply chain is also critical</w:t>
      </w:r>
      <w:r>
        <w:rPr>
          <w:color w:val="000000"/>
        </w:rPr>
        <w:t>,</w:t>
      </w:r>
      <w:r w:rsidRPr="00B31170">
        <w:rPr>
          <w:color w:val="000000"/>
        </w:rPr>
        <w:t xml:space="preserve"> </w:t>
      </w:r>
      <w:r>
        <w:rPr>
          <w:color w:val="000000"/>
        </w:rPr>
        <w:t>as</w:t>
      </w:r>
      <w:r w:rsidRPr="00B31170">
        <w:rPr>
          <w:color w:val="000000"/>
        </w:rPr>
        <w:t xml:space="preserve"> </w:t>
      </w:r>
      <w:r>
        <w:rPr>
          <w:color w:val="000000"/>
        </w:rPr>
        <w:t xml:space="preserve">it </w:t>
      </w:r>
      <w:r w:rsidRPr="00B31170">
        <w:rPr>
          <w:color w:val="000000"/>
        </w:rPr>
        <w:t>gauges the dependability of sourcing, accuracy of delivery, and stock availability. Any inconvenience can affect the quality of services and customer satisfaction. By tracking these KPIs, Greggs will be in a position to notice any loopholes in its operations and continue to achieve high standards that will enable it to survive in the competitive Dutch market.</w:t>
      </w:r>
    </w:p>
    <w:p w14:paraId="0BC55807" w14:textId="77777777" w:rsidR="005C6A3B" w:rsidRPr="00B31170" w:rsidRDefault="005C6A3B" w:rsidP="005C6A3B">
      <w:pPr>
        <w:pStyle w:val="Heading2"/>
      </w:pPr>
      <w:bookmarkStart w:id="51" w:name="_Toc215667729"/>
      <w:bookmarkStart w:id="52" w:name="_Toc215667946"/>
      <w:r w:rsidRPr="00B31170">
        <w:t>5.5 BSC Perspective: Learning &amp; Growth KPIs</w:t>
      </w:r>
      <w:bookmarkEnd w:id="51"/>
      <w:bookmarkEnd w:id="52"/>
    </w:p>
    <w:p w14:paraId="2CCEC6DB" w14:textId="71DF8417" w:rsidR="005C6A3B" w:rsidRPr="00B31170" w:rsidRDefault="005C6A3B" w:rsidP="005C6A3B">
      <w:pPr>
        <w:rPr>
          <w:color w:val="000000"/>
        </w:rPr>
      </w:pPr>
      <w:r w:rsidRPr="00B31170">
        <w:rPr>
          <w:color w:val="000000"/>
        </w:rPr>
        <w:t>KPIs in learning and growth provide Greggs with a firm base of success over the long term. Investment in employee skills and quality of service is measured in hours of staff training. Highly trained employees cannot be replaced in the provision of the rapid, service-oriented service that is synonymous with Greggs. Another key KPI is employee retention</w:t>
      </w:r>
      <w:r>
        <w:rPr>
          <w:color w:val="000000"/>
        </w:rPr>
        <w:t>;</w:t>
      </w:r>
      <w:r w:rsidRPr="00B31170">
        <w:rPr>
          <w:color w:val="000000"/>
        </w:rPr>
        <w:t xml:space="preserve"> high turnover means increased expenses and derailment of operations, and a stable workforce ensures a steady customer experience (Gattino </w:t>
      </w:r>
      <w:r w:rsidRPr="00B31170">
        <w:rPr>
          <w:i/>
          <w:iCs/>
          <w:color w:val="000000"/>
        </w:rPr>
        <w:t>et al.</w:t>
      </w:r>
      <w:r w:rsidRPr="00B31170">
        <w:rPr>
          <w:color w:val="000000"/>
        </w:rPr>
        <w:t>, 2023). Digital embrace</w:t>
      </w:r>
      <w:r>
        <w:rPr>
          <w:color w:val="000000"/>
        </w:rPr>
        <w:t>,</w:t>
      </w:r>
      <w:r w:rsidRPr="00B31170">
        <w:rPr>
          <w:color w:val="000000"/>
        </w:rPr>
        <w:t xml:space="preserve"> such as the number of apps downloaded and the rate of app usage</w:t>
      </w:r>
      <w:r>
        <w:rPr>
          <w:color w:val="000000"/>
        </w:rPr>
        <w:t>,</w:t>
      </w:r>
      <w:r w:rsidRPr="00B31170">
        <w:rPr>
          <w:color w:val="000000"/>
        </w:rPr>
        <w:t xml:space="preserve"> </w:t>
      </w:r>
      <w:r>
        <w:rPr>
          <w:color w:val="000000"/>
        </w:rPr>
        <w:t xml:space="preserve">is </w:t>
      </w:r>
      <w:r w:rsidRPr="00B31170">
        <w:rPr>
          <w:color w:val="000000"/>
        </w:rPr>
        <w:t>are measure of the success of Greggs to embrace technology in a new market. The digital nature of the Dutch population is very high</w:t>
      </w:r>
      <w:r>
        <w:rPr>
          <w:color w:val="000000"/>
        </w:rPr>
        <w:t>;</w:t>
      </w:r>
      <w:r w:rsidRPr="00B31170">
        <w:rPr>
          <w:color w:val="000000"/>
        </w:rPr>
        <w:t xml:space="preserve"> hence</w:t>
      </w:r>
      <w:r>
        <w:rPr>
          <w:color w:val="000000"/>
        </w:rPr>
        <w:t>,</w:t>
      </w:r>
      <w:r w:rsidRPr="00B31170">
        <w:rPr>
          <w:color w:val="000000"/>
        </w:rPr>
        <w:t xml:space="preserve"> high levels of app usage indicate that the app fits the market. These KPIs assist Greggs to create </w:t>
      </w:r>
      <w:r w:rsidRPr="00B31170">
        <w:rPr>
          <w:color w:val="000000"/>
        </w:rPr>
        <w:lastRenderedPageBreak/>
        <w:t>a competent human resource, initiate innovation, and create a culture of learning which enhances its competitive advantage in the long</w:t>
      </w:r>
      <w:r>
        <w:rPr>
          <w:color w:val="000000"/>
        </w:rPr>
        <w:t xml:space="preserve"> </w:t>
      </w:r>
      <w:r w:rsidRPr="00B31170">
        <w:rPr>
          <w:color w:val="000000"/>
        </w:rPr>
        <w:t>term.</w:t>
      </w:r>
    </w:p>
    <w:p w14:paraId="13AF8FE2" w14:textId="77777777" w:rsidR="005C6A3B" w:rsidRPr="00B31170" w:rsidRDefault="005C6A3B" w:rsidP="005C6A3B">
      <w:pPr>
        <w:rPr>
          <w:color w:val="000000"/>
        </w:rPr>
      </w:pPr>
    </w:p>
    <w:p w14:paraId="2D4633EC" w14:textId="77777777" w:rsidR="005C6A3B" w:rsidRDefault="005C6A3B" w:rsidP="005C6A3B">
      <w:pPr>
        <w:pStyle w:val="Heading1"/>
      </w:pPr>
      <w:bookmarkStart w:id="53" w:name="_Toc215667730"/>
      <w:bookmarkStart w:id="54" w:name="_Toc215667947"/>
      <w:r w:rsidRPr="00B31170">
        <w:t>6. Discussion: Strategic Integration &amp; Implementation Considerations</w:t>
      </w:r>
      <w:bookmarkEnd w:id="53"/>
      <w:bookmarkEnd w:id="54"/>
    </w:p>
    <w:p w14:paraId="512FA026" w14:textId="6F6C717D" w:rsidR="005C6A3B" w:rsidRPr="00B31170" w:rsidRDefault="005C6A3B" w:rsidP="005C6A3B">
      <w:pPr>
        <w:rPr>
          <w:color w:val="000000"/>
        </w:rPr>
      </w:pPr>
      <w:r w:rsidRPr="00B31170">
        <w:rPr>
          <w:color w:val="000000"/>
        </w:rPr>
        <w:t>The strategic plan suggested is based on the conclusion of the macro, industry, and internal analysis. The digital-led service model of Greggs is supported by the stable and technologically advanced market</w:t>
      </w:r>
      <w:r>
        <w:rPr>
          <w:color w:val="000000"/>
        </w:rPr>
        <w:t>,</w:t>
      </w:r>
      <w:r w:rsidRPr="00B31170">
        <w:rPr>
          <w:color w:val="000000"/>
        </w:rPr>
        <w:t xml:space="preserve"> as indicated in the PESTLE review. The analysis of the competitors revealed that the rivalry in the industry was rather </w:t>
      </w:r>
      <w:r>
        <w:rPr>
          <w:color w:val="000000"/>
        </w:rPr>
        <w:t>intense</w:t>
      </w:r>
      <w:r w:rsidRPr="00B31170">
        <w:rPr>
          <w:color w:val="000000"/>
        </w:rPr>
        <w:t>, so cost leadership and product differentiation were crucial (Boimah and Weible, 2023). The VRIO analysis has verified that Greggs</w:t>
      </w:r>
      <w:r>
        <w:rPr>
          <w:color w:val="000000"/>
        </w:rPr>
        <w:t>’</w:t>
      </w:r>
      <w:r w:rsidRPr="00B31170">
        <w:rPr>
          <w:color w:val="000000"/>
        </w:rPr>
        <w:t xml:space="preserve"> operational efficiency, brand identity and centralised production also give it an edge in venturing in</w:t>
      </w:r>
      <w:r>
        <w:rPr>
          <w:color w:val="000000"/>
        </w:rPr>
        <w:t>to</w:t>
      </w:r>
      <w:r w:rsidRPr="00B31170">
        <w:rPr>
          <w:color w:val="000000"/>
        </w:rPr>
        <w:t xml:space="preserve"> a value</w:t>
      </w:r>
      <w:r>
        <w:rPr>
          <w:color w:val="000000"/>
        </w:rPr>
        <w:t>-</w:t>
      </w:r>
      <w:r w:rsidRPr="00B31170">
        <w:rPr>
          <w:color w:val="000000"/>
        </w:rPr>
        <w:t>driven market like the Netherlands.</w:t>
      </w:r>
    </w:p>
    <w:p w14:paraId="2B1FC3D9" w14:textId="4909794C" w:rsidR="005C6A3B" w:rsidRPr="00B31170" w:rsidRDefault="005C6A3B" w:rsidP="005C6A3B">
      <w:pPr>
        <w:rPr>
          <w:color w:val="000000"/>
        </w:rPr>
      </w:pPr>
      <w:r w:rsidRPr="00B31170">
        <w:rPr>
          <w:color w:val="000000"/>
        </w:rPr>
        <w:t xml:space="preserve">The implementation will have to be done efficiently by allocating resources. Greggs should spend in areas of local collaborations, supply chain establishment, and employee training. It should also be supported by more resources to develop flagship stores in major cities in order to reinforce the brand presence (Henn </w:t>
      </w:r>
      <w:r w:rsidRPr="00B31170">
        <w:rPr>
          <w:i/>
          <w:iCs/>
          <w:color w:val="000000"/>
        </w:rPr>
        <w:t>et al.</w:t>
      </w:r>
      <w:r w:rsidRPr="00B31170">
        <w:rPr>
          <w:color w:val="000000"/>
        </w:rPr>
        <w:t>, 2022). Concurrently, the firm needs to be financially disciplined</w:t>
      </w:r>
      <w:r>
        <w:rPr>
          <w:color w:val="000000"/>
        </w:rPr>
        <w:t>,</w:t>
      </w:r>
      <w:r w:rsidRPr="00B31170">
        <w:rPr>
          <w:color w:val="000000"/>
        </w:rPr>
        <w:t xml:space="preserve"> and it should not overstretch in initial growth. It will be significant to change management. Greggs</w:t>
      </w:r>
      <w:r>
        <w:rPr>
          <w:color w:val="000000"/>
        </w:rPr>
        <w:t>’</w:t>
      </w:r>
      <w:r w:rsidRPr="00B31170">
        <w:rPr>
          <w:color w:val="000000"/>
        </w:rPr>
        <w:t xml:space="preserve"> work teams should be flexible in adapting recipes, work processes, and communication styles to local expectations. The consistency will be maintained with the help of cross-cultural training and guidance to facilitate localisation.</w:t>
      </w:r>
    </w:p>
    <w:p w14:paraId="7CA920D6" w14:textId="77777777" w:rsidR="005C6A3B" w:rsidRPr="00B31170" w:rsidRDefault="005C6A3B" w:rsidP="005C6A3B">
      <w:pPr>
        <w:rPr>
          <w:color w:val="000000"/>
        </w:rPr>
      </w:pPr>
      <w:r w:rsidRPr="00B31170">
        <w:rPr>
          <w:color w:val="000000"/>
        </w:rPr>
        <w:t xml:space="preserve">A roadmap is necessary over a long period of time. Pilot stores, brand awareness and operational learning should be considered the first phase. The second stage must expand franchised stores in hotspots regions. (Henn </w:t>
      </w:r>
      <w:r w:rsidRPr="00B31170">
        <w:rPr>
          <w:i/>
          <w:iCs/>
          <w:color w:val="000000"/>
        </w:rPr>
        <w:t>et al.</w:t>
      </w:r>
      <w:r w:rsidRPr="00B31170">
        <w:rPr>
          <w:color w:val="000000"/>
        </w:rPr>
        <w:t>, 2022) The last stage must strive to achieve national presence with sophisticated logistics and a powerful digital environment. Such a gradual strategy will provide a sustainable and moderate growth.</w:t>
      </w:r>
    </w:p>
    <w:p w14:paraId="7F5DBD1B" w14:textId="77777777" w:rsidR="005C6A3B" w:rsidRPr="00B31170" w:rsidRDefault="005C6A3B" w:rsidP="005C6A3B">
      <w:pPr>
        <w:rPr>
          <w:color w:val="000000"/>
        </w:rPr>
      </w:pPr>
      <w:r w:rsidRPr="00B31170">
        <w:rPr>
          <w:color w:val="000000"/>
        </w:rPr>
        <w:br/>
      </w:r>
    </w:p>
    <w:p w14:paraId="4A2CAF51" w14:textId="77777777" w:rsidR="005C6A3B" w:rsidRPr="00B31170" w:rsidRDefault="005C6A3B" w:rsidP="005C6A3B">
      <w:pPr>
        <w:rPr>
          <w:color w:val="000000"/>
        </w:rPr>
      </w:pPr>
      <w:r w:rsidRPr="00B31170">
        <w:rPr>
          <w:color w:val="000000"/>
        </w:rPr>
        <w:t>​​</w:t>
      </w:r>
    </w:p>
    <w:p w14:paraId="72A64971" w14:textId="77777777" w:rsidR="005C6A3B" w:rsidRDefault="005C6A3B">
      <w:pPr>
        <w:spacing w:before="0" w:after="160" w:line="259" w:lineRule="auto"/>
        <w:jc w:val="left"/>
        <w:rPr>
          <w:bCs/>
          <w:color w:val="000000"/>
        </w:rPr>
      </w:pPr>
      <w:r>
        <w:rPr>
          <w:bCs/>
          <w:color w:val="000000"/>
        </w:rPr>
        <w:br w:type="page"/>
      </w:r>
    </w:p>
    <w:p w14:paraId="2F4E8FAB" w14:textId="21F943AF" w:rsidR="005C6A3B" w:rsidRPr="00B31170" w:rsidRDefault="005C6A3B" w:rsidP="005C6A3B">
      <w:pPr>
        <w:pStyle w:val="Heading1"/>
      </w:pPr>
      <w:bookmarkStart w:id="55" w:name="_Toc215667731"/>
      <w:bookmarkStart w:id="56" w:name="_Toc215667948"/>
      <w:r w:rsidRPr="00B31170">
        <w:lastRenderedPageBreak/>
        <w:t>7. Conclusion</w:t>
      </w:r>
      <w:bookmarkEnd w:id="55"/>
      <w:bookmarkEnd w:id="56"/>
    </w:p>
    <w:p w14:paraId="73EA5368" w14:textId="6574FE53" w:rsidR="005C6A3B" w:rsidRPr="00B31170" w:rsidRDefault="005C6A3B" w:rsidP="005C6A3B">
      <w:pPr>
        <w:rPr>
          <w:color w:val="000000"/>
        </w:rPr>
      </w:pPr>
      <w:r w:rsidRPr="00B31170">
        <w:rPr>
          <w:color w:val="000000"/>
        </w:rPr>
        <w:t>This report has looked at future expansion into the Netherlands and has shown that Greggs has a high potential to be successful in the market</w:t>
      </w:r>
      <w:r>
        <w:rPr>
          <w:color w:val="000000"/>
        </w:rPr>
        <w:t>,</w:t>
      </w:r>
      <w:r w:rsidRPr="00B31170">
        <w:rPr>
          <w:color w:val="000000"/>
        </w:rPr>
        <w:t xml:space="preserve"> considering that the market is highly aligned with Gregg</w:t>
      </w:r>
      <w:r>
        <w:rPr>
          <w:color w:val="000000"/>
        </w:rPr>
        <w:t>s'</w:t>
      </w:r>
      <w:r w:rsidRPr="00B31170">
        <w:rPr>
          <w:color w:val="000000"/>
        </w:rPr>
        <w:t xml:space="preserve"> value-driven and convenience-oriented model. The macro-environment is also stable; the quick-service restaurant market is growing, and the Dutch population has a positive perception of the bakery products and low-cost alternatives (Czarnecka and Schivinski, 2022). Competitive analysis also highlighted the need to be cost</w:t>
      </w:r>
      <w:r>
        <w:rPr>
          <w:color w:val="000000"/>
        </w:rPr>
        <w:t>-</w:t>
      </w:r>
      <w:r w:rsidRPr="00B31170">
        <w:rPr>
          <w:color w:val="000000"/>
        </w:rPr>
        <w:t>efficient and differentiated, and the internal analysis has validated the fact that Greggs has the operational strength it needs to compete well. The proposed model, which is focused on a hybrid entry mode, cautious localisation and a balanced supply chain</w:t>
      </w:r>
      <w:r>
        <w:rPr>
          <w:color w:val="000000"/>
        </w:rPr>
        <w:t>,</w:t>
      </w:r>
      <w:r w:rsidRPr="00B31170">
        <w:rPr>
          <w:color w:val="000000"/>
        </w:rPr>
        <w:t xml:space="preserve"> is an effective path to sustainable entry. The Balanced Scorecard provides a strong model of tracking progress in areas of key performance</w:t>
      </w:r>
      <w:r>
        <w:rPr>
          <w:color w:val="000000"/>
        </w:rPr>
        <w:t xml:space="preserve"> areas</w:t>
      </w:r>
      <w:r w:rsidRPr="00B31170">
        <w:rPr>
          <w:color w:val="000000"/>
        </w:rPr>
        <w:t>. Comprehensively, the suggested strategy is risk-adjusted and opportunity-adjusted</w:t>
      </w:r>
      <w:r>
        <w:rPr>
          <w:color w:val="000000"/>
        </w:rPr>
        <w:t>,</w:t>
      </w:r>
      <w:r w:rsidRPr="00B31170">
        <w:rPr>
          <w:color w:val="000000"/>
        </w:rPr>
        <w:t xml:space="preserve"> and it will also enhance the long-term goal of Greggs to diversify beyond the United Kingdom. When properly executed, the expansion would help to build the brand image, facilitate a new source of revenue, and create the premises of further development abroad.</w:t>
      </w:r>
    </w:p>
    <w:p w14:paraId="7F8EB723" w14:textId="77777777" w:rsidR="005C6A3B" w:rsidRPr="00B31170" w:rsidRDefault="005C6A3B" w:rsidP="005C6A3B"/>
    <w:p w14:paraId="2114AB62" w14:textId="393B1E31" w:rsidR="005C6A3B" w:rsidRDefault="005C6A3B">
      <w:pPr>
        <w:spacing w:before="0" w:after="160" w:line="259" w:lineRule="auto"/>
        <w:jc w:val="left"/>
      </w:pPr>
      <w:r>
        <w:br w:type="page"/>
      </w:r>
    </w:p>
    <w:p w14:paraId="2C020DE7" w14:textId="16CFA55C" w:rsidR="005C6A3B" w:rsidRDefault="005C6A3B" w:rsidP="001B4723">
      <w:pPr>
        <w:pStyle w:val="Heading1"/>
      </w:pPr>
      <w:bookmarkStart w:id="57" w:name="_Toc215667732"/>
      <w:bookmarkStart w:id="58" w:name="_Toc215667949"/>
      <w:r>
        <w:lastRenderedPageBreak/>
        <w:t>8. References</w:t>
      </w:r>
      <w:bookmarkEnd w:id="57"/>
      <w:bookmarkEnd w:id="58"/>
    </w:p>
    <w:p w14:paraId="4AD0EBC0" w14:textId="77777777" w:rsidR="001B4723" w:rsidRPr="001B4723" w:rsidRDefault="001B4723" w:rsidP="001B4723">
      <w:pPr>
        <w:rPr>
          <w:lang w:bidi="bn-IN"/>
        </w:rPr>
      </w:pPr>
      <w:r w:rsidRPr="001B4723">
        <w:rPr>
          <w:lang w:bidi="bn-IN"/>
        </w:rPr>
        <w:t>Banovic, M. </w:t>
      </w:r>
      <w:r w:rsidRPr="001B4723">
        <w:rPr>
          <w:i/>
          <w:iCs/>
          <w:lang w:bidi="bn-IN"/>
        </w:rPr>
        <w:t>et al.</w:t>
      </w:r>
      <w:r w:rsidRPr="001B4723">
        <w:rPr>
          <w:lang w:bidi="bn-IN"/>
        </w:rPr>
        <w:t> (2022) ‘Enabling sustainable plant-forward transition: European consumer attitudes and intention to buy hybrid products’, </w:t>
      </w:r>
      <w:r w:rsidRPr="001B4723">
        <w:rPr>
          <w:i/>
          <w:iCs/>
          <w:lang w:bidi="bn-IN"/>
        </w:rPr>
        <w:t>Food Quality and Preference</w:t>
      </w:r>
      <w:r w:rsidRPr="001B4723">
        <w:rPr>
          <w:lang w:bidi="bn-IN"/>
        </w:rPr>
        <w:t>, 96, p. 104440. Available at: https://doi.org/10.1016/j.foodqual.2021.104440.</w:t>
      </w:r>
    </w:p>
    <w:p w14:paraId="4BF0F440" w14:textId="77777777" w:rsidR="001B4723" w:rsidRPr="001B4723" w:rsidRDefault="001B4723" w:rsidP="001B4723">
      <w:pPr>
        <w:rPr>
          <w:lang w:bidi="bn-IN"/>
        </w:rPr>
      </w:pPr>
      <w:r w:rsidRPr="001B4723">
        <w:rPr>
          <w:lang w:bidi="bn-IN"/>
        </w:rPr>
        <w:t>Betto, F. </w:t>
      </w:r>
      <w:r w:rsidRPr="001B4723">
        <w:rPr>
          <w:i/>
          <w:iCs/>
          <w:lang w:bidi="bn-IN"/>
        </w:rPr>
        <w:t>et al.</w:t>
      </w:r>
      <w:r w:rsidRPr="001B4723">
        <w:rPr>
          <w:lang w:bidi="bn-IN"/>
        </w:rPr>
        <w:t> (2022) ‘The evolution of balanced scorecard in healthcare: a systematic review of its design, implementation, use, and review’, </w:t>
      </w:r>
      <w:r w:rsidRPr="001B4723">
        <w:rPr>
          <w:i/>
          <w:iCs/>
          <w:lang w:bidi="bn-IN"/>
        </w:rPr>
        <w:t>International Journal of Environmental Research and Public Health</w:t>
      </w:r>
      <w:r w:rsidRPr="001B4723">
        <w:rPr>
          <w:lang w:bidi="bn-IN"/>
        </w:rPr>
        <w:t>, 19(16), p. 10291. Available at: https://doi.org/10.3390/ijerph191610291.</w:t>
      </w:r>
    </w:p>
    <w:p w14:paraId="75D70A5F" w14:textId="77777777" w:rsidR="001B4723" w:rsidRPr="001B4723" w:rsidRDefault="001B4723" w:rsidP="001B4723">
      <w:pPr>
        <w:rPr>
          <w:lang w:bidi="bn-IN"/>
        </w:rPr>
      </w:pPr>
      <w:r w:rsidRPr="001B4723">
        <w:rPr>
          <w:lang w:bidi="bn-IN"/>
        </w:rPr>
        <w:t>Boimah, M. and Weible, D. (2023) ‘Origin and dairy consumption in West Africa: A cross-cultural analysis of consumer behaviour’, </w:t>
      </w:r>
      <w:r w:rsidRPr="001B4723">
        <w:rPr>
          <w:i/>
          <w:iCs/>
          <w:lang w:bidi="bn-IN"/>
        </w:rPr>
        <w:t>Cogent Food &amp; Agriculture</w:t>
      </w:r>
      <w:r w:rsidRPr="001B4723">
        <w:rPr>
          <w:lang w:bidi="bn-IN"/>
        </w:rPr>
        <w:t>, 9(1). Available at: https://doi.org/10.1080/23311932.2023.2226466.</w:t>
      </w:r>
    </w:p>
    <w:p w14:paraId="55B5D785" w14:textId="77777777" w:rsidR="001B4723" w:rsidRPr="001B4723" w:rsidRDefault="001B4723" w:rsidP="001B4723">
      <w:pPr>
        <w:rPr>
          <w:lang w:bidi="bn-IN"/>
        </w:rPr>
      </w:pPr>
      <w:r w:rsidRPr="001B4723">
        <w:rPr>
          <w:lang w:bidi="bn-IN"/>
        </w:rPr>
        <w:t>Brouthers, K.D. </w:t>
      </w:r>
      <w:r w:rsidRPr="001B4723">
        <w:rPr>
          <w:i/>
          <w:iCs/>
          <w:lang w:bidi="bn-IN"/>
        </w:rPr>
        <w:t>et al.</w:t>
      </w:r>
      <w:r w:rsidRPr="001B4723">
        <w:rPr>
          <w:lang w:bidi="bn-IN"/>
        </w:rPr>
        <w:t> (2022) ‘Charting new courses to enter foreign markets: Conceptualization, theoretical framework, and research directions on non-traditional entry modes’, </w:t>
      </w:r>
      <w:r w:rsidRPr="001B4723">
        <w:rPr>
          <w:i/>
          <w:iCs/>
          <w:lang w:bidi="bn-IN"/>
        </w:rPr>
        <w:t>Journal of International Business Studies</w:t>
      </w:r>
      <w:r w:rsidRPr="001B4723">
        <w:rPr>
          <w:lang w:bidi="bn-IN"/>
        </w:rPr>
        <w:t>, 53(9). Available at: https://www.ncbi.nlm.nih.gov/pmc/articles/PMC9030681/.</w:t>
      </w:r>
    </w:p>
    <w:p w14:paraId="3C19F0A5" w14:textId="77777777" w:rsidR="001B4723" w:rsidRPr="001B4723" w:rsidRDefault="001B4723" w:rsidP="001B4723">
      <w:pPr>
        <w:rPr>
          <w:lang w:bidi="bn-IN"/>
        </w:rPr>
      </w:pPr>
      <w:r w:rsidRPr="001B4723">
        <w:rPr>
          <w:lang w:bidi="bn-IN"/>
        </w:rPr>
        <w:t>Cassia, F. and Magno, F. (2022) ‘Cross-border e-commerce as a Foreign Market Entry Mode among SMEs: the Relationship between Export Capabilities and Performance’, </w:t>
      </w:r>
      <w:r w:rsidRPr="001B4723">
        <w:rPr>
          <w:i/>
          <w:iCs/>
          <w:lang w:bidi="bn-IN"/>
        </w:rPr>
        <w:t>Review of International Business and Strategy</w:t>
      </w:r>
      <w:r w:rsidRPr="001B4723">
        <w:rPr>
          <w:lang w:bidi="bn-IN"/>
        </w:rPr>
        <w:t>, 32(2), pp. 267–283. Available at: https://doi.org/10.1108/RIBS-02-2021-0027.</w:t>
      </w:r>
    </w:p>
    <w:p w14:paraId="4A31AFED" w14:textId="77777777" w:rsidR="001B4723" w:rsidRPr="001B4723" w:rsidRDefault="001B4723" w:rsidP="001B4723">
      <w:pPr>
        <w:rPr>
          <w:lang w:bidi="bn-IN"/>
        </w:rPr>
      </w:pPr>
      <w:r w:rsidRPr="001B4723">
        <w:rPr>
          <w:lang w:bidi="bn-IN"/>
        </w:rPr>
        <w:t>Chatterjee, S. </w:t>
      </w:r>
      <w:r w:rsidRPr="001B4723">
        <w:rPr>
          <w:i/>
          <w:iCs/>
          <w:lang w:bidi="bn-IN"/>
        </w:rPr>
        <w:t>et al.</w:t>
      </w:r>
      <w:r w:rsidRPr="001B4723">
        <w:rPr>
          <w:lang w:bidi="bn-IN"/>
        </w:rPr>
        <w:t> (2022) ‘The influence of online customer reviews on customers’ purchase intentions: a cross-cultural study from India and the UK’, </w:t>
      </w:r>
      <w:r w:rsidRPr="001B4723">
        <w:rPr>
          <w:i/>
          <w:iCs/>
          <w:lang w:bidi="bn-IN"/>
        </w:rPr>
        <w:t>International Journal of Organizational Analysis</w:t>
      </w:r>
      <w:r w:rsidRPr="001B4723">
        <w:rPr>
          <w:lang w:bidi="bn-IN"/>
        </w:rPr>
        <w:t>, 30(6), pp. 1595–1623. Available at: https://doi.org/10.1108/ijoa-02-2021-2627.</w:t>
      </w:r>
    </w:p>
    <w:p w14:paraId="6F36E399" w14:textId="77777777" w:rsidR="001B4723" w:rsidRPr="001B4723" w:rsidRDefault="001B4723" w:rsidP="001B4723">
      <w:pPr>
        <w:rPr>
          <w:lang w:bidi="bn-IN"/>
        </w:rPr>
      </w:pPr>
      <w:r w:rsidRPr="001B4723">
        <w:rPr>
          <w:lang w:bidi="bn-IN"/>
        </w:rPr>
        <w:t>Chehimi, M. and Naro, G. (2024) ‘Balanced Scorecards and sustainability Balanced Scorecards for corporate social responsibility strategic alignment: A systematic literature review’, </w:t>
      </w:r>
      <w:r w:rsidRPr="001B4723">
        <w:rPr>
          <w:i/>
          <w:iCs/>
          <w:lang w:bidi="bn-IN"/>
        </w:rPr>
        <w:t>Journal of Environmental Management</w:t>
      </w:r>
      <w:r w:rsidRPr="001B4723">
        <w:rPr>
          <w:lang w:bidi="bn-IN"/>
        </w:rPr>
        <w:t>, 367, pp. 122000–122000. Available at: https://doi.org/10.1016/j.jenvman.2024.122000.</w:t>
      </w:r>
    </w:p>
    <w:p w14:paraId="27C64FE2" w14:textId="77777777" w:rsidR="001B4723" w:rsidRPr="001B4723" w:rsidRDefault="001B4723" w:rsidP="001B4723">
      <w:pPr>
        <w:rPr>
          <w:lang w:bidi="bn-IN"/>
        </w:rPr>
      </w:pPr>
      <w:r w:rsidRPr="001B4723">
        <w:rPr>
          <w:lang w:bidi="bn-IN"/>
        </w:rPr>
        <w:t>Czarnecka, B. and Schivinski, B. (2022) ‘Individualism/collectivism and perceived consumer effectiveness: The moderating role of global–local identities in a post‐transitional European economy’, </w:t>
      </w:r>
      <w:r w:rsidRPr="001B4723">
        <w:rPr>
          <w:i/>
          <w:iCs/>
          <w:lang w:bidi="bn-IN"/>
        </w:rPr>
        <w:t>Journal of Consumer Behaviour</w:t>
      </w:r>
      <w:r w:rsidRPr="001B4723">
        <w:rPr>
          <w:lang w:bidi="bn-IN"/>
        </w:rPr>
        <w:t>, 21(2). Available at: https://doi.org/10.1002/cb.1988.</w:t>
      </w:r>
    </w:p>
    <w:p w14:paraId="7DF348C5" w14:textId="77777777" w:rsidR="001B4723" w:rsidRPr="001B4723" w:rsidRDefault="001B4723" w:rsidP="001B4723">
      <w:pPr>
        <w:rPr>
          <w:lang w:bidi="bn-IN"/>
        </w:rPr>
      </w:pPr>
      <w:r w:rsidRPr="001B4723">
        <w:rPr>
          <w:lang w:bidi="bn-IN"/>
        </w:rPr>
        <w:lastRenderedPageBreak/>
        <w:t>Gattino, S. </w:t>
      </w:r>
      <w:r w:rsidRPr="001B4723">
        <w:rPr>
          <w:i/>
          <w:iCs/>
          <w:lang w:bidi="bn-IN"/>
        </w:rPr>
        <w:t>et al.</w:t>
      </w:r>
      <w:r w:rsidRPr="001B4723">
        <w:rPr>
          <w:lang w:bidi="bn-IN"/>
        </w:rPr>
        <w:t> (2023) ‘Self-objectification and Its biological, Psychological and Social predictors: a cross-cultural Study in Four European Countries and Iran’, </w:t>
      </w:r>
      <w:r w:rsidRPr="001B4723">
        <w:rPr>
          <w:i/>
          <w:iCs/>
          <w:lang w:bidi="bn-IN"/>
        </w:rPr>
        <w:t>Europe’s Journal of Psychology</w:t>
      </w:r>
      <w:r w:rsidRPr="001B4723">
        <w:rPr>
          <w:lang w:bidi="bn-IN"/>
        </w:rPr>
        <w:t>, 19(1), pp. 27–47. Available at: https://doi.org/10.5964/ejop.6075.</w:t>
      </w:r>
    </w:p>
    <w:p w14:paraId="793BAC31" w14:textId="77777777" w:rsidR="001B4723" w:rsidRPr="001B4723" w:rsidRDefault="001B4723" w:rsidP="001B4723">
      <w:pPr>
        <w:rPr>
          <w:lang w:bidi="bn-IN"/>
        </w:rPr>
      </w:pPr>
      <w:r w:rsidRPr="001B4723">
        <w:rPr>
          <w:lang w:bidi="bn-IN"/>
        </w:rPr>
        <w:t>Hay, C. </w:t>
      </w:r>
      <w:r w:rsidRPr="001B4723">
        <w:rPr>
          <w:i/>
          <w:iCs/>
          <w:lang w:bidi="bn-IN"/>
        </w:rPr>
        <w:t>et al.</w:t>
      </w:r>
      <w:r w:rsidRPr="001B4723">
        <w:rPr>
          <w:lang w:bidi="bn-IN"/>
        </w:rPr>
        <w:t> (2021) ‘Comparing cross-cultural differences in perception of drinkable yoghurt by Chinese and New Zealand European consumers’, </w:t>
      </w:r>
      <w:r w:rsidRPr="001B4723">
        <w:rPr>
          <w:i/>
          <w:iCs/>
          <w:lang w:bidi="bn-IN"/>
        </w:rPr>
        <w:t>International Dairy Journal</w:t>
      </w:r>
      <w:r w:rsidRPr="001B4723">
        <w:rPr>
          <w:lang w:bidi="bn-IN"/>
        </w:rPr>
        <w:t>, 113, p. 104901. Available at: https://doi.org/10.1016/j.idairyj.2020.104901.</w:t>
      </w:r>
    </w:p>
    <w:p w14:paraId="0149D2F5" w14:textId="77777777" w:rsidR="001B4723" w:rsidRPr="001B4723" w:rsidRDefault="001B4723" w:rsidP="001B4723">
      <w:pPr>
        <w:rPr>
          <w:lang w:bidi="bn-IN"/>
        </w:rPr>
      </w:pPr>
      <w:r w:rsidRPr="001B4723">
        <w:rPr>
          <w:lang w:bidi="bn-IN"/>
        </w:rPr>
        <w:t>Henn, K. </w:t>
      </w:r>
      <w:r w:rsidRPr="001B4723">
        <w:rPr>
          <w:i/>
          <w:iCs/>
          <w:lang w:bidi="bn-IN"/>
        </w:rPr>
        <w:t>et al.</w:t>
      </w:r>
      <w:r w:rsidRPr="001B4723">
        <w:rPr>
          <w:lang w:bidi="bn-IN"/>
        </w:rPr>
        <w:t> (2022) ‘Identifying behavioral and attitudinal barriers and drivers to promote consumption of pulses: A quantitative survey across five European countries’, </w:t>
      </w:r>
      <w:r w:rsidRPr="001B4723">
        <w:rPr>
          <w:i/>
          <w:iCs/>
          <w:lang w:bidi="bn-IN"/>
        </w:rPr>
        <w:t>Food Quality and Preference</w:t>
      </w:r>
      <w:r w:rsidRPr="001B4723">
        <w:rPr>
          <w:lang w:bidi="bn-IN"/>
        </w:rPr>
        <w:t>, 98, p. 104455. Available at: https://doi.org/10.1016/j.foodqual.2021.104455.</w:t>
      </w:r>
    </w:p>
    <w:p w14:paraId="082EBDED" w14:textId="77777777" w:rsidR="001B4723" w:rsidRPr="001B4723" w:rsidRDefault="001B4723" w:rsidP="001B4723">
      <w:pPr>
        <w:rPr>
          <w:lang w:bidi="bn-IN"/>
        </w:rPr>
      </w:pPr>
      <w:r w:rsidRPr="001B4723">
        <w:rPr>
          <w:lang w:bidi="bn-IN"/>
        </w:rPr>
        <w:t>Lambert, A., Jones, R.P. and Clinton, S. (2021) ‘Employee engagement and the service profit chain in a quick-service restaurant organization’, </w:t>
      </w:r>
      <w:r w:rsidRPr="001B4723">
        <w:rPr>
          <w:i/>
          <w:iCs/>
          <w:lang w:bidi="bn-IN"/>
        </w:rPr>
        <w:t>Journal of Business Research</w:t>
      </w:r>
      <w:r w:rsidRPr="001B4723">
        <w:rPr>
          <w:lang w:bidi="bn-IN"/>
        </w:rPr>
        <w:t>, 135, pp. 214–225. Available at: https://doi.org/10.1016/j.jbusres.2021.06.009.</w:t>
      </w:r>
    </w:p>
    <w:p w14:paraId="0438D411" w14:textId="77777777" w:rsidR="001B4723" w:rsidRPr="001B4723" w:rsidRDefault="001B4723" w:rsidP="001B4723">
      <w:pPr>
        <w:rPr>
          <w:lang w:bidi="bn-IN"/>
        </w:rPr>
      </w:pPr>
      <w:r w:rsidRPr="001B4723">
        <w:rPr>
          <w:lang w:bidi="bn-IN"/>
        </w:rPr>
        <w:t>Mendocilla, M., Miravitlles Matamoros, P. and Matute, J. (2021) ‘QUICKSERV: a service quality assessment tool for the quick-service restaurant industry’, </w:t>
      </w:r>
      <w:r w:rsidRPr="001B4723">
        <w:rPr>
          <w:i/>
          <w:iCs/>
          <w:lang w:bidi="bn-IN"/>
        </w:rPr>
        <w:t>British Food Journal</w:t>
      </w:r>
      <w:r w:rsidRPr="001B4723">
        <w:rPr>
          <w:lang w:bidi="bn-IN"/>
        </w:rPr>
        <w:t>, 123(13), pp. 241–259. Available at: https://doi.org/10.1108/bfj-12-2020-1108.</w:t>
      </w:r>
    </w:p>
    <w:p w14:paraId="132C3A2D" w14:textId="77777777" w:rsidR="001B4723" w:rsidRPr="001B4723" w:rsidRDefault="001B4723" w:rsidP="001B4723">
      <w:pPr>
        <w:rPr>
          <w:lang w:bidi="bn-IN"/>
        </w:rPr>
      </w:pPr>
      <w:r w:rsidRPr="001B4723">
        <w:rPr>
          <w:lang w:bidi="bn-IN"/>
        </w:rPr>
        <w:t>Mio, C., Costantini, A. and Panfilo, S. (2022) ‘Performance measurement tools for sustainable business: A systematic literature review on the sustainability balanced scorecard use’, </w:t>
      </w:r>
      <w:r w:rsidRPr="001B4723">
        <w:rPr>
          <w:i/>
          <w:iCs/>
          <w:lang w:bidi="bn-IN"/>
        </w:rPr>
        <w:t>Corporate Social Responsibility and Environmental Management</w:t>
      </w:r>
      <w:r w:rsidRPr="001B4723">
        <w:rPr>
          <w:lang w:bidi="bn-IN"/>
        </w:rPr>
        <w:t>, 29(2), pp. 367–384. Available at: https://doi.org/10.1002/csr.2206.</w:t>
      </w:r>
    </w:p>
    <w:p w14:paraId="22C08FB4" w14:textId="77777777" w:rsidR="001B4723" w:rsidRPr="001B4723" w:rsidRDefault="001B4723" w:rsidP="001B4723">
      <w:pPr>
        <w:rPr>
          <w:lang w:bidi="bn-IN"/>
        </w:rPr>
      </w:pPr>
      <w:r w:rsidRPr="001B4723">
        <w:rPr>
          <w:lang w:bidi="bn-IN"/>
        </w:rPr>
        <w:t>Polynskaya, G.A. (2021) ‘Application of constrained association method for determination of the development factors of the quick service restaurant industry’, </w:t>
      </w:r>
      <w:r w:rsidRPr="001B4723">
        <w:rPr>
          <w:i/>
          <w:iCs/>
          <w:lang w:bidi="bn-IN"/>
        </w:rPr>
        <w:t>Journal of Marketing Analytics</w:t>
      </w:r>
      <w:r w:rsidRPr="001B4723">
        <w:rPr>
          <w:lang w:bidi="bn-IN"/>
        </w:rPr>
        <w:t>, 9(4). Available at: https://doi.org/10.1057/s41270-021-00118-7.</w:t>
      </w:r>
    </w:p>
    <w:p w14:paraId="5055A2D3" w14:textId="77777777" w:rsidR="001B4723" w:rsidRPr="001B4723" w:rsidRDefault="001B4723" w:rsidP="001B4723">
      <w:pPr>
        <w:rPr>
          <w:lang w:bidi="bn-IN"/>
        </w:rPr>
      </w:pPr>
      <w:r w:rsidRPr="001B4723">
        <w:rPr>
          <w:lang w:bidi="bn-IN"/>
        </w:rPr>
        <w:t>Rahayu, S. </w:t>
      </w:r>
      <w:r w:rsidRPr="001B4723">
        <w:rPr>
          <w:i/>
          <w:iCs/>
          <w:lang w:bidi="bn-IN"/>
        </w:rPr>
        <w:t>et al.</w:t>
      </w:r>
      <w:r w:rsidRPr="001B4723">
        <w:rPr>
          <w:lang w:bidi="bn-IN"/>
        </w:rPr>
        <w:t> (2023) ‘The relationship of balanced scorecard perspectives and government organization performance measurement’, </w:t>
      </w:r>
      <w:r w:rsidRPr="001B4723">
        <w:rPr>
          <w:i/>
          <w:iCs/>
          <w:lang w:bidi="bn-IN"/>
        </w:rPr>
        <w:t>International Journal of Productivity and Performance Management</w:t>
      </w:r>
      <w:r w:rsidRPr="001B4723">
        <w:rPr>
          <w:lang w:bidi="bn-IN"/>
        </w:rPr>
        <w:t>, 72(7). Available at: https://doi.org/10.1108/ijppm-05-2021-0308.</w:t>
      </w:r>
    </w:p>
    <w:p w14:paraId="00546437" w14:textId="77777777" w:rsidR="001B4723" w:rsidRPr="001B4723" w:rsidRDefault="001B4723" w:rsidP="001B4723">
      <w:pPr>
        <w:rPr>
          <w:lang w:bidi="bn-IN"/>
        </w:rPr>
      </w:pPr>
      <w:r w:rsidRPr="001B4723">
        <w:rPr>
          <w:lang w:bidi="bn-IN"/>
        </w:rPr>
        <w:t>Rani, N.I.A. </w:t>
      </w:r>
      <w:r w:rsidRPr="001B4723">
        <w:rPr>
          <w:i/>
          <w:iCs/>
          <w:lang w:bidi="bn-IN"/>
        </w:rPr>
        <w:t>et al.</w:t>
      </w:r>
      <w:r w:rsidRPr="001B4723">
        <w:rPr>
          <w:lang w:bidi="bn-IN"/>
        </w:rPr>
        <w:t> (2023) ‘Competitiveness framework of local contractors in the Malaysian construction industry towards globalisation and liberalisation’, </w:t>
      </w:r>
      <w:r w:rsidRPr="001B4723">
        <w:rPr>
          <w:i/>
          <w:iCs/>
          <w:lang w:bidi="bn-IN"/>
        </w:rPr>
        <w:t>International Journal of Construction Management</w:t>
      </w:r>
      <w:r w:rsidRPr="001B4723">
        <w:rPr>
          <w:lang w:bidi="bn-IN"/>
        </w:rPr>
        <w:t>, 23(3), pp. 1–24. Available at: https://doi.org/10.1080/15623599.2021.1895485.</w:t>
      </w:r>
    </w:p>
    <w:p w14:paraId="40954EE6" w14:textId="77777777" w:rsidR="001B4723" w:rsidRPr="001B4723" w:rsidRDefault="001B4723" w:rsidP="001B4723">
      <w:pPr>
        <w:rPr>
          <w:lang w:bidi="bn-IN"/>
        </w:rPr>
      </w:pPr>
      <w:r w:rsidRPr="001B4723">
        <w:rPr>
          <w:lang w:bidi="bn-IN"/>
        </w:rPr>
        <w:t>Sokolova, D. and Rojas-Vallejos, J. (2025) ‘Market Entry and Internationalization Strategies of South Korean SMEs in the Russian Far East: Opportunities and Structural Barriers’, </w:t>
      </w:r>
      <w:r w:rsidRPr="001B4723">
        <w:rPr>
          <w:i/>
          <w:iCs/>
          <w:lang w:bidi="bn-IN"/>
        </w:rPr>
        <w:t xml:space="preserve">Journal </w:t>
      </w:r>
      <w:r w:rsidRPr="001B4723">
        <w:rPr>
          <w:i/>
          <w:iCs/>
          <w:lang w:bidi="bn-IN"/>
        </w:rPr>
        <w:lastRenderedPageBreak/>
        <w:t>of East-West Business</w:t>
      </w:r>
      <w:r w:rsidRPr="001B4723">
        <w:rPr>
          <w:lang w:bidi="bn-IN"/>
        </w:rPr>
        <w:t>, pp. 1–23. Available at: https://doi.org/10.1080/10669868.2025.2569034.</w:t>
      </w:r>
    </w:p>
    <w:p w14:paraId="3B009AE2" w14:textId="77777777" w:rsidR="001B4723" w:rsidRPr="001B4723" w:rsidRDefault="001B4723" w:rsidP="001B4723">
      <w:pPr>
        <w:rPr>
          <w:lang w:bidi="bn-IN"/>
        </w:rPr>
      </w:pPr>
      <w:r w:rsidRPr="001B4723">
        <w:rPr>
          <w:lang w:bidi="bn-IN"/>
        </w:rPr>
        <w:t>Stancu, V. </w:t>
      </w:r>
      <w:r w:rsidRPr="001B4723">
        <w:rPr>
          <w:i/>
          <w:iCs/>
          <w:lang w:bidi="bn-IN"/>
        </w:rPr>
        <w:t>et al.</w:t>
      </w:r>
      <w:r w:rsidRPr="001B4723">
        <w:rPr>
          <w:lang w:bidi="bn-IN"/>
        </w:rPr>
        <w:t> (2022) ‘European consumer segments with a high potential for accepting new innovative fish products based on their food-related lifestyle’, </w:t>
      </w:r>
      <w:r w:rsidRPr="001B4723">
        <w:rPr>
          <w:i/>
          <w:iCs/>
          <w:lang w:bidi="bn-IN"/>
        </w:rPr>
        <w:t>Food Quality and Preference</w:t>
      </w:r>
      <w:r w:rsidRPr="001B4723">
        <w:rPr>
          <w:lang w:bidi="bn-IN"/>
        </w:rPr>
        <w:t>, 99, p. 104560. Available at: https://doi.org/10.1016/j.foodqual.2022.104560.</w:t>
      </w:r>
    </w:p>
    <w:p w14:paraId="2142A359" w14:textId="77777777" w:rsidR="001B4723" w:rsidRPr="001B4723" w:rsidRDefault="001B4723" w:rsidP="001B4723">
      <w:pPr>
        <w:rPr>
          <w:lang w:bidi="bn-IN"/>
        </w:rPr>
      </w:pPr>
      <w:r w:rsidRPr="001B4723">
        <w:rPr>
          <w:lang w:bidi="bn-IN"/>
        </w:rPr>
        <w:t>Tsiotsou, R.H. (2022) ‘Identifying value-creating aspects in luxury hotel services via third-party online reviews: a cross-cultural study’, </w:t>
      </w:r>
      <w:r w:rsidRPr="001B4723">
        <w:rPr>
          <w:i/>
          <w:iCs/>
          <w:lang w:bidi="bn-IN"/>
        </w:rPr>
        <w:t>International Journal of Retail &amp; Distribution Management</w:t>
      </w:r>
      <w:r w:rsidRPr="001B4723">
        <w:rPr>
          <w:lang w:bidi="bn-IN"/>
        </w:rPr>
        <w:t>, 50(2). Available at: https://doi.org/10.1108/ijrdm-04-2021-0207.</w:t>
      </w:r>
    </w:p>
    <w:p w14:paraId="14815F9B" w14:textId="77777777" w:rsidR="001B4723" w:rsidRPr="001B4723" w:rsidRDefault="001B4723" w:rsidP="001B4723">
      <w:pPr>
        <w:rPr>
          <w:lang w:bidi="bn-IN"/>
        </w:rPr>
      </w:pPr>
      <w:r w:rsidRPr="001B4723">
        <w:rPr>
          <w:lang w:bidi="bn-IN"/>
        </w:rPr>
        <w:t>Vărzaru, A.A. (2022) ‘An Empirical Framework for Assessing the Balanced Scorecard Impact on Sustainable Development in Healthcare Performance Measurement’, </w:t>
      </w:r>
      <w:r w:rsidRPr="001B4723">
        <w:rPr>
          <w:i/>
          <w:iCs/>
          <w:lang w:bidi="bn-IN"/>
        </w:rPr>
        <w:t>International Journal of Environmental Research and Public Health</w:t>
      </w:r>
      <w:r w:rsidRPr="001B4723">
        <w:rPr>
          <w:lang w:bidi="bn-IN"/>
        </w:rPr>
        <w:t>, 19(22), p. 15155. Available at: https://doi.org/10.3390/ijerph192215155.</w:t>
      </w:r>
    </w:p>
    <w:p w14:paraId="423D81B8" w14:textId="77777777" w:rsidR="001B4723" w:rsidRPr="001B4723" w:rsidRDefault="001B4723" w:rsidP="001B4723">
      <w:pPr>
        <w:rPr>
          <w:lang w:bidi="bn-IN"/>
        </w:rPr>
      </w:pPr>
      <w:r w:rsidRPr="001B4723">
        <w:rPr>
          <w:lang w:bidi="bn-IN"/>
        </w:rPr>
        <w:t>Watson, G.F. </w:t>
      </w:r>
      <w:r w:rsidRPr="001B4723">
        <w:rPr>
          <w:i/>
          <w:iCs/>
          <w:lang w:bidi="bn-IN"/>
        </w:rPr>
        <w:t>et al.</w:t>
      </w:r>
      <w:r w:rsidRPr="001B4723">
        <w:rPr>
          <w:lang w:bidi="bn-IN"/>
        </w:rPr>
        <w:t> (2018) ‘International Market Entry Strategies: Relational, Digital, and Hybrid Approaches’, </w:t>
      </w:r>
      <w:r w:rsidRPr="001B4723">
        <w:rPr>
          <w:i/>
          <w:iCs/>
          <w:lang w:bidi="bn-IN"/>
        </w:rPr>
        <w:t>Journal of International Marketing</w:t>
      </w:r>
      <w:r w:rsidRPr="001B4723">
        <w:rPr>
          <w:lang w:bidi="bn-IN"/>
        </w:rPr>
        <w:t>, 26(1), pp. 30–60. Available at: https://doi.org/10.1509/jim.17.0034.</w:t>
      </w:r>
    </w:p>
    <w:p w14:paraId="348B5128" w14:textId="77777777" w:rsidR="005C6A3B" w:rsidRPr="00B31170" w:rsidRDefault="005C6A3B" w:rsidP="005C6A3B"/>
    <w:p w14:paraId="30FF9735" w14:textId="77777777" w:rsidR="005C6A3B" w:rsidRPr="003A5961" w:rsidRDefault="005C6A3B" w:rsidP="005C6A3B"/>
    <w:p w14:paraId="17C3FFDA" w14:textId="635FE13F" w:rsidR="00153167" w:rsidRPr="005C6A3B" w:rsidRDefault="00153167" w:rsidP="005C6A3B">
      <w:pPr>
        <w:rPr>
          <w:bCs/>
        </w:rPr>
      </w:pPr>
      <w:r w:rsidRPr="0081270D">
        <w:rPr>
          <w:kern w:val="0"/>
          <w:szCs w:val="24"/>
          <w14:ligatures w14:val="none"/>
        </w:rPr>
        <w:t xml:space="preserve"> </w:t>
      </w:r>
    </w:p>
    <w:bookmarkEnd w:id="0"/>
    <w:p w14:paraId="551193ED" w14:textId="77777777" w:rsidR="00153167" w:rsidRPr="002A418F" w:rsidRDefault="00153167" w:rsidP="004D45A7"/>
    <w:sectPr w:rsidR="00153167" w:rsidRPr="002A418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A9109" w14:textId="77777777" w:rsidR="00D41E68" w:rsidRDefault="00D41E68" w:rsidP="00DB6DC3">
      <w:pPr>
        <w:spacing w:before="0" w:after="0" w:line="240" w:lineRule="auto"/>
      </w:pPr>
      <w:r>
        <w:separator/>
      </w:r>
    </w:p>
  </w:endnote>
  <w:endnote w:type="continuationSeparator" w:id="0">
    <w:p w14:paraId="49CCECD3" w14:textId="77777777" w:rsidR="00D41E68" w:rsidRDefault="00D41E68" w:rsidP="00DB6D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570049"/>
      <w:docPartObj>
        <w:docPartGallery w:val="Page Numbers (Bottom of Page)"/>
        <w:docPartUnique/>
      </w:docPartObj>
    </w:sdtPr>
    <w:sdtEndPr>
      <w:rPr>
        <w:noProof/>
      </w:rPr>
    </w:sdtEndPr>
    <w:sdtContent>
      <w:p w14:paraId="317112C7" w14:textId="0AEBF938" w:rsidR="000C4B1A" w:rsidRDefault="000C4B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EEF7EC" w14:textId="77777777" w:rsidR="000C4B1A" w:rsidRDefault="000C4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75DDA" w14:textId="77777777" w:rsidR="00D41E68" w:rsidRDefault="00D41E68" w:rsidP="00DB6DC3">
      <w:pPr>
        <w:spacing w:before="0" w:after="0" w:line="240" w:lineRule="auto"/>
      </w:pPr>
      <w:r>
        <w:separator/>
      </w:r>
    </w:p>
  </w:footnote>
  <w:footnote w:type="continuationSeparator" w:id="0">
    <w:p w14:paraId="1457D0B9" w14:textId="77777777" w:rsidR="00D41E68" w:rsidRDefault="00D41E68" w:rsidP="00DB6DC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52648"/>
    <w:multiLevelType w:val="multilevel"/>
    <w:tmpl w:val="A57AE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FB7FE5"/>
    <w:multiLevelType w:val="multilevel"/>
    <w:tmpl w:val="ABCE8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D5FC6"/>
    <w:multiLevelType w:val="multilevel"/>
    <w:tmpl w:val="0CF468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F5954"/>
    <w:multiLevelType w:val="multilevel"/>
    <w:tmpl w:val="69C660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010E8"/>
    <w:multiLevelType w:val="multilevel"/>
    <w:tmpl w:val="7A42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F82E07"/>
    <w:multiLevelType w:val="multilevel"/>
    <w:tmpl w:val="10B8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65B6C"/>
    <w:multiLevelType w:val="multilevel"/>
    <w:tmpl w:val="2932C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B5381E"/>
    <w:multiLevelType w:val="multilevel"/>
    <w:tmpl w:val="1AC4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A363EC"/>
    <w:multiLevelType w:val="multilevel"/>
    <w:tmpl w:val="63FE8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E6322C"/>
    <w:multiLevelType w:val="multilevel"/>
    <w:tmpl w:val="0634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7A6C6F"/>
    <w:multiLevelType w:val="multilevel"/>
    <w:tmpl w:val="7B7CB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BA425D"/>
    <w:multiLevelType w:val="multilevel"/>
    <w:tmpl w:val="3D600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DC4948"/>
    <w:multiLevelType w:val="multilevel"/>
    <w:tmpl w:val="13FAD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542AEE"/>
    <w:multiLevelType w:val="multilevel"/>
    <w:tmpl w:val="5DD0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30037A"/>
    <w:multiLevelType w:val="multilevel"/>
    <w:tmpl w:val="2FBA5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80760F"/>
    <w:multiLevelType w:val="multilevel"/>
    <w:tmpl w:val="D3C49E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B26A2C"/>
    <w:multiLevelType w:val="hybridMultilevel"/>
    <w:tmpl w:val="EE1C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D3523F"/>
    <w:multiLevelType w:val="multilevel"/>
    <w:tmpl w:val="E256B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EA3D3C"/>
    <w:multiLevelType w:val="multilevel"/>
    <w:tmpl w:val="D868B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047EA"/>
    <w:multiLevelType w:val="multilevel"/>
    <w:tmpl w:val="56AEE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7A6D34"/>
    <w:multiLevelType w:val="multilevel"/>
    <w:tmpl w:val="772C3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5E60A8"/>
    <w:multiLevelType w:val="multilevel"/>
    <w:tmpl w:val="B5B0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810D06"/>
    <w:multiLevelType w:val="multilevel"/>
    <w:tmpl w:val="C6A0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A53B38"/>
    <w:multiLevelType w:val="multilevel"/>
    <w:tmpl w:val="30D0F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58746C"/>
    <w:multiLevelType w:val="multilevel"/>
    <w:tmpl w:val="4A367C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EE6E93"/>
    <w:multiLevelType w:val="multilevel"/>
    <w:tmpl w:val="99CA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543AD3"/>
    <w:multiLevelType w:val="multilevel"/>
    <w:tmpl w:val="D090A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EE49E4"/>
    <w:multiLevelType w:val="multilevel"/>
    <w:tmpl w:val="0180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DD242C"/>
    <w:multiLevelType w:val="multilevel"/>
    <w:tmpl w:val="D360AE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5F032C"/>
    <w:multiLevelType w:val="multilevel"/>
    <w:tmpl w:val="E2440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677669"/>
    <w:multiLevelType w:val="multilevel"/>
    <w:tmpl w:val="C9BE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573431"/>
    <w:multiLevelType w:val="multilevel"/>
    <w:tmpl w:val="0F52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21150A"/>
    <w:multiLevelType w:val="multilevel"/>
    <w:tmpl w:val="873C7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DD2222"/>
    <w:multiLevelType w:val="multilevel"/>
    <w:tmpl w:val="5E0454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D84200"/>
    <w:multiLevelType w:val="multilevel"/>
    <w:tmpl w:val="5A76D5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5F18AF"/>
    <w:multiLevelType w:val="multilevel"/>
    <w:tmpl w:val="6B28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FB4B13"/>
    <w:multiLevelType w:val="multilevel"/>
    <w:tmpl w:val="AE5EF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2FE5200"/>
    <w:multiLevelType w:val="multilevel"/>
    <w:tmpl w:val="2B98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4E374B"/>
    <w:multiLevelType w:val="multilevel"/>
    <w:tmpl w:val="0AD4C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BC7D91"/>
    <w:multiLevelType w:val="multilevel"/>
    <w:tmpl w:val="0CF69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EE448B2"/>
    <w:multiLevelType w:val="multilevel"/>
    <w:tmpl w:val="1F72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40"/>
  </w:num>
  <w:num w:numId="3">
    <w:abstractNumId w:val="7"/>
  </w:num>
  <w:num w:numId="4">
    <w:abstractNumId w:val="0"/>
  </w:num>
  <w:num w:numId="5">
    <w:abstractNumId w:val="31"/>
  </w:num>
  <w:num w:numId="6">
    <w:abstractNumId w:val="16"/>
  </w:num>
  <w:num w:numId="7">
    <w:abstractNumId w:val="21"/>
  </w:num>
  <w:num w:numId="8">
    <w:abstractNumId w:val="9"/>
  </w:num>
  <w:num w:numId="9">
    <w:abstractNumId w:val="39"/>
  </w:num>
  <w:num w:numId="10">
    <w:abstractNumId w:val="37"/>
  </w:num>
  <w:num w:numId="11">
    <w:abstractNumId w:val="35"/>
  </w:num>
  <w:num w:numId="12">
    <w:abstractNumId w:val="28"/>
  </w:num>
  <w:num w:numId="13">
    <w:abstractNumId w:val="14"/>
  </w:num>
  <w:num w:numId="14">
    <w:abstractNumId w:val="33"/>
  </w:num>
  <w:num w:numId="15">
    <w:abstractNumId w:val="34"/>
  </w:num>
  <w:num w:numId="16">
    <w:abstractNumId w:val="15"/>
  </w:num>
  <w:num w:numId="17">
    <w:abstractNumId w:val="8"/>
  </w:num>
  <w:num w:numId="18">
    <w:abstractNumId w:val="13"/>
  </w:num>
  <w:num w:numId="19">
    <w:abstractNumId w:val="36"/>
  </w:num>
  <w:num w:numId="20">
    <w:abstractNumId w:val="25"/>
  </w:num>
  <w:num w:numId="21">
    <w:abstractNumId w:val="10"/>
  </w:num>
  <w:num w:numId="22">
    <w:abstractNumId w:val="29"/>
  </w:num>
  <w:num w:numId="23">
    <w:abstractNumId w:val="27"/>
  </w:num>
  <w:num w:numId="24">
    <w:abstractNumId w:val="3"/>
  </w:num>
  <w:num w:numId="25">
    <w:abstractNumId w:val="38"/>
  </w:num>
  <w:num w:numId="26">
    <w:abstractNumId w:val="1"/>
  </w:num>
  <w:num w:numId="27">
    <w:abstractNumId w:val="12"/>
  </w:num>
  <w:num w:numId="28">
    <w:abstractNumId w:val="23"/>
  </w:num>
  <w:num w:numId="29">
    <w:abstractNumId w:val="26"/>
  </w:num>
  <w:num w:numId="30">
    <w:abstractNumId w:val="5"/>
  </w:num>
  <w:num w:numId="31">
    <w:abstractNumId w:val="24"/>
  </w:num>
  <w:num w:numId="32">
    <w:abstractNumId w:val="32"/>
  </w:num>
  <w:num w:numId="33">
    <w:abstractNumId w:val="22"/>
  </w:num>
  <w:num w:numId="34">
    <w:abstractNumId w:val="20"/>
  </w:num>
  <w:num w:numId="35">
    <w:abstractNumId w:val="17"/>
  </w:num>
  <w:num w:numId="36">
    <w:abstractNumId w:val="11"/>
  </w:num>
  <w:num w:numId="37">
    <w:abstractNumId w:val="18"/>
  </w:num>
  <w:num w:numId="38">
    <w:abstractNumId w:val="30"/>
  </w:num>
  <w:num w:numId="39">
    <w:abstractNumId w:val="2"/>
  </w:num>
  <w:num w:numId="40">
    <w:abstractNumId w:val="19"/>
  </w:num>
  <w:num w:numId="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CF"/>
    <w:rsid w:val="0000324B"/>
    <w:rsid w:val="00032C37"/>
    <w:rsid w:val="00033241"/>
    <w:rsid w:val="00074387"/>
    <w:rsid w:val="00081ECF"/>
    <w:rsid w:val="0008627C"/>
    <w:rsid w:val="000A719F"/>
    <w:rsid w:val="000C13ED"/>
    <w:rsid w:val="000C4B1A"/>
    <w:rsid w:val="000D61C8"/>
    <w:rsid w:val="000E4AD0"/>
    <w:rsid w:val="000E6E74"/>
    <w:rsid w:val="001011C0"/>
    <w:rsid w:val="0013418C"/>
    <w:rsid w:val="00143136"/>
    <w:rsid w:val="0014313A"/>
    <w:rsid w:val="00147121"/>
    <w:rsid w:val="00151F84"/>
    <w:rsid w:val="00153167"/>
    <w:rsid w:val="00191A66"/>
    <w:rsid w:val="001B4723"/>
    <w:rsid w:val="001C0ABB"/>
    <w:rsid w:val="001F074F"/>
    <w:rsid w:val="001F1D4A"/>
    <w:rsid w:val="00210644"/>
    <w:rsid w:val="00287120"/>
    <w:rsid w:val="002A418F"/>
    <w:rsid w:val="002D5E4D"/>
    <w:rsid w:val="00301450"/>
    <w:rsid w:val="00337041"/>
    <w:rsid w:val="00367DC0"/>
    <w:rsid w:val="003A2310"/>
    <w:rsid w:val="003C5C83"/>
    <w:rsid w:val="003E1883"/>
    <w:rsid w:val="00410D84"/>
    <w:rsid w:val="00423E59"/>
    <w:rsid w:val="004536F5"/>
    <w:rsid w:val="00476B96"/>
    <w:rsid w:val="004805DD"/>
    <w:rsid w:val="0048698A"/>
    <w:rsid w:val="004C3ADE"/>
    <w:rsid w:val="004D45A7"/>
    <w:rsid w:val="004E1328"/>
    <w:rsid w:val="004E2FEE"/>
    <w:rsid w:val="0056762E"/>
    <w:rsid w:val="00570D2B"/>
    <w:rsid w:val="00593501"/>
    <w:rsid w:val="005A20C6"/>
    <w:rsid w:val="005C6A3B"/>
    <w:rsid w:val="006155FA"/>
    <w:rsid w:val="006260C1"/>
    <w:rsid w:val="00640FC1"/>
    <w:rsid w:val="006820AD"/>
    <w:rsid w:val="00696768"/>
    <w:rsid w:val="006B3470"/>
    <w:rsid w:val="006C387D"/>
    <w:rsid w:val="006D0CE7"/>
    <w:rsid w:val="006D30FC"/>
    <w:rsid w:val="006D3EA6"/>
    <w:rsid w:val="006E3A90"/>
    <w:rsid w:val="006F6112"/>
    <w:rsid w:val="007001E3"/>
    <w:rsid w:val="00753FC8"/>
    <w:rsid w:val="00765272"/>
    <w:rsid w:val="007923F5"/>
    <w:rsid w:val="0079688E"/>
    <w:rsid w:val="007B536E"/>
    <w:rsid w:val="007C0D51"/>
    <w:rsid w:val="007D01F9"/>
    <w:rsid w:val="007D2561"/>
    <w:rsid w:val="007E5B2D"/>
    <w:rsid w:val="007F6AB0"/>
    <w:rsid w:val="00811600"/>
    <w:rsid w:val="00813945"/>
    <w:rsid w:val="00822C19"/>
    <w:rsid w:val="0085079F"/>
    <w:rsid w:val="008B26F2"/>
    <w:rsid w:val="008E36B5"/>
    <w:rsid w:val="00913DAE"/>
    <w:rsid w:val="009244C2"/>
    <w:rsid w:val="00930EB2"/>
    <w:rsid w:val="00932CCF"/>
    <w:rsid w:val="009522AB"/>
    <w:rsid w:val="00975DCB"/>
    <w:rsid w:val="00981F07"/>
    <w:rsid w:val="009A0B93"/>
    <w:rsid w:val="00AE0992"/>
    <w:rsid w:val="00B21591"/>
    <w:rsid w:val="00B52450"/>
    <w:rsid w:val="00B61352"/>
    <w:rsid w:val="00B6732B"/>
    <w:rsid w:val="00B82B9C"/>
    <w:rsid w:val="00BB5CF2"/>
    <w:rsid w:val="00BD6DB2"/>
    <w:rsid w:val="00C05F6D"/>
    <w:rsid w:val="00C2755F"/>
    <w:rsid w:val="00C45E24"/>
    <w:rsid w:val="00C95160"/>
    <w:rsid w:val="00CD6658"/>
    <w:rsid w:val="00CF0BFE"/>
    <w:rsid w:val="00CF7852"/>
    <w:rsid w:val="00D0691A"/>
    <w:rsid w:val="00D11B7B"/>
    <w:rsid w:val="00D11F1A"/>
    <w:rsid w:val="00D41E68"/>
    <w:rsid w:val="00D44A22"/>
    <w:rsid w:val="00D45DE5"/>
    <w:rsid w:val="00D4692F"/>
    <w:rsid w:val="00D67503"/>
    <w:rsid w:val="00D7643B"/>
    <w:rsid w:val="00DB6DC3"/>
    <w:rsid w:val="00DC2201"/>
    <w:rsid w:val="00E07449"/>
    <w:rsid w:val="00E55BAA"/>
    <w:rsid w:val="00E93792"/>
    <w:rsid w:val="00EB39F9"/>
    <w:rsid w:val="00EE3432"/>
    <w:rsid w:val="00EE77CC"/>
    <w:rsid w:val="00F01841"/>
    <w:rsid w:val="00F020BC"/>
    <w:rsid w:val="00F20938"/>
    <w:rsid w:val="00F21079"/>
    <w:rsid w:val="00F32011"/>
    <w:rsid w:val="00F934B4"/>
    <w:rsid w:val="00FC6BAE"/>
    <w:rsid w:val="00FF72E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CCD1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B1A"/>
    <w:pPr>
      <w:spacing w:before="120" w:after="12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D11F1A"/>
    <w:pPr>
      <w:keepNext/>
      <w:keepLines/>
      <w:shd w:val="clear" w:color="auto" w:fill="BDD6EE" w:themeFill="accent5" w:themeFillTint="66"/>
      <w:spacing w:before="0" w:after="200"/>
      <w:jc w:val="center"/>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D11F1A"/>
    <w:pPr>
      <w:keepNext/>
      <w:keepLines/>
      <w:pBdr>
        <w:bottom w:val="single" w:sz="6" w:space="1" w:color="auto"/>
      </w:pBdr>
      <w:spacing w:before="160" w:after="200"/>
      <w:outlineLvl w:val="1"/>
    </w:pPr>
    <w:rPr>
      <w:rFonts w:eastAsiaTheme="majorEastAsia" w:cstheme="majorBidi"/>
      <w:b/>
      <w:color w:val="0070C0"/>
      <w:sz w:val="28"/>
      <w:szCs w:val="26"/>
      <w:lang w:val="en-US"/>
    </w:rPr>
  </w:style>
  <w:style w:type="paragraph" w:styleId="Heading3">
    <w:name w:val="heading 3"/>
    <w:basedOn w:val="Normal"/>
    <w:next w:val="Normal"/>
    <w:link w:val="Heading3Char"/>
    <w:autoRedefine/>
    <w:uiPriority w:val="9"/>
    <w:unhideWhenUsed/>
    <w:qFormat/>
    <w:rsid w:val="00D11F1A"/>
    <w:pPr>
      <w:keepNext/>
      <w:keepLines/>
      <w:spacing w:before="160" w:after="200"/>
      <w:outlineLvl w:val="2"/>
    </w:pPr>
    <w:rPr>
      <w:rFonts w:eastAsiaTheme="majorEastAsia" w:cstheme="majorBidi"/>
      <w:b/>
      <w:color w:val="7030A0"/>
      <w:sz w:val="25"/>
      <w:szCs w:val="24"/>
      <w:lang w:val="en-US"/>
    </w:rPr>
  </w:style>
  <w:style w:type="paragraph" w:styleId="Heading4">
    <w:name w:val="heading 4"/>
    <w:basedOn w:val="Normal"/>
    <w:next w:val="Normal"/>
    <w:link w:val="Heading4Char"/>
    <w:uiPriority w:val="9"/>
    <w:semiHidden/>
    <w:unhideWhenUsed/>
    <w:qFormat/>
    <w:rsid w:val="00932C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2C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32C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2C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2CC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2CC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F1A"/>
    <w:rPr>
      <w:rFonts w:ascii="Times New Roman" w:eastAsiaTheme="majorEastAsia" w:hAnsi="Times New Roman" w:cstheme="majorBidi"/>
      <w:b/>
      <w:color w:val="002060"/>
      <w:sz w:val="32"/>
      <w:szCs w:val="32"/>
      <w:shd w:val="clear" w:color="auto" w:fill="BDD6EE" w:themeFill="accent5" w:themeFillTint="66"/>
      <w:lang w:eastAsia="en-GB"/>
    </w:rPr>
  </w:style>
  <w:style w:type="character" w:customStyle="1" w:styleId="Heading2Char">
    <w:name w:val="Heading 2 Char"/>
    <w:basedOn w:val="DefaultParagraphFont"/>
    <w:link w:val="Heading2"/>
    <w:uiPriority w:val="9"/>
    <w:rsid w:val="00D11F1A"/>
    <w:rPr>
      <w:rFonts w:ascii="Times New Roman" w:eastAsiaTheme="majorEastAsia" w:hAnsi="Times New Roman" w:cstheme="majorBidi"/>
      <w:b/>
      <w:color w:val="0070C0"/>
      <w:sz w:val="28"/>
      <w:szCs w:val="26"/>
      <w:lang w:val="en-US" w:eastAsia="en-GB"/>
      <w14:ligatures w14:val="standardContextual"/>
    </w:rPr>
  </w:style>
  <w:style w:type="character" w:customStyle="1" w:styleId="Heading3Char">
    <w:name w:val="Heading 3 Char"/>
    <w:basedOn w:val="DefaultParagraphFont"/>
    <w:link w:val="Heading3"/>
    <w:uiPriority w:val="9"/>
    <w:rsid w:val="00D11F1A"/>
    <w:rPr>
      <w:rFonts w:ascii="Times New Roman" w:eastAsiaTheme="majorEastAsia" w:hAnsi="Times New Roman" w:cstheme="majorBidi"/>
      <w:b/>
      <w:color w:val="7030A0"/>
      <w:sz w:val="25"/>
      <w:szCs w:val="24"/>
      <w:lang w:val="en-US" w:eastAsia="en-GB"/>
      <w14:ligatures w14:val="standardContextual"/>
    </w:rPr>
  </w:style>
  <w:style w:type="paragraph" w:styleId="Caption">
    <w:name w:val="caption"/>
    <w:basedOn w:val="Normal"/>
    <w:next w:val="Normal"/>
    <w:autoRedefine/>
    <w:unhideWhenUsed/>
    <w:qFormat/>
    <w:rsid w:val="00D11F1A"/>
    <w:pPr>
      <w:spacing w:after="360"/>
      <w:jc w:val="center"/>
    </w:pPr>
    <w:rPr>
      <w:rFonts w:cstheme="minorHAnsi"/>
      <w:b/>
      <w:i/>
      <w:iCs/>
      <w:noProof/>
      <w:sz w:val="20"/>
      <w:szCs w:val="24"/>
      <w:lang w:val="en-ZA"/>
    </w:rPr>
  </w:style>
  <w:style w:type="character" w:customStyle="1" w:styleId="Heading4Char">
    <w:name w:val="Heading 4 Char"/>
    <w:basedOn w:val="DefaultParagraphFont"/>
    <w:link w:val="Heading4"/>
    <w:uiPriority w:val="9"/>
    <w:semiHidden/>
    <w:rsid w:val="00932CCF"/>
    <w:rPr>
      <w:rFonts w:eastAsiaTheme="majorEastAsia" w:cstheme="majorBidi"/>
      <w:i/>
      <w:iCs/>
      <w:color w:val="2F5496" w:themeColor="accent1" w:themeShade="BF"/>
      <w:sz w:val="24"/>
      <w:lang w:eastAsia="en-GB"/>
    </w:rPr>
  </w:style>
  <w:style w:type="character" w:customStyle="1" w:styleId="Heading5Char">
    <w:name w:val="Heading 5 Char"/>
    <w:basedOn w:val="DefaultParagraphFont"/>
    <w:link w:val="Heading5"/>
    <w:uiPriority w:val="9"/>
    <w:semiHidden/>
    <w:rsid w:val="00932CCF"/>
    <w:rPr>
      <w:rFonts w:eastAsiaTheme="majorEastAsia" w:cstheme="majorBidi"/>
      <w:color w:val="2F5496" w:themeColor="accent1" w:themeShade="BF"/>
      <w:sz w:val="24"/>
      <w:lang w:eastAsia="en-GB"/>
    </w:rPr>
  </w:style>
  <w:style w:type="character" w:customStyle="1" w:styleId="Heading6Char">
    <w:name w:val="Heading 6 Char"/>
    <w:basedOn w:val="DefaultParagraphFont"/>
    <w:link w:val="Heading6"/>
    <w:uiPriority w:val="9"/>
    <w:semiHidden/>
    <w:rsid w:val="00932CCF"/>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932CCF"/>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932CCF"/>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932CCF"/>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932CC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C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932CC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CF"/>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932C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2CCF"/>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932CCF"/>
    <w:pPr>
      <w:ind w:left="720"/>
      <w:contextualSpacing/>
    </w:pPr>
  </w:style>
  <w:style w:type="character" w:styleId="IntenseEmphasis">
    <w:name w:val="Intense Emphasis"/>
    <w:basedOn w:val="DefaultParagraphFont"/>
    <w:uiPriority w:val="21"/>
    <w:qFormat/>
    <w:rsid w:val="00932CCF"/>
    <w:rPr>
      <w:i/>
      <w:iCs/>
      <w:color w:val="2F5496" w:themeColor="accent1" w:themeShade="BF"/>
    </w:rPr>
  </w:style>
  <w:style w:type="paragraph" w:styleId="IntenseQuote">
    <w:name w:val="Intense Quote"/>
    <w:basedOn w:val="Normal"/>
    <w:next w:val="Normal"/>
    <w:link w:val="IntenseQuoteChar"/>
    <w:uiPriority w:val="30"/>
    <w:qFormat/>
    <w:rsid w:val="00932C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2CCF"/>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sid w:val="00932CCF"/>
    <w:rPr>
      <w:b/>
      <w:bCs/>
      <w:smallCaps/>
      <w:color w:val="2F5496" w:themeColor="accent1" w:themeShade="BF"/>
      <w:spacing w:val="5"/>
    </w:rPr>
  </w:style>
  <w:style w:type="table" w:styleId="GridTable4-Accent5">
    <w:name w:val="Grid Table 4 Accent 5"/>
    <w:basedOn w:val="TableNormal"/>
    <w:uiPriority w:val="49"/>
    <w:rsid w:val="00932CC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DB6D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6DC3"/>
    <w:rPr>
      <w:rFonts w:ascii="Times New Roman" w:hAnsi="Times New Roman" w:cs="Times New Roman"/>
      <w:sz w:val="24"/>
      <w:lang w:eastAsia="en-GB"/>
    </w:rPr>
  </w:style>
  <w:style w:type="paragraph" w:styleId="Footer">
    <w:name w:val="footer"/>
    <w:basedOn w:val="Normal"/>
    <w:link w:val="FooterChar"/>
    <w:uiPriority w:val="99"/>
    <w:unhideWhenUsed/>
    <w:rsid w:val="00DB6D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6DC3"/>
    <w:rPr>
      <w:rFonts w:ascii="Times New Roman" w:hAnsi="Times New Roman" w:cs="Times New Roman"/>
      <w:sz w:val="24"/>
      <w:lang w:eastAsia="en-GB"/>
    </w:rPr>
  </w:style>
  <w:style w:type="character" w:styleId="Hyperlink">
    <w:name w:val="Hyperlink"/>
    <w:basedOn w:val="DefaultParagraphFont"/>
    <w:uiPriority w:val="99"/>
    <w:unhideWhenUsed/>
    <w:rsid w:val="00570D2B"/>
    <w:rPr>
      <w:color w:val="0563C1" w:themeColor="hyperlink"/>
      <w:u w:val="single"/>
    </w:rPr>
  </w:style>
  <w:style w:type="paragraph" w:styleId="TOCHeading">
    <w:name w:val="TOC Heading"/>
    <w:basedOn w:val="Heading1"/>
    <w:next w:val="Normal"/>
    <w:uiPriority w:val="39"/>
    <w:unhideWhenUsed/>
    <w:qFormat/>
    <w:rsid w:val="008E36B5"/>
    <w:pPr>
      <w:shd w:val="clear" w:color="auto" w:fill="auto"/>
      <w:spacing w:before="240" w:after="0"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640FC1"/>
    <w:pPr>
      <w:tabs>
        <w:tab w:val="right" w:leader="dot" w:pos="9016"/>
      </w:tabs>
      <w:jc w:val="left"/>
    </w:pPr>
    <w:rPr>
      <w:b/>
      <w:bCs/>
      <w:caps/>
      <w:color w:val="4472C4" w:themeColor="accent1"/>
      <w:sz w:val="32"/>
      <w:szCs w:val="32"/>
    </w:rPr>
  </w:style>
  <w:style w:type="paragraph" w:styleId="TOC2">
    <w:name w:val="toc 2"/>
    <w:basedOn w:val="Normal"/>
    <w:next w:val="Normal"/>
    <w:autoRedefine/>
    <w:uiPriority w:val="39"/>
    <w:unhideWhenUsed/>
    <w:rsid w:val="001B4723"/>
    <w:pPr>
      <w:spacing w:before="0" w:after="0"/>
      <w:ind w:left="240"/>
      <w:jc w:val="left"/>
    </w:pPr>
    <w:rPr>
      <w:rFonts w:asciiTheme="minorHAnsi" w:hAnsiTheme="minorHAnsi" w:cstheme="minorHAnsi"/>
      <w:smallCaps/>
      <w:sz w:val="20"/>
      <w:szCs w:val="24"/>
    </w:rPr>
  </w:style>
  <w:style w:type="paragraph" w:styleId="TOC3">
    <w:name w:val="toc 3"/>
    <w:basedOn w:val="Normal"/>
    <w:next w:val="Normal"/>
    <w:autoRedefine/>
    <w:uiPriority w:val="39"/>
    <w:unhideWhenUsed/>
    <w:rsid w:val="008E36B5"/>
    <w:pPr>
      <w:spacing w:before="0" w:after="0"/>
      <w:ind w:left="480"/>
      <w:jc w:val="left"/>
    </w:pPr>
    <w:rPr>
      <w:rFonts w:asciiTheme="minorHAnsi" w:hAnsiTheme="minorHAnsi" w:cstheme="minorHAnsi"/>
      <w:i/>
      <w:iCs/>
      <w:sz w:val="20"/>
      <w:szCs w:val="24"/>
    </w:rPr>
  </w:style>
  <w:style w:type="character" w:styleId="Strong">
    <w:name w:val="Strong"/>
    <w:basedOn w:val="DefaultParagraphFont"/>
    <w:uiPriority w:val="22"/>
    <w:qFormat/>
    <w:rsid w:val="00F01841"/>
    <w:rPr>
      <w:b/>
      <w:bCs/>
    </w:rPr>
  </w:style>
  <w:style w:type="paragraph" w:styleId="NormalWeb">
    <w:name w:val="Normal (Web)"/>
    <w:basedOn w:val="Normal"/>
    <w:uiPriority w:val="99"/>
    <w:semiHidden/>
    <w:unhideWhenUsed/>
    <w:rsid w:val="00F01841"/>
    <w:pPr>
      <w:spacing w:before="100" w:beforeAutospacing="1" w:after="100" w:afterAutospacing="1" w:line="240" w:lineRule="auto"/>
      <w:jc w:val="left"/>
    </w:pPr>
    <w:rPr>
      <w:rFonts w:eastAsiaTheme="minorEastAsia"/>
      <w:kern w:val="0"/>
      <w:szCs w:val="24"/>
      <w:lang w:val="en-US" w:eastAsia="en-US" w:bidi="bn-BD"/>
      <w14:ligatures w14:val="none"/>
    </w:rPr>
  </w:style>
  <w:style w:type="character" w:customStyle="1" w:styleId="apple-converted-space">
    <w:name w:val="apple-converted-space"/>
    <w:basedOn w:val="DefaultParagraphFont"/>
    <w:rsid w:val="001B4723"/>
  </w:style>
  <w:style w:type="paragraph" w:styleId="TOC4">
    <w:name w:val="toc 4"/>
    <w:basedOn w:val="Normal"/>
    <w:next w:val="Normal"/>
    <w:autoRedefine/>
    <w:uiPriority w:val="39"/>
    <w:unhideWhenUsed/>
    <w:rsid w:val="001B4723"/>
    <w:pPr>
      <w:spacing w:before="0" w:after="0"/>
      <w:ind w:left="720"/>
      <w:jc w:val="left"/>
    </w:pPr>
    <w:rPr>
      <w:rFonts w:asciiTheme="minorHAnsi" w:hAnsiTheme="minorHAnsi" w:cstheme="minorHAnsi"/>
      <w:sz w:val="18"/>
      <w:szCs w:val="21"/>
    </w:rPr>
  </w:style>
  <w:style w:type="paragraph" w:styleId="TOC5">
    <w:name w:val="toc 5"/>
    <w:basedOn w:val="Normal"/>
    <w:next w:val="Normal"/>
    <w:autoRedefine/>
    <w:uiPriority w:val="39"/>
    <w:unhideWhenUsed/>
    <w:rsid w:val="001B4723"/>
    <w:pPr>
      <w:spacing w:before="0" w:after="0"/>
      <w:ind w:left="960"/>
      <w:jc w:val="left"/>
    </w:pPr>
    <w:rPr>
      <w:rFonts w:asciiTheme="minorHAnsi" w:hAnsiTheme="minorHAnsi" w:cstheme="minorHAnsi"/>
      <w:sz w:val="18"/>
      <w:szCs w:val="21"/>
    </w:rPr>
  </w:style>
  <w:style w:type="paragraph" w:styleId="TOC6">
    <w:name w:val="toc 6"/>
    <w:basedOn w:val="Normal"/>
    <w:next w:val="Normal"/>
    <w:autoRedefine/>
    <w:uiPriority w:val="39"/>
    <w:unhideWhenUsed/>
    <w:rsid w:val="001B4723"/>
    <w:pPr>
      <w:spacing w:before="0" w:after="0"/>
      <w:ind w:left="1200"/>
      <w:jc w:val="left"/>
    </w:pPr>
    <w:rPr>
      <w:rFonts w:asciiTheme="minorHAnsi" w:hAnsiTheme="minorHAnsi" w:cstheme="minorHAnsi"/>
      <w:sz w:val="18"/>
      <w:szCs w:val="21"/>
    </w:rPr>
  </w:style>
  <w:style w:type="paragraph" w:styleId="TOC7">
    <w:name w:val="toc 7"/>
    <w:basedOn w:val="Normal"/>
    <w:next w:val="Normal"/>
    <w:autoRedefine/>
    <w:uiPriority w:val="39"/>
    <w:unhideWhenUsed/>
    <w:rsid w:val="001B4723"/>
    <w:pPr>
      <w:spacing w:before="0" w:after="0"/>
      <w:ind w:left="1440"/>
      <w:jc w:val="left"/>
    </w:pPr>
    <w:rPr>
      <w:rFonts w:asciiTheme="minorHAnsi" w:hAnsiTheme="minorHAnsi" w:cstheme="minorHAnsi"/>
      <w:sz w:val="18"/>
      <w:szCs w:val="21"/>
    </w:rPr>
  </w:style>
  <w:style w:type="paragraph" w:styleId="TOC8">
    <w:name w:val="toc 8"/>
    <w:basedOn w:val="Normal"/>
    <w:next w:val="Normal"/>
    <w:autoRedefine/>
    <w:uiPriority w:val="39"/>
    <w:unhideWhenUsed/>
    <w:rsid w:val="001B4723"/>
    <w:pPr>
      <w:spacing w:before="0" w:after="0"/>
      <w:ind w:left="1680"/>
      <w:jc w:val="left"/>
    </w:pPr>
    <w:rPr>
      <w:rFonts w:asciiTheme="minorHAnsi" w:hAnsiTheme="minorHAnsi" w:cstheme="minorHAnsi"/>
      <w:sz w:val="18"/>
      <w:szCs w:val="21"/>
    </w:rPr>
  </w:style>
  <w:style w:type="paragraph" w:styleId="TOC9">
    <w:name w:val="toc 9"/>
    <w:basedOn w:val="Normal"/>
    <w:next w:val="Normal"/>
    <w:autoRedefine/>
    <w:uiPriority w:val="39"/>
    <w:unhideWhenUsed/>
    <w:rsid w:val="001B4723"/>
    <w:pPr>
      <w:spacing w:before="0" w:after="0"/>
      <w:ind w:left="1920"/>
      <w:jc w:val="left"/>
    </w:pPr>
    <w:rPr>
      <w:rFonts w:asciiTheme="minorHAnsi" w:hAnsiTheme="minorHAnsi" w:cstheme="minorHAnsi"/>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012460">
      <w:bodyDiv w:val="1"/>
      <w:marLeft w:val="0"/>
      <w:marRight w:val="0"/>
      <w:marTop w:val="0"/>
      <w:marBottom w:val="0"/>
      <w:divBdr>
        <w:top w:val="none" w:sz="0" w:space="0" w:color="auto"/>
        <w:left w:val="none" w:sz="0" w:space="0" w:color="auto"/>
        <w:bottom w:val="none" w:sz="0" w:space="0" w:color="auto"/>
        <w:right w:val="none" w:sz="0" w:space="0" w:color="auto"/>
      </w:divBdr>
    </w:div>
    <w:div w:id="1541938408">
      <w:bodyDiv w:val="1"/>
      <w:marLeft w:val="0"/>
      <w:marRight w:val="0"/>
      <w:marTop w:val="0"/>
      <w:marBottom w:val="0"/>
      <w:divBdr>
        <w:top w:val="none" w:sz="0" w:space="0" w:color="auto"/>
        <w:left w:val="none" w:sz="0" w:space="0" w:color="auto"/>
        <w:bottom w:val="none" w:sz="0" w:space="0" w:color="auto"/>
        <w:right w:val="none" w:sz="0" w:space="0" w:color="auto"/>
      </w:divBdr>
      <w:divsChild>
        <w:div w:id="720714562">
          <w:marLeft w:val="0"/>
          <w:marRight w:val="0"/>
          <w:marTop w:val="0"/>
          <w:marBottom w:val="0"/>
          <w:divBdr>
            <w:top w:val="none" w:sz="0" w:space="0" w:color="auto"/>
            <w:left w:val="none" w:sz="0" w:space="0" w:color="auto"/>
            <w:bottom w:val="none" w:sz="0" w:space="0" w:color="auto"/>
            <w:right w:val="none" w:sz="0" w:space="0" w:color="auto"/>
          </w:divBdr>
        </w:div>
      </w:divsChild>
    </w:div>
    <w:div w:id="1813518364">
      <w:bodyDiv w:val="1"/>
      <w:marLeft w:val="0"/>
      <w:marRight w:val="0"/>
      <w:marTop w:val="0"/>
      <w:marBottom w:val="0"/>
      <w:divBdr>
        <w:top w:val="none" w:sz="0" w:space="0" w:color="auto"/>
        <w:left w:val="none" w:sz="0" w:space="0" w:color="auto"/>
        <w:bottom w:val="none" w:sz="0" w:space="0" w:color="auto"/>
        <w:right w:val="none" w:sz="0" w:space="0" w:color="auto"/>
      </w:divBdr>
    </w:div>
    <w:div w:id="18905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896F8-C19E-4B4D-AA08-B640E772E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6504</Words>
  <Characters>37074</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2025-12-01T07:10:00Z</dcterms:created>
  <dcterms:modified xsi:type="dcterms:W3CDTF">2025-12-21T21:48:00Z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43a68f74b429e0d28fbe9b6cce4583f95bc815820ba85a50f0be3e7e20c688e4</vt:lpwstr>
  </property>
</Properties>
</file>