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E88887" w14:textId="77777777" w:rsidR="000A78BF" w:rsidRPr="00182DEB" w:rsidRDefault="000A78BF" w:rsidP="000A78BF">
      <w:pPr>
        <w:pStyle w:val="Title"/>
      </w:pPr>
      <w:r w:rsidRPr="00182DEB">
        <w:t>School of Sport, Health &amp; Outdoor Education</w:t>
      </w:r>
    </w:p>
    <w:p w14:paraId="5CCA97C8" w14:textId="77777777" w:rsidR="000A78BF" w:rsidRPr="00182DEB" w:rsidRDefault="000A78BF" w:rsidP="000A78BF">
      <w:pPr>
        <w:rPr>
          <w:rFonts w:ascii="Times New Roman" w:hAnsi="Times New Roman" w:cs="Times New Roman"/>
          <w:b/>
          <w:bCs/>
          <w:sz w:val="16"/>
          <w:szCs w:val="16"/>
        </w:rPr>
      </w:pPr>
    </w:p>
    <w:p w14:paraId="632DAD7E" w14:textId="77777777" w:rsidR="000A78BF" w:rsidRPr="00182DEB" w:rsidRDefault="000A78BF" w:rsidP="000A78BF">
      <w:pPr>
        <w:pStyle w:val="Subtitle"/>
      </w:pPr>
      <w:r w:rsidRPr="00182DEB">
        <w:t>Assessment Feedback Sheet</w:t>
      </w:r>
    </w:p>
    <w:p w14:paraId="6A65B2CE" w14:textId="77777777" w:rsidR="000A78BF" w:rsidRPr="00182DEB" w:rsidRDefault="000A78BF" w:rsidP="000A78BF">
      <w:pPr>
        <w:pStyle w:val="Subtitle"/>
        <w:rPr>
          <w:sz w:val="16"/>
          <w:szCs w:val="16"/>
        </w:rPr>
      </w:pPr>
    </w:p>
    <w:p w14:paraId="5A898896" w14:textId="77777777" w:rsidR="000A78BF" w:rsidRPr="00182DEB" w:rsidRDefault="000A78BF" w:rsidP="000A78BF">
      <w:pPr>
        <w:pStyle w:val="Subtitle"/>
        <w:ind w:left="2160" w:firstLine="720"/>
        <w:jc w:val="left"/>
        <w:rPr>
          <w:b/>
          <w:bCs/>
          <w:u w:val="none"/>
        </w:rPr>
      </w:pPr>
      <w:r w:rsidRPr="00182DEB">
        <w:rPr>
          <w:b/>
          <w:bCs/>
          <w:sz w:val="24"/>
          <w:szCs w:val="24"/>
          <w:u w:val="none"/>
        </w:rPr>
        <w:t>Student No./Name: Rhian Jones 1501571</w:t>
      </w:r>
    </w:p>
    <w:p w14:paraId="6949D714" w14:textId="77777777" w:rsidR="000A78BF" w:rsidRPr="00182DEB" w:rsidRDefault="000A78BF" w:rsidP="000A78BF">
      <w:pPr>
        <w:pStyle w:val="Subtitle"/>
        <w:ind w:left="2160" w:firstLine="720"/>
        <w:jc w:val="left"/>
        <w:rPr>
          <w:b/>
          <w:bCs/>
          <w:sz w:val="24"/>
          <w:szCs w:val="24"/>
          <w:u w:val="none"/>
        </w:rPr>
      </w:pPr>
      <w:r w:rsidRPr="00182DEB">
        <w:rPr>
          <w:b/>
          <w:bCs/>
          <w:sz w:val="24"/>
          <w:szCs w:val="24"/>
          <w:u w:val="none"/>
        </w:rPr>
        <w:t>Module:  Advanced Training Methods</w:t>
      </w:r>
    </w:p>
    <w:p w14:paraId="50CD0C61" w14:textId="77777777" w:rsidR="000A78BF" w:rsidRPr="00182DEB" w:rsidRDefault="000A78BF" w:rsidP="000A78BF">
      <w:pPr>
        <w:pStyle w:val="Subtitle"/>
        <w:ind w:left="2160" w:firstLine="720"/>
        <w:jc w:val="left"/>
        <w:rPr>
          <w:b/>
          <w:bCs/>
          <w:sz w:val="24"/>
          <w:szCs w:val="24"/>
          <w:u w:val="none"/>
        </w:rPr>
      </w:pPr>
      <w:r w:rsidRPr="00182DEB">
        <w:rPr>
          <w:b/>
          <w:bCs/>
          <w:sz w:val="24"/>
          <w:szCs w:val="24"/>
          <w:u w:val="none"/>
        </w:rPr>
        <w:t>Module Code: SHSS6089</w:t>
      </w:r>
    </w:p>
    <w:p w14:paraId="6560D794" w14:textId="77777777" w:rsidR="000A78BF" w:rsidRPr="00182DEB" w:rsidRDefault="000A78BF" w:rsidP="000A78BF">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93"/>
        <w:gridCol w:w="1061"/>
        <w:gridCol w:w="32"/>
        <w:gridCol w:w="1093"/>
        <w:gridCol w:w="1093"/>
        <w:gridCol w:w="1093"/>
        <w:gridCol w:w="289"/>
        <w:gridCol w:w="804"/>
        <w:gridCol w:w="823"/>
        <w:gridCol w:w="270"/>
        <w:gridCol w:w="450"/>
      </w:tblGrid>
      <w:tr w:rsidR="000A78BF" w:rsidRPr="00182DEB" w14:paraId="2BB999D3" w14:textId="77777777" w:rsidTr="0032291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4F3B29A6" w14:textId="77777777" w:rsidR="000A78BF" w:rsidRPr="00182DEB" w:rsidRDefault="000A78BF" w:rsidP="00322914">
            <w:pPr>
              <w:pStyle w:val="Subtitle"/>
              <w:rPr>
                <w:b/>
                <w:bCs/>
                <w:sz w:val="24"/>
                <w:szCs w:val="24"/>
                <w:u w:val="none"/>
                <w:lang w:val="en-US" w:eastAsia="en-US"/>
              </w:rPr>
            </w:pPr>
            <w:r w:rsidRPr="00182DEB">
              <w:rPr>
                <w:b/>
                <w:bCs/>
                <w:sz w:val="18"/>
                <w:szCs w:val="18"/>
                <w:u w:val="none"/>
                <w:lang w:val="en-US" w:eastAsia="en-US"/>
              </w:rPr>
              <w:t>Personal Evaluation</w:t>
            </w:r>
            <w:r w:rsidRPr="00182DEB">
              <w:rPr>
                <w:sz w:val="18"/>
                <w:szCs w:val="18"/>
                <w:u w:val="none"/>
                <w:lang w:val="en-US" w:eastAsia="en-US"/>
              </w:rPr>
              <w:t xml:space="preserve"> – to support your academic progress please complete the section below </w:t>
            </w:r>
            <w:r w:rsidRPr="00182DEB">
              <w:rPr>
                <w:b/>
                <w:bCs/>
                <w:sz w:val="18"/>
                <w:szCs w:val="18"/>
                <w:lang w:val="en-US" w:eastAsia="en-US"/>
              </w:rPr>
              <w:t>BEFORE</w:t>
            </w:r>
            <w:r w:rsidRPr="00182DEB">
              <w:rPr>
                <w:sz w:val="18"/>
                <w:szCs w:val="18"/>
                <w:u w:val="none"/>
                <w:lang w:val="en-US" w:eastAsia="en-US"/>
              </w:rPr>
              <w:t xml:space="preserve"> submitting your work.</w:t>
            </w:r>
          </w:p>
        </w:tc>
      </w:tr>
      <w:tr w:rsidR="000A78BF" w:rsidRPr="00182DEB" w14:paraId="327700ED" w14:textId="77777777" w:rsidTr="0032291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A4F094D" w14:textId="77777777" w:rsidR="000A78BF" w:rsidRPr="00182DEB" w:rsidRDefault="000A78BF" w:rsidP="00322914">
            <w:pPr>
              <w:ind w:left="113" w:right="113"/>
              <w:rPr>
                <w:rFonts w:ascii="Times New Roman" w:hAnsi="Times New Roman" w:cs="Times New Roman"/>
                <w:sz w:val="16"/>
                <w:szCs w:val="16"/>
                <w:lang w:val="en-US"/>
              </w:rPr>
            </w:pPr>
            <w:r w:rsidRPr="00182DEB">
              <w:rPr>
                <w:rFonts w:ascii="Times New Roman" w:hAnsi="Times New Roman" w:cs="Times New Roman"/>
                <w:sz w:val="18"/>
                <w:szCs w:val="18"/>
                <w:lang w:val="en-U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52473B1" w14:textId="77777777" w:rsidR="000A78BF" w:rsidRPr="00182DEB" w:rsidRDefault="000A78BF" w:rsidP="00322914">
            <w:pPr>
              <w:pStyle w:val="Subtitle"/>
              <w:jc w:val="left"/>
              <w:rPr>
                <w:bCs/>
                <w:sz w:val="24"/>
                <w:szCs w:val="24"/>
                <w:u w:val="none"/>
                <w:lang w:val="en-US" w:eastAsia="en-US"/>
              </w:rPr>
            </w:pPr>
            <w:r w:rsidRPr="00182DEB">
              <w:rPr>
                <w:bCs/>
                <w:sz w:val="24"/>
                <w:szCs w:val="24"/>
                <w:u w:val="none"/>
                <w:lang w:val="en-US" w:eastAsia="en-US"/>
              </w:rPr>
              <w:t>I believe making my work unique by choosing a population that I have great interest in</w:t>
            </w:r>
          </w:p>
        </w:tc>
      </w:tr>
      <w:tr w:rsidR="000A78BF" w:rsidRPr="00182DEB" w14:paraId="49B957E4" w14:textId="77777777" w:rsidTr="0032291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A6B63B5" w14:textId="77777777" w:rsidR="000A78BF" w:rsidRPr="00182DEB" w:rsidRDefault="000A78BF" w:rsidP="00322914">
            <w:pPr>
              <w:ind w:left="113" w:right="113"/>
              <w:rPr>
                <w:rFonts w:ascii="Times New Roman" w:hAnsi="Times New Roman" w:cs="Times New Roman"/>
                <w:sz w:val="16"/>
                <w:szCs w:val="16"/>
                <w:lang w:val="en-US"/>
              </w:rPr>
            </w:pPr>
            <w:r w:rsidRPr="00182DEB">
              <w:rPr>
                <w:rFonts w:ascii="Times New Roman" w:hAnsi="Times New Roman" w:cs="Times New Roman"/>
                <w:sz w:val="18"/>
                <w:szCs w:val="18"/>
                <w:lang w:val="en-U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DCE7E7" w14:textId="77777777" w:rsidR="000A78BF" w:rsidRPr="00182DEB" w:rsidRDefault="000A78BF" w:rsidP="00322914">
            <w:pPr>
              <w:pStyle w:val="Subtitle"/>
              <w:jc w:val="left"/>
              <w:rPr>
                <w:bCs/>
                <w:sz w:val="24"/>
                <w:szCs w:val="24"/>
                <w:u w:val="none"/>
                <w:lang w:val="en-US" w:eastAsia="en-US"/>
              </w:rPr>
            </w:pPr>
            <w:r w:rsidRPr="00182DEB">
              <w:rPr>
                <w:bCs/>
                <w:sz w:val="24"/>
                <w:szCs w:val="24"/>
                <w:u w:val="none"/>
                <w:lang w:val="en-US" w:eastAsia="en-US"/>
              </w:rPr>
              <w:t xml:space="preserve">I believe that I spent a lot of time on the assignment, so I am hoping that most of my work can only be small room for improvement </w:t>
            </w:r>
          </w:p>
        </w:tc>
      </w:tr>
      <w:tr w:rsidR="000A78BF" w:rsidRPr="00182DEB" w14:paraId="3BA04BFD" w14:textId="77777777" w:rsidTr="0032291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66DB0E6" w14:textId="77777777" w:rsidR="000A78BF" w:rsidRPr="00182DEB" w:rsidRDefault="000A78BF" w:rsidP="00322914">
            <w:pPr>
              <w:ind w:left="113" w:right="113"/>
              <w:rPr>
                <w:rFonts w:ascii="Times New Roman" w:hAnsi="Times New Roman" w:cs="Times New Roman"/>
                <w:sz w:val="16"/>
                <w:szCs w:val="16"/>
                <w:lang w:val="en-US"/>
              </w:rPr>
            </w:pPr>
            <w:r w:rsidRPr="00182DEB">
              <w:rPr>
                <w:rFonts w:ascii="Times New Roman" w:hAnsi="Times New Roman" w:cs="Times New Roman"/>
                <w:sz w:val="18"/>
                <w:szCs w:val="18"/>
                <w:lang w:val="en-U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28570D" w14:textId="77777777" w:rsidR="000A78BF" w:rsidRPr="00182DEB" w:rsidRDefault="000A78BF" w:rsidP="00322914">
            <w:pPr>
              <w:pStyle w:val="Subtitle"/>
              <w:jc w:val="left"/>
              <w:rPr>
                <w:bCs/>
                <w:sz w:val="24"/>
                <w:szCs w:val="24"/>
                <w:u w:val="none"/>
                <w:lang w:val="en-US" w:eastAsia="en-US"/>
              </w:rPr>
            </w:pPr>
            <w:r w:rsidRPr="00182DEB">
              <w:rPr>
                <w:bCs/>
                <w:sz w:val="24"/>
                <w:szCs w:val="24"/>
                <w:u w:val="none"/>
                <w:lang w:val="en-US" w:eastAsia="en-US"/>
              </w:rPr>
              <w:t xml:space="preserve">Understanding a training program that I did not have much interest in. but now I have even started using it my own training. </w:t>
            </w:r>
          </w:p>
        </w:tc>
      </w:tr>
      <w:tr w:rsidR="000A78BF" w:rsidRPr="00182DEB" w14:paraId="2F858885" w14:textId="77777777" w:rsidTr="00322914">
        <w:trPr>
          <w:cantSplit/>
          <w:trHeight w:val="823"/>
        </w:trPr>
        <w:tc>
          <w:tcPr>
            <w:tcW w:w="2305" w:type="dxa"/>
            <w:tcBorders>
              <w:top w:val="single" w:sz="4" w:space="0" w:color="auto"/>
              <w:left w:val="thinThickLargeGap" w:sz="24" w:space="0" w:color="auto"/>
              <w:bottom w:val="single" w:sz="6" w:space="0" w:color="auto"/>
              <w:right w:val="single" w:sz="4" w:space="0" w:color="auto"/>
            </w:tcBorders>
            <w:vAlign w:val="center"/>
            <w:hideMark/>
          </w:tcPr>
          <w:p w14:paraId="0F900094" w14:textId="77777777" w:rsidR="000A78BF" w:rsidRPr="00182DEB" w:rsidRDefault="000A78BF" w:rsidP="00322914">
            <w:pPr>
              <w:pStyle w:val="Subtitle"/>
              <w:rPr>
                <w:b/>
                <w:bCs/>
                <w:sz w:val="24"/>
                <w:szCs w:val="24"/>
                <w:u w:val="none"/>
                <w:lang w:val="en-US" w:eastAsia="en-US"/>
              </w:rPr>
            </w:pPr>
            <w:r w:rsidRPr="00182DEB">
              <w:rPr>
                <w:b/>
                <w:bCs/>
                <w:sz w:val="24"/>
                <w:szCs w:val="24"/>
                <w:u w:val="none"/>
                <w:lang w:val="en-US" w:eastAsia="en-US"/>
              </w:rPr>
              <w:t>ASSESSMENT CRITERIA</w:t>
            </w:r>
          </w:p>
        </w:tc>
        <w:tc>
          <w:tcPr>
            <w:tcW w:w="540" w:type="dxa"/>
            <w:gridSpan w:val="2"/>
            <w:tcBorders>
              <w:top w:val="single" w:sz="4" w:space="0" w:color="auto"/>
              <w:left w:val="single" w:sz="4" w:space="0" w:color="auto"/>
              <w:bottom w:val="single" w:sz="6" w:space="0" w:color="auto"/>
              <w:right w:val="single" w:sz="6" w:space="0" w:color="auto"/>
            </w:tcBorders>
            <w:textDirection w:val="btLr"/>
          </w:tcPr>
          <w:p w14:paraId="2272F52D" w14:textId="77777777" w:rsidR="000A78BF" w:rsidRPr="00182DEB" w:rsidRDefault="000A78BF" w:rsidP="00322914">
            <w:pPr>
              <w:ind w:left="113" w:right="113"/>
              <w:rPr>
                <w:rFonts w:ascii="Times New Roman" w:hAnsi="Times New Roman" w:cs="Times New Roman"/>
                <w:sz w:val="16"/>
                <w:szCs w:val="16"/>
                <w:lang w:val="en-US"/>
              </w:rPr>
            </w:pPr>
            <w:r w:rsidRPr="00182DEB">
              <w:rPr>
                <w:rFonts w:ascii="Times New Roman" w:hAnsi="Times New Roman" w:cs="Times New Roman"/>
                <w:sz w:val="16"/>
                <w:szCs w:val="16"/>
                <w:lang w:val="en-US"/>
              </w:rPr>
              <w:t>Learning</w:t>
            </w:r>
          </w:p>
          <w:p w14:paraId="2F3476CC" w14:textId="77777777" w:rsidR="000A78BF" w:rsidRPr="00182DEB" w:rsidRDefault="000A78BF" w:rsidP="00322914">
            <w:pPr>
              <w:ind w:left="113" w:right="113"/>
              <w:rPr>
                <w:rFonts w:ascii="Times New Roman" w:hAnsi="Times New Roman" w:cs="Times New Roman"/>
                <w:sz w:val="16"/>
                <w:szCs w:val="16"/>
                <w:lang w:val="en-US"/>
              </w:rPr>
            </w:pPr>
            <w:r w:rsidRPr="00182DEB">
              <w:rPr>
                <w:rFonts w:ascii="Times New Roman" w:hAnsi="Times New Roman" w:cs="Times New Roman"/>
                <w:sz w:val="16"/>
                <w:szCs w:val="16"/>
                <w:lang w:val="en-US"/>
              </w:rPr>
              <w:t>Outcomes</w:t>
            </w:r>
          </w:p>
          <w:p w14:paraId="0ABE3379" w14:textId="77777777" w:rsidR="000A78BF" w:rsidRPr="00182DEB" w:rsidRDefault="000A78BF" w:rsidP="00322914">
            <w:pPr>
              <w:ind w:left="113" w:right="113"/>
              <w:rPr>
                <w:rFonts w:ascii="Times New Roman" w:hAnsi="Times New Roman" w:cs="Times New Roman"/>
                <w:sz w:val="16"/>
                <w:szCs w:val="16"/>
                <w:lang w:val="en-US"/>
              </w:rPr>
            </w:pPr>
          </w:p>
          <w:p w14:paraId="3DC967BF" w14:textId="77777777" w:rsidR="000A78BF" w:rsidRPr="00182DEB" w:rsidRDefault="000A78BF" w:rsidP="00322914">
            <w:pPr>
              <w:pStyle w:val="Subtitle"/>
              <w:ind w:left="113" w:right="113"/>
              <w:rPr>
                <w:b/>
                <w:bCs/>
                <w:sz w:val="16"/>
                <w:szCs w:val="16"/>
                <w:u w:val="none"/>
                <w:lang w:val="en-US" w:eastAsia="en-US"/>
              </w:rPr>
            </w:pPr>
          </w:p>
        </w:tc>
        <w:tc>
          <w:tcPr>
            <w:tcW w:w="8100" w:type="dxa"/>
            <w:gridSpan w:val="11"/>
            <w:tcBorders>
              <w:top w:val="single" w:sz="4" w:space="0" w:color="auto"/>
              <w:left w:val="single" w:sz="6" w:space="0" w:color="auto"/>
              <w:bottom w:val="single" w:sz="4" w:space="0" w:color="auto"/>
              <w:right w:val="thinThickLargeGap" w:sz="24" w:space="0" w:color="auto"/>
            </w:tcBorders>
            <w:vAlign w:val="center"/>
            <w:hideMark/>
          </w:tcPr>
          <w:p w14:paraId="729DEC77" w14:textId="77777777" w:rsidR="000A78BF" w:rsidRPr="00182DEB" w:rsidRDefault="000A78BF" w:rsidP="00322914">
            <w:pPr>
              <w:pStyle w:val="Subtitle"/>
              <w:rPr>
                <w:b/>
                <w:bCs/>
                <w:sz w:val="24"/>
                <w:szCs w:val="24"/>
                <w:u w:val="none"/>
                <w:lang w:val="en-US" w:eastAsia="en-US"/>
              </w:rPr>
            </w:pPr>
            <w:r w:rsidRPr="00182DEB">
              <w:rPr>
                <w:b/>
                <w:bCs/>
                <w:sz w:val="24"/>
                <w:szCs w:val="24"/>
                <w:u w:val="none"/>
                <w:lang w:val="en-US" w:eastAsia="en-US"/>
              </w:rPr>
              <w:t>GRADE</w:t>
            </w:r>
          </w:p>
        </w:tc>
      </w:tr>
      <w:tr w:rsidR="000A78BF" w:rsidRPr="00182DEB" w14:paraId="61B3387C" w14:textId="77777777" w:rsidTr="00322914">
        <w:tc>
          <w:tcPr>
            <w:tcW w:w="2305" w:type="dxa"/>
            <w:tcBorders>
              <w:top w:val="single" w:sz="6" w:space="0" w:color="auto"/>
              <w:left w:val="thinThickLargeGap" w:sz="24" w:space="0" w:color="auto"/>
              <w:bottom w:val="single" w:sz="6" w:space="0" w:color="auto"/>
              <w:right w:val="single" w:sz="4" w:space="0" w:color="auto"/>
            </w:tcBorders>
          </w:tcPr>
          <w:p w14:paraId="30D31063" w14:textId="77777777" w:rsidR="000A78BF" w:rsidRPr="00182DEB" w:rsidRDefault="000A78BF" w:rsidP="00322914">
            <w:pPr>
              <w:pStyle w:val="Subtitle"/>
              <w:jc w:val="left"/>
              <w:rPr>
                <w:sz w:val="18"/>
                <w:szCs w:val="18"/>
                <w:u w:val="none"/>
                <w:lang w:val="en-US" w:eastAsia="en-US"/>
              </w:rPr>
            </w:pPr>
          </w:p>
        </w:tc>
        <w:tc>
          <w:tcPr>
            <w:tcW w:w="540" w:type="dxa"/>
            <w:gridSpan w:val="2"/>
            <w:tcBorders>
              <w:top w:val="single" w:sz="6" w:space="0" w:color="auto"/>
              <w:left w:val="single" w:sz="4" w:space="0" w:color="auto"/>
              <w:bottom w:val="single" w:sz="6" w:space="0" w:color="auto"/>
              <w:right w:val="single" w:sz="6" w:space="0" w:color="auto"/>
            </w:tcBorders>
          </w:tcPr>
          <w:p w14:paraId="2C28770A" w14:textId="77777777" w:rsidR="000A78BF" w:rsidRPr="00182DEB" w:rsidRDefault="000A78BF" w:rsidP="00322914">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hideMark/>
          </w:tcPr>
          <w:p w14:paraId="276B82A4"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Poor</w:t>
            </w:r>
          </w:p>
          <w:p w14:paraId="627F9668" w14:textId="77777777" w:rsidR="000A78BF" w:rsidRPr="00182DEB" w:rsidRDefault="000A78BF" w:rsidP="00322914">
            <w:pPr>
              <w:pStyle w:val="Subtitle"/>
              <w:rPr>
                <w:sz w:val="16"/>
                <w:szCs w:val="16"/>
                <w:u w:val="none"/>
                <w:lang w:val="en-US" w:eastAsia="en-US"/>
              </w:rPr>
            </w:pPr>
            <w:r w:rsidRPr="00182DEB">
              <w:rPr>
                <w:b/>
                <w:bCs/>
                <w:sz w:val="16"/>
                <w:szCs w:val="16"/>
                <w:u w:val="none"/>
                <w:lang w:val="en-US" w:eastAsia="en-US"/>
              </w:rPr>
              <w:t>0-25%</w:t>
            </w:r>
          </w:p>
        </w:tc>
        <w:tc>
          <w:tcPr>
            <w:tcW w:w="1093" w:type="dxa"/>
            <w:gridSpan w:val="2"/>
            <w:tcBorders>
              <w:top w:val="single" w:sz="4" w:space="0" w:color="auto"/>
              <w:left w:val="single" w:sz="6" w:space="0" w:color="auto"/>
              <w:bottom w:val="single" w:sz="4" w:space="0" w:color="auto"/>
              <w:right w:val="single" w:sz="6" w:space="0" w:color="auto"/>
            </w:tcBorders>
            <w:hideMark/>
          </w:tcPr>
          <w:p w14:paraId="53BA02E6"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Unsatisfactory</w:t>
            </w:r>
          </w:p>
          <w:p w14:paraId="220E19B5"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26-39%</w:t>
            </w:r>
          </w:p>
        </w:tc>
        <w:tc>
          <w:tcPr>
            <w:tcW w:w="1093" w:type="dxa"/>
            <w:tcBorders>
              <w:top w:val="single" w:sz="4" w:space="0" w:color="auto"/>
              <w:left w:val="single" w:sz="6" w:space="0" w:color="auto"/>
              <w:bottom w:val="single" w:sz="4" w:space="0" w:color="auto"/>
              <w:right w:val="single" w:sz="6" w:space="0" w:color="auto"/>
            </w:tcBorders>
            <w:hideMark/>
          </w:tcPr>
          <w:p w14:paraId="11FCFAAA"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Satisfactory</w:t>
            </w:r>
          </w:p>
          <w:p w14:paraId="3129114B"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40 – 49%</w:t>
            </w:r>
          </w:p>
        </w:tc>
        <w:tc>
          <w:tcPr>
            <w:tcW w:w="1093" w:type="dxa"/>
            <w:tcBorders>
              <w:top w:val="single" w:sz="6" w:space="0" w:color="auto"/>
              <w:left w:val="single" w:sz="6" w:space="0" w:color="auto"/>
              <w:bottom w:val="single" w:sz="6" w:space="0" w:color="auto"/>
              <w:right w:val="single" w:sz="6" w:space="0" w:color="auto"/>
            </w:tcBorders>
            <w:hideMark/>
          </w:tcPr>
          <w:p w14:paraId="0F89334E"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Good</w:t>
            </w:r>
          </w:p>
          <w:p w14:paraId="1D81EEA3"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50 – 59%</w:t>
            </w:r>
          </w:p>
        </w:tc>
        <w:tc>
          <w:tcPr>
            <w:tcW w:w="1093" w:type="dxa"/>
            <w:tcBorders>
              <w:top w:val="single" w:sz="6" w:space="0" w:color="auto"/>
              <w:left w:val="single" w:sz="6" w:space="0" w:color="auto"/>
              <w:bottom w:val="single" w:sz="6" w:space="0" w:color="auto"/>
              <w:right w:val="single" w:sz="6" w:space="0" w:color="auto"/>
            </w:tcBorders>
            <w:hideMark/>
          </w:tcPr>
          <w:p w14:paraId="1CAC98A4"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Very Good</w:t>
            </w:r>
          </w:p>
          <w:p w14:paraId="2468929D"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60 – 69%</w:t>
            </w:r>
          </w:p>
        </w:tc>
        <w:tc>
          <w:tcPr>
            <w:tcW w:w="1093" w:type="dxa"/>
            <w:gridSpan w:val="2"/>
            <w:tcBorders>
              <w:top w:val="single" w:sz="6" w:space="0" w:color="auto"/>
              <w:left w:val="single" w:sz="6" w:space="0" w:color="auto"/>
              <w:bottom w:val="single" w:sz="6" w:space="0" w:color="auto"/>
              <w:right w:val="single" w:sz="6" w:space="0" w:color="auto"/>
            </w:tcBorders>
            <w:hideMark/>
          </w:tcPr>
          <w:p w14:paraId="5ACD4C01"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Excellent</w:t>
            </w:r>
          </w:p>
          <w:p w14:paraId="10E99A55"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70 – 85%</w:t>
            </w:r>
          </w:p>
        </w:tc>
        <w:tc>
          <w:tcPr>
            <w:tcW w:w="1093" w:type="dxa"/>
            <w:gridSpan w:val="2"/>
            <w:tcBorders>
              <w:top w:val="single" w:sz="4" w:space="0" w:color="auto"/>
              <w:left w:val="single" w:sz="6" w:space="0" w:color="auto"/>
              <w:bottom w:val="single" w:sz="4" w:space="0" w:color="auto"/>
              <w:right w:val="single" w:sz="6" w:space="0" w:color="auto"/>
            </w:tcBorders>
            <w:hideMark/>
          </w:tcPr>
          <w:p w14:paraId="6CD26BCB"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Exceptional</w:t>
            </w:r>
          </w:p>
          <w:p w14:paraId="5F7E3E6F" w14:textId="77777777" w:rsidR="000A78BF" w:rsidRPr="00182DEB" w:rsidRDefault="000A78BF" w:rsidP="00322914">
            <w:pPr>
              <w:pStyle w:val="Subtitle"/>
              <w:rPr>
                <w:b/>
                <w:bCs/>
                <w:sz w:val="16"/>
                <w:szCs w:val="16"/>
                <w:u w:val="none"/>
                <w:lang w:val="en-US" w:eastAsia="en-US"/>
              </w:rPr>
            </w:pPr>
            <w:r w:rsidRPr="00182DEB">
              <w:rPr>
                <w:b/>
                <w:bCs/>
                <w:sz w:val="16"/>
                <w:szCs w:val="16"/>
                <w:u w:val="none"/>
                <w:lang w:val="en-US" w:eastAsia="en-US"/>
              </w:rPr>
              <w:t>86– 100%</w:t>
            </w:r>
          </w:p>
        </w:tc>
        <w:tc>
          <w:tcPr>
            <w:tcW w:w="450" w:type="dxa"/>
            <w:tcBorders>
              <w:top w:val="single" w:sz="6" w:space="0" w:color="auto"/>
              <w:left w:val="single" w:sz="6" w:space="0" w:color="auto"/>
              <w:bottom w:val="single" w:sz="6" w:space="0" w:color="auto"/>
              <w:right w:val="thinThickLargeGap" w:sz="24" w:space="0" w:color="auto"/>
            </w:tcBorders>
          </w:tcPr>
          <w:p w14:paraId="092E138D" w14:textId="77777777" w:rsidR="000A78BF" w:rsidRPr="00182DEB" w:rsidRDefault="000A78BF" w:rsidP="00322914">
            <w:pPr>
              <w:pStyle w:val="Subtitle"/>
              <w:jc w:val="left"/>
              <w:rPr>
                <w:b/>
                <w:bCs/>
                <w:sz w:val="18"/>
                <w:szCs w:val="18"/>
                <w:u w:val="none"/>
                <w:lang w:val="en-US" w:eastAsia="en-US"/>
              </w:rPr>
            </w:pPr>
          </w:p>
          <w:p w14:paraId="47B0B8ED"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 xml:space="preserve">  %</w:t>
            </w:r>
          </w:p>
        </w:tc>
      </w:tr>
      <w:tr w:rsidR="000A78BF" w:rsidRPr="00182DEB" w14:paraId="447015AC" w14:textId="77777777" w:rsidTr="00322914">
        <w:tc>
          <w:tcPr>
            <w:tcW w:w="2305" w:type="dxa"/>
            <w:tcBorders>
              <w:top w:val="single" w:sz="6" w:space="0" w:color="auto"/>
              <w:left w:val="thinThickLargeGap" w:sz="24" w:space="0" w:color="auto"/>
              <w:bottom w:val="single" w:sz="6" w:space="0" w:color="auto"/>
              <w:right w:val="single" w:sz="4" w:space="0" w:color="auto"/>
            </w:tcBorders>
            <w:hideMark/>
          </w:tcPr>
          <w:p w14:paraId="338AC577" w14:textId="77777777" w:rsidR="000A78BF" w:rsidRPr="00182DEB" w:rsidRDefault="000A78BF" w:rsidP="00322914">
            <w:pPr>
              <w:pStyle w:val="Subtitle"/>
              <w:jc w:val="left"/>
              <w:rPr>
                <w:sz w:val="18"/>
                <w:szCs w:val="18"/>
                <w:u w:val="none"/>
                <w:lang w:val="en-US" w:eastAsia="en-US"/>
              </w:rPr>
            </w:pPr>
            <w:r w:rsidRPr="00182DEB">
              <w:rPr>
                <w:sz w:val="18"/>
                <w:szCs w:val="18"/>
                <w:u w:val="none"/>
                <w:lang w:val="en-US" w:eastAsia="en-US"/>
              </w:rPr>
              <w:t>Knowledge and understanding of established training methodologies</w:t>
            </w:r>
          </w:p>
        </w:tc>
        <w:tc>
          <w:tcPr>
            <w:tcW w:w="540" w:type="dxa"/>
            <w:gridSpan w:val="2"/>
            <w:tcBorders>
              <w:top w:val="single" w:sz="6" w:space="0" w:color="auto"/>
              <w:left w:val="single" w:sz="4" w:space="0" w:color="auto"/>
              <w:bottom w:val="single" w:sz="6" w:space="0" w:color="auto"/>
              <w:right w:val="single" w:sz="6" w:space="0" w:color="auto"/>
            </w:tcBorders>
            <w:hideMark/>
          </w:tcPr>
          <w:p w14:paraId="6DC62697" w14:textId="77777777" w:rsidR="000A78BF" w:rsidRPr="00182DEB" w:rsidRDefault="000A78BF" w:rsidP="00322914">
            <w:pPr>
              <w:pStyle w:val="Subtitle"/>
              <w:rPr>
                <w:b/>
                <w:bCs/>
                <w:sz w:val="18"/>
                <w:szCs w:val="18"/>
                <w:u w:val="none"/>
                <w:lang w:val="en-US" w:eastAsia="en-US"/>
              </w:rPr>
            </w:pPr>
            <w:r w:rsidRPr="00182DEB">
              <w:rPr>
                <w:b/>
                <w:bCs/>
                <w:sz w:val="18"/>
                <w:szCs w:val="18"/>
                <w:u w:val="none"/>
                <w:lang w:val="en-US" w:eastAsia="en-US"/>
              </w:rPr>
              <w:t>1</w:t>
            </w:r>
          </w:p>
        </w:tc>
        <w:tc>
          <w:tcPr>
            <w:tcW w:w="1092" w:type="dxa"/>
            <w:tcBorders>
              <w:top w:val="single" w:sz="4" w:space="0" w:color="auto"/>
              <w:left w:val="single" w:sz="6" w:space="0" w:color="auto"/>
              <w:bottom w:val="single" w:sz="4" w:space="0" w:color="auto"/>
              <w:right w:val="single" w:sz="6" w:space="0" w:color="auto"/>
            </w:tcBorders>
          </w:tcPr>
          <w:p w14:paraId="65C3702E" w14:textId="77777777" w:rsidR="000A78BF" w:rsidRPr="00182DEB" w:rsidRDefault="000A78BF" w:rsidP="00322914">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15B38255" w14:textId="77777777" w:rsidR="000A78BF" w:rsidRPr="00182DEB" w:rsidRDefault="000A78BF" w:rsidP="00322914">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229BC6C1" w14:textId="77777777" w:rsidR="000A78BF" w:rsidRPr="00182DEB" w:rsidRDefault="000A78BF" w:rsidP="00322914">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4D24A5B7" w14:textId="77777777" w:rsidR="000A78BF" w:rsidRPr="00182DEB" w:rsidRDefault="000A78BF" w:rsidP="00322914">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11F641E3" w14:textId="77777777" w:rsidR="000A78BF" w:rsidRPr="00182DEB" w:rsidRDefault="000A78BF" w:rsidP="00322914">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2F4A643A" w14:textId="77777777" w:rsidR="000A78BF" w:rsidRPr="00182DEB" w:rsidRDefault="000A78BF" w:rsidP="00322914">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53F3D8D7" w14:textId="77777777" w:rsidR="000A78BF" w:rsidRPr="00182DEB" w:rsidRDefault="000A78BF" w:rsidP="00322914">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4CD28CCB"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20</w:t>
            </w:r>
          </w:p>
        </w:tc>
      </w:tr>
      <w:tr w:rsidR="000A78BF" w:rsidRPr="00182DEB" w14:paraId="7582B55B" w14:textId="77777777" w:rsidTr="00322914">
        <w:tc>
          <w:tcPr>
            <w:tcW w:w="2305" w:type="dxa"/>
            <w:tcBorders>
              <w:top w:val="single" w:sz="6" w:space="0" w:color="auto"/>
              <w:left w:val="thinThickLargeGap" w:sz="24" w:space="0" w:color="auto"/>
              <w:bottom w:val="single" w:sz="6" w:space="0" w:color="auto"/>
              <w:right w:val="single" w:sz="4" w:space="0" w:color="auto"/>
            </w:tcBorders>
            <w:vAlign w:val="center"/>
            <w:hideMark/>
          </w:tcPr>
          <w:p w14:paraId="1AFC3DBB" w14:textId="77777777" w:rsidR="000A78BF" w:rsidRPr="00182DEB" w:rsidRDefault="000A78BF" w:rsidP="00322914">
            <w:pPr>
              <w:pStyle w:val="Subtitle"/>
              <w:jc w:val="left"/>
              <w:rPr>
                <w:sz w:val="18"/>
                <w:szCs w:val="18"/>
                <w:u w:val="none"/>
                <w:lang w:val="en-US" w:eastAsia="en-US"/>
              </w:rPr>
            </w:pPr>
            <w:r w:rsidRPr="00182DEB">
              <w:rPr>
                <w:sz w:val="18"/>
                <w:szCs w:val="18"/>
                <w:u w:val="none"/>
                <w:lang w:val="en-US" w:eastAsia="en-US"/>
              </w:rPr>
              <w:t>Knowledge and understanding of chosen advanced methodology</w:t>
            </w:r>
          </w:p>
        </w:tc>
        <w:tc>
          <w:tcPr>
            <w:tcW w:w="540" w:type="dxa"/>
            <w:gridSpan w:val="2"/>
            <w:tcBorders>
              <w:top w:val="single" w:sz="6" w:space="0" w:color="auto"/>
              <w:left w:val="single" w:sz="4" w:space="0" w:color="auto"/>
              <w:bottom w:val="single" w:sz="6" w:space="0" w:color="auto"/>
              <w:right w:val="single" w:sz="6" w:space="0" w:color="auto"/>
            </w:tcBorders>
          </w:tcPr>
          <w:p w14:paraId="59D8E508" w14:textId="77777777" w:rsidR="000A78BF" w:rsidRPr="00182DEB" w:rsidRDefault="000A78BF" w:rsidP="00322914">
            <w:pPr>
              <w:pStyle w:val="Subtitle"/>
              <w:rPr>
                <w:b/>
                <w:bCs/>
                <w:sz w:val="18"/>
                <w:szCs w:val="18"/>
                <w:u w:val="none"/>
                <w:lang w:val="en-US" w:eastAsia="en-US"/>
              </w:rPr>
            </w:pPr>
            <w:r w:rsidRPr="00182DEB">
              <w:rPr>
                <w:b/>
                <w:bCs/>
                <w:sz w:val="18"/>
                <w:szCs w:val="18"/>
                <w:u w:val="none"/>
                <w:lang w:val="en-US" w:eastAsia="en-US"/>
              </w:rPr>
              <w:t>1</w:t>
            </w:r>
          </w:p>
          <w:p w14:paraId="70D7434A" w14:textId="77777777" w:rsidR="000A78BF" w:rsidRPr="00182DEB" w:rsidRDefault="000A78BF" w:rsidP="00322914">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tcPr>
          <w:p w14:paraId="0D3D507E" w14:textId="77777777" w:rsidR="000A78BF" w:rsidRPr="00182DEB" w:rsidRDefault="000A78BF" w:rsidP="00322914">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0445A6C0" w14:textId="77777777" w:rsidR="000A78BF" w:rsidRPr="00182DEB" w:rsidRDefault="000A78BF" w:rsidP="00322914">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7F1AD755" w14:textId="77777777" w:rsidR="000A78BF" w:rsidRPr="00182DEB" w:rsidRDefault="000A78BF" w:rsidP="00322914">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43C3D1F0" w14:textId="77777777" w:rsidR="000A78BF" w:rsidRPr="00182DEB" w:rsidRDefault="000A78BF" w:rsidP="00322914">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4A59B9FB" w14:textId="77777777" w:rsidR="000A78BF" w:rsidRPr="00182DEB" w:rsidRDefault="000A78BF" w:rsidP="00322914">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6F40AB32" w14:textId="77777777" w:rsidR="000A78BF" w:rsidRPr="00182DEB" w:rsidRDefault="000A78BF" w:rsidP="00322914">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1EF49547" w14:textId="77777777" w:rsidR="000A78BF" w:rsidRPr="00182DEB" w:rsidRDefault="000A78BF" w:rsidP="00322914">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280F7EDD"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35</w:t>
            </w:r>
          </w:p>
        </w:tc>
      </w:tr>
      <w:tr w:rsidR="000A78BF" w:rsidRPr="00182DEB" w14:paraId="225F1930" w14:textId="77777777" w:rsidTr="00322914">
        <w:tc>
          <w:tcPr>
            <w:tcW w:w="2305" w:type="dxa"/>
            <w:tcBorders>
              <w:top w:val="single" w:sz="6" w:space="0" w:color="auto"/>
              <w:left w:val="thinThickLargeGap" w:sz="24" w:space="0" w:color="auto"/>
              <w:bottom w:val="single" w:sz="6" w:space="0" w:color="auto"/>
              <w:right w:val="single" w:sz="4" w:space="0" w:color="auto"/>
            </w:tcBorders>
            <w:hideMark/>
          </w:tcPr>
          <w:p w14:paraId="3274526E" w14:textId="77777777" w:rsidR="000A78BF" w:rsidRPr="00182DEB" w:rsidRDefault="000A78BF" w:rsidP="00322914">
            <w:pPr>
              <w:pStyle w:val="Subtitle"/>
              <w:jc w:val="left"/>
              <w:rPr>
                <w:sz w:val="18"/>
                <w:szCs w:val="18"/>
                <w:u w:val="none"/>
                <w:lang w:val="en-US" w:eastAsia="en-US"/>
              </w:rPr>
            </w:pPr>
            <w:r w:rsidRPr="00182DEB">
              <w:rPr>
                <w:sz w:val="18"/>
                <w:szCs w:val="18"/>
                <w:u w:val="none"/>
                <w:lang w:val="en-US" w:eastAsia="en-US"/>
              </w:rPr>
              <w:t>Critical evaluation using high quality research.</w:t>
            </w:r>
          </w:p>
        </w:tc>
        <w:tc>
          <w:tcPr>
            <w:tcW w:w="540" w:type="dxa"/>
            <w:gridSpan w:val="2"/>
            <w:tcBorders>
              <w:top w:val="single" w:sz="6" w:space="0" w:color="auto"/>
              <w:left w:val="single" w:sz="4" w:space="0" w:color="auto"/>
              <w:bottom w:val="single" w:sz="6" w:space="0" w:color="auto"/>
              <w:right w:val="single" w:sz="6" w:space="0" w:color="auto"/>
            </w:tcBorders>
            <w:hideMark/>
          </w:tcPr>
          <w:p w14:paraId="338B0EDE" w14:textId="77777777" w:rsidR="000A78BF" w:rsidRPr="00182DEB" w:rsidRDefault="000A78BF" w:rsidP="00322914">
            <w:pPr>
              <w:pStyle w:val="Subtitle"/>
              <w:rPr>
                <w:b/>
                <w:bCs/>
                <w:sz w:val="18"/>
                <w:szCs w:val="18"/>
                <w:u w:val="none"/>
                <w:lang w:val="en-US" w:eastAsia="en-US"/>
              </w:rPr>
            </w:pPr>
            <w:r w:rsidRPr="00182DEB">
              <w:rPr>
                <w:b/>
                <w:bCs/>
                <w:sz w:val="18"/>
                <w:szCs w:val="18"/>
                <w:u w:val="none"/>
                <w:lang w:val="en-US" w:eastAsia="en-US"/>
              </w:rPr>
              <w:t>1</w:t>
            </w:r>
          </w:p>
        </w:tc>
        <w:tc>
          <w:tcPr>
            <w:tcW w:w="1092" w:type="dxa"/>
            <w:tcBorders>
              <w:top w:val="single" w:sz="4" w:space="0" w:color="auto"/>
              <w:left w:val="single" w:sz="6" w:space="0" w:color="auto"/>
              <w:bottom w:val="single" w:sz="4" w:space="0" w:color="auto"/>
              <w:right w:val="single" w:sz="6" w:space="0" w:color="auto"/>
            </w:tcBorders>
          </w:tcPr>
          <w:p w14:paraId="78C62A5E" w14:textId="77777777" w:rsidR="000A78BF" w:rsidRPr="00182DEB" w:rsidRDefault="000A78BF" w:rsidP="00322914">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6554628A" w14:textId="77777777" w:rsidR="000A78BF" w:rsidRPr="00182DEB" w:rsidRDefault="000A78BF" w:rsidP="00322914">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715534DA" w14:textId="77777777" w:rsidR="000A78BF" w:rsidRPr="00182DEB" w:rsidRDefault="000A78BF" w:rsidP="00322914">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6CD97E89" w14:textId="77777777" w:rsidR="000A78BF" w:rsidRPr="00182DEB" w:rsidRDefault="000A78BF" w:rsidP="00322914">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6ED84AF9" w14:textId="77777777" w:rsidR="000A78BF" w:rsidRPr="00182DEB" w:rsidRDefault="000A78BF" w:rsidP="00322914">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7AC12060" w14:textId="77777777" w:rsidR="000A78BF" w:rsidRPr="00182DEB" w:rsidRDefault="000A78BF" w:rsidP="00322914">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5E03EEB2" w14:textId="77777777" w:rsidR="000A78BF" w:rsidRPr="00182DEB" w:rsidRDefault="000A78BF" w:rsidP="00322914">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57E90B30"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35</w:t>
            </w:r>
          </w:p>
        </w:tc>
      </w:tr>
      <w:tr w:rsidR="000A78BF" w:rsidRPr="00182DEB" w14:paraId="33F01AC0" w14:textId="77777777" w:rsidTr="00322914">
        <w:tc>
          <w:tcPr>
            <w:tcW w:w="2305" w:type="dxa"/>
            <w:tcBorders>
              <w:top w:val="single" w:sz="6" w:space="0" w:color="auto"/>
              <w:left w:val="thinThickLargeGap" w:sz="24" w:space="0" w:color="auto"/>
              <w:bottom w:val="single" w:sz="6" w:space="0" w:color="auto"/>
              <w:right w:val="single" w:sz="4" w:space="0" w:color="auto"/>
            </w:tcBorders>
            <w:hideMark/>
          </w:tcPr>
          <w:p w14:paraId="35561DBB" w14:textId="77777777" w:rsidR="000A78BF" w:rsidRPr="00182DEB" w:rsidRDefault="000A78BF" w:rsidP="00322914">
            <w:pPr>
              <w:pStyle w:val="Subtitle"/>
              <w:ind w:left="-15"/>
              <w:jc w:val="left"/>
              <w:rPr>
                <w:sz w:val="18"/>
                <w:szCs w:val="18"/>
                <w:u w:val="none"/>
                <w:lang w:val="en-US" w:eastAsia="en-US"/>
              </w:rPr>
            </w:pPr>
            <w:r w:rsidRPr="00182DEB">
              <w:rPr>
                <w:sz w:val="18"/>
                <w:szCs w:val="18"/>
                <w:u w:val="none"/>
                <w:lang w:val="en-US" w:eastAsia="en-US"/>
              </w:rPr>
              <w:t>Academic writing and referencing</w:t>
            </w:r>
          </w:p>
        </w:tc>
        <w:tc>
          <w:tcPr>
            <w:tcW w:w="540" w:type="dxa"/>
            <w:gridSpan w:val="2"/>
            <w:tcBorders>
              <w:top w:val="single" w:sz="6" w:space="0" w:color="auto"/>
              <w:left w:val="single" w:sz="4" w:space="0" w:color="auto"/>
              <w:bottom w:val="single" w:sz="6" w:space="0" w:color="auto"/>
              <w:right w:val="single" w:sz="6" w:space="0" w:color="auto"/>
            </w:tcBorders>
          </w:tcPr>
          <w:p w14:paraId="43BF59DD" w14:textId="77777777" w:rsidR="000A78BF" w:rsidRPr="00182DEB" w:rsidRDefault="000A78BF" w:rsidP="00322914">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tcPr>
          <w:p w14:paraId="1EE73F57" w14:textId="77777777" w:rsidR="000A78BF" w:rsidRPr="00182DEB" w:rsidRDefault="000A78BF" w:rsidP="00322914">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2875AE18" w14:textId="77777777" w:rsidR="000A78BF" w:rsidRPr="00182DEB" w:rsidRDefault="000A78BF" w:rsidP="00322914">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45A49F1E" w14:textId="77777777" w:rsidR="000A78BF" w:rsidRPr="00182DEB" w:rsidRDefault="000A78BF" w:rsidP="00322914">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577917EA" w14:textId="77777777" w:rsidR="000A78BF" w:rsidRPr="00182DEB" w:rsidRDefault="000A78BF" w:rsidP="00322914">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5B9759ED" w14:textId="77777777" w:rsidR="000A78BF" w:rsidRPr="00182DEB" w:rsidRDefault="000A78BF" w:rsidP="00322914">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5861C4D8" w14:textId="77777777" w:rsidR="000A78BF" w:rsidRPr="00182DEB" w:rsidRDefault="000A78BF" w:rsidP="00322914">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39C973F3" w14:textId="77777777" w:rsidR="000A78BF" w:rsidRPr="00182DEB" w:rsidRDefault="000A78BF" w:rsidP="00322914">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0072172F"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10</w:t>
            </w:r>
          </w:p>
        </w:tc>
      </w:tr>
      <w:tr w:rsidR="000A78BF" w:rsidRPr="00182DEB" w14:paraId="4F8922BF" w14:textId="77777777" w:rsidTr="00322914">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1D3F05D4" w14:textId="77777777" w:rsidR="000A78BF" w:rsidRPr="00182DEB" w:rsidRDefault="000A78BF" w:rsidP="00322914">
            <w:pPr>
              <w:pStyle w:val="Subtitle"/>
              <w:jc w:val="left"/>
              <w:rPr>
                <w:b/>
                <w:bCs/>
                <w:sz w:val="24"/>
                <w:szCs w:val="24"/>
                <w:u w:val="none"/>
                <w:lang w:val="en-US" w:eastAsia="en-US"/>
              </w:rPr>
            </w:pPr>
            <w:r w:rsidRPr="00182DEB">
              <w:rPr>
                <w:sz w:val="18"/>
                <w:szCs w:val="18"/>
                <w:u w:val="none"/>
                <w:lang w:val="en-US" w:eastAsia="en-US"/>
              </w:rPr>
              <w:t xml:space="preserve">It is expected that students will present work that is proof read and follows the School </w:t>
            </w:r>
            <w:r w:rsidRPr="00182DEB">
              <w:rPr>
                <w:b/>
                <w:bCs/>
                <w:sz w:val="18"/>
                <w:szCs w:val="18"/>
                <w:u w:val="none"/>
                <w:lang w:val="en-US" w:eastAsia="en-US"/>
              </w:rPr>
              <w:t>Reference Guide</w:t>
            </w:r>
            <w:r w:rsidRPr="00182DEB">
              <w:rPr>
                <w:sz w:val="18"/>
                <w:szCs w:val="18"/>
                <w:u w:val="none"/>
                <w:lang w:val="en-US" w:eastAsia="en-US"/>
              </w:rPr>
              <w:t xml:space="preserve"> and </w:t>
            </w:r>
            <w:r w:rsidRPr="00182DEB">
              <w:rPr>
                <w:b/>
                <w:bCs/>
                <w:sz w:val="18"/>
                <w:szCs w:val="18"/>
                <w:u w:val="none"/>
                <w:lang w:val="en-US" w:eastAsia="en-US"/>
              </w:rPr>
              <w:t>Assessment Checklist.</w:t>
            </w:r>
            <w:r w:rsidRPr="00182DEB">
              <w:rPr>
                <w:sz w:val="18"/>
                <w:szCs w:val="18"/>
                <w:u w:val="none"/>
                <w:lang w:val="en-US" w:eastAsia="en-US"/>
              </w:rPr>
              <w:t xml:space="preserve"> Therefore a range of 0 – 10 marks will be deducted for non-completion of any of the points on the </w:t>
            </w:r>
            <w:r w:rsidRPr="00182DEB">
              <w:rPr>
                <w:b/>
                <w:bCs/>
                <w:sz w:val="18"/>
                <w:szCs w:val="18"/>
                <w:u w:val="none"/>
                <w:lang w:val="en-US" w:eastAsia="en-US"/>
              </w:rPr>
              <w:t>checklist below</w:t>
            </w:r>
            <w:r w:rsidRPr="00182DEB">
              <w:rPr>
                <w:sz w:val="18"/>
                <w:szCs w:val="18"/>
                <w:u w:val="none"/>
                <w:lang w:val="en-US" w:eastAsia="en-US"/>
              </w:rPr>
              <w:t>.</w:t>
            </w:r>
          </w:p>
        </w:tc>
        <w:tc>
          <w:tcPr>
            <w:tcW w:w="720" w:type="dxa"/>
            <w:gridSpan w:val="2"/>
            <w:tcBorders>
              <w:top w:val="single" w:sz="4" w:space="0" w:color="auto"/>
              <w:left w:val="single" w:sz="4" w:space="0" w:color="auto"/>
              <w:bottom w:val="single" w:sz="4" w:space="0" w:color="auto"/>
              <w:right w:val="thinThickLargeGap" w:sz="24" w:space="0" w:color="auto"/>
            </w:tcBorders>
          </w:tcPr>
          <w:p w14:paraId="15CF5F56" w14:textId="77777777" w:rsidR="000A78BF" w:rsidRPr="00182DEB" w:rsidRDefault="000A78BF" w:rsidP="00322914">
            <w:pPr>
              <w:pStyle w:val="Subtitle"/>
              <w:jc w:val="left"/>
              <w:rPr>
                <w:b/>
                <w:bCs/>
                <w:sz w:val="24"/>
                <w:szCs w:val="24"/>
                <w:u w:val="none"/>
                <w:lang w:val="en-US" w:eastAsia="en-US"/>
              </w:rPr>
            </w:pPr>
          </w:p>
        </w:tc>
      </w:tr>
      <w:tr w:rsidR="000A78BF" w:rsidRPr="00182DEB" w14:paraId="2007AC91" w14:textId="77777777" w:rsidTr="00322914">
        <w:trPr>
          <w:cantSplit/>
          <w:trHeight w:val="247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5B06D9EE" w14:textId="77777777" w:rsidR="000A78BF" w:rsidRPr="00182DEB" w:rsidRDefault="000A78BF" w:rsidP="00322914">
            <w:pPr>
              <w:pStyle w:val="Subtitle"/>
              <w:jc w:val="left"/>
              <w:rPr>
                <w:b/>
                <w:bCs/>
                <w:sz w:val="24"/>
                <w:szCs w:val="24"/>
                <w:u w:val="none"/>
                <w:lang w:val="en-US" w:eastAsia="en-US"/>
              </w:rPr>
            </w:pPr>
            <w:r w:rsidRPr="00182DEB">
              <w:rPr>
                <w:b/>
                <w:bCs/>
                <w:sz w:val="24"/>
                <w:szCs w:val="24"/>
                <w:u w:val="none"/>
                <w:lang w:val="en-US" w:eastAsia="en-US"/>
              </w:rPr>
              <w:t>TUTOR COMMENTS:</w:t>
            </w:r>
          </w:p>
          <w:p w14:paraId="30E36E35" w14:textId="77777777" w:rsidR="000A78BF" w:rsidRPr="00182DEB" w:rsidRDefault="000A78BF" w:rsidP="00322914">
            <w:pPr>
              <w:pStyle w:val="Subtitle"/>
              <w:ind w:right="1152"/>
              <w:jc w:val="both"/>
              <w:rPr>
                <w:b/>
                <w:bCs/>
                <w:sz w:val="24"/>
                <w:szCs w:val="24"/>
                <w:u w:val="none"/>
                <w:lang w:val="en-US" w:eastAsia="en-US"/>
              </w:rPr>
            </w:pPr>
          </w:p>
        </w:tc>
      </w:tr>
      <w:tr w:rsidR="000A78BF" w:rsidRPr="00182DEB" w14:paraId="4EBAB944" w14:textId="77777777" w:rsidTr="00322914">
        <w:trPr>
          <w:cantSplit/>
          <w:trHeight w:val="567"/>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6173EAD3"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 xml:space="preserve"> Submission date: 15/12/18</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37048AAD"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Return date:</w:t>
            </w:r>
          </w:p>
          <w:p w14:paraId="4448E983"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3C331830"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Tutor: Geraint Forster</w:t>
            </w:r>
          </w:p>
        </w:tc>
        <w:tc>
          <w:tcPr>
            <w:tcW w:w="2347" w:type="dxa"/>
            <w:gridSpan w:val="4"/>
            <w:tcBorders>
              <w:top w:val="single" w:sz="4" w:space="0" w:color="auto"/>
              <w:left w:val="single" w:sz="4" w:space="0" w:color="auto"/>
              <w:bottom w:val="thickThinLargeGap" w:sz="24" w:space="0" w:color="auto"/>
              <w:right w:val="thinThickLargeGap" w:sz="24" w:space="0" w:color="auto"/>
            </w:tcBorders>
            <w:hideMark/>
          </w:tcPr>
          <w:p w14:paraId="0F33BBDD" w14:textId="77777777" w:rsidR="000A78BF" w:rsidRPr="00182DEB" w:rsidRDefault="000A78BF" w:rsidP="00322914">
            <w:pPr>
              <w:pStyle w:val="Subtitle"/>
              <w:jc w:val="left"/>
              <w:rPr>
                <w:b/>
                <w:bCs/>
                <w:sz w:val="18"/>
                <w:szCs w:val="18"/>
                <w:u w:val="none"/>
                <w:lang w:val="en-US" w:eastAsia="en-US"/>
              </w:rPr>
            </w:pPr>
            <w:r w:rsidRPr="00182DEB">
              <w:rPr>
                <w:b/>
                <w:bCs/>
                <w:sz w:val="18"/>
                <w:szCs w:val="18"/>
                <w:u w:val="none"/>
                <w:lang w:val="en-US" w:eastAsia="en-US"/>
              </w:rPr>
              <w:t xml:space="preserve">Mark: </w:t>
            </w:r>
          </w:p>
        </w:tc>
      </w:tr>
    </w:tbl>
    <w:p w14:paraId="6C625771" w14:textId="77777777" w:rsidR="000A78BF" w:rsidRPr="00182DEB" w:rsidRDefault="000A78BF" w:rsidP="000A78BF">
      <w:pPr>
        <w:rPr>
          <w:rFonts w:ascii="Times New Roman" w:hAnsi="Times New Roman" w:cs="Times New Roman"/>
        </w:rPr>
      </w:pPr>
    </w:p>
    <w:p w14:paraId="13C17FEA" w14:textId="77777777" w:rsidR="000A78BF" w:rsidRPr="00182DEB" w:rsidRDefault="000A78BF" w:rsidP="000A78BF">
      <w:pPr>
        <w:rPr>
          <w:rFonts w:ascii="Times New Roman" w:hAnsi="Times New Roman" w:cs="Times New Roman"/>
        </w:rPr>
      </w:pPr>
    </w:p>
    <w:p w14:paraId="01550336" w14:textId="77777777" w:rsidR="000A78BF" w:rsidRPr="00182DEB" w:rsidRDefault="000A78BF" w:rsidP="000A78BF">
      <w:pPr>
        <w:rPr>
          <w:rFonts w:ascii="Times New Roman" w:hAnsi="Times New Roman" w:cs="Times New Roman"/>
        </w:rPr>
      </w:pPr>
    </w:p>
    <w:p w14:paraId="3568E1DE" w14:textId="77777777" w:rsidR="000A78BF" w:rsidRPr="00182DEB" w:rsidRDefault="000A78BF" w:rsidP="000A78BF">
      <w:pPr>
        <w:rPr>
          <w:rFonts w:ascii="Times New Roman" w:hAnsi="Times New Roman" w:cs="Times New Roman"/>
        </w:rPr>
      </w:pPr>
    </w:p>
    <w:p w14:paraId="13ADE4C8" w14:textId="77777777" w:rsidR="000A78BF" w:rsidRPr="00182DEB" w:rsidRDefault="000A78BF" w:rsidP="000A78BF">
      <w:pPr>
        <w:rPr>
          <w:rFonts w:ascii="Times New Roman" w:hAnsi="Times New Roman" w:cs="Times New Roman"/>
        </w:rPr>
      </w:pPr>
    </w:p>
    <w:p w14:paraId="112E9783" w14:textId="77777777" w:rsidR="000A78BF" w:rsidRPr="00182DEB" w:rsidRDefault="000A78BF" w:rsidP="000A78BF">
      <w:pPr>
        <w:rPr>
          <w:rFonts w:ascii="Times New Roman" w:hAnsi="Times New Roman" w:cs="Times New Roman"/>
        </w:rPr>
      </w:pPr>
    </w:p>
    <w:p w14:paraId="437741AD" w14:textId="77777777" w:rsidR="000A78BF" w:rsidRPr="00182DEB" w:rsidRDefault="000A78BF" w:rsidP="000A78BF">
      <w:pPr>
        <w:rPr>
          <w:rFonts w:ascii="Times New Roman" w:hAnsi="Times New Roman" w:cs="Times New Roman"/>
        </w:rPr>
      </w:pPr>
    </w:p>
    <w:p w14:paraId="511F4F75" w14:textId="77777777" w:rsidR="00CC17FD" w:rsidRPr="00182DEB" w:rsidRDefault="000A78BF" w:rsidP="00CC17FD">
      <w:pPr>
        <w:jc w:val="center"/>
        <w:rPr>
          <w:rFonts w:ascii="Times New Roman" w:hAnsi="Times New Roman" w:cs="Times New Roman"/>
          <w:b/>
          <w:sz w:val="28"/>
          <w:szCs w:val="28"/>
        </w:rPr>
      </w:pPr>
      <w:r w:rsidRPr="00182DEB">
        <w:rPr>
          <w:rFonts w:ascii="Times New Roman" w:hAnsi="Times New Roman" w:cs="Times New Roman"/>
          <w:b/>
          <w:sz w:val="28"/>
          <w:szCs w:val="28"/>
        </w:rPr>
        <w:t>Hi</w:t>
      </w:r>
      <w:r w:rsidR="00CC17FD" w:rsidRPr="00182DEB">
        <w:rPr>
          <w:rFonts w:ascii="Times New Roman" w:hAnsi="Times New Roman" w:cs="Times New Roman"/>
          <w:b/>
          <w:sz w:val="28"/>
          <w:szCs w:val="28"/>
        </w:rPr>
        <w:t>gh intensity interval training vs continuous training within the aging population</w:t>
      </w:r>
    </w:p>
    <w:p w14:paraId="39380B87" w14:textId="77777777" w:rsidR="00CC17FD" w:rsidRPr="00182DEB" w:rsidRDefault="00CC17FD" w:rsidP="00B56BE9">
      <w:pPr>
        <w:spacing w:line="360" w:lineRule="auto"/>
        <w:ind w:left="1134"/>
        <w:mirrorIndents/>
        <w:rPr>
          <w:rFonts w:ascii="Times New Roman" w:hAnsi="Times New Roman" w:cs="Times New Roman"/>
          <w:b/>
          <w:sz w:val="28"/>
          <w:szCs w:val="28"/>
        </w:rPr>
      </w:pPr>
      <w:r w:rsidRPr="00182DEB">
        <w:rPr>
          <w:rFonts w:ascii="Times New Roman" w:hAnsi="Times New Roman" w:cs="Times New Roman"/>
          <w:b/>
          <w:sz w:val="28"/>
          <w:szCs w:val="28"/>
        </w:rPr>
        <w:t xml:space="preserve">Introduction </w:t>
      </w:r>
    </w:p>
    <w:p w14:paraId="361F1395" w14:textId="3D1E633B" w:rsidR="00CC17FD" w:rsidRPr="00182DEB" w:rsidRDefault="00CC17FD" w:rsidP="00CC17FD">
      <w:pPr>
        <w:rPr>
          <w:rFonts w:ascii="Times New Roman" w:hAnsi="Times New Roman" w:cs="Times New Roman"/>
          <w:sz w:val="24"/>
          <w:szCs w:val="24"/>
        </w:rPr>
      </w:pPr>
      <w:r w:rsidRPr="00182DEB">
        <w:rPr>
          <w:rFonts w:ascii="Times New Roman" w:hAnsi="Times New Roman" w:cs="Times New Roman"/>
          <w:sz w:val="24"/>
          <w:szCs w:val="24"/>
        </w:rPr>
        <w:t>The maximum amount of strength in the elderly</w:t>
      </w:r>
      <w:bookmarkStart w:id="0" w:name="_GoBack"/>
      <w:bookmarkEnd w:id="0"/>
      <w:r w:rsidRPr="00182DEB">
        <w:rPr>
          <w:rFonts w:ascii="Times New Roman" w:hAnsi="Times New Roman" w:cs="Times New Roman"/>
          <w:sz w:val="24"/>
          <w:szCs w:val="24"/>
        </w:rPr>
        <w:t xml:space="preserve"> is linked to the impact</w:t>
      </w:r>
      <w:r w:rsidR="00182DEB" w:rsidRPr="00182DEB">
        <w:rPr>
          <w:rFonts w:ascii="Times New Roman" w:hAnsi="Times New Roman" w:cs="Times New Roman"/>
          <w:sz w:val="24"/>
          <w:szCs w:val="24"/>
        </w:rPr>
        <w:t xml:space="preserve"> </w:t>
      </w:r>
      <w:r w:rsidRPr="00182DEB">
        <w:rPr>
          <w:rFonts w:ascii="Times New Roman" w:hAnsi="Times New Roman" w:cs="Times New Roman"/>
          <w:sz w:val="24"/>
          <w:szCs w:val="24"/>
        </w:rPr>
        <w:t xml:space="preserve">on day to day living activities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"10.1111/j.1532-5415.1994.tb04968.x", "ISSN" : "00028614", "author" : [ { "dropping-particle" : "", "family" : "Ensrud", "given" : "Kristine E.", "non-dropping-particle" : "", "parse-names" : false, "suffix" : "" }, { "dropping-particle" : "", "family" : "Nevitt", "given" : "Michael C.", "non-dropping-particle" : "", "parse-names" : false, "suffix" : "" }, { "dropping-particle" : "", "family" : "Yunis", "given" : "Carla", "non-dropping-particle" : "", "parse-names" : false, "suffix" : "" }, { "dropping-particle" : "", "family" : "Cauley", "given" : "Jane A.", "non-dropping-particle" : "", "parse-names" : false, "suffix" : "" }, { "dropping-particle" : "", "family" : "Seeley", "given" : "Dana G.", "non-dropping-particle" : "", "parse-names" : false, "suffix" : "" }, { "dropping-particle" : "", "family" : "Fox", "given" : "Kathleen M.", "non-dropping-particle" : "", "parse-names" : false, "suffix" : "" }, { "dropping-particle" : "", "family" : "Cummings", "given" : "Steven R.", "non-dropping-particle" : "", "parse-names" : false, "suffix" : "" } ], "container-title" : "Journal of the American Geriatrics Society", "id" : "ITEM-1", "issue" : "5", "issued" : { "date-parts" : [ [ "1994", "5", "1" ] ] }, "page" : "481-489", "publisher" : "Blackwell Publishing Ltd", "title" : "Correlates of Impaired Function in Older Women", "type" : "article-journal", "volume" : "42" }, "uris" : [ "http://www.mendeley.com/documents/?uuid=282e3018-d953-3789-a597-8ccc31fb044e" ] } ], "mendeley" : { "formattedCitation" : "(Ensrud &lt;i&gt;et al.&lt;/i&gt;, 1994)", "plainTextFormattedCitation" : "(Ensrud et al., 1994)", "previouslyFormattedCitation" : "(Ensrud &lt;i&gt;et al.&lt;/i&gt;, 1994)"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(Ensrud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1994)</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Within many research papers it is reported that muscle weakness is a high-risk factor </w:t>
      </w:r>
      <w:r w:rsidR="000C3F3D" w:rsidRPr="00182DEB">
        <w:rPr>
          <w:rFonts w:ascii="Times New Roman" w:hAnsi="Times New Roman" w:cs="Times New Roman"/>
          <w:sz w:val="24"/>
          <w:szCs w:val="24"/>
        </w:rPr>
        <w:t xml:space="preserve">of </w:t>
      </w:r>
      <w:r w:rsidRPr="00182DEB">
        <w:rPr>
          <w:rFonts w:ascii="Times New Roman" w:hAnsi="Times New Roman" w:cs="Times New Roman"/>
          <w:sz w:val="24"/>
          <w:szCs w:val="24"/>
        </w:rPr>
        <w:t xml:space="preserve">premature mortality and the greater loss of muscle strength, the more likely an early mortality rate in the older population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"10.1093/gerona/57.10.B359", "ISSN" : "1079-5006", "author" : [ { "dropping-particle" : "", "family" : "Metter", "given" : "E. J.", "non-dropping-particle" : "", "parse-names" : false, "suffix" : "" }, { "dropping-particle" : "", "family" : "Talbot", "given" : "L. A.", "non-dropping-particle" : "", "parse-names" : false, "suffix" : "" }, { "dropping-particle" : "", "family" : "Schrager", "given" : "M.", "non-dropping-particle" : "", "parse-names" : false, "suffix" : "" }, { "dropping-particle" : "", "family" : "Conwit", "given" : "R.", "non-dropping-particle" : "", "parse-names" : false, "suffix" : "" } ], "container-title" : "The Journals of Gerontology Series A: Biological Sciences and Medical Sciences", "id" : "ITEM-1", "issue" : "10", "issued" : { "date-parts" : [ [ "2002", "10", "1" ] ] }, "page" : "B359-B365", "publisher" : "Oxford University Press", "title" : "Skeletal Muscle Strength as a Predictor of All-Cause Mortality in Healthy Men", "type" : "article-journal", "volume" : "57" }, "uris" : [ "http://www.mendeley.com/documents/?uuid=ca913a26-b081-3396-94d7-f113f54a723f" ] } ], "mendeley" : { "formattedCitation" : "(Metter &lt;i&gt;et al.&lt;/i&gt;, 2002)", "plainTextFormattedCitation" : "(Metter et al., 2002)", "previouslyFormattedCitation" : "(Metter &lt;i&gt;et al.&lt;/i&gt;, 2002)"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(Metter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2002)</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Muscular strength seems to be a critical element in maintaining quality of life, physical function and mobility it is important to understand the factors that contribute to the loss off strength in an elderly person. The reduced muscle mass and performance within the aging is defined as sarcopenia, it is associated with an increase of physical limitation and associated with chronic diseases, it is described as an erosion of life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"10.1007/s00223-013-9758-y", "ISSN" : "0171-967X", "author" : [ { "dropping-particle" : "", "family" : "Rizzoli", "given" : "Ren\u00e9", "non-dropping-particle" : "", "parse-names" : false, "suffix" : "" }, { "dropping-particle" : "", "family" : "Reginster", "given" : "Jean-Yves", "non-dropping-particle" : "", "parse-names" : false, "suffix" : "" }, { "dropping-particle" : "", "family" : "Arnal", "given" : "Jean-Fran\u00e7ois", "non-dropping-particle" : "", "parse-names" : false, "suffix" : "" }, { "dropping-particle" : "", "family" : "Bautmans", "given" : "Ivan", "non-dropping-particle" : "", "parse-names" : false, "suffix" : "" }, { "dropping-particle" : "", "family" : "Beaudart", "given" : "Charlotte", "non-dropping-particle" : "", "parse-names" : false, "suffix" : "" }, { "dropping-particle" : "", "family" : "Bischoff-Ferrari", "given" : "Heike", "non-dropping-particle" : "", "parse-names" : false, "suffix" : "" }, { "dropping-particle" : "", "family" : "Biver", "given" : "Emmanuel", "non-dropping-particle" : "", "parse-names" : false, "suffix" : "" }, { "dropping-particle" : "", "family" : "Boonen", "given" : "Steven", "non-dropping-particle" : "", "parse-names" : false, "suffix" : "" }, { "dropping-particle" : "", "family" : "Brandi", "given" : "Maria-Luisa", "non-dropping-particle" : "", "parse-names" : false, "suffix" : "" }, { "dropping-particle" : "", "family" : "Chines", "given" : "Arkadi", "non-dropping-particle" : "", "parse-names" : false, "suffix" : "" }, { "dropping-particle" : "", "family" : "Cooper", "given" : "Cyrus", "non-dropping-particle" : "", "parse-names" : false, "suffix" : "" }, { "dropping-particle" : "", "family" : "Epstein", "given" : "Sol", "non-dropping-particle" : "", "parse-names" : false, "suffix" : "" }, { "dropping-particle" : "", "family" : "Fielding", "given" : "Roger A.", "non-dropping-particle" : "", "parse-names" : false, "suffix" : "" }, { "dropping-particle" : "", "family" : "Goodpaster", "given" : "Bret", "non-dropping-particle" : "", "parse-names" : false, "suffix" : "" }, { "dropping-particle" : "", "family" : "Kanis", "given" : "John A.", "non-dropping-particle" : "", "parse-names" : false, "suffix" : "" }, { "dropping-particle" : "", "family" : "Kaufman", "given" : "Jean-Marc", "non-dropping-particle" : "", "parse-names" : false, "suffix" : "" }, { "dropping-particle" : "", "family" : "Laslop", "given" : "Andrea", "non-dropping-particle" : "", "parse-names" : false, "suffix" : "" }, { "dropping-particle" : "", "family" : "Malafarina", "given" : "Vincenzo", "non-dropping-particle" : "", "parse-names" : false, "suffix" : "" }, { "dropping-particle" : "", "family" : "Ma\u00f1as", "given" : "Leocadio Rodriguez", "non-dropping-particle" : "", "parse-names" : false, "suffix" : "" }, { "dropping-particle" : "", "family" : "Mitlak", "given" : "Bruce H.", "non-dropping-particle" : "", "parse-names" : false, "suffix" : "" }, { "dropping-particle" : "", "family" : "Oreffo", "given" : "Richard O.", "non-dropping-particle" : "", "parse-names" : false, "suffix" : "" }, { "dropping-particle" : "", "family" : "Petermans", "given" : "Jean", "non-dropping-particle" : "", "parse-names" : false, "suffix" : "" }, { "dropping-particle" : "", "family" : "Reid", "given" : "Kieran", "non-dropping-particle" : "", "parse-names" : false, "suffix" : "" }, { "dropping-particle" : "", "family" : "Rolland", "given" : "Yves", "non-dropping-particle" : "", "parse-names" : false, "suffix" : "" }, { "dropping-particle" : "", "family" : "Sayer", "given" : "Avan Aihie", "non-dropping-particle" : "", "parse-names" : false, "suffix" : "" }, { "dropping-particle" : "", "family" : "Tsouderos", "given" : "Yannis", "non-dropping-particle" : "", "parse-names" : false, "suffix" : "" }, { "dropping-particle" : "", "family" : "Visser", "given" : "Marjolein", "non-dropping-particle" : "", "parse-names" : false, "suffix" : "" }, { "dropping-particle" : "", "family" : "Bruy\u00e8re", "given" : "Olivier", "non-dropping-particle" : "", "parse-names" : false, "suffix" : "" } ], "container-title" : "Calcified Tissue International", "id" : "ITEM-1", "issue" : "2", "issued" : { "date-parts" : [ [ "2013", "8", "5" ] ] }, "page" : "101-120", "publisher" : "Springer US", "title" : "Quality of Life in Sarcopenia and Frailty", "type" : "article-journal", "volume" : "93" }, "uris" : [ "http://www.mendeley.com/documents/?uuid=e51acac9-a1d4-32fa-a53f-a85036ca59a9" ] } ], "mendeley" : { "formattedCitation" : "(Rizzoli &lt;i&gt;et al.&lt;/i&gt;, 2013)", "plainTextFormattedCitation" : "(Rizzoli et al., 2013)", "previouslyFormattedCitation" : "(Rizzoli &lt;i&gt;et al.&lt;/i&gt;, 2013)"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(Rizzoli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2013)</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With </w:t>
      </w:r>
      <w:r w:rsidR="00182DEB" w:rsidRPr="00182DEB">
        <w:rPr>
          <w:rFonts w:ascii="Times New Roman" w:hAnsi="Times New Roman" w:cs="Times New Roman"/>
          <w:sz w:val="24"/>
          <w:szCs w:val="24"/>
        </w:rPr>
        <w:t>a</w:t>
      </w:r>
      <w:r w:rsidRPr="00182DEB">
        <w:rPr>
          <w:rFonts w:ascii="Times New Roman" w:hAnsi="Times New Roman" w:cs="Times New Roman"/>
          <w:sz w:val="24"/>
          <w:szCs w:val="24"/>
        </w:rPr>
        <w:t xml:space="preserve">ge-related muscle loss, it has been assumed to be a major factor in strength decline which is related to impairments of function </w:t>
      </w:r>
      <w:r w:rsidRPr="00182DEB">
        <w:rPr>
          <w:rFonts w:ascii="Times New Roman" w:hAnsi="Times New Roman" w:cs="Times New Roman"/>
          <w:sz w:val="24"/>
          <w:szCs w:val="24"/>
          <w:shd w:val="clear" w:color="auto" w:fill="FFFFFF"/>
        </w:rPr>
        <w:fldChar w:fldCharType="begin" w:fldLock="1"/>
      </w:r>
      <w:r w:rsidRPr="00182DEB">
        <w:rPr>
          <w:rFonts w:ascii="Times New Roman" w:hAnsi="Times New Roman" w:cs="Times New Roman"/>
          <w:sz w:val="24"/>
          <w:szCs w:val="24"/>
          <w:shd w:val="clear" w:color="auto" w:fill="FFFFFF"/>
        </w:rPr>
        <w:instrText>ADDIN CSL_CITATION { "citationItems" : [ { "id" : "ITEM-1", "itemData" : { "DOI" : "10.1046/j.1532-5415.2002.50217.x", "ISSN" : "00028614", "author" : [ { "dropping-particle" : "", "family" : "Visser", "given" : "Marjolein", "non-dropping-particle" : "", "parse-names" : false, "suffix" : "" }, { "dropping-particle" : "", "family" : "Kritchevsky", "given" : "Stephen B.", "non-dropping-particle" : "", "parse-names" : false, "suffix" : "" }, { "dropping-particle" : "", "family" : "Goodpaster", "given" : "Bret H.", "non-dropping-particle" : "", "parse-names" : false, "suffix" : "" }, { "dropping-particle" : "", "family" : "Newman", "given" : "Anne B.", "non-dropping-particle" : "", "parse-names" : false, "suffix" : "" }, { "dropping-particle" : "", "family" : "Nevitt", "given" : "Michael", "non-dropping-particle" : "", "parse-names" : false, "suffix" : "" }, { "dropping-particle" : "", "family" : "Stamm", "given" : "Elizabeth", "non-dropping-particle" : "", "parse-names" : false, "suffix" : "" }, { "dropping-particle" : "", "family" : "Harris", "given" : "Tamara B.", "non-dropping-particle" : "", "parse-names" : false, "suffix" : "" } ], "container-title" : "Journal of the American Geriatrics Society", "id" : "ITEM-1", "issue" : "5", "issued" : { "date-parts" : [ [ "2002", "5", "1" ] ] }, "page" : "897-904", "publisher" : "Blackwell Science Inc", "title" : "Leg Muscle Mass and Composition in Relation to Lower Extremity Performance in Men and Women Aged 70 to 79: The Health, Aging and Body Composition Study", "type" : "article-journal", "volume" : "50" }, "uris" : [ "http://www.mendeley.com/documents/?uuid=6b11915f-bd9f-3a47-8e32-b6680615bda4" ] } ], "mendeley" : { "formattedCitation" : "(Visser &lt;i&gt;et al.&lt;/i&gt;, 2002)", "plainTextFormattedCitation" : "(Visser et al., 2002)", "previouslyFormattedCitation" : "(Visser &lt;i&gt;et al.&lt;/i&gt;, 2002)" }, "properties" : { "noteIndex" : 1 }, "schema" : "https://github.com/citation-style-language/schema/raw/master/csl-citation.json" }</w:instrText>
      </w:r>
      <w:r w:rsidRPr="00182DEB">
        <w:rPr>
          <w:rFonts w:ascii="Times New Roman" w:hAnsi="Times New Roman" w:cs="Times New Roman"/>
          <w:sz w:val="24"/>
          <w:szCs w:val="24"/>
          <w:shd w:val="clear" w:color="auto" w:fill="FFFFFF"/>
        </w:rPr>
        <w:fldChar w:fldCharType="separate"/>
      </w:r>
      <w:r w:rsidRPr="00182DEB">
        <w:rPr>
          <w:rFonts w:ascii="Times New Roman" w:hAnsi="Times New Roman" w:cs="Times New Roman"/>
          <w:noProof/>
          <w:sz w:val="24"/>
          <w:szCs w:val="24"/>
          <w:shd w:val="clear" w:color="auto" w:fill="FFFFFF"/>
        </w:rPr>
        <w:t xml:space="preserve">(Visser </w:t>
      </w:r>
      <w:r w:rsidRPr="00182DEB">
        <w:rPr>
          <w:rFonts w:ascii="Times New Roman" w:hAnsi="Times New Roman" w:cs="Times New Roman"/>
          <w:i/>
          <w:noProof/>
          <w:sz w:val="24"/>
          <w:szCs w:val="24"/>
          <w:shd w:val="clear" w:color="auto" w:fill="FFFFFF"/>
        </w:rPr>
        <w:t>et al.</w:t>
      </w:r>
      <w:r w:rsidRPr="00182DEB">
        <w:rPr>
          <w:rFonts w:ascii="Times New Roman" w:hAnsi="Times New Roman" w:cs="Times New Roman"/>
          <w:noProof/>
          <w:sz w:val="24"/>
          <w:szCs w:val="24"/>
          <w:shd w:val="clear" w:color="auto" w:fill="FFFFFF"/>
        </w:rPr>
        <w:t>, 2002)</w:t>
      </w:r>
      <w:r w:rsidRPr="00182DEB">
        <w:rPr>
          <w:rFonts w:ascii="Times New Roman" w:hAnsi="Times New Roman" w:cs="Times New Roman"/>
          <w:sz w:val="24"/>
          <w:szCs w:val="24"/>
          <w:shd w:val="clear" w:color="auto" w:fill="FFFFFF"/>
        </w:rPr>
        <w:fldChar w:fldCharType="end"/>
      </w:r>
      <w:r w:rsidRPr="00182DEB">
        <w:rPr>
          <w:rFonts w:ascii="Times New Roman" w:hAnsi="Times New Roman" w:cs="Times New Roman"/>
          <w:sz w:val="24"/>
          <w:szCs w:val="24"/>
        </w:rPr>
        <w:t xml:space="preserve">, cause of disabilities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"10.1001/jama.281.6.558", "ISSN" : "0098-7484", "abstract" : "ContextPoor muscle strength, functional limitations, and\ndisability often coexist, but whether muscle strength during midlife\npredicts old age functional ability is not known.ObjectiveTo determine whether hand grip strength measured during\nmidlife predicts old age functional limitations and disability in\ninitially healthy men.Design and SettingA 25-year prospective cohort study, the\nHonolulu Heart Program, which began in 1965 among Japanese-American men\nliving on Oahu, Hawaii.ParticipantsA total of 6089 45- to 68-year-old men who\nwere healthy at baseline and whose maximal hand grip strength was\nmeasured from 1965 through 1970. Altogether, 2259 men died over the\nfollow-up period and 3218 survivors participated in the disability\nassessment in 1991 through 1993.Main Outcome MeasuresFunctional limitations including slow\ncustomary walking speed (\u22640.4 m/s) and inability to rise from a seated\nposition without using the arms, and multiple self-reported upper\nextremity, mobility, and self-care disability outcomes.ResultsAfter adjustment for multiple potential confounders, risk\nof functional limitations and disability 25 years later increased as\nbaseline hand grip strength, divided into tertiles, declined. The odds\nratio (OR) of walking speed of 0.4 m/s or slower was 2.87 (95%\nconfidence interval [CI], 1.76-4.67) in those in the lowest third and\n1.79 (95% CI, 1.14-2.81) in the middle third of grip strength vs those\nin the highest third. The risk of self-care disability was more than 2\ntimes greater in the lowest vs the highest grip strength tertile.\nAdding chronic conditions identified at follow-up to the models\npredicting disability reduced the ORs related to grip strength only\nminimally.ConclusionsAmong healthy 45- to 68-year-old men, hand grip\nstrength was highly predictive of functional limitations and disability\n25 years later. Good muscle strength in midlife may protect people from\nold age disability by providing a greater safety margin above the\nthreshold of disability.", "author" : [ { "dropping-particle" : "", "family" : "Rantanen", "given" : "Taina", "non-dropping-particle" : "", "parse-names" : false, "suffix" : "" }, { "dropping-particle" : "", "family" : "Guralnik", "given" : "Jack M.", "non-dropping-particle" : "", "parse-names" : false, "suffix" : "" }, { "dropping-particle" : "", "family" : "Foley", "given" : "Dan", "non-dropping-particle" : "", "parse-names" : false, "suffix" : "" }, { "dropping-particle" : "", "family" : "Masaki", "given" : "Kamal", "non-dropping-particle" : "", "parse-names" : false, "suffix" : "" }, { "dropping-particle" : "", "family" : "Leveille", "given" : "Suzanne", "non-dropping-particle" : "", "parse-names" : false, "suffix" : "" }, { "dropping-particle" : "", "family" : "Curb", "given" : "J. David", "non-dropping-particle" : "", "parse-names" : false, "suffix" : "" }, { "dropping-particle" : "", "family" : "White", "given" : "Lon", "non-dropping-particle" : "", "parse-names" : false, "suffix" : "" } ], "container-title" : "JAMA", "id" : "ITEM-1", "issue" : "6", "issued" : { "date-parts" : [ [ "1999", "2", "10" ] ] }, "page" : "558", "publisher" : "American Medical Association", "title" : "Midlife Hand Grip Strength as a Predictor of Old Age Disability", "type" : "article-journal", "volume" : "281" }, "uris" : [ "http://www.mendeley.com/documents/?uuid=fcf66e69-e875-35de-9d5a-cf29b1140d31" ] } ], "mendeley" : { "formattedCitation" : "(Rantanen &lt;i&gt;et al.&lt;/i&gt;, 1999)", "plainTextFormattedCitation" : "(Rantanen et al., 1999)", "previouslyFormattedCitation" : "(Rantanen &lt;i&gt;et al.&lt;/i&gt;, 1999)"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(Rantanen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1999)</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greater risks of falls and the loss in independence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"ISSN" : "1594-0667", "PMID" : "12475129", "abstract" : "The aim of this prospective study over 5 years was to examine maximal isometric strength of multiple muscle groups as a predictor of losing independence in activities of daily living (ADL). The participants were from the Nordic Research on Aging (NORA75). These analyses are restricted to 567 people who at baseline were independent in ADL and participated in strength tests, and who five years later participated in follow-up ADL assessments. Tests on maximal isometric strength of hand grip, elbow flexion, knee extension and trunk flexion and extension were done using adjustable dynamometers. For each muscle group tested, three equal groups were formed for men and women separately based on distributions of results. Those who reported being unable or needing help for eating, dressing, bathing, toileting, walking indoors or transferring from a bed or a chair were rated as ADL dependent. Of the 227 initially ADL independent men, 21 (9.3%) became dependent in ADL. In women, the figures were 30 (8.8%) of 340. Multiple logistic regression models were used to predict the risk of ADL dependence in groups based on strength tertiles. After confirming that the association of muscle strength and incident ADL-dependence was similar in men and women, both genders were included in the same analyses adjusted for body weight and height, gender and research locality. Gender specific cut-offs were used for strength tertiles. All the strength tests predicted ADL dependence, with those being in the lowest tertile having two to three times greater risks than those in the highest tertile of strength. Further adjustments for chronic diseases did not materially change the results. Strength tests could be used to identify people who are still independent in ADL but who are at increased risk of becoming dependent because of poor muscle strength, and who could reduce their risk by strengthening exercises.", "author" : [ { "dropping-particle" : "", "family" : "Rantanen", "given" : "Taina", "non-dropping-particle" : "", "parse-names" : false, "suffix" : "" }, { "dropping-particle" : "", "family" : "Avlund", "given" : "Kirsten", "non-dropping-particle" : "", "parse-names" : false, "suffix" : "" }, { "dropping-particle" : "", "family" : "Suominen", "given" : "Harri", "non-dropping-particle" : "", "parse-names" : false, "suffix" : "" }, { "dropping-particle" : "", "family" : "Schroll", "given" : "Marianne", "non-dropping-particle" : "", "parse-names" : false, "suffix" : "" }, { "dropping-particle" : "", "family" : "Fr\u00e4ndin", "given" : "Kerstin", "non-dropping-particle" : "", "parse-names" : false, "suffix" : "" }, { "dropping-particle" : "", "family" : "Pertti", "given" : "Era", "non-dropping-particle" : "", "parse-names" : false, "suffix" : "" } ], "container-title" : "Aging clinical and experimental research", "id" : "ITEM-1", "issue" : "3 Suppl", "issued" : { "date-parts" : [ [ "2002", "6" ] ] }, "page" : "10-5", "title" : "Muscle strength as a predictor of onset of ADL dependence in people aged 75 years.", "type" : "article-journal", "volume" : "14" }, "uris" : [ "http://www.mendeley.com/documents/?uuid=79766873-7edc-3f36-9464-9d55db835f51" ] } ], "mendeley" : { "formattedCitation" : "(Rantanen &lt;i&gt;et al.&lt;/i&gt;, 2002)", "plainTextFormattedCitation" : "(Rantanen et al., 2002)", "previouslyFormattedCitation" : "(Rantanen &lt;i&gt;et al.&lt;/i&gt;, 2002)"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(Rantanen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2002)</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w:t>
      </w:r>
    </w:p>
    <w:p w14:paraId="613F174A" w14:textId="7816A3A7" w:rsidR="00CC17FD" w:rsidRPr="00182DEB" w:rsidRDefault="00CC17FD" w:rsidP="00CC17FD">
      <w:pPr>
        <w:pStyle w:val="NormalWeb"/>
        <w:shd w:val="clear" w:color="auto" w:fill="FFFFFF"/>
        <w:spacing w:before="0" w:beforeAutospacing="0" w:after="0" w:afterAutospacing="0"/>
      </w:pPr>
      <w:r w:rsidRPr="00182DEB">
        <w:t xml:space="preserve">According to </w:t>
      </w:r>
      <w:r w:rsidRPr="00182DEB">
        <w:fldChar w:fldCharType="begin" w:fldLock="1"/>
      </w:r>
      <w:r w:rsidRPr="00182DEB">
        <w:instrText>ADDIN CSL_CITATION { "citationItems" : [ { "id" : "ITEM-1", "itemData" : { "ISSN" : "0304-4602", "PMID" : "6678128", "abstract" : "Clinical and research evidence confirms that adequate physical exercise (1) counterbalances and delays the age-related changes in work capacity and physical performance, (2) develops, maintains and improves the range of motion, muscular strength, flexibility, balance, rhythm and endurance and (3) reduces the damage and disability of associated cardiovascular, musculo-skeletal and other organ systems in aging persons.", "author" : [ { "dropping-particle" : "", "family" : "Harris", "given" : "R", "non-dropping-particle" : "", "parse-names" : false, "suffix" : "" } ], "container-title" : "Annals of the Academy of Medicine, Singapore", "id" : "ITEM-1", "issue" : "3", "issued" : { "date-parts" : [ [ "1983", "7" ] ] }, "page" : "454-6", "title" : "Exercise and the aging process.", "type" : "article-journal", "volume" : "12" }, "uris" : [ "http://www.mendeley.com/documents/?uuid=6d726ff0-b4da-3449-96af-7d50c772756c" ] } ], "mendeley" : { "formattedCitation" : "(Harris, 1983)", "manualFormatting" : "Harris (1983)", "plainTextFormattedCitation" : "(Harris, 1983)", "previouslyFormattedCitation" : "(Harris, 1983)" }, "properties" : { "noteIndex" : 1 }, "schema" : "https://github.com/citation-style-language/schema/raw/master/csl-citation.json" }</w:instrText>
      </w:r>
      <w:r w:rsidRPr="00182DEB">
        <w:fldChar w:fldCharType="separate"/>
      </w:r>
      <w:r w:rsidRPr="00182DEB">
        <w:rPr>
          <w:noProof/>
        </w:rPr>
        <w:t>Harris (1983)</w:t>
      </w:r>
      <w:r w:rsidRPr="00182DEB">
        <w:fldChar w:fldCharType="end"/>
      </w:r>
      <w:r w:rsidRPr="00182DEB">
        <w:t xml:space="preserve"> aging has a decline in health and ability, there </w:t>
      </w:r>
      <w:r w:rsidR="00182DEB" w:rsidRPr="00182DEB">
        <w:t xml:space="preserve">has </w:t>
      </w:r>
      <w:r w:rsidRPr="00182DEB">
        <w:t>been clinical and experimental research that suggests exercise is a vital part of daily life to be able to reduce the rate of deterioration. Exercise can slow the process of age related changes in physical performance</w:t>
      </w:r>
      <w:r w:rsidR="00182DEB" w:rsidRPr="00182DEB">
        <w:t xml:space="preserve"> </w:t>
      </w:r>
      <w:r w:rsidR="000C3F3D" w:rsidRPr="00182DEB">
        <w:fldChar w:fldCharType="begin" w:fldLock="1"/>
      </w:r>
      <w:r w:rsidR="000C3F3D" w:rsidRPr="00182DEB">
        <w:instrText>ADDIN CSL_CITATION { "citationItems" : [ { "id" : "ITEM-1", "itemData" : { "DOI" : "10.2147/CIA.S44112", "ISSN" : "1178-1998", "PMID" : "23723694", "abstract" : "AIM To determine differences in physical activity level and functional fitness between young elderly (60-69 years) and old elderly (70-80 years) people with the hypothesis that an age-related decline would be found. METHODS A total of 1288 participants' level of physical activity was evaluated using the International Physical Activity Questionnaire: 594 were male (mean \u00b1 standard deviation: body height 175.62 \u00b1 9.78 cm; body weight 82.26 \u00b1 31.33 kg) and 694 female (mean \u00b1 standard deviation: body height 165.17 \u00b1 23.12 cm; body weight 69.74 \u00b1 12.44 kg). Functional fitness was also estimated using the Senior Fitness Test: back scratch, chair sit and reach, 8-foot up and go, chair stand up for 30 seconds, arm curl, and 2-minute step test. RESULTS Significant differences (P &lt; 0.05) were found for all Senior Fitness tests between young elderly (60-69 years) and old elderly (70-80) men. Similar results were found for the women, except no significant differences were found for the chair sit and reach and the 2-minute step test. From the viewpoint of energy consumption estimated by the International Physical Activity Questionnaire, moderate physical activity is dominant. In addition, with aging, among men and women older than 60 years, the value of the Metabolic Equivalent of Task in total physical activity significantly reduces (P &lt; 0.05). CONCLUSIONS This study found that the reduction in physical activity level and functional fitness was equal for both men and women and was due to the aging process. These differences between young and old elderly people were due to the reduction of muscle strength in both upper and lower limbs and changes in body-fat percentage, flexibility, agility, and endurance.", "author" : [ { "dropping-particle" : "", "family" : "Milanovi\u0107", "given" : "Zoran", "non-dropping-particle" : "", "parse-names" : false, "suffix" : "" }, { "dropping-particle" : "", "family" : "Panteli\u0107", "given" : "Sa\u0161a", "non-dropping-particle" : "", "parse-names" : false, "suffix" : "" }, { "dropping-particle" : "", "family" : "Trajkovi\u0107", "given" : "Neboj\u0161a", "non-dropping-particle" : "", "parse-names" : false, "suffix" : "" }, { "dropping-particle" : "", "family" : "Spori\u0161", "given" : "Goran", "non-dropping-particle" : "", "parse-names" : false, "suffix" : "" }, { "dropping-particle" : "", "family" : "Kosti\u0107", "given" : "Radmila", "non-dropping-particle" : "", "parse-names" : false, "suffix" : "" }, { "dropping-particle" : "", "family" : "James", "given" : "Nic", "non-dropping-particle" : "", "parse-names" : false, "suffix" : "" } ], "container-title" : "Clinical interventions in aging", "id" : "ITEM-1", "issued" : { "date-parts" : [ [ "2013" ] ] }, "page" : "549-56", "publisher" : "Dove Press", "title" : "Age-related decrease in physical activity and functional fitness among elderly men and women.", "type" : "article-journal", "volume" : "8" }, "uris" : [ "http://www.mendeley.com/documents/?uuid=59d277b3-be50-3449-9478-dedf1b873899" ] } ], "mendeley" : { "formattedCitation" : "(Milanovi\u0107 &lt;i&gt;et al.&lt;/i&gt;, 2013)", "plainTextFormattedCitation" : "(Milanovi\u0107 et al., 2013)", "previouslyFormattedCitation" : "(Milanovi\u0107 &lt;i&gt;et al.&lt;/i&gt;, 2013)" }, "properties" : { "noteIndex" : 1 }, "schema" : "https://github.com/citation-style-language/schema/raw/master/csl-citation.json" }</w:instrText>
      </w:r>
      <w:r w:rsidR="000C3F3D" w:rsidRPr="00182DEB">
        <w:fldChar w:fldCharType="separate"/>
      </w:r>
      <w:r w:rsidR="000C3F3D" w:rsidRPr="00182DEB">
        <w:rPr>
          <w:noProof/>
        </w:rPr>
        <w:t xml:space="preserve">(Milanović </w:t>
      </w:r>
      <w:r w:rsidR="000C3F3D" w:rsidRPr="00182DEB">
        <w:rPr>
          <w:i/>
          <w:noProof/>
        </w:rPr>
        <w:t>et al.</w:t>
      </w:r>
      <w:r w:rsidR="000C3F3D" w:rsidRPr="00182DEB">
        <w:rPr>
          <w:noProof/>
        </w:rPr>
        <w:t>, 2013)</w:t>
      </w:r>
      <w:r w:rsidR="000C3F3D" w:rsidRPr="00182DEB">
        <w:fldChar w:fldCharType="end"/>
      </w:r>
      <w:r w:rsidR="000C3F3D" w:rsidRPr="00182DEB">
        <w:t xml:space="preserve">. </w:t>
      </w:r>
      <w:r w:rsidRPr="00182DEB">
        <w:t>Exercise maintains, improves the rang</w:t>
      </w:r>
      <w:r w:rsidR="000C3F3D" w:rsidRPr="00182DEB">
        <w:t>e</w:t>
      </w:r>
      <w:r w:rsidRPr="00182DEB">
        <w:t xml:space="preserve"> of motion within the joints, maintains and improves muscular strength and flexibility. Balance and rhythm is also improved by exercise reducing the risks of falling and reduces the symptoms and damage of diseases. </w:t>
      </w:r>
      <w:r w:rsidRPr="00182DEB">
        <w:fldChar w:fldCharType="begin" w:fldLock="1"/>
      </w:r>
      <w:r w:rsidRPr="00182DEB">
        <w:instrText>ADDIN CSL_CITATION { "citationItems" : [ { "id" : "ITEM-1", "itemData" : { "abstract" : "mortality. 5\u201310 Exercise has been shown to be an important additional strategy to a weight loss program. 11 However, in Australia, nearly 40% of males and 60% of females carry out insufficient daily physical activity. 12 Aerobic exercise has a marked impact on cardiovascular disease risk. Benefits include improved serum lipid profiles, blood pressure and inflammatory markers as well as reduced risk of stroke, acute coronary syndrome and overall cardiovascular mortality. 13\u201319 Additionally, aerobic exercise is effective in the prevention and management of insulin resistance and T2DM. 20,21 A recent meta-analysis looking at the effect of different levels of light or moderate physical activity on all cause mortality demonstrated that 30 minutes of moderate exercise five times per week (the basis of most exercise prescription guidelines 22) reduced all cause mortality by 19% versus no activity. 23 Importantly, as light or moderate aerobic exercise can be carried out in an incidental manner, it is potentially accessible and nondisruptive to most of the population.", "author" : [ { "dropping-particle" : "", "family" : "Shiraev", "given" : "Tim", "non-dropping-particle" : "", "parse-names" : false, "suffix" : "" }, { "dropping-particle" : "", "family" : "Barclay", "given" : "Gabriella", "non-dropping-particle" : "", "parse-names" : false, "suffix" : "" } ], "id" : "ITEM-1", "issued" : { "date-parts" : [ [ "0" ] ] }, "title" : "Evidence based exercise Clinical benefits of high intensity interval training", "type" : "article-journal" }, "uris" : [ "http://www.mendeley.com/documents/?uuid=fe61d250-1995-31ca-82e0-c35ffbbdbb7e" ] } ], "mendeley" : { "formattedCitation" : "(Shiraev and Barclay, no date)", "manualFormatting" : "(Shiraev and Barclay, 2012)", "plainTextFormattedCitation" : "(Shiraev and Barclay, no date)", "previouslyFormattedCitation" : "(Shiraev and Barclay, no date)" }, "properties" : { "noteIndex" : 2 }, "schema" : "https://github.com/citation-style-language/schema/raw/master/csl-citation.json" }</w:instrText>
      </w:r>
      <w:r w:rsidRPr="00182DEB">
        <w:fldChar w:fldCharType="separate"/>
      </w:r>
      <w:r w:rsidRPr="00182DEB">
        <w:rPr>
          <w:noProof/>
        </w:rPr>
        <w:t>(Shiraev and Barclay, 2012)</w:t>
      </w:r>
      <w:r w:rsidRPr="00182DEB">
        <w:fldChar w:fldCharType="end"/>
      </w:r>
      <w:r w:rsidRPr="00182DEB">
        <w:t xml:space="preserve"> To maintain health, training programmes should adhere to the </w:t>
      </w:r>
      <w:r w:rsidRPr="00182DEB">
        <w:fldChar w:fldCharType="begin" w:fldLock="1"/>
      </w:r>
      <w:r w:rsidRPr="00182DEB">
        <w:instrText>ADDIN CSL_CITATION { "citationItems" : [ { "id" : "ITEM-1", "itemData" : { "ISBN" : "978-1-49633907-2", "author" : [ { "dropping-particle" : "", "family" : "ACSM", "given" : "", "non-dropping-particle" : "", "parse-names" : false, "suffix" : "" } ], "edition" : "10th", "id" : "ITEM-1", "issued" : { "date-parts" : [ [ "2016" ] ] }, "number-of-pages" : "4", "title" : "Guidelines for Exercise Testing and Perscription", "type" : "book" }, "uris" : [ "http://www.mendeley.com/documents/?uuid=eb097303-5db2-46f5-b1fb-d4c291389dfe" ] } ], "mendeley" : { "formattedCitation" : "(ACSM, 2016)", "manualFormatting" : "ACSM, (2016)", "plainTextFormattedCitation" : "(ACSM, 2016)", "previouslyFormattedCitation" : "(ACSM, 2016)" }, "properties" : { "noteIndex" : 2 }, "schema" : "https://github.com/citation-style-language/schema/raw/master/csl-citation.json" }</w:instrText>
      </w:r>
      <w:r w:rsidRPr="00182DEB">
        <w:fldChar w:fldCharType="separate"/>
      </w:r>
      <w:r w:rsidRPr="00182DEB">
        <w:rPr>
          <w:noProof/>
        </w:rPr>
        <w:t>ACSM, (2016)</w:t>
      </w:r>
      <w:r w:rsidRPr="00182DEB">
        <w:fldChar w:fldCharType="end"/>
      </w:r>
      <w:r w:rsidRPr="00182DEB">
        <w:t xml:space="preserve"> recommended guidelines- Moderate intensity of aerobic activity for a minimum of 30 minutes/ 5 days per week 40-59% of Heart rate reserve (HRR) or Vigorous intensity aerobic activity for a minimum of 20 minutes/ 3days per week </w:t>
      </w:r>
      <w:r w:rsidRPr="00182DEB">
        <w:rPr>
          <w:shd w:val="clear" w:color="auto" w:fill="FFFFFF"/>
        </w:rPr>
        <w:t xml:space="preserve">60-89% of HRR. </w:t>
      </w:r>
      <w:r w:rsidRPr="00182DEB">
        <w:t xml:space="preserve">Heart rate is directly related to the working intensity and the oxygen consumption. There are many ways that the intensity can be measured. The most precise of training method would be to measure intensity via a Heart Rate monitor or alternatively the Borge scale which has a high correlation </w:t>
      </w:r>
      <w:r w:rsidR="000C3F3D" w:rsidRPr="00182DEB">
        <w:t xml:space="preserve">that </w:t>
      </w:r>
      <w:r w:rsidRPr="00182DEB">
        <w:t xml:space="preserve">exists between the Perceived Rate of Exertion and 10 times the actual heart rate. For example, if the work load Perceived exertion was 10, 10x10= 100bmp </w:t>
      </w:r>
      <w:r w:rsidRPr="00182DEB">
        <w:fldChar w:fldCharType="begin" w:fldLock="1"/>
      </w:r>
      <w:r w:rsidRPr="00182DEB">
        <w:instrText>ADDIN CSL_CITATION { "citationItems" : [ { "id" : "ITEM-1", "itemData" : { "URL" : "https://www.cdc.gov/physicalactivity/basics/measuring/exertion.htm", "accessed" : { "date-parts" : [ [ "2017", "11", "10" ] ] }, "author" : [ { "dropping-particle" : "", "family" : "Centre for Disease Control and Prevention", "given" : "", "non-dropping-particle" : "", "parse-names" : false, "suffix" : "" } ], "id" : "ITEM-1", "issued" : { "date-parts" : [ [ "2015" ] ] }, "title" : "Perceived Exertion (Borg Rating of Perceived Exertion Scale)", "type" : "webpage" }, "uris" : [ "http://www.mendeley.com/documents/?uuid=9a9ab4ad-0ca6-389b-8d86-10c88564cf2e" ] } ], "mendeley" : { "formattedCitation" : "(Centre for Disease Control and Prevention, 2015)", "plainTextFormattedCitation" : "(Centre for Disease Control and Prevention, 2015)", "previouslyFormattedCitation" : "(Centre for Disease Control and Prevention, 2015)" }, "properties" : { "noteIndex" : 3 }, "schema" : "https://github.com/citation-style-language/schema/raw/master/csl-citation.json" }</w:instrText>
      </w:r>
      <w:r w:rsidRPr="00182DEB">
        <w:fldChar w:fldCharType="separate"/>
      </w:r>
      <w:r w:rsidRPr="00182DEB">
        <w:rPr>
          <w:noProof/>
        </w:rPr>
        <w:t>(Centre for Disease Control and Prevention, 2015)</w:t>
      </w:r>
      <w:r w:rsidRPr="00182DEB">
        <w:fldChar w:fldCharType="end"/>
      </w:r>
      <w:r w:rsidR="00182DEB" w:rsidRPr="00182DEB">
        <w:t>.</w:t>
      </w:r>
    </w:p>
    <w:p w14:paraId="4C6D5BC2" w14:textId="77777777" w:rsidR="00CC17FD" w:rsidRPr="00182DEB" w:rsidRDefault="00CC17FD" w:rsidP="00CC17FD">
      <w:pPr>
        <w:pStyle w:val="NormalWeb"/>
        <w:shd w:val="clear" w:color="auto" w:fill="FFFFFF"/>
        <w:spacing w:before="0" w:beforeAutospacing="0" w:after="0" w:afterAutospacing="0"/>
      </w:pPr>
      <w:r w:rsidRPr="00182DEB">
        <w:t xml:space="preserve">If using a heart rate monitor, there are several equations to work out maximal heart rate and then that Heart rate reserve this qualifies the exercise to be specific and accurate for stimulus. Research by </w:t>
      </w:r>
      <w:r w:rsidRPr="00182DEB">
        <w:fldChar w:fldCharType="begin" w:fldLock="1"/>
      </w:r>
      <w:r w:rsidRPr="00182DEB">
        <w:instrText>ADDIN CSL_CITATION { "citationItems" : [ { "id" : "ITEM-1", "itemData" : { "ISSN" : "0735-1097", "PMID" : "11153730", "abstract" : "OBJECTIVES We sought to determine a generalized equation for predicting maximal heart rate (HRmax) in healthy adults. BACKGROUND The age-predicted HRmax equation (i.e., 220 - age) is commonly used as a basis for prescribing exercise programs, as a criterion for achieving maximal exertion and as a clinical guide during diagnostic exercise testing. Despite its importance and widespread use, the validity of the HRmax equation has never been established in a sample that included a sufficient number of older adults. METHODS First, a meta-analytic approach was used to collect group mean HRmax values from 351 studies involving 492 groups and 18,712 subjects. Subsequently, the new equation was cross-validated in a well-controlled, laboratory-based study in which HRmax was measured in 514 healthy subjects. RESULTS In the meta-analysis, HRmax was strongly related to age (r = -0.90), using the equation of 208 - 0.7 x age. The regression equation obtained in the laboratory-based study (209 - 0.7 x age) was virtually identical to that obtained from the meta-analysis. The regression line was not different between men and women, nor was it influenced by wide variations in habitual physical activity levels. CONCLUSIONS 1) A regression equation to predict HRmax is 208 - 0.7 x age in healthy adults. 2) HRmax is predicted, to a large extent, by age alone and is independent of gender and habitual physical activity status. Our findings suggest that the currently used equation underestimates HRmax in older adults. This would have the effect of underestimating the true level of physical stress imposed during exercise testing and the appropriate intensity of prescribed exercise programs.", "author" : [ { "dropping-particle" : "", "family" : "Tanaka", "given" : "H", "non-dropping-particle" : "", "parse-names" : false, "suffix" : "" }, { "dropping-particle" : "", "family" : "Monahan", "given" : "K D", "non-dropping-particle" : "", "parse-names" : false, "suffix" : "" }, { "dropping-particle" : "", "family" : "Seals", "given" : "D R", "non-dropping-particle" : "", "parse-names" : false, "suffix" : "" } ], "container-title" : "Journal of the American College of Cardiology", "id" : "ITEM-1", "issue" : "1", "issued" : { "date-parts" : [ [ "2001", "1" ] ] }, "page" : "153-6", "title" : "Age-predicted maximal heart rate revisited.", "type" : "article-journal", "volume" : "37" }, "uris" : [ "http://www.mendeley.com/documents/?uuid=7a2b0d83-cc48-3c87-9615-22aa80559922" ] } ], "mendeley" : { "formattedCitation" : "(Tanaka, Monahan and Seals, 2001)", "manualFormatting" : "Tanaka, Monahan and Seals (2001)", "plainTextFormattedCitation" : "(Tanaka, Monahan and Seals, 2001)", "previouslyFormattedCitation" : "(Tanaka, Monahan and Seals, 2001)" }, "properties" : { "noteIndex" : 3 }, "schema" : "https://github.com/citation-style-language/schema/raw/master/csl-citation.json" }</w:instrText>
      </w:r>
      <w:r w:rsidRPr="00182DEB">
        <w:fldChar w:fldCharType="separate"/>
      </w:r>
      <w:r w:rsidRPr="00182DEB">
        <w:rPr>
          <w:noProof/>
        </w:rPr>
        <w:t>Tanaka, Monahan and Seals (2001)</w:t>
      </w:r>
      <w:r w:rsidRPr="00182DEB">
        <w:fldChar w:fldCharType="end"/>
      </w:r>
      <w:r w:rsidRPr="00182DEB">
        <w:t xml:space="preserve"> revealed that 208 - 0.7 x age = Max HR was a lot more accurate in healthy adults. </w:t>
      </w:r>
    </w:p>
    <w:p w14:paraId="1A65EE35" w14:textId="77777777" w:rsidR="00CC17FD" w:rsidRPr="00182DEB" w:rsidRDefault="00CC17FD" w:rsidP="00CC17FD">
      <w:pPr>
        <w:rPr>
          <w:rFonts w:ascii="Times New Roman" w:hAnsi="Times New Roman" w:cs="Times New Roman"/>
          <w:sz w:val="24"/>
          <w:szCs w:val="24"/>
          <w:shd w:val="clear" w:color="auto" w:fill="FFFFFF"/>
        </w:rPr>
      </w:pPr>
      <w:r w:rsidRPr="00182DEB">
        <w:rPr>
          <w:rFonts w:ascii="Times New Roman" w:hAnsi="Times New Roman" w:cs="Times New Roman"/>
          <w:sz w:val="24"/>
          <w:szCs w:val="24"/>
        </w:rPr>
        <w:t>e.g 208-0.7 x 28 (age)= 188 bpm (Max Heart Rate) to work to a certain intensity for the exercise stimulus, can be found by finding the percentage wanted from the MHR.</w:t>
      </w:r>
    </w:p>
    <w:p w14:paraId="53701ABB" w14:textId="77777777" w:rsidR="00CC17FD" w:rsidRPr="00182DEB" w:rsidRDefault="000C3F3D" w:rsidP="00CC17FD">
      <w:pPr>
        <w:rPr>
          <w:rFonts w:ascii="Times New Roman" w:hAnsi="Times New Roman" w:cs="Times New Roman"/>
          <w:b/>
          <w:sz w:val="24"/>
          <w:szCs w:val="24"/>
          <w:shd w:val="clear" w:color="auto" w:fill="FFFFFF"/>
        </w:rPr>
      </w:pPr>
      <w:r w:rsidRPr="00182DEB">
        <w:rPr>
          <w:rFonts w:ascii="Times New Roman" w:hAnsi="Times New Roman" w:cs="Times New Roman"/>
          <w:b/>
          <w:sz w:val="24"/>
          <w:szCs w:val="24"/>
          <w:shd w:val="clear" w:color="auto" w:fill="FFFFFF"/>
        </w:rPr>
        <w:t>Why is exercise important for the aging?</w:t>
      </w:r>
    </w:p>
    <w:p w14:paraId="0EBE499C" w14:textId="3B5B3609" w:rsidR="00CC17FD" w:rsidRPr="00182DEB" w:rsidRDefault="00CC17FD" w:rsidP="00CC17FD">
      <w:pPr>
        <w:rPr>
          <w:rFonts w:ascii="Times New Roman" w:hAnsi="Times New Roman" w:cs="Times New Roman"/>
          <w:sz w:val="24"/>
          <w:szCs w:val="24"/>
        </w:rPr>
      </w:pPr>
      <w:r w:rsidRPr="00182DEB">
        <w:rPr>
          <w:rFonts w:ascii="Times New Roman" w:hAnsi="Times New Roman" w:cs="Times New Roman"/>
          <w:sz w:val="24"/>
          <w:szCs w:val="24"/>
        </w:rPr>
        <w:t xml:space="preserve">Physical activity increases quality and increases life expectancy, unfortunately exercise does not stop the aging process, it has an influence on development of chronic diseases which is a </w:t>
      </w:r>
      <w:r w:rsidRPr="00182DEB">
        <w:rPr>
          <w:rFonts w:ascii="Times New Roman" w:hAnsi="Times New Roman" w:cs="Times New Roman"/>
          <w:sz w:val="24"/>
          <w:szCs w:val="24"/>
        </w:rPr>
        <w:lastRenderedPageBreak/>
        <w:t xml:space="preserve">secondary aging effect. Being physically active can also reduce the impact on secondary aging by restoring mobility and functionality that is seen in sedentary older adults. Aerobic activity is able to increase functionality and muscle strength by an average of 20-30%+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"10.1249/MSS.0b013e3181a0c95c", "ISBN" : "0195-9131", "ISSN" : "1530-0315", "PMID" : "19516148", "abstract" : "The purpose of this Position Stand is to provide an overview of issues critical to understanding the importance of exercise and physical activity in older adult populations. The Position Stand is divided into three sections: Section 1 briefly reviews the structural and functional changes that characterize normal human aging, Section 2 considers the extent to which exercise and physical activity can influence the aging process, and Section 3 summarizes the benefits of both long-term exercise and physical activity and shorter-duration exercise programs on health and functional capacity. Although no amount of physical activity can stop the biological aging process, there is evidence that regular exercise can minimize the physiological effects of an otherwise sedentary lifestyle and increase active life expectancy by limiting the development and progression of chronic disease and disabling conditions. There is also emerging evidence for significant psychological and cognitive benefits accruing from regular exercise participation by older adults. Ideally, exercise prescription for older adults should include aerobic exercise, muscle strengthening exercises, and flexibility exercises. The evidence reviewed in this Position Stand is generally consistent with prior American College of Sports Medicine statements on the types and amounts of physical activity recommended for older adults as well as the recently published 2008 Physical Activity Guidelines for Americans. All older adults should engage in regular physical activity and avoid an inactive lifestyle.", "author" : [ { "dropping-particle" : "", "family" : "American College of Sports Medicine", "given" : "Wojtek J.", "non-dropping-particle" : "", "parse-names" : false, "suffix" : "" }, { "dropping-particle" : "", "family" : "Chodzko-Zajko", "given" : "Wojtek J", "non-dropping-particle" : "", "parse-names" : false, "suffix" : "" }, { "dropping-particle" : "", "family" : "Proctor", "given" : "David N", "non-dropping-particle" : "", "parse-names" : false, "suffix" : "" }, { "dropping-particle" : "", "family" : "Fiatarone Singh", "given" : "Maria A", "non-dropping-particle" : "", "parse-names" : false, "suffix" : "" }, { "dropping-particle" : "", "family" : "Minson", "given" : "Christopher T", "non-dropping-particle" : "", "parse-names" : false, "suffix" : "" }, { "dropping-particle" : "", "family" : "Nigg", "given" : "Claudio R", "non-dropping-particle" : "", "parse-names" : false, "suffix" : "" }, { "dropping-particle" : "", "family" : "Salem", "given" : "George J", "non-dropping-particle" : "", "parse-names" : false, "suffix" : "" }, { "dropping-particle" : "", "family" : "Skinner", "given" : "James S", "non-dropping-particle" : "", "parse-names" : false, "suffix" : "" } ], "container-title" : "Medicine and science in sports and exercise", "id" : "ITEM-1", "issue" : "7", "issued" : { "date-parts" : [ [ "2009", "7" ] ] }, "page" : "1510-30", "title" : "American College of Sports Medicine position stand. Exercise and physical activity for older adults.", "type" : "article-journal", "volume" : "41" }, "uris" : [ "http://www.mendeley.com/documents/?uuid=a24379f1-ddf7-3fbd-b961-7bed2caa7066" ] } ], "mendeley" : { "formattedCitation" : "(American College of Sports Medicine &lt;i&gt;et al.&lt;/i&gt;, 2009)", "plainTextFormattedCitation" : "(American College of Sports Medicine et al., 2009)", "previouslyFormattedCitation" : "(American College of Sports Medicine &lt;i&gt;et al.&lt;/i&gt;, 2009)"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(American College of Sports Medicine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2009)</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Strength is not the only factor that declines with age, the characteristics of aging also categorize the progressive decline in aerobic capacity, which is the maximal oxygen consumption. This reflects on working organs and a reduction in cardiovascular efficiency that on a understanding of cellular level, reduces the quality and amount of muscular mitochondria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"10.1139/H07-141", "ISSN" : "1715-5312", "PMID" : "18347672", "abstract" : "Skeletal muscle aging is associated with a significant loss of muscle mass, strength, function, and quality of life. In addition, the healthcare cost of aging and age-related disease is growing, and will continue to grow as a larger proportion of our population reaches retirement age and beyond. The mitochondrial theory of aging has been identified as a leading explanation of the aging process and describes a path leading to cellular senescence that includes electron transport chain deficiency, reactive oxygen species production, and the accumulation of mitochondrial DNA deletions and mutations. It is also quite clear that regular resistance exercise is a potent and effective countermeasure for skeletal muscle aging. In this review, we discuss age-related sarcopenia, the mitochondrial theory of aging, and how resistance exercise may directly affect key components of the mitochondrial theory. It is clear from the data discussed that regular resistance training can effectively disturb processes that contribute to the progression of aging as it pertains to the mitochondrial theory.", "author" : [ { "dropping-particle" : "", "family" : "Johnston", "given" : "Adam P.W.", "non-dropping-particle" : "", "parse-names" : false, "suffix" : "" }, { "dropping-particle" : "", "family" : "Lisio", "given" : "Michael", "non-dropping-particle" : "De", "parse-names" : false, "suffix" : "" }, { "dropping-particle" : "", "family" : "Parise", "given" : "Gianni", "non-dropping-particle" : "", "parse-names" : false, "suffix" : "" } ], "container-title" : "Applied Physiology, Nutrition, and Metabolism", "id" : "ITEM-1", "issue" : "1", "issued" : { "date-parts" : [ [ "2008", "2" ] ] }, "page" : "191-199", "title" : "Resistance training, sarcopenia, and the mitochondrial theory of aging", "type" : "article-journal", "volume" : "33" }, "uris" : [ "http://www.mendeley.com/documents/?uuid=d3eb6d13-e08c-3a6f-be58-540d606f6a88" ] } ], "mendeley" : { "formattedCitation" : "(Johnston, De Lisio and Parise, 2008)", "plainTextFormattedCitation" : "(Johnston, De Lisio and Parise, 2008)", "previouslyFormattedCitation" : "(Johnston, De Lisio and Parise, 2008)"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(Johnston, De Lisio and Parise, 2008)</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In many research papers it is known that aerobic exercise increases the number of mitochondria in the muscles particle evident in aging muscle. Mitochondrial adaptions that are created by </w:t>
      </w:r>
      <w:r w:rsidR="00182DEB" w:rsidRPr="00182DEB">
        <w:rPr>
          <w:rFonts w:ascii="Times New Roman" w:hAnsi="Times New Roman" w:cs="Times New Roman"/>
          <w:sz w:val="24"/>
          <w:szCs w:val="24"/>
        </w:rPr>
        <w:t>a</w:t>
      </w:r>
      <w:r w:rsidRPr="00182DEB">
        <w:rPr>
          <w:rFonts w:ascii="Times New Roman" w:hAnsi="Times New Roman" w:cs="Times New Roman"/>
          <w:sz w:val="24"/>
          <w:szCs w:val="24"/>
        </w:rPr>
        <w:t xml:space="preserve">erobic exercise results in exercise- induced increases the dictation of the mitochondrial genes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"10.1042/bse0420001", "ISSN" : "0071-1365", "PMID" : "17144876", "abstract" : "Exercise produces a multitude of time- and intensity-dependent physiological, biochemical and molecular changes within skeletal muscle. With the onset of contractile activity, cytosolic and mitochondrial [Ca(2+)] levels are rapidly increased and, depending on the relative intensity of the exercise, metabolite concentrations change (i.e. increases in [ADP] and [AMP], decreases in muscle creatine phosphate and glycogen). These contraction-induced metabolic disturbances activate several key kinases and phosphatases involved in signal transduction. Important among these are the calcium dependent signalling pathways that respond to elevated Ca(2+) concentrations (including Ca(2+)/calmodulin-dependent kinase, Ca(2+)-dependent protein kinase C and the Ca(2+)/calmodulin-dependent phosphatase calcineurin), the 5'-adenosine monophosphate-activated protein kinase, several of the mitogen-activated protein kinases and protein kinase B/Akt. The role of these signal transducers in the regulation of carbohydrate and fat metabolism in response to increased contractile activity has been the focus of intense research efforts during the past decade.", "author" : [ { "dropping-particle" : "", "family" : "Hawley", "given" : "John A.", "non-dropping-particle" : "", "parse-names" : false, "suffix" : "" }, { "dropping-particle" : "", "family" : "Hargreaves", "given" : "Mark", "non-dropping-particle" : "", "parse-names" : false, "suffix" : "" }, { "dropping-particle" : "", "family" : "Zierath", "given" : "Juleen R.", "non-dropping-particle" : "", "parse-names" : false, "suffix" : "" } ], "container-title" : "Essays In Biochemistry", "id" : "ITEM-1", "issued" : { "date-parts" : [ [ "2006", "11", "27" ] ] }, "page" : "1-12", "title" : "Signalling mechanisms in skeletal muscle: role in substrate selection and muscle adaptation", "type" : "article-journal", "volume" : "42" }, "uris" : [ "http://www.mendeley.com/documents/?uuid=99d418ab-f641-39db-aa7a-c2d2c74204af" ] } ], "mendeley" : { "formattedCitation" : "(Hawley, Hargreaves and Zierath, 2006)", "plainTextFormattedCitation" : "(Hawley, Hargreaves and Zierath, 2006)", "previouslyFormattedCitation" : "(Hawley, Hargreaves and Zierath, 2006)" }, "properties" : { "noteIndex" : 1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(Hawley, Hargreaves and Zierath, 2006)</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w:t>
      </w:r>
    </w:p>
    <w:p w14:paraId="351A98B3" w14:textId="73A0981B" w:rsidR="00217644" w:rsidRPr="00182DEB" w:rsidRDefault="00CC17FD" w:rsidP="00217644">
      <w:pPr>
        <w:pStyle w:val="NormalWeb"/>
        <w:shd w:val="clear" w:color="auto" w:fill="FFFFFF"/>
        <w:spacing w:before="0" w:beforeAutospacing="0" w:after="0" w:afterAutospacing="0"/>
        <w:rPr>
          <w:shd w:val="clear" w:color="auto" w:fill="FFFFFF"/>
        </w:rPr>
      </w:pPr>
      <w:r w:rsidRPr="00182DEB">
        <w:t xml:space="preserve">By </w:t>
      </w:r>
      <w:r w:rsidR="00182DEB" w:rsidRPr="00182DEB">
        <w:t>maintaining</w:t>
      </w:r>
      <w:r w:rsidRPr="00182DEB">
        <w:t xml:space="preserve"> physically activ</w:t>
      </w:r>
      <w:r w:rsidR="00182DEB" w:rsidRPr="00182DEB">
        <w:t>ity</w:t>
      </w:r>
      <w:r w:rsidRPr="00182DEB">
        <w:t xml:space="preserve">, </w:t>
      </w:r>
      <w:r w:rsidRPr="00182DEB">
        <w:rPr>
          <w:shd w:val="clear" w:color="auto" w:fill="FFFFFF"/>
        </w:rPr>
        <w:t>increases the muscle strength in the lower limbs that is linked to improving quality of life and reduc</w:t>
      </w:r>
      <w:r w:rsidR="00182DEB" w:rsidRPr="00182DEB">
        <w:rPr>
          <w:shd w:val="clear" w:color="auto" w:fill="FFFFFF"/>
        </w:rPr>
        <w:t xml:space="preserve">es </w:t>
      </w:r>
      <w:r w:rsidRPr="00182DEB">
        <w:rPr>
          <w:shd w:val="clear" w:color="auto" w:fill="FFFFFF"/>
        </w:rPr>
        <w:t xml:space="preserve">the incidence of falls, to do this it can be done by an exercise as simple </w:t>
      </w:r>
      <w:r w:rsidR="00182DEB" w:rsidRPr="00182DEB">
        <w:rPr>
          <w:shd w:val="clear" w:color="auto" w:fill="FFFFFF"/>
        </w:rPr>
        <w:t>as</w:t>
      </w:r>
      <w:r w:rsidRPr="00182DEB">
        <w:rPr>
          <w:shd w:val="clear" w:color="auto" w:fill="FFFFFF"/>
        </w:rPr>
        <w:t xml:space="preserve"> low intensity as walking/ light jogging/ rowing, any exercise that it is for long periods with no rest. Continuous exercise can also maintain mobility and provide a protection from a rapid decline in functionality </w:t>
      </w:r>
      <w:r w:rsidRPr="00182DEB">
        <w:rPr>
          <w:shd w:val="clear" w:color="auto" w:fill="FFFFFF"/>
        </w:rPr>
        <w:fldChar w:fldCharType="begin" w:fldLock="1"/>
      </w:r>
      <w:r w:rsidRPr="00182DEB">
        <w:rPr>
          <w:shd w:val="clear" w:color="auto" w:fill="FFFFFF"/>
        </w:rPr>
        <w:instrText>ADDIN CSL_CITATION { "citationItems" : [ { "id" : "ITEM-1", "itemData" : { "DOI" : "10.1111/j.1532-5415.2005.53103.x", "ISSN" : "00028614", "author" : [ { "dropping-particle" : "", "family" : "Simonsick", "given" : "Eleanor M.", "non-dropping-particle" : "", "parse-names" : false, "suffix" : "" }, { "dropping-particle" : "", "family" : "Guralnik", "given" : "Jack M.", "non-dropping-particle" : "", "parse-names" : false, "suffix" : "" }, { "dropping-particle" : "", "family" : "Volpato", "given" : "Stefano", "non-dropping-particle" : "", "parse-names" : false, "suffix" : "" }, { "dropping-particle" : "", "family" : "Balfour", "given" : "Jennifer", "non-dropping-particle" : "", "parse-names" : false, "suffix" : "" }, { "dropping-particle" : "", "family" : "Fried", "given" : "Linda P.", "non-dropping-particle" : "", "parse-names" : false, "suffix" : "" } ], "container-title" : "Journal of the American Geriatrics Society", "id" : "ITEM-1", "issue" : "2", "issued" : { "date-parts" : [ [ "2005", "2", "1" ] ] }, "page" : "198-203", "publisher" : "Blackwell Science Inc", "title" : "Just Get Out the Door! Importance of Walking Outside the Home for Maintaining Mobility: Findings from the Women's Health and Aging Study", "type" : "article-journal", "volume" : "53" }, "uris" : [ "http://www.mendeley.com/documents/?uuid=01c1c88b-770d-3134-9adb-307b7c4f179c" ] } ], "mendeley" : { "formattedCitation" : "(Simonsick &lt;i&gt;et al.&lt;/i&gt;, 2005)", "plainTextFormattedCitation" : "(Simonsick et al., 2005)", "previouslyFormattedCitation" : "(Simonsick &lt;i&gt;et al.&lt;/i&gt;, 2005)" }, "properties" : { "noteIndex" : 1 }, "schema" : "https://github.com/citation-style-language/schema/raw/master/csl-citation.json" }</w:instrText>
      </w:r>
      <w:r w:rsidRPr="00182DEB">
        <w:rPr>
          <w:shd w:val="clear" w:color="auto" w:fill="FFFFFF"/>
        </w:rPr>
        <w:fldChar w:fldCharType="separate"/>
      </w:r>
      <w:r w:rsidRPr="00182DEB">
        <w:rPr>
          <w:noProof/>
          <w:shd w:val="clear" w:color="auto" w:fill="FFFFFF"/>
        </w:rPr>
        <w:t xml:space="preserve">(Simonsick </w:t>
      </w:r>
      <w:r w:rsidRPr="00182DEB">
        <w:rPr>
          <w:i/>
          <w:noProof/>
          <w:shd w:val="clear" w:color="auto" w:fill="FFFFFF"/>
        </w:rPr>
        <w:t>et al.</w:t>
      </w:r>
      <w:r w:rsidRPr="00182DEB">
        <w:rPr>
          <w:noProof/>
          <w:shd w:val="clear" w:color="auto" w:fill="FFFFFF"/>
        </w:rPr>
        <w:t>, 2005)</w:t>
      </w:r>
      <w:r w:rsidRPr="00182DEB">
        <w:rPr>
          <w:shd w:val="clear" w:color="auto" w:fill="FFFFFF"/>
        </w:rPr>
        <w:fldChar w:fldCharType="end"/>
      </w:r>
      <w:r w:rsidRPr="00182DEB">
        <w:rPr>
          <w:shd w:val="clear" w:color="auto" w:fill="FFFFFF"/>
        </w:rPr>
        <w:t xml:space="preserve">. </w:t>
      </w:r>
    </w:p>
    <w:p w14:paraId="5860D940" w14:textId="77777777" w:rsidR="00217644" w:rsidRPr="00182DEB" w:rsidRDefault="00217644" w:rsidP="00217644">
      <w:pPr>
        <w:pStyle w:val="NormalWeb"/>
        <w:shd w:val="clear" w:color="auto" w:fill="FFFFFF"/>
        <w:spacing w:before="0" w:beforeAutospacing="0" w:after="0" w:afterAutospacing="0"/>
        <w:rPr>
          <w:shd w:val="clear" w:color="auto" w:fill="FFFFFF"/>
        </w:rPr>
      </w:pPr>
    </w:p>
    <w:p w14:paraId="167B5E5E" w14:textId="77777777" w:rsidR="00217644" w:rsidRPr="00182DEB" w:rsidRDefault="00217644" w:rsidP="00217644">
      <w:pPr>
        <w:rPr>
          <w:rFonts w:ascii="Times New Roman" w:hAnsi="Times New Roman" w:cs="Times New Roman"/>
          <w:sz w:val="24"/>
          <w:szCs w:val="24"/>
        </w:rPr>
      </w:pPr>
      <w:r w:rsidRPr="00182DEB">
        <w:rPr>
          <w:rFonts w:ascii="Times New Roman" w:hAnsi="Times New Roman" w:cs="Times New Roman"/>
          <w:sz w:val="24"/>
          <w:szCs w:val="24"/>
        </w:rPr>
        <w:t>If exercise is an important mechanism in slowing sarcopenia and reducing the functional decline due to aging, then the type and mode of exercise becomes important in allowing people to regularly engage.</w:t>
      </w:r>
    </w:p>
    <w:p w14:paraId="15E00821" w14:textId="77777777" w:rsidR="00942336" w:rsidRPr="00182DEB" w:rsidRDefault="00217644">
      <w:pPr>
        <w:rPr>
          <w:rFonts w:ascii="Times New Roman" w:hAnsi="Times New Roman" w:cs="Times New Roman"/>
          <w:sz w:val="24"/>
          <w:szCs w:val="24"/>
        </w:rPr>
      </w:pPr>
      <w:r w:rsidRPr="00182DEB">
        <w:rPr>
          <w:rFonts w:ascii="Times New Roman" w:hAnsi="Times New Roman" w:cs="Times New Roman"/>
          <w:sz w:val="24"/>
          <w:szCs w:val="24"/>
        </w:rPr>
        <w:t>Traditionally the ACSM guidelines propose moderate activity of 150 minutes per week but this may be impractical of older people relating to time and recovery from that exercise. Especially for those who have never included exercise in their normal life styles. More recently HIIT training has been shown to be as effective at improving functional fitness in this groups without the need for the full 150 minutes time commitment. HIIT training seems to induce a more intense adaptation stimulus that continuous training and so may be a more effective strategy in encourage older participants to exercise.</w:t>
      </w:r>
    </w:p>
    <w:p w14:paraId="4EA49482" w14:textId="77777777" w:rsidR="00942336" w:rsidRPr="00182DEB" w:rsidRDefault="00942336">
      <w:pPr>
        <w:rPr>
          <w:rFonts w:ascii="Times New Roman" w:hAnsi="Times New Roman" w:cs="Times New Roman"/>
          <w:b/>
          <w:sz w:val="24"/>
          <w:szCs w:val="24"/>
        </w:rPr>
      </w:pPr>
      <w:r w:rsidRPr="00182DEB">
        <w:rPr>
          <w:rFonts w:ascii="Times New Roman" w:hAnsi="Times New Roman" w:cs="Times New Roman"/>
          <w:b/>
          <w:sz w:val="24"/>
          <w:szCs w:val="24"/>
        </w:rPr>
        <w:t xml:space="preserve">HIIT </w:t>
      </w:r>
    </w:p>
    <w:p w14:paraId="1AE213C0" w14:textId="77777777" w:rsidR="00217644" w:rsidRPr="00182DEB" w:rsidRDefault="00942336">
      <w:pPr>
        <w:rPr>
          <w:rFonts w:ascii="Times New Roman" w:hAnsi="Times New Roman" w:cs="Times New Roman"/>
          <w:sz w:val="24"/>
          <w:szCs w:val="24"/>
        </w:rPr>
      </w:pPr>
      <w:r w:rsidRPr="00182DEB">
        <w:rPr>
          <w:rFonts w:ascii="Times New Roman" w:hAnsi="Times New Roman" w:cs="Times New Roman"/>
          <w:sz w:val="24"/>
          <w:szCs w:val="24"/>
        </w:rPr>
        <w:t xml:space="preserve">HITT involves </w:t>
      </w:r>
      <w:r w:rsidR="00B56A10" w:rsidRPr="00182DEB">
        <w:rPr>
          <w:rFonts w:ascii="Times New Roman" w:hAnsi="Times New Roman" w:cs="Times New Roman"/>
          <w:sz w:val="24"/>
          <w:szCs w:val="24"/>
        </w:rPr>
        <w:t xml:space="preserve">short bursts </w:t>
      </w:r>
      <w:r w:rsidRPr="00182DEB">
        <w:rPr>
          <w:rFonts w:ascii="Times New Roman" w:hAnsi="Times New Roman" w:cs="Times New Roman"/>
          <w:sz w:val="24"/>
          <w:szCs w:val="24"/>
        </w:rPr>
        <w:t xml:space="preserve">of direct work </w:t>
      </w:r>
      <w:r w:rsidR="00B56A10" w:rsidRPr="00182DEB">
        <w:rPr>
          <w:rFonts w:ascii="Times New Roman" w:hAnsi="Times New Roman" w:cs="Times New Roman"/>
          <w:sz w:val="24"/>
          <w:szCs w:val="24"/>
        </w:rPr>
        <w:t xml:space="preserve">of </w:t>
      </w:r>
      <w:r w:rsidRPr="00182DEB">
        <w:rPr>
          <w:rFonts w:ascii="Times New Roman" w:hAnsi="Times New Roman" w:cs="Times New Roman"/>
          <w:sz w:val="24"/>
          <w:szCs w:val="24"/>
        </w:rPr>
        <w:t xml:space="preserve">vigorous intensity. The total workout timing would be an average 20-25 minute workout which includes  warm up, cool down and active or resting recovery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"10.1152/japplphysiol.01237.2011", "ISSN" : "1522-1601", "PMID" : "21979806", "abstract" : "exercise is an established therapeutic adjunct in the management of several chronic diseases. Traditionally, the form of exercise most commonly prescribed by clinicians is continuous moderate-to-vigorous-intensity exercise that can be sustained for \u223c20\u201360 min. This is consistent with current US", "author" : [ { "dropping-particle" : "", "family" : "Gaesser", "given" : "Glenn A", "non-dropping-particle" : "", "parse-names" : false, "suffix" : "" }, { "dropping-particle" : "", "family" : "Angadi", "given" : "Siddhartha S", "non-dropping-particle" : "", "parse-names" : false, "suffix" : "" } ], "container-title" : "Journal of applied physiology (Bethesda, Md. : 1985)", "id" : "ITEM-1", "issue" : "6", "issued" : { "date-parts" : [ [ "2011", "12", "1" ] ] }, "page" : "1540-1", "publisher" : "American Physiological Society", "title" : "High-intensity interval training for health and fitness: can less be more?", "type" : "article-journal", "volume" : "111" }, "uris" : [ "http://www.mendeley.com/documents/?uuid=31f17c94-fdfa-37f0-b42a-5aed2b762e69" ] } ], "mendeley" : { "formattedCitation" : "(Gaesser and Angadi, 2011)", "plainTextFormattedCitation" : "(Gaesser and Angadi, 2011)", "previouslyFormattedCitation" : "(Gaesser and Angadi, 2011)"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(Gaesser and Angadi, 2011)</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w:t>
      </w:r>
    </w:p>
    <w:p w14:paraId="6E1C5C07" w14:textId="77777777" w:rsidR="00942336" w:rsidRPr="00182DEB" w:rsidRDefault="00942336">
      <w:pPr>
        <w:rPr>
          <w:rFonts w:ascii="Times New Roman" w:hAnsi="Times New Roman" w:cs="Times New Roman"/>
          <w:i/>
          <w:sz w:val="24"/>
          <w:szCs w:val="24"/>
        </w:rPr>
      </w:pPr>
      <w:r w:rsidRPr="00182DEB">
        <w:rPr>
          <w:rFonts w:ascii="Times New Roman" w:hAnsi="Times New Roman" w:cs="Times New Roman"/>
          <w:i/>
          <w:sz w:val="24"/>
          <w:szCs w:val="24"/>
        </w:rPr>
        <w:t xml:space="preserve">HIIT programme example </w:t>
      </w:r>
    </w:p>
    <w:tbl>
      <w:tblPr>
        <w:tblStyle w:val="TableGrid"/>
        <w:tblW w:w="0" w:type="auto"/>
        <w:tblLook w:val="04A0" w:firstRow="1" w:lastRow="0" w:firstColumn="1" w:lastColumn="0" w:noHBand="0" w:noVBand="1"/>
      </w:tblPr>
      <w:tblGrid>
        <w:gridCol w:w="2254"/>
        <w:gridCol w:w="2254"/>
        <w:gridCol w:w="2254"/>
        <w:gridCol w:w="2254"/>
      </w:tblGrid>
      <w:tr w:rsidR="00942336" w:rsidRPr="00182DEB" w14:paraId="75F1A06B" w14:textId="77777777" w:rsidTr="00942336">
        <w:tc>
          <w:tcPr>
            <w:tcW w:w="2254" w:type="dxa"/>
          </w:tcPr>
          <w:p w14:paraId="510369FC" w14:textId="77777777" w:rsidR="00942336" w:rsidRPr="00182DEB" w:rsidRDefault="00942336">
            <w:pPr>
              <w:rPr>
                <w:rFonts w:ascii="Times New Roman" w:hAnsi="Times New Roman" w:cs="Times New Roman"/>
                <w:b/>
                <w:sz w:val="24"/>
                <w:szCs w:val="24"/>
              </w:rPr>
            </w:pPr>
            <w:r w:rsidRPr="00182DEB">
              <w:rPr>
                <w:rFonts w:ascii="Times New Roman" w:hAnsi="Times New Roman" w:cs="Times New Roman"/>
                <w:b/>
                <w:sz w:val="24"/>
                <w:szCs w:val="24"/>
              </w:rPr>
              <w:t>Exercise</w:t>
            </w:r>
          </w:p>
        </w:tc>
        <w:tc>
          <w:tcPr>
            <w:tcW w:w="2254" w:type="dxa"/>
          </w:tcPr>
          <w:p w14:paraId="0B05C2B0" w14:textId="77777777" w:rsidR="00942336" w:rsidRPr="00182DEB" w:rsidRDefault="00942336">
            <w:pPr>
              <w:rPr>
                <w:rFonts w:ascii="Times New Roman" w:hAnsi="Times New Roman" w:cs="Times New Roman"/>
                <w:b/>
                <w:sz w:val="24"/>
                <w:szCs w:val="24"/>
              </w:rPr>
            </w:pPr>
            <w:r w:rsidRPr="00182DEB">
              <w:rPr>
                <w:rFonts w:ascii="Times New Roman" w:hAnsi="Times New Roman" w:cs="Times New Roman"/>
                <w:b/>
                <w:sz w:val="24"/>
                <w:szCs w:val="24"/>
              </w:rPr>
              <w:t>Work</w:t>
            </w:r>
          </w:p>
        </w:tc>
        <w:tc>
          <w:tcPr>
            <w:tcW w:w="2254" w:type="dxa"/>
          </w:tcPr>
          <w:p w14:paraId="770AA11E" w14:textId="77777777" w:rsidR="00942336" w:rsidRPr="00182DEB" w:rsidRDefault="00942336">
            <w:pPr>
              <w:rPr>
                <w:rFonts w:ascii="Times New Roman" w:hAnsi="Times New Roman" w:cs="Times New Roman"/>
                <w:b/>
                <w:sz w:val="24"/>
                <w:szCs w:val="24"/>
              </w:rPr>
            </w:pPr>
            <w:r w:rsidRPr="00182DEB">
              <w:rPr>
                <w:rFonts w:ascii="Times New Roman" w:hAnsi="Times New Roman" w:cs="Times New Roman"/>
                <w:b/>
                <w:sz w:val="24"/>
                <w:szCs w:val="24"/>
              </w:rPr>
              <w:t>Rest</w:t>
            </w:r>
          </w:p>
        </w:tc>
        <w:tc>
          <w:tcPr>
            <w:tcW w:w="2254" w:type="dxa"/>
          </w:tcPr>
          <w:p w14:paraId="6DD3EB2A" w14:textId="77777777" w:rsidR="00942336" w:rsidRPr="00182DEB" w:rsidRDefault="00942336">
            <w:pPr>
              <w:rPr>
                <w:rFonts w:ascii="Times New Roman" w:hAnsi="Times New Roman" w:cs="Times New Roman"/>
                <w:b/>
                <w:sz w:val="24"/>
                <w:szCs w:val="24"/>
              </w:rPr>
            </w:pPr>
            <w:r w:rsidRPr="00182DEB">
              <w:rPr>
                <w:rFonts w:ascii="Times New Roman" w:hAnsi="Times New Roman" w:cs="Times New Roman"/>
                <w:b/>
                <w:sz w:val="24"/>
                <w:szCs w:val="24"/>
              </w:rPr>
              <w:t>Sets</w:t>
            </w:r>
          </w:p>
        </w:tc>
      </w:tr>
      <w:tr w:rsidR="00942336" w:rsidRPr="00182DEB" w14:paraId="7DDF8E5A" w14:textId="77777777" w:rsidTr="00942336">
        <w:tc>
          <w:tcPr>
            <w:tcW w:w="2254" w:type="dxa"/>
          </w:tcPr>
          <w:p w14:paraId="51A413F1"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b/>
                <w:sz w:val="24"/>
                <w:szCs w:val="24"/>
              </w:rPr>
              <w:t>Warm up</w:t>
            </w:r>
            <w:r w:rsidRPr="00182DEB">
              <w:rPr>
                <w:rFonts w:ascii="Times New Roman" w:hAnsi="Times New Roman" w:cs="Times New Roman"/>
                <w:sz w:val="24"/>
                <w:szCs w:val="24"/>
              </w:rPr>
              <w:t>- Stationary bike</w:t>
            </w:r>
          </w:p>
        </w:tc>
        <w:tc>
          <w:tcPr>
            <w:tcW w:w="2254" w:type="dxa"/>
          </w:tcPr>
          <w:p w14:paraId="1E9DF41F"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sz w:val="24"/>
                <w:szCs w:val="24"/>
              </w:rPr>
              <w:t xml:space="preserve">5 mins </w:t>
            </w:r>
          </w:p>
        </w:tc>
        <w:tc>
          <w:tcPr>
            <w:tcW w:w="2254" w:type="dxa"/>
          </w:tcPr>
          <w:p w14:paraId="2CAB0E7F"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sz w:val="24"/>
                <w:szCs w:val="24"/>
              </w:rPr>
              <w:t>0</w:t>
            </w:r>
          </w:p>
        </w:tc>
        <w:tc>
          <w:tcPr>
            <w:tcW w:w="2254" w:type="dxa"/>
          </w:tcPr>
          <w:p w14:paraId="3957F1AF"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sz w:val="24"/>
                <w:szCs w:val="24"/>
              </w:rPr>
              <w:t>1</w:t>
            </w:r>
          </w:p>
        </w:tc>
      </w:tr>
      <w:tr w:rsidR="00942336" w:rsidRPr="00182DEB" w14:paraId="6C44A2E3" w14:textId="77777777" w:rsidTr="00942336">
        <w:tc>
          <w:tcPr>
            <w:tcW w:w="2254" w:type="dxa"/>
          </w:tcPr>
          <w:p w14:paraId="0465135A"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b/>
                <w:sz w:val="24"/>
                <w:szCs w:val="24"/>
              </w:rPr>
              <w:t>HIIT</w:t>
            </w:r>
            <w:r w:rsidRPr="00182DEB">
              <w:rPr>
                <w:rFonts w:ascii="Times New Roman" w:hAnsi="Times New Roman" w:cs="Times New Roman"/>
                <w:sz w:val="24"/>
                <w:szCs w:val="24"/>
              </w:rPr>
              <w:t xml:space="preserve">- Stationary bike </w:t>
            </w:r>
          </w:p>
        </w:tc>
        <w:tc>
          <w:tcPr>
            <w:tcW w:w="2254" w:type="dxa"/>
          </w:tcPr>
          <w:p w14:paraId="34A41287"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sz w:val="24"/>
                <w:szCs w:val="24"/>
              </w:rPr>
              <w:t xml:space="preserve">30 seconds </w:t>
            </w:r>
          </w:p>
        </w:tc>
        <w:tc>
          <w:tcPr>
            <w:tcW w:w="2254" w:type="dxa"/>
          </w:tcPr>
          <w:p w14:paraId="15678CAD"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sz w:val="24"/>
                <w:szCs w:val="24"/>
              </w:rPr>
              <w:t xml:space="preserve">30 seconds </w:t>
            </w:r>
          </w:p>
        </w:tc>
        <w:tc>
          <w:tcPr>
            <w:tcW w:w="2254" w:type="dxa"/>
          </w:tcPr>
          <w:p w14:paraId="408C9533" w14:textId="77777777" w:rsidR="00942336" w:rsidRPr="00182DEB" w:rsidRDefault="00942336">
            <w:pPr>
              <w:rPr>
                <w:rFonts w:ascii="Times New Roman" w:hAnsi="Times New Roman" w:cs="Times New Roman"/>
                <w:sz w:val="24"/>
                <w:szCs w:val="24"/>
              </w:rPr>
            </w:pPr>
            <w:r w:rsidRPr="00182DEB">
              <w:rPr>
                <w:rFonts w:ascii="Times New Roman" w:hAnsi="Times New Roman" w:cs="Times New Roman"/>
                <w:sz w:val="24"/>
                <w:szCs w:val="24"/>
              </w:rPr>
              <w:t>8-16</w:t>
            </w:r>
          </w:p>
        </w:tc>
      </w:tr>
      <w:tr w:rsidR="00942336" w:rsidRPr="00182DEB" w14:paraId="7BE31FE8" w14:textId="77777777" w:rsidTr="00942336">
        <w:tc>
          <w:tcPr>
            <w:tcW w:w="2254" w:type="dxa"/>
          </w:tcPr>
          <w:p w14:paraId="2029C4BF" w14:textId="77777777" w:rsidR="00942336" w:rsidRPr="00182DEB" w:rsidRDefault="003A160A">
            <w:pPr>
              <w:rPr>
                <w:rFonts w:ascii="Times New Roman" w:hAnsi="Times New Roman" w:cs="Times New Roman"/>
                <w:sz w:val="24"/>
                <w:szCs w:val="24"/>
              </w:rPr>
            </w:pPr>
            <w:r w:rsidRPr="00182DEB">
              <w:rPr>
                <w:rFonts w:ascii="Times New Roman" w:hAnsi="Times New Roman" w:cs="Times New Roman"/>
                <w:b/>
                <w:sz w:val="24"/>
                <w:szCs w:val="24"/>
              </w:rPr>
              <w:t>Cool down</w:t>
            </w:r>
            <w:r w:rsidRPr="00182DEB">
              <w:rPr>
                <w:rFonts w:ascii="Times New Roman" w:hAnsi="Times New Roman" w:cs="Times New Roman"/>
                <w:sz w:val="24"/>
                <w:szCs w:val="24"/>
              </w:rPr>
              <w:t xml:space="preserve"> – Stationary bike </w:t>
            </w:r>
          </w:p>
        </w:tc>
        <w:tc>
          <w:tcPr>
            <w:tcW w:w="2254" w:type="dxa"/>
          </w:tcPr>
          <w:p w14:paraId="7D6D849C" w14:textId="77777777" w:rsidR="00942336" w:rsidRPr="00182DEB" w:rsidRDefault="003A160A">
            <w:pPr>
              <w:rPr>
                <w:rFonts w:ascii="Times New Roman" w:hAnsi="Times New Roman" w:cs="Times New Roman"/>
                <w:sz w:val="24"/>
                <w:szCs w:val="24"/>
              </w:rPr>
            </w:pPr>
            <w:r w:rsidRPr="00182DEB">
              <w:rPr>
                <w:rFonts w:ascii="Times New Roman" w:hAnsi="Times New Roman" w:cs="Times New Roman"/>
                <w:sz w:val="24"/>
                <w:szCs w:val="24"/>
              </w:rPr>
              <w:t xml:space="preserve">5 mins </w:t>
            </w:r>
          </w:p>
        </w:tc>
        <w:tc>
          <w:tcPr>
            <w:tcW w:w="2254" w:type="dxa"/>
          </w:tcPr>
          <w:p w14:paraId="6D8561D6" w14:textId="77777777" w:rsidR="00942336" w:rsidRPr="00182DEB" w:rsidRDefault="003A160A">
            <w:pPr>
              <w:rPr>
                <w:rFonts w:ascii="Times New Roman" w:hAnsi="Times New Roman" w:cs="Times New Roman"/>
                <w:sz w:val="24"/>
                <w:szCs w:val="24"/>
              </w:rPr>
            </w:pPr>
            <w:r w:rsidRPr="00182DEB">
              <w:rPr>
                <w:rFonts w:ascii="Times New Roman" w:hAnsi="Times New Roman" w:cs="Times New Roman"/>
                <w:sz w:val="24"/>
                <w:szCs w:val="24"/>
              </w:rPr>
              <w:t>0</w:t>
            </w:r>
          </w:p>
        </w:tc>
        <w:tc>
          <w:tcPr>
            <w:tcW w:w="2254" w:type="dxa"/>
          </w:tcPr>
          <w:p w14:paraId="310730AD" w14:textId="77777777" w:rsidR="00942336" w:rsidRPr="00182DEB" w:rsidRDefault="003A160A">
            <w:pPr>
              <w:rPr>
                <w:rFonts w:ascii="Times New Roman" w:hAnsi="Times New Roman" w:cs="Times New Roman"/>
                <w:sz w:val="24"/>
                <w:szCs w:val="24"/>
              </w:rPr>
            </w:pPr>
            <w:r w:rsidRPr="00182DEB">
              <w:rPr>
                <w:rFonts w:ascii="Times New Roman" w:hAnsi="Times New Roman" w:cs="Times New Roman"/>
                <w:sz w:val="24"/>
                <w:szCs w:val="24"/>
              </w:rPr>
              <w:t>1</w:t>
            </w:r>
          </w:p>
        </w:tc>
      </w:tr>
    </w:tbl>
    <w:p w14:paraId="534BF6EC" w14:textId="77777777" w:rsidR="00557844" w:rsidRPr="00182DEB" w:rsidRDefault="00557844">
      <w:pPr>
        <w:rPr>
          <w:rFonts w:ascii="Times New Roman" w:hAnsi="Times New Roman" w:cs="Times New Roman"/>
          <w:sz w:val="24"/>
          <w:szCs w:val="24"/>
        </w:rPr>
      </w:pPr>
    </w:p>
    <w:p w14:paraId="244CAE74" w14:textId="77777777" w:rsidR="00557844" w:rsidRPr="00182DEB" w:rsidRDefault="00557844">
      <w:pPr>
        <w:rPr>
          <w:rFonts w:ascii="Times New Roman" w:hAnsi="Times New Roman" w:cs="Times New Roman"/>
          <w:sz w:val="24"/>
          <w:szCs w:val="24"/>
        </w:rPr>
      </w:pPr>
      <w:r w:rsidRPr="00182DEB">
        <w:rPr>
          <w:rFonts w:ascii="Times New Roman" w:hAnsi="Times New Roman" w:cs="Times New Roman"/>
          <w:sz w:val="24"/>
          <w:szCs w:val="24"/>
        </w:rPr>
        <w:t xml:space="preserve">As the table shows, the timing of a HIIT workout is very short compared to the 150 minuets recommended by the ACSM guidelines. </w:t>
      </w:r>
    </w:p>
    <w:p w14:paraId="2CCD4F24" w14:textId="77777777" w:rsidR="00557844" w:rsidRPr="00182DEB" w:rsidRDefault="00557844">
      <w:pPr>
        <w:rPr>
          <w:rFonts w:ascii="Times New Roman" w:hAnsi="Times New Roman" w:cs="Times New Roman"/>
          <w:sz w:val="24"/>
          <w:szCs w:val="24"/>
        </w:rPr>
      </w:pPr>
    </w:p>
    <w:p w14:paraId="5B61D7FE" w14:textId="77777777" w:rsidR="00557844" w:rsidRPr="00182DEB" w:rsidRDefault="00557844">
      <w:pPr>
        <w:rPr>
          <w:rFonts w:ascii="Times New Roman" w:hAnsi="Times New Roman" w:cs="Times New Roman"/>
          <w:sz w:val="24"/>
          <w:szCs w:val="24"/>
        </w:rPr>
      </w:pPr>
    </w:p>
    <w:p w14:paraId="53A802CA" w14:textId="77777777" w:rsidR="00F57C20" w:rsidRPr="00182DEB" w:rsidRDefault="00F57C20">
      <w:pPr>
        <w:rPr>
          <w:rFonts w:ascii="Times New Roman" w:hAnsi="Times New Roman" w:cs="Times New Roman"/>
          <w:b/>
          <w:sz w:val="24"/>
          <w:szCs w:val="24"/>
        </w:rPr>
      </w:pPr>
    </w:p>
    <w:p w14:paraId="6F7FDF37" w14:textId="77777777" w:rsidR="0041216A" w:rsidRPr="00182DEB" w:rsidRDefault="0041216A">
      <w:pPr>
        <w:rPr>
          <w:rFonts w:ascii="Times New Roman" w:hAnsi="Times New Roman" w:cs="Times New Roman"/>
          <w:b/>
          <w:sz w:val="24"/>
          <w:szCs w:val="24"/>
        </w:rPr>
      </w:pPr>
      <w:r w:rsidRPr="00182DEB">
        <w:rPr>
          <w:rFonts w:ascii="Times New Roman" w:hAnsi="Times New Roman" w:cs="Times New Roman"/>
          <w:b/>
          <w:sz w:val="24"/>
          <w:szCs w:val="24"/>
        </w:rPr>
        <w:t>Continuous</w:t>
      </w:r>
    </w:p>
    <w:p w14:paraId="17A32709" w14:textId="77777777" w:rsidR="0041216A" w:rsidRPr="00182DEB" w:rsidRDefault="0041216A" w:rsidP="0041216A">
      <w:pPr>
        <w:rPr>
          <w:rFonts w:ascii="Times New Roman" w:hAnsi="Times New Roman" w:cs="Times New Roman"/>
          <w:sz w:val="24"/>
          <w:szCs w:val="24"/>
        </w:rPr>
      </w:pPr>
      <w:r w:rsidRPr="00182DEB">
        <w:rPr>
          <w:rFonts w:ascii="Times New Roman" w:hAnsi="Times New Roman" w:cs="Times New Roman"/>
          <w:sz w:val="24"/>
          <w:szCs w:val="24"/>
        </w:rPr>
        <w:t xml:space="preserve">Continuous training involves large muscle groups in a repetitive manner for long periods of time, can be in most forms of exercise such as running, cycling, swimming or even rowing or even circuit based and typically uses the aerobic system for energy. Depending on the intensity of the workout, typically a workout would last between 20-60 minutes.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"ISBN" : "978-1-49633907-2", "author" : [ { "dropping-particle" : "", "family" : "ACSM", "given" : "", "non-dropping-particle" : "", "parse-names" : false, "suffix" : "" } ], "edition" : "10th", "id" : "ITEM-1", "issued" : { "date-parts" : [ [ "2016" ] ] }, "number-of-pages" : "4", "title" : "Guidelines for Exercise Testing and Perscription", "type" : "book" }, "uris" : [ "http://www.mendeley.com/documents/?uuid=eb097303-5db2-46f5-b1fb-d4c291389dfe" ] } ], "mendeley" : { "formattedCitation" : "(ACSM, 2016)", "plainTextFormattedCitation" : "(ACSM, 2016)", "previouslyFormattedCitation" : "(ACSM, 2016)" }, "properties" : { "noteIndex" : 3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(ACSM, 2016)</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w:t>
      </w:r>
    </w:p>
    <w:p w14:paraId="691D4707" w14:textId="77777777" w:rsidR="0041216A" w:rsidRPr="00182DEB" w:rsidRDefault="0041216A" w:rsidP="0041216A">
      <w:pPr>
        <w:rPr>
          <w:rFonts w:ascii="Times New Roman" w:hAnsi="Times New Roman" w:cs="Times New Roman"/>
          <w:i/>
          <w:sz w:val="24"/>
          <w:szCs w:val="24"/>
        </w:rPr>
      </w:pPr>
      <w:r w:rsidRPr="00182DEB">
        <w:rPr>
          <w:rFonts w:ascii="Times New Roman" w:hAnsi="Times New Roman" w:cs="Times New Roman"/>
          <w:i/>
          <w:sz w:val="24"/>
          <w:szCs w:val="24"/>
        </w:rPr>
        <w:t xml:space="preserve">Continuous programme example </w:t>
      </w:r>
    </w:p>
    <w:tbl>
      <w:tblPr>
        <w:tblStyle w:val="TableGrid"/>
        <w:tblW w:w="0" w:type="auto"/>
        <w:tblLook w:val="04A0" w:firstRow="1" w:lastRow="0" w:firstColumn="1" w:lastColumn="0" w:noHBand="0" w:noVBand="1"/>
      </w:tblPr>
      <w:tblGrid>
        <w:gridCol w:w="2254"/>
        <w:gridCol w:w="2254"/>
        <w:gridCol w:w="2254"/>
        <w:gridCol w:w="2254"/>
      </w:tblGrid>
      <w:tr w:rsidR="0041216A" w:rsidRPr="00182DEB" w14:paraId="36A825BE" w14:textId="77777777" w:rsidTr="0041216A">
        <w:tc>
          <w:tcPr>
            <w:tcW w:w="2254" w:type="dxa"/>
          </w:tcPr>
          <w:p w14:paraId="233AD1AE" w14:textId="77777777" w:rsidR="0041216A" w:rsidRPr="00182DEB" w:rsidRDefault="0041216A" w:rsidP="0041216A">
            <w:pPr>
              <w:rPr>
                <w:rFonts w:ascii="Times New Roman" w:hAnsi="Times New Roman" w:cs="Times New Roman"/>
                <w:b/>
                <w:sz w:val="24"/>
                <w:szCs w:val="24"/>
              </w:rPr>
            </w:pPr>
            <w:r w:rsidRPr="00182DEB">
              <w:rPr>
                <w:rFonts w:ascii="Times New Roman" w:hAnsi="Times New Roman" w:cs="Times New Roman"/>
                <w:b/>
                <w:sz w:val="24"/>
                <w:szCs w:val="24"/>
              </w:rPr>
              <w:t xml:space="preserve">Exercise </w:t>
            </w:r>
          </w:p>
        </w:tc>
        <w:tc>
          <w:tcPr>
            <w:tcW w:w="2254" w:type="dxa"/>
          </w:tcPr>
          <w:p w14:paraId="228AB689" w14:textId="77777777" w:rsidR="0041216A" w:rsidRPr="00182DEB" w:rsidRDefault="0041216A" w:rsidP="0041216A">
            <w:pPr>
              <w:rPr>
                <w:rFonts w:ascii="Times New Roman" w:hAnsi="Times New Roman" w:cs="Times New Roman"/>
                <w:b/>
                <w:sz w:val="24"/>
                <w:szCs w:val="24"/>
              </w:rPr>
            </w:pPr>
            <w:r w:rsidRPr="00182DEB">
              <w:rPr>
                <w:rFonts w:ascii="Times New Roman" w:hAnsi="Times New Roman" w:cs="Times New Roman"/>
                <w:b/>
                <w:sz w:val="24"/>
                <w:szCs w:val="24"/>
              </w:rPr>
              <w:t>Work</w:t>
            </w:r>
          </w:p>
        </w:tc>
        <w:tc>
          <w:tcPr>
            <w:tcW w:w="2254" w:type="dxa"/>
          </w:tcPr>
          <w:p w14:paraId="3E8973B2" w14:textId="77777777" w:rsidR="0041216A" w:rsidRPr="00182DEB" w:rsidRDefault="0041216A" w:rsidP="0041216A">
            <w:pPr>
              <w:rPr>
                <w:rFonts w:ascii="Times New Roman" w:hAnsi="Times New Roman" w:cs="Times New Roman"/>
                <w:b/>
                <w:sz w:val="24"/>
                <w:szCs w:val="24"/>
              </w:rPr>
            </w:pPr>
            <w:r w:rsidRPr="00182DEB">
              <w:rPr>
                <w:rFonts w:ascii="Times New Roman" w:hAnsi="Times New Roman" w:cs="Times New Roman"/>
                <w:b/>
                <w:sz w:val="24"/>
                <w:szCs w:val="24"/>
              </w:rPr>
              <w:t>Rest</w:t>
            </w:r>
          </w:p>
        </w:tc>
        <w:tc>
          <w:tcPr>
            <w:tcW w:w="2254" w:type="dxa"/>
          </w:tcPr>
          <w:p w14:paraId="3A2849E8" w14:textId="77777777" w:rsidR="0041216A" w:rsidRPr="00182DEB" w:rsidRDefault="0041216A" w:rsidP="0041216A">
            <w:pPr>
              <w:rPr>
                <w:rFonts w:ascii="Times New Roman" w:hAnsi="Times New Roman" w:cs="Times New Roman"/>
                <w:b/>
                <w:sz w:val="24"/>
                <w:szCs w:val="24"/>
              </w:rPr>
            </w:pPr>
            <w:r w:rsidRPr="00182DEB">
              <w:rPr>
                <w:rFonts w:ascii="Times New Roman" w:hAnsi="Times New Roman" w:cs="Times New Roman"/>
                <w:b/>
                <w:sz w:val="24"/>
                <w:szCs w:val="24"/>
              </w:rPr>
              <w:t>Sets</w:t>
            </w:r>
          </w:p>
        </w:tc>
      </w:tr>
      <w:tr w:rsidR="0041216A" w:rsidRPr="00182DEB" w14:paraId="14DC626F" w14:textId="77777777" w:rsidTr="0041216A">
        <w:tc>
          <w:tcPr>
            <w:tcW w:w="2254" w:type="dxa"/>
          </w:tcPr>
          <w:p w14:paraId="6BBCC968" w14:textId="77777777" w:rsidR="0041216A" w:rsidRPr="00182DEB" w:rsidRDefault="0041216A" w:rsidP="0041216A">
            <w:pPr>
              <w:rPr>
                <w:rFonts w:ascii="Times New Roman" w:hAnsi="Times New Roman" w:cs="Times New Roman"/>
                <w:sz w:val="24"/>
                <w:szCs w:val="24"/>
              </w:rPr>
            </w:pPr>
            <w:r w:rsidRPr="00182DEB">
              <w:rPr>
                <w:rFonts w:ascii="Times New Roman" w:hAnsi="Times New Roman" w:cs="Times New Roman"/>
                <w:b/>
                <w:sz w:val="24"/>
                <w:szCs w:val="24"/>
              </w:rPr>
              <w:t>Warm up</w:t>
            </w:r>
            <w:r w:rsidRPr="00182DEB">
              <w:rPr>
                <w:rFonts w:ascii="Times New Roman" w:hAnsi="Times New Roman" w:cs="Times New Roman"/>
                <w:sz w:val="24"/>
                <w:szCs w:val="24"/>
              </w:rPr>
              <w:t xml:space="preserve">- </w:t>
            </w:r>
            <w:r w:rsidR="00F57C20" w:rsidRPr="00182DEB">
              <w:rPr>
                <w:rFonts w:ascii="Times New Roman" w:hAnsi="Times New Roman" w:cs="Times New Roman"/>
                <w:sz w:val="24"/>
                <w:szCs w:val="24"/>
              </w:rPr>
              <w:t xml:space="preserve">low intensity walk </w:t>
            </w:r>
            <w:r w:rsidRPr="00182DEB">
              <w:rPr>
                <w:rFonts w:ascii="Times New Roman" w:hAnsi="Times New Roman" w:cs="Times New Roman"/>
                <w:sz w:val="24"/>
                <w:szCs w:val="24"/>
              </w:rPr>
              <w:t xml:space="preserve"> </w:t>
            </w:r>
          </w:p>
        </w:tc>
        <w:tc>
          <w:tcPr>
            <w:tcW w:w="2254" w:type="dxa"/>
          </w:tcPr>
          <w:p w14:paraId="44877D63" w14:textId="77777777" w:rsidR="0041216A" w:rsidRPr="00182DEB" w:rsidRDefault="0041216A" w:rsidP="0041216A">
            <w:pPr>
              <w:rPr>
                <w:rFonts w:ascii="Times New Roman" w:hAnsi="Times New Roman" w:cs="Times New Roman"/>
                <w:sz w:val="24"/>
                <w:szCs w:val="24"/>
              </w:rPr>
            </w:pPr>
            <w:r w:rsidRPr="00182DEB">
              <w:rPr>
                <w:rFonts w:ascii="Times New Roman" w:hAnsi="Times New Roman" w:cs="Times New Roman"/>
                <w:sz w:val="24"/>
                <w:szCs w:val="24"/>
              </w:rPr>
              <w:t xml:space="preserve">5 mins </w:t>
            </w:r>
          </w:p>
        </w:tc>
        <w:tc>
          <w:tcPr>
            <w:tcW w:w="2254" w:type="dxa"/>
          </w:tcPr>
          <w:p w14:paraId="1CE21A4E" w14:textId="77777777" w:rsidR="0041216A" w:rsidRPr="00182DEB" w:rsidRDefault="0041216A" w:rsidP="0041216A">
            <w:pPr>
              <w:rPr>
                <w:rFonts w:ascii="Times New Roman" w:hAnsi="Times New Roman" w:cs="Times New Roman"/>
                <w:sz w:val="24"/>
                <w:szCs w:val="24"/>
              </w:rPr>
            </w:pPr>
            <w:r w:rsidRPr="00182DEB">
              <w:rPr>
                <w:rFonts w:ascii="Times New Roman" w:hAnsi="Times New Roman" w:cs="Times New Roman"/>
                <w:sz w:val="24"/>
                <w:szCs w:val="24"/>
              </w:rPr>
              <w:t>0</w:t>
            </w:r>
          </w:p>
        </w:tc>
        <w:tc>
          <w:tcPr>
            <w:tcW w:w="2254" w:type="dxa"/>
          </w:tcPr>
          <w:p w14:paraId="2917E5EC" w14:textId="77777777" w:rsidR="0041216A" w:rsidRPr="00182DEB" w:rsidRDefault="0041216A" w:rsidP="0041216A">
            <w:pPr>
              <w:rPr>
                <w:rFonts w:ascii="Times New Roman" w:hAnsi="Times New Roman" w:cs="Times New Roman"/>
                <w:sz w:val="24"/>
                <w:szCs w:val="24"/>
              </w:rPr>
            </w:pPr>
            <w:r w:rsidRPr="00182DEB">
              <w:rPr>
                <w:rFonts w:ascii="Times New Roman" w:hAnsi="Times New Roman" w:cs="Times New Roman"/>
                <w:sz w:val="24"/>
                <w:szCs w:val="24"/>
              </w:rPr>
              <w:t>1</w:t>
            </w:r>
          </w:p>
        </w:tc>
      </w:tr>
      <w:tr w:rsidR="0041216A" w:rsidRPr="00182DEB" w14:paraId="53C223B3" w14:textId="77777777" w:rsidTr="0041216A">
        <w:tc>
          <w:tcPr>
            <w:tcW w:w="2254" w:type="dxa"/>
          </w:tcPr>
          <w:p w14:paraId="65B8EBAD" w14:textId="77777777" w:rsidR="00F57C20" w:rsidRPr="00182DEB" w:rsidRDefault="0041216A" w:rsidP="0041216A">
            <w:pPr>
              <w:rPr>
                <w:rFonts w:ascii="Times New Roman" w:hAnsi="Times New Roman" w:cs="Times New Roman"/>
                <w:sz w:val="24"/>
                <w:szCs w:val="24"/>
              </w:rPr>
            </w:pPr>
            <w:r w:rsidRPr="00182DEB">
              <w:rPr>
                <w:rFonts w:ascii="Times New Roman" w:hAnsi="Times New Roman" w:cs="Times New Roman"/>
                <w:b/>
                <w:sz w:val="24"/>
                <w:szCs w:val="24"/>
              </w:rPr>
              <w:t>Workout</w:t>
            </w:r>
            <w:r w:rsidRPr="00182DEB">
              <w:rPr>
                <w:rFonts w:ascii="Times New Roman" w:hAnsi="Times New Roman" w:cs="Times New Roman"/>
                <w:sz w:val="24"/>
                <w:szCs w:val="24"/>
              </w:rPr>
              <w:t xml:space="preserve">- Walking </w:t>
            </w:r>
            <w:r w:rsidR="00F57C20" w:rsidRPr="00182DEB">
              <w:rPr>
                <w:rFonts w:ascii="Times New Roman" w:hAnsi="Times New Roman" w:cs="Times New Roman"/>
                <w:sz w:val="24"/>
                <w:szCs w:val="24"/>
              </w:rPr>
              <w:t xml:space="preserve">Moderate </w:t>
            </w:r>
          </w:p>
          <w:p w14:paraId="02364443" w14:textId="77777777" w:rsidR="0041216A" w:rsidRPr="00182DEB" w:rsidRDefault="00F57C20" w:rsidP="0041216A">
            <w:pPr>
              <w:rPr>
                <w:rFonts w:ascii="Times New Roman" w:hAnsi="Times New Roman" w:cs="Times New Roman"/>
                <w:sz w:val="24"/>
                <w:szCs w:val="24"/>
              </w:rPr>
            </w:pPr>
            <w:r w:rsidRPr="00182DEB">
              <w:rPr>
                <w:rFonts w:ascii="Times New Roman" w:hAnsi="Times New Roman" w:cs="Times New Roman"/>
                <w:sz w:val="24"/>
                <w:szCs w:val="24"/>
              </w:rPr>
              <w:t>Vigorous</w:t>
            </w:r>
          </w:p>
        </w:tc>
        <w:tc>
          <w:tcPr>
            <w:tcW w:w="2254" w:type="dxa"/>
          </w:tcPr>
          <w:p w14:paraId="76E56DD7" w14:textId="77777777" w:rsidR="00F57C20" w:rsidRPr="00182DEB" w:rsidRDefault="00F57C20" w:rsidP="0041216A">
            <w:pPr>
              <w:rPr>
                <w:rFonts w:ascii="Times New Roman" w:hAnsi="Times New Roman" w:cs="Times New Roman"/>
                <w:sz w:val="24"/>
                <w:szCs w:val="24"/>
              </w:rPr>
            </w:pPr>
          </w:p>
          <w:p w14:paraId="5AB3D774" w14:textId="77777777" w:rsidR="00DC2704" w:rsidRPr="00182DEB" w:rsidRDefault="00DC2704" w:rsidP="0041216A">
            <w:pPr>
              <w:rPr>
                <w:rFonts w:ascii="Times New Roman" w:hAnsi="Times New Roman" w:cs="Times New Roman"/>
                <w:sz w:val="24"/>
                <w:szCs w:val="24"/>
              </w:rPr>
            </w:pPr>
            <w:r w:rsidRPr="00182DEB">
              <w:rPr>
                <w:rFonts w:ascii="Times New Roman" w:hAnsi="Times New Roman" w:cs="Times New Roman"/>
                <w:sz w:val="24"/>
                <w:szCs w:val="24"/>
              </w:rPr>
              <w:t>30-60</w:t>
            </w:r>
            <w:r w:rsidR="00F57C20" w:rsidRPr="00182DEB">
              <w:rPr>
                <w:rFonts w:ascii="Times New Roman" w:hAnsi="Times New Roman" w:cs="Times New Roman"/>
                <w:sz w:val="24"/>
                <w:szCs w:val="24"/>
              </w:rPr>
              <w:t>Mins</w:t>
            </w:r>
          </w:p>
          <w:p w14:paraId="405D61C5" w14:textId="77777777" w:rsidR="0041216A" w:rsidRPr="00182DEB" w:rsidRDefault="00DC2704" w:rsidP="0041216A">
            <w:pPr>
              <w:rPr>
                <w:rFonts w:ascii="Times New Roman" w:hAnsi="Times New Roman" w:cs="Times New Roman"/>
                <w:sz w:val="24"/>
                <w:szCs w:val="24"/>
              </w:rPr>
            </w:pPr>
            <w:r w:rsidRPr="00182DEB">
              <w:rPr>
                <w:rFonts w:ascii="Times New Roman" w:hAnsi="Times New Roman" w:cs="Times New Roman"/>
                <w:sz w:val="24"/>
                <w:szCs w:val="24"/>
              </w:rPr>
              <w:t xml:space="preserve">20-30 </w:t>
            </w:r>
            <w:r w:rsidR="0041216A" w:rsidRPr="00182DEB">
              <w:rPr>
                <w:rFonts w:ascii="Times New Roman" w:hAnsi="Times New Roman" w:cs="Times New Roman"/>
                <w:sz w:val="24"/>
                <w:szCs w:val="24"/>
              </w:rPr>
              <w:t xml:space="preserve">mins </w:t>
            </w:r>
          </w:p>
        </w:tc>
        <w:tc>
          <w:tcPr>
            <w:tcW w:w="2254" w:type="dxa"/>
          </w:tcPr>
          <w:p w14:paraId="597C9A3B" w14:textId="77777777" w:rsidR="0041216A" w:rsidRPr="00182DEB" w:rsidRDefault="00F57C20" w:rsidP="0041216A">
            <w:pPr>
              <w:rPr>
                <w:rFonts w:ascii="Times New Roman" w:hAnsi="Times New Roman" w:cs="Times New Roman"/>
                <w:sz w:val="24"/>
                <w:szCs w:val="24"/>
              </w:rPr>
            </w:pPr>
            <w:r w:rsidRPr="00182DEB">
              <w:rPr>
                <w:rFonts w:ascii="Times New Roman" w:hAnsi="Times New Roman" w:cs="Times New Roman"/>
                <w:sz w:val="24"/>
                <w:szCs w:val="24"/>
              </w:rPr>
              <w:t>0</w:t>
            </w:r>
          </w:p>
        </w:tc>
        <w:tc>
          <w:tcPr>
            <w:tcW w:w="2254" w:type="dxa"/>
          </w:tcPr>
          <w:p w14:paraId="1C35B735" w14:textId="77777777" w:rsidR="0041216A" w:rsidRPr="00182DEB" w:rsidRDefault="0041216A" w:rsidP="0041216A">
            <w:pPr>
              <w:rPr>
                <w:rFonts w:ascii="Times New Roman" w:hAnsi="Times New Roman" w:cs="Times New Roman"/>
                <w:sz w:val="24"/>
                <w:szCs w:val="24"/>
              </w:rPr>
            </w:pPr>
            <w:r w:rsidRPr="00182DEB">
              <w:rPr>
                <w:rFonts w:ascii="Times New Roman" w:hAnsi="Times New Roman" w:cs="Times New Roman"/>
                <w:sz w:val="24"/>
                <w:szCs w:val="24"/>
              </w:rPr>
              <w:t>1</w:t>
            </w:r>
          </w:p>
        </w:tc>
      </w:tr>
      <w:tr w:rsidR="0041216A" w:rsidRPr="00182DEB" w14:paraId="00A6832C" w14:textId="77777777" w:rsidTr="0041216A">
        <w:tc>
          <w:tcPr>
            <w:tcW w:w="2254" w:type="dxa"/>
          </w:tcPr>
          <w:p w14:paraId="59E073C0" w14:textId="77777777" w:rsidR="0041216A" w:rsidRPr="00182DEB" w:rsidRDefault="0041216A" w:rsidP="0041216A">
            <w:pPr>
              <w:rPr>
                <w:rFonts w:ascii="Times New Roman" w:hAnsi="Times New Roman" w:cs="Times New Roman"/>
                <w:sz w:val="24"/>
                <w:szCs w:val="24"/>
              </w:rPr>
            </w:pPr>
            <w:r w:rsidRPr="00182DEB">
              <w:rPr>
                <w:rFonts w:ascii="Times New Roman" w:hAnsi="Times New Roman" w:cs="Times New Roman"/>
                <w:b/>
                <w:sz w:val="24"/>
                <w:szCs w:val="24"/>
              </w:rPr>
              <w:t>Cool down</w:t>
            </w:r>
            <w:r w:rsidRPr="00182DEB">
              <w:rPr>
                <w:rFonts w:ascii="Times New Roman" w:hAnsi="Times New Roman" w:cs="Times New Roman"/>
                <w:sz w:val="24"/>
                <w:szCs w:val="24"/>
              </w:rPr>
              <w:t xml:space="preserve">- </w:t>
            </w:r>
            <w:r w:rsidR="00F57C20" w:rsidRPr="00182DEB">
              <w:rPr>
                <w:rFonts w:ascii="Times New Roman" w:hAnsi="Times New Roman" w:cs="Times New Roman"/>
                <w:sz w:val="24"/>
                <w:szCs w:val="24"/>
              </w:rPr>
              <w:t xml:space="preserve">static stretching </w:t>
            </w:r>
          </w:p>
        </w:tc>
        <w:tc>
          <w:tcPr>
            <w:tcW w:w="2254" w:type="dxa"/>
          </w:tcPr>
          <w:p w14:paraId="12C571E8" w14:textId="77777777" w:rsidR="0041216A" w:rsidRPr="00182DEB" w:rsidRDefault="00F57C20" w:rsidP="0041216A">
            <w:pPr>
              <w:rPr>
                <w:rFonts w:ascii="Times New Roman" w:hAnsi="Times New Roman" w:cs="Times New Roman"/>
                <w:sz w:val="24"/>
                <w:szCs w:val="24"/>
              </w:rPr>
            </w:pPr>
            <w:r w:rsidRPr="00182DEB">
              <w:rPr>
                <w:rFonts w:ascii="Times New Roman" w:hAnsi="Times New Roman" w:cs="Times New Roman"/>
                <w:sz w:val="24"/>
                <w:szCs w:val="24"/>
              </w:rPr>
              <w:t xml:space="preserve">5 mins </w:t>
            </w:r>
          </w:p>
        </w:tc>
        <w:tc>
          <w:tcPr>
            <w:tcW w:w="2254" w:type="dxa"/>
          </w:tcPr>
          <w:p w14:paraId="3BAF8D00" w14:textId="77777777" w:rsidR="0041216A" w:rsidRPr="00182DEB" w:rsidRDefault="00F57C20" w:rsidP="0041216A">
            <w:pPr>
              <w:rPr>
                <w:rFonts w:ascii="Times New Roman" w:hAnsi="Times New Roman" w:cs="Times New Roman"/>
                <w:sz w:val="24"/>
                <w:szCs w:val="24"/>
              </w:rPr>
            </w:pPr>
            <w:r w:rsidRPr="00182DEB">
              <w:rPr>
                <w:rFonts w:ascii="Times New Roman" w:hAnsi="Times New Roman" w:cs="Times New Roman"/>
                <w:sz w:val="24"/>
                <w:szCs w:val="24"/>
              </w:rPr>
              <w:t>0</w:t>
            </w:r>
          </w:p>
        </w:tc>
        <w:tc>
          <w:tcPr>
            <w:tcW w:w="2254" w:type="dxa"/>
          </w:tcPr>
          <w:p w14:paraId="58C109EC" w14:textId="77777777" w:rsidR="0041216A" w:rsidRPr="00182DEB" w:rsidRDefault="00F57C20" w:rsidP="0041216A">
            <w:pPr>
              <w:rPr>
                <w:rFonts w:ascii="Times New Roman" w:hAnsi="Times New Roman" w:cs="Times New Roman"/>
                <w:sz w:val="24"/>
                <w:szCs w:val="24"/>
              </w:rPr>
            </w:pPr>
            <w:r w:rsidRPr="00182DEB">
              <w:rPr>
                <w:rFonts w:ascii="Times New Roman" w:hAnsi="Times New Roman" w:cs="Times New Roman"/>
                <w:sz w:val="24"/>
                <w:szCs w:val="24"/>
              </w:rPr>
              <w:t>1</w:t>
            </w:r>
          </w:p>
        </w:tc>
      </w:tr>
    </w:tbl>
    <w:p w14:paraId="0F02D9B2" w14:textId="77777777" w:rsidR="00557844" w:rsidRPr="00182DEB" w:rsidRDefault="00557844" w:rsidP="0041216A">
      <w:pPr>
        <w:rPr>
          <w:rFonts w:ascii="Times New Roman" w:hAnsi="Times New Roman" w:cs="Times New Roman"/>
          <w:sz w:val="24"/>
          <w:szCs w:val="24"/>
        </w:rPr>
      </w:pPr>
    </w:p>
    <w:p w14:paraId="7B6649AB" w14:textId="77777777" w:rsidR="00557844" w:rsidRPr="00182DEB" w:rsidRDefault="00557844" w:rsidP="0041216A">
      <w:pPr>
        <w:rPr>
          <w:rFonts w:ascii="Times New Roman" w:hAnsi="Times New Roman" w:cs="Times New Roman"/>
          <w:sz w:val="24"/>
          <w:szCs w:val="24"/>
        </w:rPr>
      </w:pPr>
      <w:r w:rsidRPr="00182DEB">
        <w:rPr>
          <w:rFonts w:ascii="Times New Roman" w:hAnsi="Times New Roman" w:cs="Times New Roman"/>
          <w:sz w:val="24"/>
          <w:szCs w:val="24"/>
        </w:rPr>
        <w:t>As the table shows, the timing of continuous training can be quite lengthy but a lower intensity compared to HITT.</w:t>
      </w:r>
    </w:p>
    <w:p w14:paraId="1E251FD2" w14:textId="77777777" w:rsidR="00F57C20" w:rsidRPr="00182DEB" w:rsidRDefault="0041216A">
      <w:pPr>
        <w:rPr>
          <w:rFonts w:ascii="Times New Roman" w:hAnsi="Times New Roman" w:cs="Times New Roman"/>
          <w:b/>
          <w:sz w:val="24"/>
          <w:szCs w:val="24"/>
        </w:rPr>
      </w:pPr>
      <w:r w:rsidRPr="00182DEB">
        <w:rPr>
          <w:rFonts w:ascii="Times New Roman" w:hAnsi="Times New Roman" w:cs="Times New Roman"/>
          <w:b/>
          <w:sz w:val="24"/>
          <w:szCs w:val="24"/>
        </w:rPr>
        <w:t xml:space="preserve"> </w:t>
      </w:r>
      <w:r w:rsidR="00F57C20" w:rsidRPr="00182DEB">
        <w:rPr>
          <w:rFonts w:ascii="Times New Roman" w:hAnsi="Times New Roman" w:cs="Times New Roman"/>
          <w:b/>
          <w:sz w:val="24"/>
          <w:szCs w:val="24"/>
        </w:rPr>
        <w:t>Training intensities</w:t>
      </w:r>
    </w:p>
    <w:p w14:paraId="11426C5F" w14:textId="77777777" w:rsidR="00F57C20" w:rsidRPr="00182DEB" w:rsidRDefault="00F57C20" w:rsidP="00F57C20">
      <w:pPr>
        <w:rPr>
          <w:rFonts w:ascii="Times New Roman" w:hAnsi="Times New Roman" w:cs="Times New Roman"/>
          <w:i/>
          <w:sz w:val="24"/>
          <w:szCs w:val="24"/>
        </w:rPr>
      </w:pPr>
      <w:r w:rsidRPr="00182DEB">
        <w:rPr>
          <w:rFonts w:ascii="Times New Roman" w:hAnsi="Times New Roman" w:cs="Times New Roman"/>
          <w:i/>
          <w:sz w:val="24"/>
          <w:szCs w:val="24"/>
        </w:rPr>
        <w:t xml:space="preserve">HIIT </w:t>
      </w:r>
    </w:p>
    <w:p w14:paraId="3C442B04" w14:textId="72F8395E" w:rsidR="00F57C20" w:rsidRPr="00182DEB" w:rsidRDefault="00F57C20" w:rsidP="00F57C20">
      <w:pPr>
        <w:rPr>
          <w:rFonts w:ascii="Times New Roman" w:hAnsi="Times New Roman" w:cs="Times New Roman"/>
          <w:sz w:val="24"/>
          <w:szCs w:val="24"/>
        </w:rPr>
      </w:pPr>
      <w:r w:rsidRPr="00182DEB">
        <w:rPr>
          <w:rFonts w:ascii="Times New Roman" w:hAnsi="Times New Roman" w:cs="Times New Roman"/>
          <w:sz w:val="24"/>
          <w:szCs w:val="24"/>
        </w:rPr>
        <w:t>The classification of HIIT has been proposed to describe the protocol in which the exercise stimulus is near or close to maximal heart rate (80-100%), sprint interval training uses protocols which involve a ‘all out’ effort or supramaximal efforts. SIT training targets intensities that induce working loads greater than what is required to reach maximal oxygen uptake or (vo2peak)</w:t>
      </w:r>
      <w:r w:rsidR="00182DEB" w:rsidRPr="00182DEB">
        <w:rPr>
          <w:rFonts w:ascii="Times New Roman" w:hAnsi="Times New Roman" w:cs="Times New Roman"/>
          <w:sz w:val="24"/>
          <w:szCs w:val="24"/>
        </w:rPr>
        <w:t xml:space="preserve">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"10.1136/bjsports-2013-092576", "ISSN" : "1473-0480", "PMID" : "24144531", "abstract" : "BACKGROUND/AIM Cardiorespiratory fitness (CRF) is a strong determinant of morbidity and mortality. In athletes and the general population, it is established that high-intensity interval training (HIIT) is superior to moderate-intensity continuous training (MICT) in improving CRF. This is a systematic review and meta-analysis to quantify the efficacy and safety of HIIT compared to MICT in individuals with chronic cardiometabolic lifestyle diseases. METHODS The included studies were required to have a population sample of chronic disease, where poor lifestyle is considered as a main contributor to the disease. The procedural quality of the studies was assessed by use of a modified Physiotherapy Evidence Base Database (PEDro) scale. A meta-analysis compared the mean difference (MD) of preintervention versus postintervention CRF (VO2peak) between HIIT and MICT. RESULTS 10 studies with 273 patients were included in the meta-analysis. Participants had coronary artery disease, heart failure, hypertension, metabolic syndrome and obesity. There was a significantly higher increase in the VO2peak after HIIT compared to MICT (MD 3.03\u2005mL/kg/min, 95% CI 2.00 to 4.07), equivalent to 9.1%. CONCLUSIONS HIIT significantly increases CRF by almost double that of MICT in patients with lifestyle-induced chronic diseases.", "author" : [ { "dropping-particle" : "", "family" : "Weston", "given" : "Kassia S", "non-dropping-particle" : "", "parse-names" : false, "suffix" : "" }, { "dropping-particle" : "", "family" : "Wisl\u00f8ff", "given" : "Ulrik", "non-dropping-particle" : "", "parse-names" : false, "suffix" : "" }, { "dropping-particle" : "", "family" : "Coombes", "given" : "Jeff S", "non-dropping-particle" : "", "parse-names" : false, "suffix" : "" } ], "container-title" : "British journal of sports medicine", "id" : "ITEM-1", "issue" : "16", "issued" : { "date-parts" : [ [ "2014", "8", "19" ] ] }, "page" : "1227-34", "publisher" : "BMJ Publishing Group Ltd and British Association of Sport and Exercise Medicine", "title" : "High-intensity interval training in patients with lifestyle-induced cardiometabolic disease: a systematic review and meta-analysis.", "type" : "article-journal", "volume" : "48" }, "uris" : [ "http://www.mendeley.com/documents/?uuid=26a8ef0e-1e93-3bea-b8cc-cc80cdf4d12e" ] } ], "mendeley" : { "formattedCitation" : "(Weston, Wisl\u00f8ff and Coombes, 2014)", "plainTextFormattedCitation" : "(Weston, Wisl\u00f8ff and Coombes, 2014)", "previouslyFormattedCitation" : "(Weston, Wisl\u00f8ff and Coombes, 2014)"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(Weston, Wisløff and Coombes, 2014)</w:t>
      </w:r>
      <w:r w:rsidRPr="00182DEB">
        <w:rPr>
          <w:rFonts w:ascii="Times New Roman" w:hAnsi="Times New Roman" w:cs="Times New Roman"/>
          <w:sz w:val="24"/>
          <w:szCs w:val="24"/>
        </w:rPr>
        <w:fldChar w:fldCharType="end"/>
      </w:r>
    </w:p>
    <w:p w14:paraId="1E32FC44" w14:textId="72583B60" w:rsidR="00F57C20" w:rsidRPr="00182DEB" w:rsidRDefault="00557844" w:rsidP="00F57C20">
      <w:pPr>
        <w:rPr>
          <w:rFonts w:ascii="Times New Roman" w:hAnsi="Times New Roman" w:cs="Times New Roman"/>
          <w:sz w:val="24"/>
          <w:szCs w:val="24"/>
        </w:rPr>
      </w:pPr>
      <w:r w:rsidRPr="00182DEB">
        <w:rPr>
          <w:rFonts w:ascii="Times New Roman" w:hAnsi="Times New Roman" w:cs="Times New Roman"/>
          <w:sz w:val="24"/>
          <w:szCs w:val="24"/>
        </w:rPr>
        <w:t>HIIT</w:t>
      </w:r>
      <w:r w:rsidR="00F57C20" w:rsidRPr="00182DEB">
        <w:rPr>
          <w:rFonts w:ascii="Times New Roman" w:hAnsi="Times New Roman" w:cs="Times New Roman"/>
          <w:sz w:val="24"/>
          <w:szCs w:val="24"/>
        </w:rPr>
        <w:t xml:space="preserve"> is repeated intervals lasting 5 seconds – 4 minutes long, the difference between HIIT intervals and standard interval training is that when the sprints are performed the participant is to reach &gt;85% peak oxygen uptake. HIIT training is usually performed on a cycle ergometer, treadmill or can be sports specific with a brief recovery period of complete rest or low intensity recovery </w:t>
      </w:r>
      <w:r w:rsidR="00F57C20" w:rsidRPr="00182DEB">
        <w:rPr>
          <w:rFonts w:ascii="Times New Roman" w:hAnsi="Times New Roman" w:cs="Times New Roman"/>
          <w:sz w:val="24"/>
          <w:szCs w:val="24"/>
        </w:rPr>
        <w:fldChar w:fldCharType="begin" w:fldLock="1"/>
      </w:r>
      <w:r w:rsidR="00F57C20" w:rsidRPr="00182DEB">
        <w:rPr>
          <w:rFonts w:ascii="Times New Roman" w:hAnsi="Times New Roman" w:cs="Times New Roman"/>
          <w:sz w:val="24"/>
          <w:szCs w:val="24"/>
        </w:rPr>
        <w:instrText>ADDIN CSL_CITATION { "citationItems" : [ { "id" : "ITEM-1", "itemData" : { "DOI" : "10.1007/s40279-013-0066-5", "abstract" : "High-intensity interval training (HIT) is a well-known, time-efficient training method for improving car-diorespiratory and metabolic function and, in turn, physical performance in athletes. HIT involves repeated short (\\45 s) to long (2\u20134 min) bouts of rather high-intensity exercise interspersed with recovery periods (refer to the previously published first part of this review). While ath-letes have used 'classical' HIT formats for nearly a century (e.g. repetitions of 30 s of exercise interspersed with 30 s of rest, or 2\u20134-min interval repetitions ran at high but still submaximal intensities), there is today a surge of research interest focused on examining the effects of short sprints and all-out efforts, both in the field and in the laboratory. Prescription of HIT consists of the manipulation of at least nine variables (e.g. work interval intensity and duration, relief interval intensity and duration, exercise modality, number of repetitions, number of series, between-series recovery duration and intensity); any of which has a likely effect on the acute physiological response. Manipulating HIT appropriately is important, not only with respect to the expected middle-to long-term physiological and perfor-mance adaptations, but also to maximize daily and/or weekly training periodization. Cardiopulmonary responses are typically the first variables to consider when pro-gramming HIT (refer to Part I). However, anaerobic gly-colytic energy contribution and neuromuscular load should also be considered to maximize the training outcome. Contrasting HIT formats that elicit similar (and maximal) cardiorespiratory responses have been associated with distinctly different anaerobic energy contributions. The high locomotor speed/power requirements of HIT (i.e. C95 % of the minimal velocity/power that elicits maximal oxygen uptake [v/p _ VO 2max ] to 100 % of maximal sprinting speed or power) and the accumulation of high-training volumes at high-exercise intensity (runners can cover up to 6\u20138 km at v _ VO 2max per session) can cause significant strain on the neuromuscular/musculoskeletal system. For athletes training twice a day, and/or in team sport players training a number of metabolic and neuromuscular systems within a weekly microcycle, this added physiological strain should be considered in light of the other physical and technical/ tactical sessions, so as to avoid overload and optimize adaptation (i.e. maximize a given training stimulus and minimize musculos\u2026", "author" : [ { "dropping-particle" : "", "family" : "Buchheit", "given" : "Martin", "non-dropping-particle" : "", "parse-names" : false, "suffix" : "" }, { "dropping-particle" : "", "family" : "Laursen", "given" : "Paul B", "non-dropping-particle" : "", "parse-names" : false, "suffix" : "" } ], "id" : "ITEM-1", "issued" : { "date-parts" : [ [ "0" ] ] }, "title" : "High-Intensity Interval Training, Solutions to the Programming Puzzle Part II: Anaerobic Energy, Neuromuscular Load and Practical Applications", "type" : "article-journal" }, "uris" : [ "http://www.mendeley.com/documents/?uuid=92332db9-2e64-3689-909a-f20ee14c135e" ] } ], "mendeley" : { "formattedCitation" : "(Buchheit and Laursen, no date)", "manualFormatting" : "(Buchheit and Laursen, 2013)", "plainTextFormattedCitation" : "(Buchheit and Laursen, no date)", "previouslyFormattedCitation" : "(Buchheit and Laursen, no date)" }, "properties" : { "noteIndex" : 2 }, "schema" : "https://github.com/citation-style-language/schema/raw/master/csl-citation.json" }</w:instrText>
      </w:r>
      <w:r w:rsidR="00F57C20" w:rsidRPr="00182DEB">
        <w:rPr>
          <w:rFonts w:ascii="Times New Roman" w:hAnsi="Times New Roman" w:cs="Times New Roman"/>
          <w:sz w:val="24"/>
          <w:szCs w:val="24"/>
        </w:rPr>
        <w:fldChar w:fldCharType="separate"/>
      </w:r>
      <w:r w:rsidR="00F57C20" w:rsidRPr="00182DEB">
        <w:rPr>
          <w:rFonts w:ascii="Times New Roman" w:hAnsi="Times New Roman" w:cs="Times New Roman"/>
          <w:noProof/>
          <w:sz w:val="24"/>
          <w:szCs w:val="24"/>
        </w:rPr>
        <w:t>(Buchheit and Laursen, 2013)</w:t>
      </w:r>
      <w:r w:rsidR="00F57C20" w:rsidRPr="00182DEB">
        <w:rPr>
          <w:rFonts w:ascii="Times New Roman" w:hAnsi="Times New Roman" w:cs="Times New Roman"/>
          <w:sz w:val="24"/>
          <w:szCs w:val="24"/>
        </w:rPr>
        <w:fldChar w:fldCharType="end"/>
      </w:r>
      <w:r w:rsidR="00F57C20" w:rsidRPr="00182DEB">
        <w:rPr>
          <w:rFonts w:ascii="Times New Roman" w:hAnsi="Times New Roman" w:cs="Times New Roman"/>
          <w:sz w:val="24"/>
          <w:szCs w:val="24"/>
        </w:rPr>
        <w:t xml:space="preserve">. Some sprints intervals are deemed as ‘all out’ effort which forces peak oxygen intake </w:t>
      </w:r>
      <w:r w:rsidR="00F57C20" w:rsidRPr="00182DEB">
        <w:rPr>
          <w:rFonts w:ascii="Times New Roman" w:hAnsi="Times New Roman" w:cs="Times New Roman"/>
          <w:sz w:val="24"/>
          <w:szCs w:val="24"/>
        </w:rPr>
        <w:fldChar w:fldCharType="begin" w:fldLock="1"/>
      </w:r>
      <w:r w:rsidR="00F57C20" w:rsidRPr="00182DEB">
        <w:rPr>
          <w:rFonts w:ascii="Times New Roman" w:hAnsi="Times New Roman" w:cs="Times New Roman"/>
          <w:sz w:val="24"/>
          <w:szCs w:val="24"/>
        </w:rPr>
        <w:instrText>ADDIN CSL_CITATION { "citationItems" : [ { "id" : "ITEM-1", "itemData" : { "DOI" : "10.2147/JIR.S54721", "ISSN" : "1178-7031", "PMID" : "24520199", "abstract" : "THE PURPOSE OF THIS STUDY WAS TO DETERMINE 1) the extent to which an acute session of high-intensity interval training (HIIT) increases systemic inflammatory cytokines and chemokines, and 2) whether 2 weeks of HIIT training alters the inflammatory response. Eight recreationally active males (aged 22\u00b12 years) performed 2 weeks of HIIT on a cycle ergometer (six HIIT sessions at 8-12 intervals; 60-second intervals, 75-second active rest) at a power output equivalent to 100% of their predetermined peak oxygen uptake (VO2max). Serum samples were collected during the first and sixth HIIT sessions at rest and immediately, 15, 30, and 45 minutes post-exercise. An acute session of HIIT induced significant increases in interleukin (IL)-6, IL-8, IL-10, tumor necrosis factor-\u03b1, and monocyte chemotactic protein-1 compared with rest. The concentrations of interferon-\u03b3, granulocyte macrophage-colony-stimulating factor, and IL-1\u03b2 were unaltered with an acute session of HIIT Two weeks of training did not alter the inflammatory response to an acute bout of HIIT exercise. Maximal power achieved during a VO2max test significantly increased 4.6%, despite no improvements in VO2max after 2 weeks of HIIT. These data suggest that HIIT exercise induces a small inflammatory response in young, recreationally active men; however, 2 weeks of HIIT does not alter this response.", "author" : [ { "dropping-particle" : "", "family" : "Zwetsloot", "given" : "Kevin A", "non-dropping-particle" : "", "parse-names" : false, "suffix" : "" }, { "dropping-particle" : "", "family" : "John", "given" : "Casey S", "non-dropping-particle" : "", "parse-names" : false, "suffix" : "" }, { "dropping-particle" : "", "family" : "Lawrence", "given" : "Marcus M", "non-dropping-particle" : "", "parse-names" : false, "suffix" : "" }, { "dropping-particle" : "", "family" : "Battista", "given" : "Rebecca A", "non-dropping-particle" : "", "parse-names" : false, "suffix" : "" }, { "dropping-particle" : "", "family" : "Shanely", "given" : "R Andrew", "non-dropping-particle" : "", "parse-names" : false, "suffix" : "" } ], "container-title" : "Journal of inflammation research", "id" : "ITEM-1", "issued" : { "date-parts" : [ [ "2014" ] ] }, "page" : "9-17", "publisher" : "Dove Press", "title" : "High-intensity interval training induces a modest systemic inflammatory response in active, young men.", "type" : "article-journal", "volume" : "7" }, "uris" : [ "http://www.mendeley.com/documents/?uuid=51c22481-bbf1-3a60-9660-19292ea19d41" ] } ], "mendeley" : { "formattedCitation" : "(Zwetsloot &lt;i&gt;et al.&lt;/i&gt;, 2014)", "plainTextFormattedCitation" : "(Zwetsloot et al., 2014)", "previouslyFormattedCitation" : "(Zwetsloot &lt;i&gt;et al.&lt;/i&gt;, 2014)" }, "properties" : { "noteIndex" : 2 }, "schema" : "https://github.com/citation-style-language/schema/raw/master/csl-citation.json" }</w:instrText>
      </w:r>
      <w:r w:rsidR="00F57C20" w:rsidRPr="00182DEB">
        <w:rPr>
          <w:rFonts w:ascii="Times New Roman" w:hAnsi="Times New Roman" w:cs="Times New Roman"/>
          <w:sz w:val="24"/>
          <w:szCs w:val="24"/>
        </w:rPr>
        <w:fldChar w:fldCharType="separate"/>
      </w:r>
      <w:r w:rsidR="00F57C20" w:rsidRPr="00182DEB">
        <w:rPr>
          <w:rFonts w:ascii="Times New Roman" w:hAnsi="Times New Roman" w:cs="Times New Roman"/>
          <w:noProof/>
          <w:sz w:val="24"/>
          <w:szCs w:val="24"/>
        </w:rPr>
        <w:t xml:space="preserve">(Zwetsloot </w:t>
      </w:r>
      <w:r w:rsidR="00F57C20" w:rsidRPr="00182DEB">
        <w:rPr>
          <w:rFonts w:ascii="Times New Roman" w:hAnsi="Times New Roman" w:cs="Times New Roman"/>
          <w:i/>
          <w:noProof/>
          <w:sz w:val="24"/>
          <w:szCs w:val="24"/>
        </w:rPr>
        <w:t>et al.</w:t>
      </w:r>
      <w:r w:rsidR="00F57C20" w:rsidRPr="00182DEB">
        <w:rPr>
          <w:rFonts w:ascii="Times New Roman" w:hAnsi="Times New Roman" w:cs="Times New Roman"/>
          <w:noProof/>
          <w:sz w:val="24"/>
          <w:szCs w:val="24"/>
        </w:rPr>
        <w:t>, 2014)</w:t>
      </w:r>
      <w:r w:rsidR="00F57C20" w:rsidRPr="00182DEB">
        <w:rPr>
          <w:rFonts w:ascii="Times New Roman" w:hAnsi="Times New Roman" w:cs="Times New Roman"/>
          <w:sz w:val="24"/>
          <w:szCs w:val="24"/>
        </w:rPr>
        <w:fldChar w:fldCharType="end"/>
      </w:r>
      <w:r w:rsidR="00F57C20" w:rsidRPr="00182DEB">
        <w:rPr>
          <w:rFonts w:ascii="Times New Roman" w:hAnsi="Times New Roman" w:cs="Times New Roman"/>
          <w:sz w:val="24"/>
          <w:szCs w:val="24"/>
        </w:rPr>
        <w:t xml:space="preserve"> </w:t>
      </w:r>
      <w:r w:rsidR="00DC2704" w:rsidRPr="00182DEB">
        <w:rPr>
          <w:rFonts w:ascii="Times New Roman" w:hAnsi="Times New Roman" w:cs="Times New Roman"/>
          <w:sz w:val="24"/>
          <w:szCs w:val="24"/>
        </w:rPr>
        <w:t xml:space="preserve">When starting HIIT training it should be established that the loan of the exercise is relative to the individual’s aerobic capacity. For lower trained individuals, HIIT training could be performed by just increasing the grade slightly or watts on a bike, the risk of an injury is lower than usually anticipated especially in the special populations </w:t>
      </w:r>
      <w:r w:rsidR="00DC2704" w:rsidRPr="00182DEB">
        <w:rPr>
          <w:rFonts w:ascii="Times New Roman" w:hAnsi="Times New Roman" w:cs="Times New Roman"/>
          <w:sz w:val="24"/>
          <w:szCs w:val="24"/>
        </w:rPr>
        <w:fldChar w:fldCharType="begin" w:fldLock="1"/>
      </w:r>
      <w:r w:rsidR="00DC2704" w:rsidRPr="00182DEB">
        <w:rPr>
          <w:rFonts w:ascii="Times New Roman" w:hAnsi="Times New Roman" w:cs="Times New Roman"/>
          <w:sz w:val="24"/>
          <w:szCs w:val="24"/>
        </w:rPr>
        <w:instrText>ADDIN CSL_CITATION { "citationItems" : [ { "id" : "ITEM-1", "itemData" : { "DOI" : "10.1152/japplphysiol.01237.2011", "ISSN" : "1522-1601", "PMID" : "21979806", "abstract" : "exercise is an established therapeutic adjunct in the management of several chronic diseases. Traditionally, the form of exercise most commonly prescribed by clinicians is continuous moderate-to-vigorous-intensity exercise that can be sustained for \u223c20\u201360 min. This is consistent with current US", "author" : [ { "dropping-particle" : "", "family" : "Gaesser", "given" : "Glenn A", "non-dropping-particle" : "", "parse-names" : false, "suffix" : "" }, { "dropping-particle" : "", "family" : "Angadi", "given" : "Siddhartha S", "non-dropping-particle" : "", "parse-names" : false, "suffix" : "" } ], "container-title" : "Journal of applied physiology (Bethesda, Md. : 1985)", "id" : "ITEM-1", "issue" : "6", "issued" : { "date-parts" : [ [ "2011", "12", "1" ] ] }, "page" : "1540-1", "publisher" : "American Physiological Society", "title" : "High-intensity interval training for health and fitness: can less be more?", "type" : "article-journal", "volume" : "111" }, "uris" : [ "http://www.mendeley.com/documents/?uuid=31f17c94-fdfa-37f0-b42a-5aed2b762e69" ] } ], "mendeley" : { "formattedCitation" : "(Gaesser and Angadi, 2011)", "plainTextFormattedCitation" : "(Gaesser and Angadi, 2011)", "previouslyFormattedCitation" : "(Gaesser and Angadi, 2011)" }, "properties" : { "noteIndex" : 3 }, "schema" : "https://github.com/citation-style-language/schema/raw/master/csl-citation.json" }</w:instrText>
      </w:r>
      <w:r w:rsidR="00DC2704" w:rsidRPr="00182DEB">
        <w:rPr>
          <w:rFonts w:ascii="Times New Roman" w:hAnsi="Times New Roman" w:cs="Times New Roman"/>
          <w:sz w:val="24"/>
          <w:szCs w:val="24"/>
        </w:rPr>
        <w:fldChar w:fldCharType="separate"/>
      </w:r>
      <w:r w:rsidR="00DC2704" w:rsidRPr="00182DEB">
        <w:rPr>
          <w:rFonts w:ascii="Times New Roman" w:hAnsi="Times New Roman" w:cs="Times New Roman"/>
          <w:noProof/>
          <w:sz w:val="24"/>
          <w:szCs w:val="24"/>
        </w:rPr>
        <w:t>(Gaesser and Angadi, 2011)</w:t>
      </w:r>
      <w:r w:rsidR="00DC2704" w:rsidRPr="00182DEB">
        <w:rPr>
          <w:rFonts w:ascii="Times New Roman" w:hAnsi="Times New Roman" w:cs="Times New Roman"/>
          <w:sz w:val="24"/>
          <w:szCs w:val="24"/>
        </w:rPr>
        <w:fldChar w:fldCharType="end"/>
      </w:r>
      <w:r w:rsidRPr="00182DEB">
        <w:rPr>
          <w:rFonts w:ascii="Times New Roman" w:hAnsi="Times New Roman" w:cs="Times New Roman"/>
          <w:sz w:val="24"/>
          <w:szCs w:val="24"/>
        </w:rPr>
        <w:t>.</w:t>
      </w:r>
    </w:p>
    <w:p w14:paraId="25047EF1" w14:textId="77777777" w:rsidR="00F57C20" w:rsidRPr="00182DEB" w:rsidRDefault="00F57C20" w:rsidP="00F57C20">
      <w:pPr>
        <w:rPr>
          <w:rFonts w:ascii="Times New Roman" w:hAnsi="Times New Roman" w:cs="Times New Roman"/>
          <w:i/>
          <w:sz w:val="24"/>
          <w:szCs w:val="24"/>
        </w:rPr>
      </w:pPr>
      <w:r w:rsidRPr="00182DEB">
        <w:rPr>
          <w:rFonts w:ascii="Times New Roman" w:hAnsi="Times New Roman" w:cs="Times New Roman"/>
          <w:i/>
          <w:sz w:val="24"/>
          <w:szCs w:val="24"/>
        </w:rPr>
        <w:t xml:space="preserve">Continuous </w:t>
      </w:r>
    </w:p>
    <w:p w14:paraId="3886ACE8" w14:textId="2C53BF7B" w:rsidR="00F57C20" w:rsidRPr="00182DEB" w:rsidRDefault="00F57C20" w:rsidP="00F57C20">
      <w:pPr>
        <w:rPr>
          <w:rFonts w:ascii="Times New Roman" w:hAnsi="Times New Roman" w:cs="Times New Roman"/>
          <w:sz w:val="24"/>
          <w:szCs w:val="24"/>
        </w:rPr>
      </w:pPr>
      <w:r w:rsidRPr="00182DEB">
        <w:rPr>
          <w:rFonts w:ascii="Times New Roman" w:hAnsi="Times New Roman" w:cs="Times New Roman"/>
          <w:sz w:val="24"/>
          <w:szCs w:val="24"/>
        </w:rPr>
        <w:lastRenderedPageBreak/>
        <w:t xml:space="preserve">Continuous training is a method of training that is performed without any rest periods. This type of exercise can be performed at low, low/moderate depending on what is wanted to be achieved from the exercise and on fitness levels. Continuous training can be in most forms of exercise such as running, cycling, swimming, rowing or even circuit based and typically uses the aerobic system for energy. Continuous training is aimed at raising the heart rate to 50-60% </w:t>
      </w:r>
      <w:r w:rsidR="00DC2704" w:rsidRPr="00182DEB">
        <w:rPr>
          <w:rFonts w:ascii="Times New Roman" w:hAnsi="Times New Roman" w:cs="Times New Roman"/>
          <w:sz w:val="24"/>
          <w:szCs w:val="24"/>
        </w:rPr>
        <w:t xml:space="preserve">for </w:t>
      </w:r>
      <w:r w:rsidRPr="00182DEB">
        <w:rPr>
          <w:rFonts w:ascii="Times New Roman" w:hAnsi="Times New Roman" w:cs="Times New Roman"/>
          <w:sz w:val="24"/>
          <w:szCs w:val="24"/>
        </w:rPr>
        <w:t xml:space="preserve">moderate intensity, or 70-80% for vigorous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"ISBN" : "978-1-49633907-2", "author" : [ { "dropping-particle" : "", "family" : "ACSM", "given" : "", "non-dropping-particle" : "", "parse-names" : false, "suffix" : "" } ], "edition" : "10th", "id" : "ITEM-1", "issued" : { "date-parts" : [ [ "2016" ] ] }, "number-of-pages" : "4", "title" : "Guidelines for Exercise Testing and Perscription", "type" : "book" }, "uris" : [ "http://www.mendeley.com/documents/?uuid=eb097303-5db2-46f5-b1fb-d4c291389dfe" ] } ], "mendeley" : { "formattedCitation" : "(ACSM, 2016)", "plainTextFormattedCitation" : "(ACSM, 2016)", "previouslyFormattedCitation" : "(ACSM, 2016)" }, "properties" : { "noteIndex" : 3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(ACSM, 2016)</w:t>
      </w:r>
      <w:r w:rsidRPr="00182DEB">
        <w:rPr>
          <w:rFonts w:ascii="Times New Roman" w:hAnsi="Times New Roman" w:cs="Times New Roman"/>
          <w:sz w:val="24"/>
          <w:szCs w:val="24"/>
        </w:rPr>
        <w:fldChar w:fldCharType="end"/>
      </w:r>
      <w:r w:rsidR="00557844" w:rsidRPr="00182DEB">
        <w:rPr>
          <w:rFonts w:ascii="Times New Roman" w:hAnsi="Times New Roman" w:cs="Times New Roman"/>
          <w:sz w:val="24"/>
          <w:szCs w:val="24"/>
        </w:rPr>
        <w:t xml:space="preserve">. The duration of the work out is almost double the mount that would be used for HIIT exercise. </w:t>
      </w:r>
    </w:p>
    <w:p w14:paraId="21A41374" w14:textId="77777777" w:rsidR="00DC2704" w:rsidRPr="00182DEB" w:rsidRDefault="00DC2704" w:rsidP="00F57C20">
      <w:pPr>
        <w:rPr>
          <w:rFonts w:ascii="Times New Roman" w:hAnsi="Times New Roman" w:cs="Times New Roman"/>
          <w:b/>
          <w:sz w:val="24"/>
          <w:szCs w:val="24"/>
        </w:rPr>
      </w:pPr>
      <w:r w:rsidRPr="00182DEB">
        <w:rPr>
          <w:rFonts w:ascii="Times New Roman" w:hAnsi="Times New Roman" w:cs="Times New Roman"/>
          <w:b/>
          <w:sz w:val="24"/>
          <w:szCs w:val="24"/>
        </w:rPr>
        <w:t xml:space="preserve">Duration </w:t>
      </w:r>
    </w:p>
    <w:p w14:paraId="2E8B1472" w14:textId="77777777" w:rsidR="00F57C20" w:rsidRPr="00182DEB" w:rsidRDefault="00DC2704" w:rsidP="00F57C20">
      <w:pPr>
        <w:rPr>
          <w:rFonts w:ascii="Times New Roman" w:hAnsi="Times New Roman" w:cs="Times New Roman"/>
          <w:i/>
          <w:sz w:val="24"/>
          <w:szCs w:val="24"/>
        </w:rPr>
      </w:pPr>
      <w:r w:rsidRPr="00182DEB">
        <w:rPr>
          <w:rFonts w:ascii="Times New Roman" w:hAnsi="Times New Roman" w:cs="Times New Roman"/>
          <w:i/>
          <w:sz w:val="24"/>
          <w:szCs w:val="24"/>
        </w:rPr>
        <w:t>HIIT</w:t>
      </w:r>
    </w:p>
    <w:p w14:paraId="289C21F2" w14:textId="77777777" w:rsidR="00B56A10" w:rsidRPr="00182DEB" w:rsidRDefault="00B56A10" w:rsidP="00B56A10">
      <w:pPr>
        <w:rPr>
          <w:rFonts w:ascii="Times New Roman" w:hAnsi="Times New Roman" w:cs="Times New Roman"/>
          <w:sz w:val="24"/>
          <w:szCs w:val="24"/>
        </w:rPr>
      </w:pPr>
      <w:r w:rsidRPr="00182DEB">
        <w:rPr>
          <w:rFonts w:ascii="Times New Roman" w:hAnsi="Times New Roman" w:cs="Times New Roman"/>
          <w:sz w:val="24"/>
          <w:szCs w:val="24"/>
        </w:rPr>
        <w:t xml:space="preserve">HITT involves only 8-16 minutes of direct work for vigorous intensity. The total workout timing would be an average 20-25 minute workout which includes a warm up, cool down and active or resting recovery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"10.1152/japplphysiol.01237.2011", "ISSN" : "1522-1601", "PMID" : "21979806", "abstract" : "exercise is an established therapeutic adjunct in the management of several chronic diseases. Traditionally, the form of exercise most commonly prescribed by clinicians is continuous moderate-to-vigorous-intensity exercise that can be sustained for \u223c20\u201360 min. This is consistent with current US", "author" : [ { "dropping-particle" : "", "family" : "Gaesser", "given" : "Glenn A", "non-dropping-particle" : "", "parse-names" : false, "suffix" : "" }, { "dropping-particle" : "", "family" : "Angadi", "given" : "Siddhartha S", "non-dropping-particle" : "", "parse-names" : false, "suffix" : "" } ], "container-title" : "Journal of applied physiology (Bethesda, Md. : 1985)", "id" : "ITEM-1", "issue" : "6", "issued" : { "date-parts" : [ [ "2011", "12", "1" ] ] }, "page" : "1540-1", "publisher" : "American Physiological Society", "title" : "High-intensity interval training for health and fitness: can less be more?", "type" : "article-journal", "volume" : "111" }, "uris" : [ "http://www.mendeley.com/documents/?uuid=31f17c94-fdfa-37f0-b42a-5aed2b762e69" ] } ], "mendeley" : { "formattedCitation" : "(Gaesser and Angadi, 2011)", "plainTextFormattedCitation" : "(Gaesser and Angadi, 2011)", "previouslyFormattedCitation" : "(Gaesser and Angadi, 2011)"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(Gaesser and Angadi, 2011)</w:t>
      </w:r>
      <w:r w:rsidRPr="00182DEB">
        <w:rPr>
          <w:rFonts w:ascii="Times New Roman" w:hAnsi="Times New Roman" w:cs="Times New Roman"/>
          <w:sz w:val="24"/>
          <w:szCs w:val="24"/>
        </w:rPr>
        <w:fldChar w:fldCharType="end"/>
      </w:r>
    </w:p>
    <w:p w14:paraId="08CF142A" w14:textId="77777777" w:rsidR="003B19A1" w:rsidRPr="00182DEB" w:rsidRDefault="003B19A1" w:rsidP="00B56A10">
      <w:pPr>
        <w:rPr>
          <w:rFonts w:ascii="Times New Roman" w:hAnsi="Times New Roman" w:cs="Times New Roman"/>
          <w:i/>
          <w:sz w:val="24"/>
          <w:szCs w:val="24"/>
        </w:rPr>
      </w:pPr>
      <w:r w:rsidRPr="00182DEB">
        <w:rPr>
          <w:rFonts w:ascii="Times New Roman" w:hAnsi="Times New Roman" w:cs="Times New Roman"/>
          <w:i/>
          <w:sz w:val="24"/>
          <w:szCs w:val="24"/>
        </w:rPr>
        <w:t xml:space="preserve">Continuous </w:t>
      </w:r>
    </w:p>
    <w:p w14:paraId="0B453B2B" w14:textId="77777777" w:rsidR="0041216A" w:rsidRPr="00182DEB" w:rsidRDefault="003B19A1">
      <w:pPr>
        <w:rPr>
          <w:rFonts w:ascii="Times New Roman" w:hAnsi="Times New Roman" w:cs="Times New Roman"/>
          <w:sz w:val="24"/>
          <w:szCs w:val="24"/>
        </w:rPr>
      </w:pPr>
      <w:r w:rsidRPr="00182DEB">
        <w:rPr>
          <w:rFonts w:ascii="Times New Roman" w:hAnsi="Times New Roman" w:cs="Times New Roman"/>
          <w:sz w:val="24"/>
          <w:szCs w:val="24"/>
        </w:rPr>
        <w:t>Continuous training involves a varied duration depending on the intensity. Moderate intensity averages 30-60 minutes and vigorous intensity 20-30 minutes</w:t>
      </w:r>
      <w:r w:rsidR="00725682" w:rsidRPr="00182DEB">
        <w:rPr>
          <w:rFonts w:ascii="Times New Roman" w:hAnsi="Times New Roman" w:cs="Times New Roman"/>
          <w:sz w:val="24"/>
          <w:szCs w:val="24"/>
        </w:rPr>
        <w:t xml:space="preserve">. This does not include the warm up or cool down. </w:t>
      </w:r>
      <w:r w:rsidRPr="00182DEB">
        <w:rPr>
          <w:rFonts w:ascii="Times New Roman" w:hAnsi="Times New Roman" w:cs="Times New Roman"/>
          <w:sz w:val="24"/>
          <w:szCs w:val="24"/>
        </w:rPr>
        <w:t xml:space="preserve"> </w:t>
      </w:r>
      <w:r w:rsidR="00725682" w:rsidRPr="00182DEB">
        <w:rPr>
          <w:rFonts w:ascii="Times New Roman" w:hAnsi="Times New Roman" w:cs="Times New Roman"/>
          <w:sz w:val="24"/>
          <w:szCs w:val="24"/>
        </w:rPr>
        <w:fldChar w:fldCharType="begin" w:fldLock="1"/>
      </w:r>
      <w:r w:rsidR="00725682" w:rsidRPr="00182DEB">
        <w:rPr>
          <w:rFonts w:ascii="Times New Roman" w:hAnsi="Times New Roman" w:cs="Times New Roman"/>
          <w:sz w:val="24"/>
          <w:szCs w:val="24"/>
        </w:rPr>
        <w:instrText>ADDIN CSL_CITATION { "citationItems" : [ { "id" : "ITEM-1", "itemData" : { "ISBN" : "978-1-49633907-2", "author" : [ { "dropping-particle" : "", "family" : "ACSM", "given" : "", "non-dropping-particle" : "", "parse-names" : false, "suffix" : "" } ], "edition" : "10th", "id" : "ITEM-1", "issued" : { "date-parts" : [ [ "2016" ] ] }, "number-of-pages" : "4", "title" : "Guidelines for Exercise Testing and Perscription", "type" : "book" }, "uris" : [ "http://www.mendeley.com/documents/?uuid=eb097303-5db2-46f5-b1fb-d4c291389dfe" ] } ], "mendeley" : { "formattedCitation" : "(ACSM, 2016)", "plainTextFormattedCitation" : "(ACSM, 2016)", "previouslyFormattedCitation" : "(ACSM, 2016)" }, "properties" : { "noteIndex" : 3 }, "schema" : "https://github.com/citation-style-language/schema/raw/master/csl-citation.json" }</w:instrText>
      </w:r>
      <w:r w:rsidR="00725682" w:rsidRPr="00182DEB">
        <w:rPr>
          <w:rFonts w:ascii="Times New Roman" w:hAnsi="Times New Roman" w:cs="Times New Roman"/>
          <w:sz w:val="24"/>
          <w:szCs w:val="24"/>
        </w:rPr>
        <w:fldChar w:fldCharType="separate"/>
      </w:r>
      <w:r w:rsidR="00725682" w:rsidRPr="00182DEB">
        <w:rPr>
          <w:rFonts w:ascii="Times New Roman" w:hAnsi="Times New Roman" w:cs="Times New Roman"/>
          <w:noProof/>
          <w:sz w:val="24"/>
          <w:szCs w:val="24"/>
        </w:rPr>
        <w:t>(ACSM, 2016)</w:t>
      </w:r>
      <w:r w:rsidR="00725682" w:rsidRPr="00182DEB">
        <w:rPr>
          <w:rFonts w:ascii="Times New Roman" w:hAnsi="Times New Roman" w:cs="Times New Roman"/>
          <w:sz w:val="24"/>
          <w:szCs w:val="24"/>
        </w:rPr>
        <w:fldChar w:fldCharType="end"/>
      </w:r>
      <w:r w:rsidR="00725682" w:rsidRPr="00182DEB">
        <w:rPr>
          <w:rFonts w:ascii="Times New Roman" w:hAnsi="Times New Roman" w:cs="Times New Roman"/>
          <w:sz w:val="24"/>
          <w:szCs w:val="24"/>
        </w:rPr>
        <w:t>.</w:t>
      </w:r>
    </w:p>
    <w:p w14:paraId="79FBA507" w14:textId="77777777" w:rsidR="001102AE" w:rsidRPr="00182DEB" w:rsidRDefault="001102AE">
      <w:pPr>
        <w:rPr>
          <w:rFonts w:ascii="Times New Roman" w:hAnsi="Times New Roman" w:cs="Times New Roman"/>
          <w:sz w:val="24"/>
          <w:szCs w:val="24"/>
        </w:rPr>
      </w:pPr>
      <w:r w:rsidRPr="00182DEB">
        <w:rPr>
          <w:rFonts w:ascii="Times New Roman" w:hAnsi="Times New Roman" w:cs="Times New Roman"/>
          <w:noProof/>
          <w:sz w:val="24"/>
          <w:szCs w:val="24"/>
          <w:lang w:val="en-US"/>
        </w:rPr>
        <w:drawing>
          <wp:inline distT="0" distB="0" distL="0" distR="0" wp14:anchorId="46CA42A4" wp14:editId="586B6638">
            <wp:extent cx="5731510" cy="3326130"/>
            <wp:effectExtent l="0" t="0" r="2540" b="7620"/>
            <wp:docPr id="1" name="Picture 1"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3C9401.tmp"/>
                    <pic:cNvPicPr/>
                  </pic:nvPicPr>
                  <pic:blipFill>
                    <a:blip r:embed="rId5">
                      <a:extLst>
                        <a:ext uri="{28A0092B-C50C-407E-A947-70E740481C1C}">
                          <a14:useLocalDpi xmlns:a14="http://schemas.microsoft.com/office/drawing/2010/main" val="0"/>
                        </a:ext>
                      </a:extLst>
                    </a:blip>
                    <a:stretch>
                      <a:fillRect/>
                    </a:stretch>
                  </pic:blipFill>
                  <pic:spPr>
                    <a:xfrm>
                      <a:off x="0" y="0"/>
                      <a:ext cx="5731510" cy="3326130"/>
                    </a:xfrm>
                    <a:prstGeom prst="rect">
                      <a:avLst/>
                    </a:prstGeom>
                  </pic:spPr>
                </pic:pic>
              </a:graphicData>
            </a:graphic>
          </wp:inline>
        </w:drawing>
      </w:r>
    </w:p>
    <w:p w14:paraId="45F6F787" w14:textId="77777777" w:rsidR="00725682" w:rsidRPr="00182DEB" w:rsidRDefault="00725682">
      <w:pPr>
        <w:rPr>
          <w:rFonts w:ascii="Times New Roman" w:hAnsi="Times New Roman" w:cs="Times New Roman"/>
          <w:b/>
          <w:sz w:val="24"/>
          <w:szCs w:val="24"/>
        </w:rPr>
      </w:pPr>
      <w:r w:rsidRPr="00182DEB">
        <w:rPr>
          <w:rFonts w:ascii="Times New Roman" w:hAnsi="Times New Roman" w:cs="Times New Roman"/>
          <w:b/>
          <w:sz w:val="24"/>
          <w:szCs w:val="24"/>
        </w:rPr>
        <w:t xml:space="preserve">Adaptive stimulus </w:t>
      </w:r>
    </w:p>
    <w:p w14:paraId="2E82C4CB" w14:textId="77777777" w:rsidR="00725682" w:rsidRPr="00182DEB" w:rsidRDefault="00725682">
      <w:pPr>
        <w:rPr>
          <w:rFonts w:ascii="Times New Roman" w:hAnsi="Times New Roman" w:cs="Times New Roman"/>
          <w:i/>
          <w:sz w:val="24"/>
          <w:szCs w:val="24"/>
        </w:rPr>
      </w:pPr>
      <w:r w:rsidRPr="00182DEB">
        <w:rPr>
          <w:rFonts w:ascii="Times New Roman" w:hAnsi="Times New Roman" w:cs="Times New Roman"/>
          <w:i/>
          <w:sz w:val="24"/>
          <w:szCs w:val="24"/>
        </w:rPr>
        <w:t>HIIT</w:t>
      </w:r>
    </w:p>
    <w:p w14:paraId="69C475E9" w14:textId="77777777" w:rsidR="00725682" w:rsidRPr="00182DEB" w:rsidRDefault="00725682" w:rsidP="00725682">
      <w:pPr>
        <w:rPr>
          <w:rFonts w:ascii="Times New Roman" w:hAnsi="Times New Roman" w:cs="Times New Roman"/>
          <w:sz w:val="24"/>
          <w:szCs w:val="24"/>
        </w:rPr>
      </w:pPr>
      <w:r w:rsidRPr="00182DEB">
        <w:rPr>
          <w:rFonts w:ascii="Times New Roman" w:hAnsi="Times New Roman" w:cs="Times New Roman"/>
          <w:sz w:val="24"/>
          <w:szCs w:val="24"/>
        </w:rPr>
        <w:t xml:space="preserve">HIIT training has similar physiological adaptions to strength or endurance training. The adaptions are highly dependent on the exercise stimulus e.g. Frequency, intensity and volume of work. Unlike the other two exercise methods which rely on either oxidise or non-oxidative  energy that fuels ATP production, HIIT exercise can differ on the duration and intensity of each interval, amount and duration of recovery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"ISSN" : "0112-1642", "PMID" : "11735686", "abstract" : "The adaptations of muscle to sprint training can be separated into metabolic and morphological changes. Enzyme adaptations represent a major metabolic adaptation to sprint training, with the enzymes of all three energy systems showing signs of adaptation to training and some evidence of a return to baseline levels with detraining. Myokinase and creatine phosphokinase have shown small increases as a result of short-sprint training in some studies and elite sprinters appear better able to rapidly breakdown phosphocreatine (PCr) than the sub-elite. No changes in these enzyme levels have been reported as a result of detraining. Similarly, glycolytic enzyme activity (notably lactate dehydrogenase, phosphofructokinase and glycogen phosphorylase) has been shown to increase after training consisting of either long (&gt;10-second) or short (&lt;10-second) sprints. Evidence suggests that these enzymes return to pre-training levels after somewhere between 7 weeks and 6 months of detraining. Mitochondrial enzyme activity also increases after sprint training, particularly when long sprints or short recovery between short sprints are used as the training stimulus. Morphological adaptations to sprint training include changes in muscle fibre type, sarcoplasmic reticulum, and fibre cross-sectional area. An appropriate sprint training programme could be expected to induce a shift toward type IIa muscle, increase muscle cross-sectional area and increase the sarcoplasmic reticulum volume to aid release of Ca(2+). Training volume and/or frequency of sprint training in excess of what is optimal for an individual, however, will induce a shift toward slower muscle contractile characteristics. In contrast, detraining appears to shift the contractile characteristics towards type IIb, although muscle atrophy is also likely to occur. Muscle conduction velocity appears to be a potential non-invasive method of monitoring contractile changes in response to sprint training and detraining. In summary, adaptation to sprint training is clearly dependent on the duration of sprinting, recovery between repetitions, total volume and frequency of training bouts. These variables have profound effects on the metabolic, structural and performance adaptations from a sprint-training programme and these changes take a considerable period of time to return to baseline after a period of detraining. However, the complexity of the interaction between the aforementioned variables and training adaptation combi\u2026", "author" : [ { "dropping-particle" : "", "family" : "Ross", "given" : "A", "non-dropping-particle" : "", "parse-names" : false, "suffix" : "" }, { "dropping-particle" : "", "family" : "Leveritt", "given" : "M", "non-dropping-particle" : "", "parse-names" : false, "suffix" : "" } ], "container-title" : "Sports medicine (Auckland, N.Z.)", "id" : "ITEM-1", "issue" : "15", "issued" : { "date-parts" : [ [ "2001" ] ] }, "page" : "1063-82", "title" : "Long-term metabolic and skeletal muscle adaptations to short-sprint training: implications for sprint training and tapering.", "type" : "article-journal", "volume" : "31" }, "uris" : [ "http://www.mendeley.com/documents/?uuid=2520c04c-550e-35ed-b966-7e178f09f1be" ] } ], "mendeley" : { "formattedCitation" : "(Ross and Leveritt, 2001)", "plainTextFormattedCitation" : "(Ross and Leveritt, 2001)", "previouslyFormattedCitation" : "(Ross and Leveritt, 2001)"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(Ross and Leveritt, 2001)</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Several studies have reported that muscle fibre composition shifts types </w:t>
      </w:r>
      <w:r w:rsidRPr="00182DEB">
        <w:rPr>
          <w:rFonts w:ascii="Times New Roman" w:hAnsi="Times New Roman" w:cs="Times New Roman"/>
          <w:color w:val="1D1D1D"/>
          <w:shd w:val="clear" w:color="auto" w:fill="FFFFFF"/>
        </w:rPr>
        <w:t xml:space="preserve">IIa (I -&gt; IIa &lt;- IIx). Almost a similar </w:t>
      </w:r>
      <w:r w:rsidRPr="00182DEB">
        <w:rPr>
          <w:rFonts w:ascii="Times New Roman" w:hAnsi="Times New Roman" w:cs="Times New Roman"/>
          <w:color w:val="1D1D1D"/>
          <w:shd w:val="clear" w:color="auto" w:fill="FFFFFF"/>
        </w:rPr>
        <w:lastRenderedPageBreak/>
        <w:t xml:space="preserve">trends that are seen is strength and endurance training </w:t>
      </w:r>
      <w:r w:rsidRPr="00182DEB">
        <w:rPr>
          <w:rFonts w:ascii="Times New Roman" w:hAnsi="Times New Roman" w:cs="Times New Roman"/>
          <w:color w:val="1D1D1D"/>
          <w:shd w:val="clear" w:color="auto" w:fill="FFFFFF"/>
        </w:rPr>
        <w:fldChar w:fldCharType="begin" w:fldLock="1"/>
      </w:r>
      <w:r w:rsidRPr="00182DEB">
        <w:rPr>
          <w:rFonts w:ascii="Times New Roman" w:hAnsi="Times New Roman" w:cs="Times New Roman"/>
          <w:color w:val="1D1D1D"/>
          <w:shd w:val="clear" w:color="auto" w:fill="FFFFFF"/>
        </w:rPr>
        <w:instrText>ADDIN CSL_CITATION { "citationItems" : [ { "id" : "ITEM-1", "itemData" : { "DOI" : "10.2165/00007256-200232080-00002", "ISSN" : "0112-1642", "author" : [ { "dropping-particle" : "", "family" : "Kubukeli", "given" : "Zuko N.", "non-dropping-particle" : "", "parse-names" : false, "suffix" : "" }, { "dropping-particle" : "", "family" : "Noakes", "given" : "Timothy D.", "non-dropping-particle" : "", "parse-names" : false, "suffix" : "" }, { "dropping-particle" : "", "family" : "Dennis", "given" : "Steven C.", "non-dropping-particle" : "", "parse-names" : false, "suffix" : "" } ], "container-title" : "Sports Medicine", "id" : "ITEM-1", "issue" : "8", "issued" : { "date-parts" : [ [ "2002" ] ] }, "page" : "489-509", "publisher" : "Springer International Publishing", "title" : "Training Techniques to Improve Endurance Exercise Performances", "type" : "article-journal", "volume" : "32" }, "uris" : [ "http://www.mendeley.com/documents/?uuid=351f9b3a-6c36-38de-931c-da47ee3cdee7" ] } ], "mendeley" : { "formattedCitation" : "(Kubukeli, Noakes and Dennis, 2002)", "plainTextFormattedCitation" : "(Kubukeli, Noakes and Dennis, 2002)", "previouslyFormattedCitation" : "(Kubukeli, Noakes and Dennis, 2002)" }, "properties" : { "noteIndex" : 2 }, "schema" : "https://github.com/citation-style-language/schema/raw/master/csl-citation.json" }</w:instrText>
      </w:r>
      <w:r w:rsidRPr="00182DEB">
        <w:rPr>
          <w:rFonts w:ascii="Times New Roman" w:hAnsi="Times New Roman" w:cs="Times New Roman"/>
          <w:color w:val="1D1D1D"/>
          <w:shd w:val="clear" w:color="auto" w:fill="FFFFFF"/>
        </w:rPr>
        <w:fldChar w:fldCharType="separate"/>
      </w:r>
      <w:r w:rsidRPr="00182DEB">
        <w:rPr>
          <w:rFonts w:ascii="Times New Roman" w:hAnsi="Times New Roman" w:cs="Times New Roman"/>
          <w:noProof/>
          <w:color w:val="1D1D1D"/>
          <w:shd w:val="clear" w:color="auto" w:fill="FFFFFF"/>
        </w:rPr>
        <w:t>(Kubukeli, Noakes and Dennis, 2002)</w:t>
      </w:r>
      <w:r w:rsidRPr="00182DEB">
        <w:rPr>
          <w:rFonts w:ascii="Times New Roman" w:hAnsi="Times New Roman" w:cs="Times New Roman"/>
          <w:color w:val="1D1D1D"/>
          <w:shd w:val="clear" w:color="auto" w:fill="FFFFFF"/>
        </w:rPr>
        <w:fldChar w:fldCharType="end"/>
      </w:r>
      <w:r w:rsidRPr="00182DEB">
        <w:rPr>
          <w:rFonts w:ascii="Times New Roman" w:hAnsi="Times New Roman" w:cs="Times New Roman"/>
          <w:color w:val="1D1D1D"/>
          <w:shd w:val="clear" w:color="auto" w:fill="FFFFFF"/>
        </w:rPr>
        <w:t xml:space="preserve">. </w:t>
      </w:r>
      <w:r w:rsidRPr="00182DEB">
        <w:rPr>
          <w:rFonts w:ascii="Times New Roman" w:hAnsi="Times New Roman" w:cs="Times New Roman"/>
          <w:sz w:val="24"/>
          <w:szCs w:val="24"/>
        </w:rPr>
        <w:t xml:space="preserve">Although HIIT do not have any effect on the size of the muscle, especially when compared to resistance training, studies have found that hypertrophy do occur within both I and II muscle fibres, this occurs after many months of using HIIT training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"ISSN" : "0112-1642", "PMID" : "11735686", "abstract" : "The adaptations of muscle to sprint training can be separated into metabolic and morphological changes. Enzyme adaptations represent a major metabolic adaptation to sprint training, with the enzymes of all three energy systems showing signs of adaptation to training and some evidence of a return to baseline levels with detraining. Myokinase and creatine phosphokinase have shown small increases as a result of short-sprint training in some studies and elite sprinters appear better able to rapidly breakdown phosphocreatine (PCr) than the sub-elite. No changes in these enzyme levels have been reported as a result of detraining. Similarly, glycolytic enzyme activity (notably lactate dehydrogenase, phosphofructokinase and glycogen phosphorylase) has been shown to increase after training consisting of either long (&gt;10-second) or short (&lt;10-second) sprints. Evidence suggests that these enzymes return to pre-training levels after somewhere between 7 weeks and 6 months of detraining. Mitochondrial enzyme activity also increases after sprint training, particularly when long sprints or short recovery between short sprints are used as the training stimulus. Morphological adaptations to sprint training include changes in muscle fibre type, sarcoplasmic reticulum, and fibre cross-sectional area. An appropriate sprint training programme could be expected to induce a shift toward type IIa muscle, increase muscle cross-sectional area and increase the sarcoplasmic reticulum volume to aid release of Ca(2+). Training volume and/or frequency of sprint training in excess of what is optimal for an individual, however, will induce a shift toward slower muscle contractile characteristics. In contrast, detraining appears to shift the contractile characteristics towards type IIb, although muscle atrophy is also likely to occur. Muscle conduction velocity appears to be a potential non-invasive method of monitoring contractile changes in response to sprint training and detraining. In summary, adaptation to sprint training is clearly dependent on the duration of sprinting, recovery between repetitions, total volume and frequency of training bouts. These variables have profound effects on the metabolic, structural and performance adaptations from a sprint-training programme and these changes take a considerable period of time to return to baseline after a period of detraining. However, the complexity of the interaction between the aforementioned variables and training adaptation combi\u2026", "author" : [ { "dropping-particle" : "", "family" : "Ross", "given" : "A", "non-dropping-particle" : "", "parse-names" : false, "suffix" : "" }, { "dropping-particle" : "", "family" : "Leveritt", "given" : "M", "non-dropping-particle" : "", "parse-names" : false, "suffix" : "" } ], "container-title" : "Sports medicine (Auckland, N.Z.)", "id" : "ITEM-1", "issue" : "15", "issued" : { "date-parts" : [ [ "2001" ] ] }, "page" : "1063-82", "title" : "Long-term metabolic and skeletal muscle adaptations to short-sprint training: implications for sprint training and tapering.", "type" : "article-journal", "volume" : "31" }, "uris" : [ "http://www.mendeley.com/documents/?uuid=2520c04c-550e-35ed-b966-7e178f09f1be" ] } ], "mendeley" : { "formattedCitation" : "(Ross and Leveritt, 2001)", "plainTextFormattedCitation" : "(Ross and Leveritt, 2001)", "previouslyFormattedCitation" : "(Ross and Leveritt, 2001)"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(Ross and Leveritt, 2001)</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HIIT has also been found to improve Vo2 max, exercise tolerance, decrease the risk of developing diseases after a few weeks of training in the healthy population and cardiometabolic disorders.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"10.1139/apnm-2013-0187", "ISSN" : "1715-5312", "abstract" : "Growing research suggests that high-intensity interval training (HIIT) is a time-efficient exercise strategy to improve cardiorespiratory and metabolic health. \u201cAll out\u201d HIIT models such as Wingate-type exercise are particularly effective, but this type of training may not be safe, tolerable or practical for many individuals. Recent studies, however, have revealed the potential for other models of HIIT, which may be more feasible but are still time-efficient, to stimulate adaptations similar to more demanding low-volume HIIT models and high-volume endurance-type training. As little as 3 HIIT sessions per week, involving \u226410 min of intense exercise within a time commitment of \u226430 min per session, including warm-up, recovery between intervals and cool down, has been shown to improve aerobic capacity, skeletal muscle oxidative capacity, exercise tolerance and markers of disease risk after only a few weeks in both healthy individuals and people with cardiometabolic disorders. Additional research is warranted,...", "author" : [ { "dropping-particle" : "", "family" : "Gillen", "given" : "Jenna B.", "non-dropping-particle" : "", "parse-names" : false, "suffix" : "" }, { "dropping-particle" : "", "family" : "Gibala", "given" : "Martin J.", "non-dropping-particle" : "", "parse-names" : false, "suffix" : "" } ], "container-title" : "Applied Physiology, Nutrition, and Metabolism", "id" : "ITEM-1", "issue" : "3", "issued" : { "date-parts" : [ [ "2014", "3" ] ] }, "page" : "409-412", "publisher" : " NRC Research Press", "title" : "Is high-intensity interval training a time-efficient exercise strategy to improve health and fitness?", "type" : "article-journal", "volume" : "39" }, "uris" : [ "http://www.mendeley.com/documents/?uuid=c948b87d-d9ed-3ac3-a71d-2610bb3aaf4f" ] } ], "mendeley" : { "formattedCitation" : "(Gillen and Gibala, 2014)", "plainTextFormattedCitation" : "(Gillen and Gibala, 2014)", "previouslyFormattedCitation" : "(Gillen and Gibala, 2014)"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(Gillen and Gibala, 2014)</w:t>
      </w:r>
      <w:r w:rsidRPr="00182DEB">
        <w:rPr>
          <w:rFonts w:ascii="Times New Roman" w:hAnsi="Times New Roman" w:cs="Times New Roman"/>
          <w:sz w:val="24"/>
          <w:szCs w:val="24"/>
        </w:rPr>
        <w:fldChar w:fldCharType="end"/>
      </w:r>
      <w:r w:rsidR="00625AEC" w:rsidRPr="00182DEB">
        <w:rPr>
          <w:rFonts w:ascii="Times New Roman" w:hAnsi="Times New Roman" w:cs="Times New Roman"/>
          <w:sz w:val="24"/>
          <w:szCs w:val="24"/>
        </w:rPr>
        <w:t xml:space="preserve">. In the aging population, it is known that there is a reduction of muscle fibres within the skeletal muscles making functional living problematic as it reduces the size and volume of muscles. A study by </w:t>
      </w:r>
      <w:r w:rsidR="00625AEC" w:rsidRPr="00182DEB">
        <w:rPr>
          <w:rFonts w:ascii="Times New Roman" w:hAnsi="Times New Roman" w:cs="Times New Roman"/>
          <w:sz w:val="24"/>
          <w:szCs w:val="24"/>
        </w:rPr>
        <w:fldChar w:fldCharType="begin" w:fldLock="1"/>
      </w:r>
      <w:r w:rsidR="009B34FB" w:rsidRPr="00182DEB">
        <w:rPr>
          <w:rFonts w:ascii="Times New Roman" w:hAnsi="Times New Roman" w:cs="Times New Roman"/>
          <w:sz w:val="24"/>
          <w:szCs w:val="24"/>
        </w:rPr>
        <w:instrText>ADDIN CSL_CITATION { "citationItems" : [ { "id" : "ITEM-1", "itemData" : { "ISSN" : "1079-5006", "PMID" : "7493202", "abstract" : "To assess the age-related loss of muscle mass and to determine the mechanisms behind this aging atrophy, the muscle structure and fiber type composition have been estimated, using invasive and noninvasive techniques. Limb muscles from older men and women are 25-35% smaller and have significantly more fat and connective tissue than limb muscles from younger individuals. Comparisons of muscle biopsies from younger and older individuals reveal that type 2 (fast-twitch) fibers are smaller in the old, while the size of type 1 (slow-twitch) fibers is much less affected. Studies of whole muscle cross sections also show a significantly smaller number of muscle fibers, a significantly lower relative type 2 fiber area, and a significant increase in fiber type grouping with increasing age. These results indicate a gradual decrease in size/volume with advancing age, accompanied by a replacement by fat and connective tissue. This aging atrophy seems to be due to a reduction in both number and size of muscle fibers, mainly of type 2, and is to some extent caused by a slowly progressive neurogenic process.", "author" : [ { "dropping-particle" : "", "family" : "Lexell", "given" : "J", "non-dropping-particle" : "", "parse-names" : false, "suffix" : "" } ], "container-title" : "The journals of gerontology. Series A, Biological sciences and medical sciences", "id" : "ITEM-1", "issued" : { "date-parts" : [ [ "1995", "11" ] ] }, "page" : "11-6", "title" : "Human aging, muscle mass, and fiber type composition.", "type" : "article-journal", "volume" : "50 Spec No" }, "uris" : [ "http://www.mendeley.com/documents/?uuid=8e47a1b9-4ad5-3471-ba7d-bfd84dd7914b" ] } ], "mendeley" : { "formattedCitation" : "(Lexell, 1995)", "manualFormatting" : "Lexell (1995)", "plainTextFormattedCitation" : "(Lexell, 1995)", "previouslyFormattedCitation" : "(Lexell, 1995)" }, "properties" : { "noteIndex" : 5 }, "schema" : "https://github.com/citation-style-language/schema/raw/master/csl-citation.json" }</w:instrText>
      </w:r>
      <w:r w:rsidR="00625AEC" w:rsidRPr="00182DEB">
        <w:rPr>
          <w:rFonts w:ascii="Times New Roman" w:hAnsi="Times New Roman" w:cs="Times New Roman"/>
          <w:sz w:val="24"/>
          <w:szCs w:val="24"/>
        </w:rPr>
        <w:fldChar w:fldCharType="separate"/>
      </w:r>
      <w:r w:rsidR="00625AEC" w:rsidRPr="00182DEB">
        <w:rPr>
          <w:rFonts w:ascii="Times New Roman" w:hAnsi="Times New Roman" w:cs="Times New Roman"/>
          <w:noProof/>
          <w:sz w:val="24"/>
          <w:szCs w:val="24"/>
        </w:rPr>
        <w:t>Lexell (1995)</w:t>
      </w:r>
      <w:r w:rsidR="00625AEC" w:rsidRPr="00182DEB">
        <w:rPr>
          <w:rFonts w:ascii="Times New Roman" w:hAnsi="Times New Roman" w:cs="Times New Roman"/>
          <w:sz w:val="24"/>
          <w:szCs w:val="24"/>
        </w:rPr>
        <w:fldChar w:fldCharType="end"/>
      </w:r>
      <w:r w:rsidR="00625AEC" w:rsidRPr="00182DEB">
        <w:rPr>
          <w:rFonts w:ascii="Times New Roman" w:hAnsi="Times New Roman" w:cs="Times New Roman"/>
          <w:sz w:val="24"/>
          <w:szCs w:val="24"/>
        </w:rPr>
        <w:t xml:space="preserve"> show that the type 2a fibres are dramatically reduced and significantly low in the aging. The result of the gradual decrease, functionality becomes reduced, and the tissue is then replaced by fat and connective tissue. </w:t>
      </w:r>
    </w:p>
    <w:p w14:paraId="30EC6781" w14:textId="77777777" w:rsidR="00FA4A6A" w:rsidRPr="00182DEB" w:rsidRDefault="00455DCB">
      <w:pPr>
        <w:rPr>
          <w:rFonts w:ascii="Times New Roman" w:hAnsi="Times New Roman" w:cs="Times New Roman"/>
          <w:i/>
          <w:sz w:val="24"/>
          <w:szCs w:val="24"/>
        </w:rPr>
      </w:pPr>
      <w:r w:rsidRPr="00182DEB">
        <w:rPr>
          <w:rFonts w:ascii="Times New Roman" w:hAnsi="Times New Roman" w:cs="Times New Roman"/>
          <w:i/>
          <w:sz w:val="24"/>
          <w:szCs w:val="24"/>
        </w:rPr>
        <w:t>Continuous</w:t>
      </w:r>
    </w:p>
    <w:p w14:paraId="784B7D00" w14:textId="77777777" w:rsidR="00725682" w:rsidRPr="00182DEB" w:rsidRDefault="00FA4A6A" w:rsidP="004B6083">
      <w:pPr>
        <w:rPr>
          <w:rFonts w:ascii="Times New Roman" w:hAnsi="Times New Roman" w:cs="Times New Roman"/>
          <w:i/>
          <w:color w:val="FF0000"/>
          <w:sz w:val="24"/>
          <w:szCs w:val="24"/>
        </w:rPr>
      </w:pPr>
      <w:r w:rsidRPr="00182DEB">
        <w:rPr>
          <w:rFonts w:ascii="Times New Roman" w:hAnsi="Times New Roman" w:cs="Times New Roman"/>
          <w:sz w:val="24"/>
          <w:szCs w:val="24"/>
        </w:rPr>
        <w:t xml:space="preserve">Endurance exercise that is performed at moderate to vigorous intensity, the main focus of this type of training is to progressively increasing lactate threshold. The lactate production is the beginning of the metabolism of anaerobic training. The larger the lactate threshold, the higher </w:t>
      </w:r>
      <w:r w:rsidR="008A02AA" w:rsidRPr="00182DEB">
        <w:rPr>
          <w:rFonts w:ascii="Times New Roman" w:hAnsi="Times New Roman" w:cs="Times New Roman"/>
          <w:sz w:val="24"/>
          <w:szCs w:val="24"/>
        </w:rPr>
        <w:t xml:space="preserve">the intensity for longer periods of time. </w:t>
      </w:r>
      <w:r w:rsidR="004B6083" w:rsidRPr="00182DEB">
        <w:rPr>
          <w:rFonts w:ascii="Times New Roman" w:hAnsi="Times New Roman" w:cs="Times New Roman"/>
          <w:sz w:val="24"/>
          <w:szCs w:val="24"/>
        </w:rPr>
        <w:t xml:space="preserve">Moving up the lactate threshold occurs through modifications within the muscle metabolism, increases the number and density of the mitochondria and the oxidative enzymes. The mitochondria is the power house and hugely important for the production of energy. Continuous training helps shift the muscle fibre type </w:t>
      </w:r>
      <w:r w:rsidR="004B6083" w:rsidRPr="00182DEB">
        <w:rPr>
          <w:rFonts w:ascii="Times New Roman" w:hAnsi="Times New Roman" w:cs="Times New Roman"/>
          <w:sz w:val="24"/>
          <w:szCs w:val="24"/>
        </w:rPr>
        <w:fldChar w:fldCharType="begin" w:fldLock="1"/>
      </w:r>
      <w:r w:rsidR="004B6083" w:rsidRPr="00182DEB">
        <w:rPr>
          <w:rFonts w:ascii="Times New Roman" w:hAnsi="Times New Roman" w:cs="Times New Roman"/>
          <w:sz w:val="24"/>
          <w:szCs w:val="24"/>
        </w:rPr>
        <w:instrText>ADDIN CSL_CITATION { "citationItems" : [ { "id" : "ITEM-1", "itemData" : { "DOI" : "10.1183/20734735.007016", "ISSN" : "1810-6838", "PMID" : "27408632", "abstract" : "EDUCATIONAL AIMS To illustrate the characteristics of endurance exercise training and its positive effects on health.To provide an overview on the effects of endurance training on airway cells and bronchial reactivity.To summarise the current knowledge on respiratory health problems in elite athletes. Endurance exercise training exerts many positive effects on health, including improved metabol-ism, reduction of cardiovascular risk, and reduced all-cause and cardiovascular mortality. Intense endurance exercise causes mild epithelial injury and inflammation in the airways, but does not appear to exert detrimental effects on respiratory health or bronchial reactivity in recreational/non-elite athletes. Conversely, elite athletes of both summer and winter sports show increased susceptibility to development of asthma, possibly related to environmental exposures to allergens or poor conditioning of inspired air, so that a distinct phenotype of \"sports asthma\" has been proposed to characterise such athletes, who more often practise aquatic and winter sports. Overall, endurance training is good for health but may become deleterious when performed at high intensity or volume.", "author" : [ { "dropping-particle" : "", "family" : "Morici", "given" : "Giuseppe", "non-dropping-particle" : "", "parse-names" : false, "suffix" : "" }, { "dropping-particle" : "", "family" : "Gruttad'Auria", "given" : "Claudia I", "non-dropping-particle" : "", "parse-names" : false, "suffix" : "" }, { "dropping-particle" : "", "family" : "Baiamonte", "given" : "Pierpaolo", "non-dropping-particle" : "", "parse-names" : false, "suffix" : "" }, { "dropping-particle" : "", "family" : "Mazzuca", "given" : "Emilia", "non-dropping-particle" : "", "parse-names" : false, "suffix" : "" }, { "dropping-particle" : "", "family" : "Castrogiovanni", "given" : "Alessandra", "non-dropping-particle" : "", "parse-names" : false, "suffix" : "" }, { "dropping-particle" : "", "family" : "Bonsignore", "given" : "Maria R", "non-dropping-particle" : "", "parse-names" : false, "suffix" : "" } ], "container-title" : "Breathe (Sheffield, England)", "id" : "ITEM-1", "issue" : "2", "issued" : { "date-parts" : [ [ "2016", "6" ] ] }, "page" : "140-7", "publisher" : "European Respiratory Society", "title" : "Endurance training: is it bad for\u00a0you?", "type" : "article-journal", "volume" : "12" }, "uris" : [ "http://www.mendeley.com/documents/?uuid=fcaa0a6d-ac21-3484-8c06-69240055c06f" ] } ], "mendeley" : { "formattedCitation" : "(Morici &lt;i&gt;et al.&lt;/i&gt;, 2016)", "plainTextFormattedCitation" : "(Morici et al., 2016)", "previouslyFormattedCitation" : "(Morici &lt;i&gt;et al.&lt;/i&gt;, 2016)" }, "properties" : { "noteIndex" : 5 }, "schema" : "https://github.com/citation-style-language/schema/raw/master/csl-citation.json" }</w:instrText>
      </w:r>
      <w:r w:rsidR="004B6083" w:rsidRPr="00182DEB">
        <w:rPr>
          <w:rFonts w:ascii="Times New Roman" w:hAnsi="Times New Roman" w:cs="Times New Roman"/>
          <w:sz w:val="24"/>
          <w:szCs w:val="24"/>
        </w:rPr>
        <w:fldChar w:fldCharType="separate"/>
      </w:r>
      <w:r w:rsidR="004B6083" w:rsidRPr="00182DEB">
        <w:rPr>
          <w:rFonts w:ascii="Times New Roman" w:hAnsi="Times New Roman" w:cs="Times New Roman"/>
          <w:noProof/>
          <w:sz w:val="24"/>
          <w:szCs w:val="24"/>
        </w:rPr>
        <w:t xml:space="preserve">(Morici </w:t>
      </w:r>
      <w:r w:rsidR="004B6083" w:rsidRPr="00182DEB">
        <w:rPr>
          <w:rFonts w:ascii="Times New Roman" w:hAnsi="Times New Roman" w:cs="Times New Roman"/>
          <w:i/>
          <w:noProof/>
          <w:sz w:val="24"/>
          <w:szCs w:val="24"/>
        </w:rPr>
        <w:t>et al.</w:t>
      </w:r>
      <w:r w:rsidR="004B6083" w:rsidRPr="00182DEB">
        <w:rPr>
          <w:rFonts w:ascii="Times New Roman" w:hAnsi="Times New Roman" w:cs="Times New Roman"/>
          <w:noProof/>
          <w:sz w:val="24"/>
          <w:szCs w:val="24"/>
        </w:rPr>
        <w:t>, 2016)</w:t>
      </w:r>
      <w:r w:rsidR="004B6083" w:rsidRPr="00182DEB">
        <w:rPr>
          <w:rFonts w:ascii="Times New Roman" w:hAnsi="Times New Roman" w:cs="Times New Roman"/>
          <w:sz w:val="24"/>
          <w:szCs w:val="24"/>
        </w:rPr>
        <w:fldChar w:fldCharType="end"/>
      </w:r>
    </w:p>
    <w:p w14:paraId="03077199" w14:textId="77777777" w:rsidR="008E75AD" w:rsidRPr="00182DEB" w:rsidRDefault="008E75AD">
      <w:pPr>
        <w:rPr>
          <w:rFonts w:ascii="Times New Roman" w:hAnsi="Times New Roman" w:cs="Times New Roman"/>
          <w:b/>
          <w:sz w:val="24"/>
          <w:szCs w:val="24"/>
        </w:rPr>
      </w:pPr>
      <w:r w:rsidRPr="00182DEB">
        <w:rPr>
          <w:rFonts w:ascii="Times New Roman" w:hAnsi="Times New Roman" w:cs="Times New Roman"/>
          <w:b/>
          <w:sz w:val="24"/>
          <w:szCs w:val="24"/>
        </w:rPr>
        <w:t>Research</w:t>
      </w:r>
    </w:p>
    <w:p w14:paraId="4F9DB327" w14:textId="77777777" w:rsidR="00D902A9" w:rsidRPr="00182DEB" w:rsidRDefault="00D902A9" w:rsidP="00D902A9">
      <w:pPr>
        <w:rPr>
          <w:rFonts w:ascii="Times New Roman" w:hAnsi="Times New Roman" w:cs="Times New Roman"/>
          <w:sz w:val="24"/>
          <w:szCs w:val="24"/>
        </w:rPr>
      </w:pPr>
      <w:r w:rsidRPr="00182DEB">
        <w:rPr>
          <w:rFonts w:ascii="Times New Roman" w:hAnsi="Times New Roman" w:cs="Times New Roman"/>
          <w:sz w:val="24"/>
          <w:szCs w:val="24"/>
        </w:rPr>
        <w:t xml:space="preserve">Due to the use of large muscle groups, exercise even at low intensity burns a lot of calories, </w:t>
      </w:r>
      <w:r w:rsidR="007B21FA" w:rsidRPr="00182DEB">
        <w:rPr>
          <w:rFonts w:ascii="Times New Roman" w:hAnsi="Times New Roman" w:cs="Times New Roman"/>
          <w:sz w:val="24"/>
          <w:szCs w:val="24"/>
        </w:rPr>
        <w:t>any aerobic</w:t>
      </w:r>
      <w:r w:rsidRPr="00182DEB">
        <w:rPr>
          <w:rFonts w:ascii="Times New Roman" w:hAnsi="Times New Roman" w:cs="Times New Roman"/>
          <w:sz w:val="24"/>
          <w:szCs w:val="24"/>
        </w:rPr>
        <w:t xml:space="preserve"> training method would be beneficial for those who are targeting maintain or lowering body fat and building on fitness levels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"author" : [ { "dropping-particle" : "", "family" : "Goulding", "given" : "Phil", "non-dropping-particle" : "", "parse-names" : false, "suffix" : "" } ], "container-title" : "Nuffield Health ", "id" : "ITEM-1", "issued" : { "date-parts" : [ [ "2016" ] ] }, "title" : "What is continuous training?", "type" : "article-journal" }, "uris" : [ "http://www.mendeley.com/documents/?uuid=13d035e5-7f77-3c50-9f11-5ac0879f2c7e" ] } ], "mendeley" : { "formattedCitation" : "(Goulding, 2016)", "plainTextFormattedCitation" : "(Goulding, 2016)", "previouslyFormattedCitation" : "(Goulding, 2016)"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(Goulding, 2016)</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In a Study by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"10.1161/01.hyp.0000184225.05629.51", "ISSN" : "0194-911X", "PMID" : "9931171", "abstract" : "The effects of long-term aerobic exercise on endothelial function in patients with essential hypertension remain unclear. To determine whether endothelial function relating to forearm hemodynamics in these patients differs from normotensive subjects and whether endothelial function can be modified by continued physical exercise, we randomized patients with essential hypertension into a group that engaged in 30 minutes of brisk walking 5 to 7 times weekly for 12 weeks (n=20) or a group that underwent no activity modifications (control group, n=7). Forearm blood flow was measured using strain-gauge plethysmography during reactive hyperemia to test for endothelium-dependent vasodilation and after sublingual nitroglycerin administration to test endothelium-independent vasodilation. Forearm blood flow in hypertensive patients during reactive hyperemia was significantly less than that in normotensive subjects (n=17). Increases in forearm blood flow after nitroglycerin were similar between hypertensive and normotensive subjects. Exercise lowered mean blood pressure from 115.7+/-5.3 to 110.2+/-5.1 mm Hg (P&lt;0.01) and forearm vascular resistance from 25.6+/-3.2 to 23. 2+/-2.8 mm Hg/mL per minute per 100 mL tissue (P&lt;0.01); no change occurred in controls. Basal forearm blood flow, body weight, and heart rate did not differ with exercise. After 12 weeks of exercise, maximal forearm blood flow response during reactive hyperemia increased significantly, from 38.4+/-4.6 to 47.1+/-4.9 mL/min per 100 mL tissue (P&lt;0.05); this increase was not seen in controls. Changes in forearm blood flow after sublingual nitroglycerin administration were similar before and after 12 weeks of exercise. Intra-arterial infusion of the nitric oxide synthase inhibitor NG-monomethyl-L-arginine abolished the enhancement of reactive hyperemia induced by 12 weeks of exercise. These findings suggest that through increased release of nitric oxide, continued physical exercise alleviates impairment of reactive hyperemia in patients with essential hypertension.", "author" : [ { "dropping-particle" : "", "family" : "Higashi", "given" : "Y", "non-dropping-particle" : "", "parse-names" : false, "suffix" : "" }, { "dropping-particle" : "", "family" : "Sasaki", "given" : "S", "non-dropping-particle" : "", "parse-names" : false, "suffix" : "" }, { "dropping-particle" : "", "family" : "Sasaki", "given" : "N", "non-dropping-particle" : "", "parse-names" : false, "suffix" : "" }, { "dropping-particle" : "", "family" : "Nakagawa", "given" : "K", "non-dropping-particle" : "", "parse-names" : false, "suffix" : "" }, { "dropping-particle" : "", "family" : "Ueda", "given" : "T", "non-dropping-particle" : "", "parse-names" : false, "suffix" : "" }, { "dropping-particle" : "", "family" : "Yoshimizu", "given" : "A", "non-dropping-particle" : "", "parse-names" : false, "suffix" : "" }, { "dropping-particle" : "", "family" : "Kurisu", "given" : "S", "non-dropping-particle" : "", "parse-names" : false, "suffix" : "" }, { "dropping-particle" : "", "family" : "Matsuura", "given" : "H", "non-dropping-particle" : "", "parse-names" : false, "suffix" : "" }, { "dropping-particle" : "", "family" : "Kajiyama", "given" : "G", "non-dropping-particle" : "", "parse-names" : false, "suffix" : "" }, { "dropping-particle" : "", "family" : "Oshima", "given" : "T", "non-dropping-particle" : "", "parse-names" : false, "suffix" : "" } ], "container-title" : "Hypertension (Dallas, Tex. : 1979)", "id" : "ITEM-1", "issue" : "1 Pt 2", "issued" : { "date-parts" : [ [ "1999", "1", "1" ] ] }, "page" : "591-7", "publisher" : "American Heart Association, Inc.", "title" : "Daily aerobic exercise improves reactive hyperemia in patients with essential hypertension.", "type" : "article-journal", "volume" : "33" }, "uris" : [ "http://www.mendeley.com/documents/?uuid=ccfc04a6-7f86-34a0-997a-d2f5afcdd35b" ] } ], "mendeley" : { "formattedCitation" : "(Higashi &lt;i&gt;et al.&lt;/i&gt;, 1999)", "manualFormatting" : "Higashi et al., (1999)", "plainTextFormattedCitation" : "(Higashi et al., 1999)", "previouslyFormattedCitation" : "(Higashi &lt;i&gt;et al.&lt;/i&gt;, 1999)"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Higashi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(1999)</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that investigate the effects of health in </w:t>
      </w:r>
      <w:r w:rsidR="007B21FA" w:rsidRPr="00182DEB">
        <w:rPr>
          <w:rFonts w:ascii="Times New Roman" w:hAnsi="Times New Roman" w:cs="Times New Roman"/>
          <w:sz w:val="24"/>
          <w:szCs w:val="24"/>
        </w:rPr>
        <w:t xml:space="preserve">cardiovascular </w:t>
      </w:r>
      <w:r w:rsidRPr="00182DEB">
        <w:rPr>
          <w:rFonts w:ascii="Times New Roman" w:hAnsi="Times New Roman" w:cs="Times New Roman"/>
          <w:sz w:val="24"/>
          <w:szCs w:val="24"/>
        </w:rPr>
        <w:t>training, indicate that blood pressure is reduced, body weight decreases as it uses burns a high amount of calories over a long period, reduces circumference of the waist, increases insulin response, increases in HDL cholesterol, decrease in triglycerides.</w:t>
      </w:r>
      <w:r w:rsidRPr="00182DEB">
        <w:rPr>
          <w:rFonts w:ascii="Times New Roman" w:hAnsi="Times New Roman" w:cs="Times New Roman"/>
        </w:rPr>
        <w:t xml:space="preserve"> </w:t>
      </w:r>
      <w:r w:rsidRPr="00182DEB">
        <w:rPr>
          <w:rFonts w:ascii="Times New Roman" w:hAnsi="Times New Roman" w:cs="Times New Roman"/>
          <w:sz w:val="24"/>
          <w:szCs w:val="24"/>
        </w:rPr>
        <w:t xml:space="preserve">Another study indicates improvements in diastolic blood pressure, glucose control and greater aerobic capacity. Regardless of the intensity used within the exercise, there is still improvements in the systolic blood pressure and lipid profile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"10.1016/J.AMJCARD.2005.07.130", "ISSN" : "0002-9149", "author" : [ { "dropping-particle" : "", "family" : "Swain", "given" : "David", "non-dropping-particle" : "", "parse-names" : false, "suffix" : "" }, { "dropping-particle" : "", "family" : "Frankelin", "given" : "Barry", "non-dropping-particle" : "", "parse-names" : false, "suffix" : "" } ], "container-title" : "The American Journal of Cardiology", "id" : "ITEM-1", "issue" : "1", "issued" : { "date-parts" : [ [ "2006", "1", "1" ] ] }, "page" : "141-147", "publisher" : "Excerpta Medica", "title" : "Comparison of Cardioprotective Benefits of Vigorous Versus Moderate Intensity Aerobic Exercise", "type" : "article-journal", "volume" : "97" }, "uris" : [ "http://www.mendeley.com/documents/?uuid=27ef67ad-2cbe-3ca1-884b-b75e09a0d4a9" ] } ], "mendeley" : { "formattedCitation" : "(Swain and Frankelin, 2006)", "plainTextFormattedCitation" : "(Swain and Frankelin, 2006)", "previouslyFormattedCitation" : "(Swain and Frankelin, 2006)"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(Swain and Frankelin, 2006)</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w:t>
      </w:r>
      <w:r w:rsidR="00625AEC" w:rsidRPr="00182DEB">
        <w:rPr>
          <w:rFonts w:ascii="Times New Roman" w:hAnsi="Times New Roman" w:cs="Times New Roman"/>
          <w:sz w:val="24"/>
          <w:szCs w:val="24"/>
        </w:rPr>
        <w:t xml:space="preserve">Although there are many positive </w:t>
      </w:r>
      <w:r w:rsidR="00234827" w:rsidRPr="00182DEB">
        <w:rPr>
          <w:rFonts w:ascii="Times New Roman" w:hAnsi="Times New Roman" w:cs="Times New Roman"/>
          <w:sz w:val="24"/>
          <w:szCs w:val="24"/>
        </w:rPr>
        <w:t xml:space="preserve">adjustments by exercising, there can be risks, especially in the aging population. </w:t>
      </w:r>
    </w:p>
    <w:p w14:paraId="6FEEBE54" w14:textId="77777777" w:rsidR="008E75AD" w:rsidRPr="00182DEB" w:rsidRDefault="008E75AD">
      <w:pPr>
        <w:rPr>
          <w:rFonts w:ascii="Times New Roman" w:hAnsi="Times New Roman" w:cs="Times New Roman"/>
          <w:b/>
          <w:sz w:val="24"/>
          <w:szCs w:val="24"/>
        </w:rPr>
      </w:pPr>
      <w:r w:rsidRPr="00182DEB">
        <w:rPr>
          <w:rFonts w:ascii="Times New Roman" w:hAnsi="Times New Roman" w:cs="Times New Roman"/>
          <w:b/>
          <w:sz w:val="24"/>
          <w:szCs w:val="24"/>
        </w:rPr>
        <w:t xml:space="preserve">Dangers </w:t>
      </w:r>
    </w:p>
    <w:p w14:paraId="35088138" w14:textId="77777777" w:rsidR="007B21FA" w:rsidRPr="00182DEB" w:rsidRDefault="007B21FA">
      <w:pPr>
        <w:rPr>
          <w:rFonts w:ascii="Times New Roman" w:hAnsi="Times New Roman" w:cs="Times New Roman"/>
          <w:i/>
          <w:sz w:val="24"/>
          <w:szCs w:val="24"/>
        </w:rPr>
      </w:pPr>
      <w:r w:rsidRPr="00182DEB">
        <w:rPr>
          <w:rFonts w:ascii="Times New Roman" w:hAnsi="Times New Roman" w:cs="Times New Roman"/>
          <w:i/>
          <w:sz w:val="24"/>
          <w:szCs w:val="24"/>
        </w:rPr>
        <w:t xml:space="preserve">HIIT </w:t>
      </w:r>
    </w:p>
    <w:p w14:paraId="22521FFB" w14:textId="3820DCD5" w:rsidR="007B21FA" w:rsidRPr="00182DEB" w:rsidRDefault="007B21FA">
      <w:pPr>
        <w:rPr>
          <w:rFonts w:ascii="Times New Roman" w:hAnsi="Times New Roman" w:cs="Times New Roman"/>
          <w:sz w:val="24"/>
          <w:szCs w:val="24"/>
        </w:rPr>
      </w:pPr>
      <w:r w:rsidRPr="00182DEB">
        <w:rPr>
          <w:rFonts w:ascii="Times New Roman" w:hAnsi="Times New Roman" w:cs="Times New Roman"/>
          <w:sz w:val="24"/>
          <w:szCs w:val="24"/>
        </w:rPr>
        <w:t>Research is suggesting that HIIT is</w:t>
      </w:r>
      <w:r w:rsidR="00182DEB" w:rsidRPr="00182DEB">
        <w:rPr>
          <w:rFonts w:ascii="Times New Roman" w:hAnsi="Times New Roman" w:cs="Times New Roman"/>
          <w:sz w:val="24"/>
          <w:szCs w:val="24"/>
        </w:rPr>
        <w:t xml:space="preserve"> a</w:t>
      </w:r>
      <w:r w:rsidRPr="00182DEB">
        <w:rPr>
          <w:rFonts w:ascii="Times New Roman" w:hAnsi="Times New Roman" w:cs="Times New Roman"/>
          <w:sz w:val="24"/>
          <w:szCs w:val="24"/>
        </w:rPr>
        <w:t xml:space="preserve"> time effective approach to health. SIT like the wingate- type exercise is very effective but to can be deemed as unsafe, unendurable or practical for the general population. With very small amount of working time such as, 3 days a week that involves &lt;10 minutes of extremely intense exercise with a 30-minute time commitment. This would include a warm up, workout resting periods and cool down. HIIT is very time effective but also warrants the consideration of the health benefits of the individual </w:t>
      </w: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ADDIN CSL_CITATION { "citationItems" : [ { "id" : "ITEM-1", "itemData" : { "DOI" : "10.1139/apnm-2013-0187", "ISSN" : "1715-5312", "abstract" : "Growing research suggests that high-intensity interval training (HIIT) is a time-efficient exercise strategy to improve cardiorespiratory and metabolic health. \u201cAll out\u201d HIIT models such as Wingate-type exercise are particularly effective, but this type of training may not be safe, tolerable or practical for many individuals. Recent studies, however, have revealed the potential for other models of HIIT, which may be more feasible but are still time-efficient, to stimulate adaptations similar to more demanding low-volume HIIT models and high-volume endurance-type training. As little as 3 HIIT sessions per week, involving \u226410 min of intense exercise within a time commitment of \u226430 min per session, including warm-up, recovery between intervals and cool down, has been shown to improve aerobic capacity, skeletal muscle oxidative capacity, exercise tolerance and markers of disease risk after only a few weeks in both healthy individuals and people with cardiometabolic disorders. Additional research is warranted,...", "author" : [ { "dropping-particle" : "", "family" : "Gillen", "given" : "Jenna B.", "non-dropping-particle" : "", "parse-names" : false, "suffix" : "" }, { "dropping-particle" : "", "family" : "Gibala", "given" : "Martin J.", "non-dropping-particle" : "", "parse-names" : false, "suffix" : "" } ], "container-title" : "Applied Physiology, Nutrition, and Metabolism", "id" : "ITEM-1", "issue" : "3", "issued" : { "date-parts" : [ [ "2014", "3" ] ] }, "page" : "409-412", "publisher" : " NRC Research Press", "title" : "Is high-intensity interval training a time-efficient exercise strategy to improve health and fitness?", "type" : "article-journal", "volume" : "39" }, "uris" : [ "http://www.mendeley.com/documents/?uuid=c948b87d-d9ed-3ac3-a71d-2610bb3aaf4f" ] } ], "mendeley" : { "formattedCitation" : "(Gillen and Gibala, 2014)", "plainTextFormattedCitation" : "(Gillen and Gibala, 2014)", "previouslyFormattedCitation" : "(Gillen and Gibala, 2014)" }, "properties" : { "noteIndex" : 2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(Gillen and Gibala, 2014)</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w:t>
      </w:r>
    </w:p>
    <w:p w14:paraId="43A1A378" w14:textId="77777777" w:rsidR="007B21FA" w:rsidRPr="00182DEB" w:rsidRDefault="007B21FA">
      <w:pPr>
        <w:rPr>
          <w:rFonts w:ascii="Times New Roman" w:hAnsi="Times New Roman" w:cs="Times New Roman"/>
          <w:i/>
          <w:sz w:val="24"/>
          <w:szCs w:val="24"/>
        </w:rPr>
      </w:pPr>
      <w:r w:rsidRPr="00182DEB">
        <w:rPr>
          <w:rFonts w:ascii="Times New Roman" w:hAnsi="Times New Roman" w:cs="Times New Roman"/>
          <w:i/>
          <w:sz w:val="24"/>
          <w:szCs w:val="24"/>
        </w:rPr>
        <w:lastRenderedPageBreak/>
        <w:t xml:space="preserve">Continuous </w:t>
      </w:r>
    </w:p>
    <w:p w14:paraId="2B0910C8" w14:textId="77777777" w:rsidR="00D902A9" w:rsidRPr="00182DEB" w:rsidRDefault="007B21FA">
      <w:pPr>
        <w:rPr>
          <w:rFonts w:ascii="Times New Roman" w:hAnsi="Times New Roman" w:cs="Times New Roman"/>
          <w:color w:val="000000"/>
          <w:sz w:val="24"/>
          <w:szCs w:val="24"/>
          <w:shd w:val="clear" w:color="auto" w:fill="FFFFFF"/>
        </w:rPr>
      </w:pPr>
      <w:r w:rsidRPr="00182DEB">
        <w:rPr>
          <w:rFonts w:ascii="Times New Roman" w:hAnsi="Times New Roman" w:cs="Times New Roman"/>
          <w:color w:val="000000"/>
          <w:sz w:val="24"/>
          <w:szCs w:val="24"/>
          <w:shd w:val="clear" w:color="auto" w:fill="FFFFFF"/>
        </w:rPr>
        <w:t xml:space="preserve">Physical activity has shown many positive effects on the health and physiological changes to the body, but too much can also be harmful. A study shows that when people are compared to intensity and frequency and durations, the participants that engaged in higher amounts of the daily recommended guidelines of 150 minutes per week of moderate and 75 </w:t>
      </w:r>
      <w:r w:rsidR="00BF4BB7" w:rsidRPr="00182DEB">
        <w:rPr>
          <w:rFonts w:ascii="Times New Roman" w:hAnsi="Times New Roman" w:cs="Times New Roman"/>
          <w:color w:val="000000"/>
          <w:sz w:val="24"/>
          <w:szCs w:val="24"/>
          <w:shd w:val="clear" w:color="auto" w:fill="FFFFFF"/>
        </w:rPr>
        <w:t>minutes</w:t>
      </w:r>
      <w:r w:rsidRPr="00182DEB">
        <w:rPr>
          <w:rFonts w:ascii="Times New Roman" w:hAnsi="Times New Roman" w:cs="Times New Roman"/>
          <w:color w:val="000000"/>
          <w:sz w:val="24"/>
          <w:szCs w:val="24"/>
          <w:shd w:val="clear" w:color="auto" w:fill="FFFFFF"/>
        </w:rPr>
        <w:t xml:space="preserve"> shown to sustain more injuries and reversing the beneficial effects of exercise </w:t>
      </w:r>
      <w:r w:rsidRPr="00182DEB">
        <w:rPr>
          <w:rFonts w:ascii="Times New Roman" w:hAnsi="Times New Roman" w:cs="Times New Roman"/>
          <w:color w:val="000000"/>
          <w:sz w:val="24"/>
          <w:szCs w:val="24"/>
          <w:shd w:val="clear" w:color="auto" w:fill="FFFFFF"/>
        </w:rPr>
        <w:fldChar w:fldCharType="begin" w:fldLock="1"/>
      </w:r>
      <w:r w:rsidRPr="00182DEB">
        <w:rPr>
          <w:rFonts w:ascii="Times New Roman" w:hAnsi="Times New Roman" w:cs="Times New Roman"/>
          <w:color w:val="000000"/>
          <w:sz w:val="24"/>
          <w:szCs w:val="24"/>
          <w:shd w:val="clear" w:color="auto" w:fill="FFFFFF"/>
        </w:rPr>
        <w:instrText>ADDIN CSL_CITATION { "citationItems" : [ { "id" : "ITEM-1", "itemData" : { "DOI" : "10.1183/20734735.007016", "ISSN" : "1810-6838", "PMID" : "27408632", "abstract" : "EDUCATIONAL AIMS To illustrate the characteristics of endurance exercise training and its positive effects on health.To provide an overview on the effects of endurance training on airway cells and bronchial reactivity.To summarise the current knowledge on respiratory health problems in elite athletes. Endurance exercise training exerts many positive effects on health, including improved metabol-ism, reduction of cardiovascular risk, and reduced all-cause and cardiovascular mortality. Intense endurance exercise causes mild epithelial injury and inflammation in the airways, but does not appear to exert detrimental effects on respiratory health or bronchial reactivity in recreational/non-elite athletes. Conversely, elite athletes of both summer and winter sports show increased susceptibility to development of asthma, possibly related to environmental exposures to allergens or poor conditioning of inspired air, so that a distinct phenotype of \"sports asthma\" has been proposed to characterise such athletes, who more often practise aquatic and winter sports. Overall, endurance training is good for health but may become deleterious when performed at high intensity or volume.", "author" : [ { "dropping-particle" : "", "family" : "Morici", "given" : "Giuseppe", "non-dropping-particle" : "", "parse-names" : false, "suffix" : "" }, { "dropping-particle" : "", "family" : "Gruttad'Auria", "given" : "Claudia I", "non-dropping-particle" : "", "parse-names" : false, "suffix" : "" }, { "dropping-particle" : "", "family" : "Baiamonte", "given" : "Pierpaolo", "non-dropping-particle" : "", "parse-names" : false, "suffix" : "" }, { "dropping-particle" : "", "family" : "Mazzuca", "given" : "Emilia", "non-dropping-particle" : "", "parse-names" : false, "suffix" : "" }, { "dropping-particle" : "", "family" : "Castrogiovanni", "given" : "Alessandra", "non-dropping-particle" : "", "parse-names" : false, "suffix" : "" }, { "dropping-particle" : "", "family" : "Bonsignore", "given" : "Maria R", "non-dropping-particle" : "", "parse-names" : false, "suffix" : "" } ], "container-title" : "Breathe (Sheffield, England)", "id" : "ITEM-1", "issue" : "2", "issued" : { "date-parts" : [ [ "2016", "6" ] ] }, "page" : "140-7", "publisher" : "European Respiratory Society", "title" : "Endurance training: is it bad for\u00a0you?", "type" : "article-journal", "volume" : "12" }, "uris" : [ "http://www.mendeley.com/documents/?uuid=fcaa0a6d-ac21-3484-8c06-69240055c06f" ] } ], "mendeley" : { "formattedCitation" : "(Morici &lt;i&gt;et al.&lt;/i&gt;, 2016)", "plainTextFormattedCitation" : "(Morici et al., 2016)", "previouslyFormattedCitation" : "(Morici &lt;i&gt;et al.&lt;/i&gt;, 2016)" }, "properties" : { "noteIndex" : 3 }, "schema" : "https://github.com/citation-style-language/schema/raw/master/csl-citation.json" }</w:instrText>
      </w:r>
      <w:r w:rsidRPr="00182DEB">
        <w:rPr>
          <w:rFonts w:ascii="Times New Roman" w:hAnsi="Times New Roman" w:cs="Times New Roman"/>
          <w:color w:val="000000"/>
          <w:sz w:val="24"/>
          <w:szCs w:val="24"/>
          <w:shd w:val="clear" w:color="auto" w:fill="FFFFFF"/>
        </w:rPr>
        <w:fldChar w:fldCharType="separate"/>
      </w:r>
      <w:r w:rsidRPr="00182DEB">
        <w:rPr>
          <w:rFonts w:ascii="Times New Roman" w:hAnsi="Times New Roman" w:cs="Times New Roman"/>
          <w:noProof/>
          <w:color w:val="000000"/>
          <w:sz w:val="24"/>
          <w:szCs w:val="24"/>
          <w:shd w:val="clear" w:color="auto" w:fill="FFFFFF"/>
        </w:rPr>
        <w:t xml:space="preserve">(Morici </w:t>
      </w:r>
      <w:r w:rsidRPr="00182DEB">
        <w:rPr>
          <w:rFonts w:ascii="Times New Roman" w:hAnsi="Times New Roman" w:cs="Times New Roman"/>
          <w:i/>
          <w:noProof/>
          <w:color w:val="000000"/>
          <w:sz w:val="24"/>
          <w:szCs w:val="24"/>
          <w:shd w:val="clear" w:color="auto" w:fill="FFFFFF"/>
        </w:rPr>
        <w:t>et al.</w:t>
      </w:r>
      <w:r w:rsidRPr="00182DEB">
        <w:rPr>
          <w:rFonts w:ascii="Times New Roman" w:hAnsi="Times New Roman" w:cs="Times New Roman"/>
          <w:noProof/>
          <w:color w:val="000000"/>
          <w:sz w:val="24"/>
          <w:szCs w:val="24"/>
          <w:shd w:val="clear" w:color="auto" w:fill="FFFFFF"/>
        </w:rPr>
        <w:t>, 2016)</w:t>
      </w:r>
      <w:r w:rsidRPr="00182DEB">
        <w:rPr>
          <w:rFonts w:ascii="Times New Roman" w:hAnsi="Times New Roman" w:cs="Times New Roman"/>
          <w:color w:val="000000"/>
          <w:sz w:val="24"/>
          <w:szCs w:val="24"/>
          <w:shd w:val="clear" w:color="auto" w:fill="FFFFFF"/>
        </w:rPr>
        <w:fldChar w:fldCharType="end"/>
      </w:r>
    </w:p>
    <w:p w14:paraId="15D58880" w14:textId="77777777" w:rsidR="00455DCB" w:rsidRPr="00182DEB" w:rsidRDefault="008E75AD">
      <w:pPr>
        <w:rPr>
          <w:rFonts w:ascii="Times New Roman" w:hAnsi="Times New Roman" w:cs="Times New Roman"/>
          <w:b/>
          <w:sz w:val="24"/>
          <w:szCs w:val="24"/>
        </w:rPr>
      </w:pPr>
      <w:r w:rsidRPr="00182DEB">
        <w:rPr>
          <w:rFonts w:ascii="Times New Roman" w:hAnsi="Times New Roman" w:cs="Times New Roman"/>
          <w:b/>
          <w:sz w:val="24"/>
          <w:szCs w:val="24"/>
        </w:rPr>
        <w:t xml:space="preserve">Adherence  </w:t>
      </w:r>
    </w:p>
    <w:p w14:paraId="3BE240AF" w14:textId="77777777" w:rsidR="00205C82" w:rsidRPr="00182DEB" w:rsidRDefault="00205C82">
      <w:pPr>
        <w:rPr>
          <w:rFonts w:ascii="Times New Roman" w:hAnsi="Times New Roman" w:cs="Times New Roman"/>
          <w:i/>
          <w:sz w:val="24"/>
          <w:szCs w:val="24"/>
        </w:rPr>
      </w:pPr>
      <w:r w:rsidRPr="00182DEB">
        <w:rPr>
          <w:rFonts w:ascii="Times New Roman" w:hAnsi="Times New Roman" w:cs="Times New Roman"/>
          <w:i/>
          <w:sz w:val="24"/>
          <w:szCs w:val="24"/>
        </w:rPr>
        <w:t>HIIT</w:t>
      </w:r>
    </w:p>
    <w:p w14:paraId="71D85D87" w14:textId="40640652" w:rsidR="00205C82" w:rsidRPr="00182DEB" w:rsidRDefault="00234827">
      <w:pPr>
        <w:rPr>
          <w:rFonts w:ascii="Times New Roman" w:hAnsi="Times New Roman" w:cs="Times New Roman"/>
          <w:sz w:val="24"/>
          <w:szCs w:val="24"/>
        </w:rPr>
      </w:pPr>
      <w:r w:rsidRPr="00182DEB">
        <w:rPr>
          <w:rFonts w:ascii="Times New Roman" w:hAnsi="Times New Roman" w:cs="Times New Roman"/>
          <w:sz w:val="24"/>
          <w:szCs w:val="24"/>
        </w:rPr>
        <w:t xml:space="preserve">In the aging </w:t>
      </w:r>
      <w:r w:rsidR="009B34FB" w:rsidRPr="00182DEB">
        <w:rPr>
          <w:rFonts w:ascii="Times New Roman" w:hAnsi="Times New Roman" w:cs="Times New Roman"/>
          <w:sz w:val="24"/>
          <w:szCs w:val="24"/>
        </w:rPr>
        <w:t>and sedentary population there has been a need for a training method that hel</w:t>
      </w:r>
      <w:r w:rsidR="00182DEB" w:rsidRPr="00182DEB">
        <w:rPr>
          <w:rFonts w:ascii="Times New Roman" w:hAnsi="Times New Roman" w:cs="Times New Roman"/>
          <w:sz w:val="24"/>
          <w:szCs w:val="24"/>
        </w:rPr>
        <w:t>ps</w:t>
      </w:r>
      <w:r w:rsidR="009B34FB" w:rsidRPr="00182DEB">
        <w:rPr>
          <w:rFonts w:ascii="Times New Roman" w:hAnsi="Times New Roman" w:cs="Times New Roman"/>
          <w:sz w:val="24"/>
          <w:szCs w:val="24"/>
        </w:rPr>
        <w:t xml:space="preserve"> to encourage the populations to adhere to exercise. </w:t>
      </w:r>
      <w:r w:rsidR="009B34FB" w:rsidRPr="00182DEB">
        <w:rPr>
          <w:rFonts w:ascii="Times New Roman" w:hAnsi="Times New Roman" w:cs="Times New Roman"/>
          <w:sz w:val="24"/>
          <w:szCs w:val="24"/>
        </w:rPr>
        <w:fldChar w:fldCharType="begin" w:fldLock="1"/>
      </w:r>
      <w:r w:rsidR="00205C82" w:rsidRPr="00182DEB">
        <w:rPr>
          <w:rFonts w:ascii="Times New Roman" w:hAnsi="Times New Roman" w:cs="Times New Roman"/>
          <w:sz w:val="24"/>
          <w:szCs w:val="24"/>
        </w:rPr>
        <w:instrText>ADDIN CSL_CITATION { "citationItems" : [ { "id" : "ITEM-1", "itemData" : { "DOI" : "10.1007/s11357-015-9763-3", "ISSN" : "0161-9152", "author" : [ { "dropping-particle" : "", "family" : "Knowles", "given" : "Ann-Marie", "non-dropping-particle" : "", "parse-names" : false, "suffix" : "" }, { "dropping-particle" : "", "family" : "Herbert", "given" : "Peter", "non-dropping-particle" : "", "parse-names" : false, "suffix" : "" }, { "dropping-particle" : "", "family" : "Easton", "given" : "Chris", "non-dropping-particle" : "", "parse-names" : false, "suffix" : "" }, { "dropping-particle" : "", "family" : "Sculthorpe", "given" : "Nicholas", "non-dropping-particle" : "", "parse-names" : false, "suffix" : "" }, { "dropping-particle" : "", "family" : "Grace", "given" : "Fergal M.", "non-dropping-particle" : "", "parse-names" : false, "suffix" : "" } ], "container-title" : "AGE", "id" : "ITEM-1", "issue" : "2", "issued" : { "date-parts" : [ [ "2015", "4", "14" ] ] }, "page" : "25", "publisher" : "Springer International Publishing", "title" : "Impact of low-volume, high-intensity interval training on maximal aerobic capacity, health-related quality of life and motivation to exercise in ageing men", "type" : "article-journal", "volume" : "37" }, "uris" : [ "http://www.mendeley.com/documents/?uuid=4f8f674d-4578-3451-a62e-f10394b2e037" ] } ], "mendeley" : { "formattedCitation" : "(Knowles &lt;i&gt;et al.&lt;/i&gt;, 2015)", "manualFormatting" : "Herbert et al., (2015)", "plainTextFormattedCitation" : "(Knowles et al., 2015)", "previouslyFormattedCitation" : "(Knowles &lt;i&gt;et al.&lt;/i&gt;, 2015)" }, "properties" : { "noteIndex" : 6 }, "schema" : "https://github.com/citation-style-language/schema/raw/master/csl-citation.json" }</w:instrText>
      </w:r>
      <w:r w:rsidR="009B34FB" w:rsidRPr="00182DEB">
        <w:rPr>
          <w:rFonts w:ascii="Times New Roman" w:hAnsi="Times New Roman" w:cs="Times New Roman"/>
          <w:sz w:val="24"/>
          <w:szCs w:val="24"/>
        </w:rPr>
        <w:fldChar w:fldCharType="separate"/>
      </w:r>
      <w:r w:rsidR="009B34FB" w:rsidRPr="00182DEB">
        <w:rPr>
          <w:rFonts w:ascii="Times New Roman" w:hAnsi="Times New Roman" w:cs="Times New Roman"/>
          <w:noProof/>
          <w:sz w:val="24"/>
          <w:szCs w:val="24"/>
        </w:rPr>
        <w:t xml:space="preserve">Herbert </w:t>
      </w:r>
      <w:r w:rsidR="009B34FB" w:rsidRPr="00182DEB">
        <w:rPr>
          <w:rFonts w:ascii="Times New Roman" w:hAnsi="Times New Roman" w:cs="Times New Roman"/>
          <w:i/>
          <w:noProof/>
          <w:sz w:val="24"/>
          <w:szCs w:val="24"/>
        </w:rPr>
        <w:t>et al.</w:t>
      </w:r>
      <w:r w:rsidR="009B34FB" w:rsidRPr="00182DEB">
        <w:rPr>
          <w:rFonts w:ascii="Times New Roman" w:hAnsi="Times New Roman" w:cs="Times New Roman"/>
          <w:noProof/>
          <w:sz w:val="24"/>
          <w:szCs w:val="24"/>
        </w:rPr>
        <w:t>, (2015)</w:t>
      </w:r>
      <w:r w:rsidR="009B34FB" w:rsidRPr="00182DEB">
        <w:rPr>
          <w:rFonts w:ascii="Times New Roman" w:hAnsi="Times New Roman" w:cs="Times New Roman"/>
          <w:sz w:val="24"/>
          <w:szCs w:val="24"/>
        </w:rPr>
        <w:fldChar w:fldCharType="end"/>
      </w:r>
      <w:r w:rsidR="009B34FB" w:rsidRPr="00182DEB">
        <w:rPr>
          <w:rFonts w:ascii="Times New Roman" w:hAnsi="Times New Roman" w:cs="Times New Roman"/>
          <w:sz w:val="24"/>
          <w:szCs w:val="24"/>
        </w:rPr>
        <w:t xml:space="preserve"> researched into HITT training in the elderly and sedentary population, their findings were that there was a significant increased level of adherence, competitiveness and general wellbeing, social recognition, physical function and affiliation after completing 13 weeks of HIIT training. </w:t>
      </w:r>
    </w:p>
    <w:p w14:paraId="1488E9B9" w14:textId="77777777" w:rsidR="00205C82" w:rsidRPr="00182DEB" w:rsidRDefault="00205C82">
      <w:pPr>
        <w:rPr>
          <w:rFonts w:ascii="Times New Roman" w:hAnsi="Times New Roman" w:cs="Times New Roman"/>
          <w:sz w:val="24"/>
          <w:szCs w:val="24"/>
        </w:rPr>
      </w:pPr>
      <w:r w:rsidRPr="00182DEB">
        <w:rPr>
          <w:rFonts w:ascii="Times New Roman" w:hAnsi="Times New Roman" w:cs="Times New Roman"/>
          <w:sz w:val="24"/>
          <w:szCs w:val="24"/>
        </w:rPr>
        <w:t>Continuous</w:t>
      </w:r>
    </w:p>
    <w:p w14:paraId="637B246A" w14:textId="30F4ED84" w:rsidR="00E94A1E" w:rsidRPr="00182DEB" w:rsidRDefault="00205C82">
      <w:pPr>
        <w:rPr>
          <w:rFonts w:ascii="Times New Roman" w:hAnsi="Times New Roman" w:cs="Times New Roman"/>
          <w:sz w:val="24"/>
          <w:szCs w:val="24"/>
        </w:rPr>
      </w:pPr>
      <w:r w:rsidRPr="00182DEB">
        <w:rPr>
          <w:rFonts w:ascii="Times New Roman" w:hAnsi="Times New Roman" w:cs="Times New Roman"/>
          <w:sz w:val="24"/>
          <w:szCs w:val="24"/>
        </w:rPr>
        <w:fldChar w:fldCharType="begin" w:fldLock="1"/>
      </w:r>
      <w:r w:rsidR="00C44487" w:rsidRPr="00182DEB">
        <w:rPr>
          <w:rFonts w:ascii="Times New Roman" w:hAnsi="Times New Roman" w:cs="Times New Roman"/>
          <w:sz w:val="24"/>
          <w:szCs w:val="24"/>
        </w:rPr>
        <w:instrText>ADDIN CSL_CITATION { "citationItems" : [ { "id" : "ITEM-1", "itemData" : { "DOI" : "10.2147/CIA.S54644", "ISSN" : "1178-1998", "PMID" : "24600212", "abstract" : "BACKGROUND Participation of older people in a program of regular exercise is an effective strategy to minimize the physical decline associated with age. The purpose of this study was to assess adherence rates in older women enrolled in two different exercise programs (one aerobic exercise and one strength training) and identify any associated clinical or functional factors. METHODS This was an exploratory observational study in a sample of 231 elderly women of mean age 70.5 years. We used a structured questionnaire with standardized tests to evaluate the relevant clinical and functional measures. A specific adherence questionnaire was developed by the researchers to determine motivators and barriers to exercise adherence. RESULTS The adherence rate was 49.70% in the aerobic exercise group and 56.20% in the strength training group. Multiple logistic regression models for motivation were significant (P=0.003) for the muscle strengthening group (R(2)=0.310) and also significant (P=0.008) for the aerobic exercise group (R(2)=0.154). A third regression model for barriers to exercise was significant (P=0.003) only for the muscle strengthening group (R(2)=0.236). The present study shows no direct relationship between worsening health status and poor adherence. CONCLUSION Factors related to adherence with exercise in the elderly are multifactorial.", "author" : [ { "dropping-particle" : "", "family" : "Picorelli", "given" : "Alexandra Miranda Assump\u00e7\u00e3o", "non-dropping-particle" : "", "parse-names" : false, "suffix" : "" }, { "dropping-particle" : "", "family" : "Pereira", "given" : "Daniele Sirineu", "non-dropping-particle" : "", "parse-names" : false, "suffix" : "" }, { "dropping-particle" : "", "family" : "Fel\u00edcio", "given" : "Diogo Carvalho", "non-dropping-particle" : "", "parse-names" : false, "suffix" : "" }, { "dropping-particle" : "", "family" : "Anjos", "given" : "Daniela Maria", "non-dropping-particle" : "Dos", "parse-names" : false, "suffix" : "" }, { "dropping-particle" : "", "family" : "Pereira", "given" : "Danielle Aparecida Gomes", "non-dropping-particle" : "", "parse-names" : false, "suffix" : "" }, { "dropping-particle" : "", "family" : "Dias", "given" : "Ros\u00e2ngela Corr\u00eaa", "non-dropping-particle" : "", "parse-names" : false, "suffix" : "" }, { "dropping-particle" : "", "family" : "Assis", "given" : "Marcella Guimar\u00e3es", "non-dropping-particle" : "", "parse-names" : false, "suffix" : "" }, { "dropping-particle" : "", "family" : "Pereira", "given" : "Leani Souza M\u00e1ximo", "non-dropping-particle" : "", "parse-names" : false, "suffix" : "" } ], "container-title" : "Clinical interventions in aging", "id" : "ITEM-1", "issued" : { "date-parts" : [ [ "2014" ] ] }, "page" : "323-31", "publisher" : "Dove Press", "title" : "Adherence of older women with strength training and aerobic exercise.", "type" : "article-journal", "volume" : "9" }, "uris" : [ "http://www.mendeley.com/documents/?uuid=35ea3d14-86cf-3743-b020-f527f47fd00b" ] } ], "mendeley" : { "formattedCitation" : "(Picorelli &lt;i&gt;et al.&lt;/i&gt;, 2014)", "manualFormatting" : "Picorelli et al., (2014)", "plainTextFormattedCitation" : "(Picorelli et al., 2014)", "previouslyFormattedCitation" : "(Picorelli &lt;i&gt;et al.&lt;/i&gt;, 2014)" }, "properties" : { "noteIndex" : 6 }, "schema" : "https://github.com/citation-style-language/schema/raw/master/csl-citation.json"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Picorelli </w:t>
      </w:r>
      <w:r w:rsidRPr="00182DEB">
        <w:rPr>
          <w:rFonts w:ascii="Times New Roman" w:hAnsi="Times New Roman" w:cs="Times New Roman"/>
          <w:i/>
          <w:noProof/>
          <w:sz w:val="24"/>
          <w:szCs w:val="24"/>
        </w:rPr>
        <w:t>et al.</w:t>
      </w:r>
      <w:r w:rsidRPr="00182DEB">
        <w:rPr>
          <w:rFonts w:ascii="Times New Roman" w:hAnsi="Times New Roman" w:cs="Times New Roman"/>
          <w:noProof/>
          <w:sz w:val="24"/>
          <w:szCs w:val="24"/>
        </w:rPr>
        <w:t>, (2014)</w:t>
      </w:r>
      <w:r w:rsidRPr="00182DEB">
        <w:rPr>
          <w:rFonts w:ascii="Times New Roman" w:hAnsi="Times New Roman" w:cs="Times New Roman"/>
          <w:sz w:val="24"/>
          <w:szCs w:val="24"/>
        </w:rPr>
        <w:fldChar w:fldCharType="end"/>
      </w:r>
      <w:r w:rsidRPr="00182DEB">
        <w:rPr>
          <w:rFonts w:ascii="Times New Roman" w:hAnsi="Times New Roman" w:cs="Times New Roman"/>
          <w:sz w:val="24"/>
          <w:szCs w:val="24"/>
        </w:rPr>
        <w:t xml:space="preserve"> research</w:t>
      </w:r>
      <w:r w:rsidR="00182DEB" w:rsidRPr="00182DEB">
        <w:rPr>
          <w:rFonts w:ascii="Times New Roman" w:hAnsi="Times New Roman" w:cs="Times New Roman"/>
          <w:sz w:val="24"/>
          <w:szCs w:val="24"/>
        </w:rPr>
        <w:t>ed</w:t>
      </w:r>
      <w:r w:rsidRPr="00182DEB">
        <w:rPr>
          <w:rFonts w:ascii="Times New Roman" w:hAnsi="Times New Roman" w:cs="Times New Roman"/>
          <w:sz w:val="24"/>
          <w:szCs w:val="24"/>
        </w:rPr>
        <w:t xml:space="preserve"> into the adherence of continuous training compared to strength training. Although the training i</w:t>
      </w:r>
      <w:r w:rsidR="00E94A1E" w:rsidRPr="00182DEB">
        <w:rPr>
          <w:rFonts w:ascii="Times New Roman" w:hAnsi="Times New Roman" w:cs="Times New Roman"/>
          <w:sz w:val="24"/>
          <w:szCs w:val="24"/>
        </w:rPr>
        <w:t>s</w:t>
      </w:r>
      <w:r w:rsidRPr="00182DEB">
        <w:rPr>
          <w:rFonts w:ascii="Times New Roman" w:hAnsi="Times New Roman" w:cs="Times New Roman"/>
          <w:sz w:val="24"/>
          <w:szCs w:val="24"/>
        </w:rPr>
        <w:t xml:space="preserve"> different, there was a higher significance for the elderly population to adhere to strength training rather than continuous. </w:t>
      </w:r>
      <w:r w:rsidR="00E94A1E" w:rsidRPr="00182DEB">
        <w:rPr>
          <w:rFonts w:ascii="Times New Roman" w:hAnsi="Times New Roman" w:cs="Times New Roman"/>
          <w:sz w:val="24"/>
          <w:szCs w:val="24"/>
        </w:rPr>
        <w:t xml:space="preserve">Although the reasons were multifactual the strength training adherence was higher and showed no signs of reversed health conditions. </w:t>
      </w:r>
    </w:p>
    <w:p w14:paraId="0630D7EB" w14:textId="77777777" w:rsidR="007B21FA" w:rsidRPr="00182DEB" w:rsidRDefault="00E94A1E">
      <w:pPr>
        <w:rPr>
          <w:rFonts w:ascii="Times New Roman" w:hAnsi="Times New Roman" w:cs="Times New Roman"/>
          <w:b/>
          <w:sz w:val="24"/>
          <w:szCs w:val="24"/>
        </w:rPr>
      </w:pPr>
      <w:r w:rsidRPr="00182DEB">
        <w:rPr>
          <w:rFonts w:ascii="Times New Roman" w:hAnsi="Times New Roman" w:cs="Times New Roman"/>
          <w:b/>
          <w:sz w:val="24"/>
          <w:szCs w:val="24"/>
        </w:rPr>
        <w:t xml:space="preserve"> </w:t>
      </w:r>
      <w:r w:rsidR="007B21FA" w:rsidRPr="00182DEB">
        <w:rPr>
          <w:rFonts w:ascii="Times New Roman" w:hAnsi="Times New Roman" w:cs="Times New Roman"/>
          <w:b/>
          <w:sz w:val="24"/>
          <w:szCs w:val="24"/>
        </w:rPr>
        <w:t>Conclusio</w:t>
      </w:r>
      <w:r w:rsidR="00537E40" w:rsidRPr="00182DEB">
        <w:rPr>
          <w:rFonts w:ascii="Times New Roman" w:hAnsi="Times New Roman" w:cs="Times New Roman"/>
          <w:b/>
          <w:sz w:val="24"/>
          <w:szCs w:val="24"/>
        </w:rPr>
        <w:t>n</w:t>
      </w:r>
    </w:p>
    <w:p w14:paraId="1AD80AF2" w14:textId="77777777" w:rsidR="00E94A1E" w:rsidRPr="00182DEB" w:rsidRDefault="00E94A1E">
      <w:pPr>
        <w:rPr>
          <w:rFonts w:ascii="Times New Roman" w:hAnsi="Times New Roman" w:cs="Times New Roman"/>
          <w:sz w:val="24"/>
          <w:szCs w:val="24"/>
        </w:rPr>
      </w:pPr>
      <w:r w:rsidRPr="00182DEB">
        <w:rPr>
          <w:rFonts w:ascii="Times New Roman" w:hAnsi="Times New Roman" w:cs="Times New Roman"/>
          <w:sz w:val="24"/>
          <w:szCs w:val="24"/>
        </w:rPr>
        <w:t>Within the aging population it is significant that physical activity occurs to reduce the rate of early mortality, chronic illnesses, diseases and deterioration in function and mobility. The ACSM guidelines refer to the amount of exercise that the aging population needs in order to maintain physical health it does not refer to how HIIT training can be used as a</w:t>
      </w:r>
      <w:r w:rsidR="00CA03B8" w:rsidRPr="00182DEB">
        <w:rPr>
          <w:rFonts w:ascii="Times New Roman" w:hAnsi="Times New Roman" w:cs="Times New Roman"/>
          <w:sz w:val="24"/>
          <w:szCs w:val="24"/>
        </w:rPr>
        <w:t>n</w:t>
      </w:r>
      <w:r w:rsidRPr="00182DEB">
        <w:rPr>
          <w:rFonts w:ascii="Times New Roman" w:hAnsi="Times New Roman" w:cs="Times New Roman"/>
          <w:sz w:val="24"/>
          <w:szCs w:val="24"/>
        </w:rPr>
        <w:t xml:space="preserve"> alternative solution to continuous training within the population. </w:t>
      </w:r>
      <w:r w:rsidR="00CA03B8" w:rsidRPr="00182DEB">
        <w:rPr>
          <w:rFonts w:ascii="Times New Roman" w:hAnsi="Times New Roman" w:cs="Times New Roman"/>
          <w:sz w:val="24"/>
          <w:szCs w:val="24"/>
        </w:rPr>
        <w:t xml:space="preserve">Comparing continuous training to HIIT training, it is clear that continuous training has deemed to be a solution for those who cannot cope with the intensity of HIIT but it does not hold the crucial stimulus to drive the adaptive responses that are desperately needed within the aging population. Continuous is a recommended programme for health benefits of the cardiorespiratory system and maintaining health, but HIIT training drives the stimulus of what benefits the elderly to enhance quality of life and reduces the risks of fatal accidents that can be caused by falling. </w:t>
      </w:r>
    </w:p>
    <w:p w14:paraId="6D289EB5" w14:textId="77777777" w:rsidR="00CA03B8" w:rsidRPr="00182DEB" w:rsidRDefault="00CA03B8">
      <w:pPr>
        <w:rPr>
          <w:rFonts w:ascii="Times New Roman" w:hAnsi="Times New Roman" w:cs="Times New Roman"/>
          <w:sz w:val="24"/>
          <w:szCs w:val="24"/>
        </w:rPr>
      </w:pPr>
      <w:r w:rsidRPr="00182DEB">
        <w:rPr>
          <w:rFonts w:ascii="Times New Roman" w:hAnsi="Times New Roman" w:cs="Times New Roman"/>
          <w:sz w:val="24"/>
          <w:szCs w:val="24"/>
        </w:rPr>
        <w:t xml:space="preserve">Concluded from this review, continuous training is recommended for maintaining health and prolong the effects of aging, HIIT training is </w:t>
      </w:r>
      <w:r w:rsidR="00AB3A06" w:rsidRPr="00182DEB">
        <w:rPr>
          <w:rFonts w:ascii="Times New Roman" w:hAnsi="Times New Roman" w:cs="Times New Roman"/>
          <w:sz w:val="24"/>
          <w:szCs w:val="24"/>
        </w:rPr>
        <w:t xml:space="preserve">recommended to enhance the quality of life, enhance health and build lean tissues in order to stay and become even more functionally fit. </w:t>
      </w:r>
    </w:p>
    <w:p w14:paraId="4A5D79D1" w14:textId="77777777" w:rsidR="00AB3A06" w:rsidRPr="00182DEB" w:rsidRDefault="00AB3A06">
      <w:pPr>
        <w:rPr>
          <w:rFonts w:ascii="Times New Roman" w:hAnsi="Times New Roman" w:cs="Times New Roman"/>
          <w:b/>
          <w:sz w:val="24"/>
          <w:szCs w:val="24"/>
        </w:rPr>
      </w:pPr>
      <w:r w:rsidRPr="00182DEB">
        <w:rPr>
          <w:rFonts w:ascii="Times New Roman" w:hAnsi="Times New Roman" w:cs="Times New Roman"/>
          <w:b/>
          <w:sz w:val="24"/>
          <w:szCs w:val="24"/>
        </w:rPr>
        <w:t xml:space="preserve">Words 2509.  </w:t>
      </w:r>
    </w:p>
    <w:p w14:paraId="7F172EB3" w14:textId="77777777" w:rsidR="00C44487" w:rsidRPr="00182DEB" w:rsidRDefault="00C44487">
      <w:pPr>
        <w:rPr>
          <w:rFonts w:ascii="Times New Roman" w:hAnsi="Times New Roman" w:cs="Times New Roman"/>
          <w:b/>
          <w:sz w:val="24"/>
          <w:szCs w:val="24"/>
        </w:rPr>
      </w:pPr>
    </w:p>
    <w:p w14:paraId="376778D2" w14:textId="77777777" w:rsidR="00C44487" w:rsidRPr="00182DEB" w:rsidRDefault="00C44487">
      <w:pPr>
        <w:rPr>
          <w:rFonts w:ascii="Times New Roman" w:hAnsi="Times New Roman" w:cs="Times New Roman"/>
          <w:b/>
          <w:sz w:val="24"/>
          <w:szCs w:val="24"/>
        </w:rPr>
      </w:pPr>
      <w:r w:rsidRPr="00182DEB">
        <w:rPr>
          <w:rFonts w:ascii="Times New Roman" w:hAnsi="Times New Roman" w:cs="Times New Roman"/>
          <w:b/>
          <w:sz w:val="24"/>
          <w:szCs w:val="24"/>
        </w:rPr>
        <w:t xml:space="preserve">Reference </w:t>
      </w:r>
    </w:p>
    <w:p w14:paraId="1792EA6E"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sz w:val="24"/>
          <w:szCs w:val="24"/>
        </w:rPr>
        <w:fldChar w:fldCharType="begin" w:fldLock="1"/>
      </w:r>
      <w:r w:rsidRPr="00182DEB">
        <w:rPr>
          <w:rFonts w:ascii="Times New Roman" w:hAnsi="Times New Roman" w:cs="Times New Roman"/>
          <w:sz w:val="24"/>
          <w:szCs w:val="24"/>
        </w:rPr>
        <w:instrText xml:space="preserve">ADDIN Mendeley Bibliography CSL_BIBLIOGRAPHY </w:instrText>
      </w:r>
      <w:r w:rsidRPr="00182DEB">
        <w:rPr>
          <w:rFonts w:ascii="Times New Roman" w:hAnsi="Times New Roman" w:cs="Times New Roman"/>
          <w:sz w:val="24"/>
          <w:szCs w:val="24"/>
        </w:rPr>
        <w:fldChar w:fldCharType="separate"/>
      </w:r>
      <w:r w:rsidRPr="00182DEB">
        <w:rPr>
          <w:rFonts w:ascii="Times New Roman" w:hAnsi="Times New Roman" w:cs="Times New Roman"/>
          <w:noProof/>
          <w:sz w:val="24"/>
          <w:szCs w:val="24"/>
        </w:rPr>
        <w:t xml:space="preserve">ACSM (2016) </w:t>
      </w:r>
      <w:r w:rsidRPr="00182DEB">
        <w:rPr>
          <w:rFonts w:ascii="Times New Roman" w:hAnsi="Times New Roman" w:cs="Times New Roman"/>
          <w:i/>
          <w:iCs/>
          <w:noProof/>
          <w:sz w:val="24"/>
          <w:szCs w:val="24"/>
        </w:rPr>
        <w:t>Guidelines for Exercise Testing and Perscription</w:t>
      </w:r>
      <w:r w:rsidRPr="00182DEB">
        <w:rPr>
          <w:rFonts w:ascii="Times New Roman" w:hAnsi="Times New Roman" w:cs="Times New Roman"/>
          <w:noProof/>
          <w:sz w:val="24"/>
          <w:szCs w:val="24"/>
        </w:rPr>
        <w:t>. 10th edn.</w:t>
      </w:r>
    </w:p>
    <w:p w14:paraId="7A384524"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American College of Sports Medicine, W. J., Chodzko-Zajko, W. J., Proctor, D. N., Fiatarone </w:t>
      </w:r>
      <w:r w:rsidRPr="00182DEB">
        <w:rPr>
          <w:rFonts w:ascii="Times New Roman" w:hAnsi="Times New Roman" w:cs="Times New Roman"/>
          <w:noProof/>
          <w:sz w:val="24"/>
          <w:szCs w:val="24"/>
        </w:rPr>
        <w:lastRenderedPageBreak/>
        <w:t xml:space="preserve">Singh, M. A., Minson, C. T., Nigg, C. R., Salem, G. J. and Skinner, J. S. (2009) ‘American College of Sports Medicine position stand. Exercise and physical activity for older adults.’, </w:t>
      </w:r>
      <w:r w:rsidRPr="00182DEB">
        <w:rPr>
          <w:rFonts w:ascii="Times New Roman" w:hAnsi="Times New Roman" w:cs="Times New Roman"/>
          <w:i/>
          <w:iCs/>
          <w:noProof/>
          <w:sz w:val="24"/>
          <w:szCs w:val="24"/>
        </w:rPr>
        <w:t>Medicine and science in sports and exercise</w:t>
      </w:r>
      <w:r w:rsidRPr="00182DEB">
        <w:rPr>
          <w:rFonts w:ascii="Times New Roman" w:hAnsi="Times New Roman" w:cs="Times New Roman"/>
          <w:noProof/>
          <w:sz w:val="24"/>
          <w:szCs w:val="24"/>
        </w:rPr>
        <w:t>, 41(7), pp. 1510–30. doi: 10.1249/MSS.0b013e3181a0c95c.</w:t>
      </w:r>
    </w:p>
    <w:p w14:paraId="5BC16558"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Buchheit, M. and Laursen, P. B. (no date) ‘High-Intensity Interval Training, Solutions to the Programming Puzzle Part II: Anaerobic Energy, Neuromuscular Load and Practical Applications’. doi: 10.1007/s40279-013-0066-5.</w:t>
      </w:r>
    </w:p>
    <w:p w14:paraId="2559D722"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Centre for Disease Control and Prevention (2015) </w:t>
      </w:r>
      <w:r w:rsidRPr="00182DEB">
        <w:rPr>
          <w:rFonts w:ascii="Times New Roman" w:hAnsi="Times New Roman" w:cs="Times New Roman"/>
          <w:i/>
          <w:iCs/>
          <w:noProof/>
          <w:sz w:val="24"/>
          <w:szCs w:val="24"/>
        </w:rPr>
        <w:t>Perceived Exertion (Borg Rating of Perceived Exertion Scale)</w:t>
      </w:r>
      <w:r w:rsidRPr="00182DEB">
        <w:rPr>
          <w:rFonts w:ascii="Times New Roman" w:hAnsi="Times New Roman" w:cs="Times New Roman"/>
          <w:noProof/>
          <w:sz w:val="24"/>
          <w:szCs w:val="24"/>
        </w:rPr>
        <w:t>. Available at: https://www.cdc.gov/physicalactivity/basics/measuring/exertion.htm (Accessed: 10 November 2017).</w:t>
      </w:r>
    </w:p>
    <w:p w14:paraId="029EF7FD"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Ensrud, K. E., Nevitt, M. C., Yunis, C., Cauley, J. A., Seeley, D. G., Fox, K. M. and Cummings, S. R. (1994) ‘Correlates of Impaired Function in Older Women’, </w:t>
      </w:r>
      <w:r w:rsidRPr="00182DEB">
        <w:rPr>
          <w:rFonts w:ascii="Times New Roman" w:hAnsi="Times New Roman" w:cs="Times New Roman"/>
          <w:i/>
          <w:iCs/>
          <w:noProof/>
          <w:sz w:val="24"/>
          <w:szCs w:val="24"/>
        </w:rPr>
        <w:t>Journal of the American Geriatrics Society</w:t>
      </w:r>
      <w:r w:rsidRPr="00182DEB">
        <w:rPr>
          <w:rFonts w:ascii="Times New Roman" w:hAnsi="Times New Roman" w:cs="Times New Roman"/>
          <w:noProof/>
          <w:sz w:val="24"/>
          <w:szCs w:val="24"/>
        </w:rPr>
        <w:t>. Blackwell Publishing Ltd, 42(5), pp. 481–489. doi: 10.1111/j.1532-5415.1994.tb04968.x.</w:t>
      </w:r>
    </w:p>
    <w:p w14:paraId="279C6713"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Gaesser, G. A. and Angadi, S. S. (2011) ‘High-intensity interval training for health and fitness: can less be more?’, </w:t>
      </w:r>
      <w:r w:rsidRPr="00182DEB">
        <w:rPr>
          <w:rFonts w:ascii="Times New Roman" w:hAnsi="Times New Roman" w:cs="Times New Roman"/>
          <w:i/>
          <w:iCs/>
          <w:noProof/>
          <w:sz w:val="24"/>
          <w:szCs w:val="24"/>
        </w:rPr>
        <w:t>Journal of applied physiology (Bethesda, Md. : 1985)</w:t>
      </w:r>
      <w:r w:rsidRPr="00182DEB">
        <w:rPr>
          <w:rFonts w:ascii="Times New Roman" w:hAnsi="Times New Roman" w:cs="Times New Roman"/>
          <w:noProof/>
          <w:sz w:val="24"/>
          <w:szCs w:val="24"/>
        </w:rPr>
        <w:t>. American Physiological Society, 111(6), pp. 1540–1. doi: 10.1152/japplphysiol.01237.2011.</w:t>
      </w:r>
    </w:p>
    <w:p w14:paraId="362B064B"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Gillen, J. B. and Gibala, M. J. (2014) ‘Is high-intensity interval training a time-efficient exercise strategy to improve health and fitness?’, </w:t>
      </w:r>
      <w:r w:rsidRPr="00182DEB">
        <w:rPr>
          <w:rFonts w:ascii="Times New Roman" w:hAnsi="Times New Roman" w:cs="Times New Roman"/>
          <w:i/>
          <w:iCs/>
          <w:noProof/>
          <w:sz w:val="24"/>
          <w:szCs w:val="24"/>
        </w:rPr>
        <w:t>Applied Physiology, Nutrition, and Metabolism</w:t>
      </w:r>
      <w:r w:rsidRPr="00182DEB">
        <w:rPr>
          <w:rFonts w:ascii="Times New Roman" w:hAnsi="Times New Roman" w:cs="Times New Roman"/>
          <w:noProof/>
          <w:sz w:val="24"/>
          <w:szCs w:val="24"/>
        </w:rPr>
        <w:t>.  NRC Research Press, 39(3), pp. 409–412. doi: 10.1139/apnm-2013-0187.</w:t>
      </w:r>
    </w:p>
    <w:p w14:paraId="2B9D332E"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Goulding, P. (2016) ‘What is continuous training?’, </w:t>
      </w:r>
      <w:r w:rsidRPr="00182DEB">
        <w:rPr>
          <w:rFonts w:ascii="Times New Roman" w:hAnsi="Times New Roman" w:cs="Times New Roman"/>
          <w:i/>
          <w:iCs/>
          <w:noProof/>
          <w:sz w:val="24"/>
          <w:szCs w:val="24"/>
        </w:rPr>
        <w:t xml:space="preserve">Nuffield Health </w:t>
      </w:r>
      <w:r w:rsidRPr="00182DEB">
        <w:rPr>
          <w:rFonts w:ascii="Times New Roman" w:hAnsi="Times New Roman" w:cs="Times New Roman"/>
          <w:noProof/>
          <w:sz w:val="24"/>
          <w:szCs w:val="24"/>
        </w:rPr>
        <w:t>. Available at: https://www.nuffieldhealth.com/article/what-is-continuous-training (Accessed: 9 November 2017).</w:t>
      </w:r>
    </w:p>
    <w:p w14:paraId="48C12D93"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Harris, R. (1983) ‘Exercise and the aging process.’, </w:t>
      </w:r>
      <w:r w:rsidRPr="00182DEB">
        <w:rPr>
          <w:rFonts w:ascii="Times New Roman" w:hAnsi="Times New Roman" w:cs="Times New Roman"/>
          <w:i/>
          <w:iCs/>
          <w:noProof/>
          <w:sz w:val="24"/>
          <w:szCs w:val="24"/>
        </w:rPr>
        <w:t>Annals of the Academy of Medicine, Singapore</w:t>
      </w:r>
      <w:r w:rsidRPr="00182DEB">
        <w:rPr>
          <w:rFonts w:ascii="Times New Roman" w:hAnsi="Times New Roman" w:cs="Times New Roman"/>
          <w:noProof/>
          <w:sz w:val="24"/>
          <w:szCs w:val="24"/>
        </w:rPr>
        <w:t>, 12(3), pp. 454–6. Available at: http://www.ncbi.nlm.nih.gov/pubmed/6678128 (Accessed: 19 November 2017).</w:t>
      </w:r>
    </w:p>
    <w:p w14:paraId="35FE2D48"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Hawley, J. A., Hargreaves, M. and Zierath, J. R. (2006) ‘Signalling mechanisms in skeletal muscle: role in substrate selection and muscle adaptation’, </w:t>
      </w:r>
      <w:r w:rsidRPr="00182DEB">
        <w:rPr>
          <w:rFonts w:ascii="Times New Roman" w:hAnsi="Times New Roman" w:cs="Times New Roman"/>
          <w:i/>
          <w:iCs/>
          <w:noProof/>
          <w:sz w:val="24"/>
          <w:szCs w:val="24"/>
        </w:rPr>
        <w:t>Essays In Biochemistry</w:t>
      </w:r>
      <w:r w:rsidRPr="00182DEB">
        <w:rPr>
          <w:rFonts w:ascii="Times New Roman" w:hAnsi="Times New Roman" w:cs="Times New Roman"/>
          <w:noProof/>
          <w:sz w:val="24"/>
          <w:szCs w:val="24"/>
        </w:rPr>
        <w:t>, 42, pp. 1–12. doi: 10.1042/bse0420001.</w:t>
      </w:r>
    </w:p>
    <w:p w14:paraId="731BE491"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Higashi, Y., Sasaki, S., Sasaki, N., Nakagawa, K., Ueda, T., Yoshimizu, A., Kurisu, S., Matsuura, H., Kajiyama, G. and Oshima, T. (1999) ‘Daily aerobic exercise improves reactive hyperemia in patients with essential hypertension.’, </w:t>
      </w:r>
      <w:r w:rsidRPr="00182DEB">
        <w:rPr>
          <w:rFonts w:ascii="Times New Roman" w:hAnsi="Times New Roman" w:cs="Times New Roman"/>
          <w:i/>
          <w:iCs/>
          <w:noProof/>
          <w:sz w:val="24"/>
          <w:szCs w:val="24"/>
        </w:rPr>
        <w:t>Hypertension (Dallas, Tex. : 1979)</w:t>
      </w:r>
      <w:r w:rsidRPr="00182DEB">
        <w:rPr>
          <w:rFonts w:ascii="Times New Roman" w:hAnsi="Times New Roman" w:cs="Times New Roman"/>
          <w:noProof/>
          <w:sz w:val="24"/>
          <w:szCs w:val="24"/>
        </w:rPr>
        <w:t>. American Heart Association, Inc., 33(1 Pt 2), pp. 591–7. doi: 10.1161/01.hyp.0000184225.05629.51.</w:t>
      </w:r>
    </w:p>
    <w:p w14:paraId="101C7E79"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Johnston, A. P. W., De Lisio, M. and Parise, G. (2008) ‘Resistance training, sarcopenia, and the mitochondrial theory of aging’, </w:t>
      </w:r>
      <w:r w:rsidRPr="00182DEB">
        <w:rPr>
          <w:rFonts w:ascii="Times New Roman" w:hAnsi="Times New Roman" w:cs="Times New Roman"/>
          <w:i/>
          <w:iCs/>
          <w:noProof/>
          <w:sz w:val="24"/>
          <w:szCs w:val="24"/>
        </w:rPr>
        <w:t>Applied Physiology, Nutrition, and Metabolism</w:t>
      </w:r>
      <w:r w:rsidRPr="00182DEB">
        <w:rPr>
          <w:rFonts w:ascii="Times New Roman" w:hAnsi="Times New Roman" w:cs="Times New Roman"/>
          <w:noProof/>
          <w:sz w:val="24"/>
          <w:szCs w:val="24"/>
        </w:rPr>
        <w:t>, 33(1), pp. 191–199. doi: 10.1139/H07-141.</w:t>
      </w:r>
    </w:p>
    <w:p w14:paraId="302C9BBC"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Knowles, A.-M., Herbert, P., Easton, C., Sculthorpe, N. and Grace, F. M. (2015) ‘Impact of low-volume, high-intensity interval training on maximal aerobic capacity, health-related quality of life and motivation to exercise in ageing men’, </w:t>
      </w:r>
      <w:r w:rsidRPr="00182DEB">
        <w:rPr>
          <w:rFonts w:ascii="Times New Roman" w:hAnsi="Times New Roman" w:cs="Times New Roman"/>
          <w:i/>
          <w:iCs/>
          <w:noProof/>
          <w:sz w:val="24"/>
          <w:szCs w:val="24"/>
        </w:rPr>
        <w:t>AGE</w:t>
      </w:r>
      <w:r w:rsidRPr="00182DEB">
        <w:rPr>
          <w:rFonts w:ascii="Times New Roman" w:hAnsi="Times New Roman" w:cs="Times New Roman"/>
          <w:noProof/>
          <w:sz w:val="24"/>
          <w:szCs w:val="24"/>
        </w:rPr>
        <w:t>. Springer International Publishing, 37(2), p. 25. doi: 10.1007/s11357-015-9763-3.</w:t>
      </w:r>
    </w:p>
    <w:p w14:paraId="3A5F427B"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Kubukeli, Z. N., Noakes, T. D. and Dennis, S. C. (2002) ‘Training Techniques to Improve </w:t>
      </w:r>
      <w:r w:rsidRPr="00182DEB">
        <w:rPr>
          <w:rFonts w:ascii="Times New Roman" w:hAnsi="Times New Roman" w:cs="Times New Roman"/>
          <w:noProof/>
          <w:sz w:val="24"/>
          <w:szCs w:val="24"/>
        </w:rPr>
        <w:lastRenderedPageBreak/>
        <w:t xml:space="preserve">Endurance Exercise Performances’, </w:t>
      </w:r>
      <w:r w:rsidRPr="00182DEB">
        <w:rPr>
          <w:rFonts w:ascii="Times New Roman" w:hAnsi="Times New Roman" w:cs="Times New Roman"/>
          <w:i/>
          <w:iCs/>
          <w:noProof/>
          <w:sz w:val="24"/>
          <w:szCs w:val="24"/>
        </w:rPr>
        <w:t>Sports Medicine</w:t>
      </w:r>
      <w:r w:rsidRPr="00182DEB">
        <w:rPr>
          <w:rFonts w:ascii="Times New Roman" w:hAnsi="Times New Roman" w:cs="Times New Roman"/>
          <w:noProof/>
          <w:sz w:val="24"/>
          <w:szCs w:val="24"/>
        </w:rPr>
        <w:t>. Springer International Publishing, 32(8), pp. 489–509. doi: 10.2165/00007256-200232080-00002.</w:t>
      </w:r>
    </w:p>
    <w:p w14:paraId="73863196"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Lexell, J. (1995) ‘Human aging, muscle mass, and fiber type composition.’, </w:t>
      </w:r>
      <w:r w:rsidRPr="00182DEB">
        <w:rPr>
          <w:rFonts w:ascii="Times New Roman" w:hAnsi="Times New Roman" w:cs="Times New Roman"/>
          <w:i/>
          <w:iCs/>
          <w:noProof/>
          <w:sz w:val="24"/>
          <w:szCs w:val="24"/>
        </w:rPr>
        <w:t>The journals of gerontology. Series A, Biological sciences and medical sciences</w:t>
      </w:r>
      <w:r w:rsidRPr="00182DEB">
        <w:rPr>
          <w:rFonts w:ascii="Times New Roman" w:hAnsi="Times New Roman" w:cs="Times New Roman"/>
          <w:noProof/>
          <w:sz w:val="24"/>
          <w:szCs w:val="24"/>
        </w:rPr>
        <w:t>, 50 Spec No, pp. 11–6. Available at: http://www.ncbi.nlm.nih.gov/pubmed/7493202 (Accessed: 26 November 2017).</w:t>
      </w:r>
    </w:p>
    <w:p w14:paraId="7E293D93"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Metter, E. J., Talbot, L. A., Schrager, M. and Conwit, R. (2002) ‘Skeletal Muscle Strength as a Predictor of All-Cause Mortality in Healthy Men’, </w:t>
      </w:r>
      <w:r w:rsidRPr="00182DEB">
        <w:rPr>
          <w:rFonts w:ascii="Times New Roman" w:hAnsi="Times New Roman" w:cs="Times New Roman"/>
          <w:i/>
          <w:iCs/>
          <w:noProof/>
          <w:sz w:val="24"/>
          <w:szCs w:val="24"/>
        </w:rPr>
        <w:t>The Journals of Gerontology Series A: Biological Sciences and Medical Sciences</w:t>
      </w:r>
      <w:r w:rsidRPr="00182DEB">
        <w:rPr>
          <w:rFonts w:ascii="Times New Roman" w:hAnsi="Times New Roman" w:cs="Times New Roman"/>
          <w:noProof/>
          <w:sz w:val="24"/>
          <w:szCs w:val="24"/>
        </w:rPr>
        <w:t>. Oxford University Press, 57(10), pp. B359–B365. doi: 10.1093/gerona/57.10.B359.</w:t>
      </w:r>
    </w:p>
    <w:p w14:paraId="0F2C3ACC"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Milanović, Z., Pantelić, S., Trajković, N., Sporiš, G., Kostić, R. and James, N. (2013) ‘Age-related decrease in physical activity and functional fitness among elderly men and women.’, </w:t>
      </w:r>
      <w:r w:rsidRPr="00182DEB">
        <w:rPr>
          <w:rFonts w:ascii="Times New Roman" w:hAnsi="Times New Roman" w:cs="Times New Roman"/>
          <w:i/>
          <w:iCs/>
          <w:noProof/>
          <w:sz w:val="24"/>
          <w:szCs w:val="24"/>
        </w:rPr>
        <w:t>Clinical interventions in aging</w:t>
      </w:r>
      <w:r w:rsidRPr="00182DEB">
        <w:rPr>
          <w:rFonts w:ascii="Times New Roman" w:hAnsi="Times New Roman" w:cs="Times New Roman"/>
          <w:noProof/>
          <w:sz w:val="24"/>
          <w:szCs w:val="24"/>
        </w:rPr>
        <w:t>. Dove Press, 8, pp. 549–56. doi: 10.2147/CIA.S44112.</w:t>
      </w:r>
    </w:p>
    <w:p w14:paraId="2ED86A78"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Morici, G., Gruttad’Auria, C. I., Baiamonte, P., Mazzuca, E., Castrogiovanni, A. and Bonsignore, M. R. (2016) ‘Endurance training: is it bad for you?’, </w:t>
      </w:r>
      <w:r w:rsidRPr="00182DEB">
        <w:rPr>
          <w:rFonts w:ascii="Times New Roman" w:hAnsi="Times New Roman" w:cs="Times New Roman"/>
          <w:i/>
          <w:iCs/>
          <w:noProof/>
          <w:sz w:val="24"/>
          <w:szCs w:val="24"/>
        </w:rPr>
        <w:t>Breathe (Sheffield, England)</w:t>
      </w:r>
      <w:r w:rsidRPr="00182DEB">
        <w:rPr>
          <w:rFonts w:ascii="Times New Roman" w:hAnsi="Times New Roman" w:cs="Times New Roman"/>
          <w:noProof/>
          <w:sz w:val="24"/>
          <w:szCs w:val="24"/>
        </w:rPr>
        <w:t>. European Respiratory Society, 12(2), pp. 140–7. doi: 10.1183/20734735.007016.</w:t>
      </w:r>
    </w:p>
    <w:p w14:paraId="3F794693"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Picorelli, A. M. A., Pereira, D. S., Felício, D. C., Dos Anjos, D. M., Pereira, D. A. G., Dias, R. C., Assis, M. G. and Pereira, L. S. M. (2014) ‘Adherence of older women with strength training and aerobic exercise.’, </w:t>
      </w:r>
      <w:r w:rsidRPr="00182DEB">
        <w:rPr>
          <w:rFonts w:ascii="Times New Roman" w:hAnsi="Times New Roman" w:cs="Times New Roman"/>
          <w:i/>
          <w:iCs/>
          <w:noProof/>
          <w:sz w:val="24"/>
          <w:szCs w:val="24"/>
        </w:rPr>
        <w:t>Clinical interventions in aging</w:t>
      </w:r>
      <w:r w:rsidRPr="00182DEB">
        <w:rPr>
          <w:rFonts w:ascii="Times New Roman" w:hAnsi="Times New Roman" w:cs="Times New Roman"/>
          <w:noProof/>
          <w:sz w:val="24"/>
          <w:szCs w:val="24"/>
        </w:rPr>
        <w:t>. Dove Press, 9, pp. 323–31. doi: 10.2147/CIA.S54644.</w:t>
      </w:r>
    </w:p>
    <w:p w14:paraId="2A954C19"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Rantanen, T., Avlund, K., Suominen, H., Schroll, M., Frändin, K. and Pertti, E. (2002) ‘Muscle strength as a predictor of onset of ADL dependence in people aged 75 years.’, </w:t>
      </w:r>
      <w:r w:rsidRPr="00182DEB">
        <w:rPr>
          <w:rFonts w:ascii="Times New Roman" w:hAnsi="Times New Roman" w:cs="Times New Roman"/>
          <w:i/>
          <w:iCs/>
          <w:noProof/>
          <w:sz w:val="24"/>
          <w:szCs w:val="24"/>
        </w:rPr>
        <w:t>Aging clinical and experimental research</w:t>
      </w:r>
      <w:r w:rsidRPr="00182DEB">
        <w:rPr>
          <w:rFonts w:ascii="Times New Roman" w:hAnsi="Times New Roman" w:cs="Times New Roman"/>
          <w:noProof/>
          <w:sz w:val="24"/>
          <w:szCs w:val="24"/>
        </w:rPr>
        <w:t>, 14(3 Suppl), pp. 10–5. Available at: http://www.ncbi.nlm.nih.gov/pubmed/12475129 (Accessed: 17 November 2017).</w:t>
      </w:r>
    </w:p>
    <w:p w14:paraId="3C9514A1"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Rantanen, T., Guralnik, J. M., Foley, D., Masaki, K., Leveille, S., Curb, J. D. and White, L. (1999) ‘Midlife Hand Grip Strength as a Predictor of Old Age Disability’, </w:t>
      </w:r>
      <w:r w:rsidRPr="00182DEB">
        <w:rPr>
          <w:rFonts w:ascii="Times New Roman" w:hAnsi="Times New Roman" w:cs="Times New Roman"/>
          <w:i/>
          <w:iCs/>
          <w:noProof/>
          <w:sz w:val="24"/>
          <w:szCs w:val="24"/>
        </w:rPr>
        <w:t>JAMA</w:t>
      </w:r>
      <w:r w:rsidRPr="00182DEB">
        <w:rPr>
          <w:rFonts w:ascii="Times New Roman" w:hAnsi="Times New Roman" w:cs="Times New Roman"/>
          <w:noProof/>
          <w:sz w:val="24"/>
          <w:szCs w:val="24"/>
        </w:rPr>
        <w:t>. American Medical Association, 281(6), p. 558. doi: 10.1001/jama.281.6.558.</w:t>
      </w:r>
    </w:p>
    <w:p w14:paraId="3E452B25"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Rizzoli, R., Reginster, J.-Y., Arnal, J.-F., Bautmans, I., Beaudart, C., Bischoff-Ferrari, H., Biver, E., Boonen, S., Brandi, M.-L., Chines, A., Cooper, C., Epstein, S., Fielding, R. A., Goodpaster, B., Kanis, J. A., Kaufman, J.-M., Laslop, A., Malafarina, V., Mañas, L. R., Mitlak, B. H., Oreffo, R. O., Petermans, J., Reid, K., Rolland, Y., Sayer, A. A., Tsouderos, Y., Visser, M. and Bruyère, O. (2013) ‘Quality of Life in Sarcopenia and Frailty’, </w:t>
      </w:r>
      <w:r w:rsidRPr="00182DEB">
        <w:rPr>
          <w:rFonts w:ascii="Times New Roman" w:hAnsi="Times New Roman" w:cs="Times New Roman"/>
          <w:i/>
          <w:iCs/>
          <w:noProof/>
          <w:sz w:val="24"/>
          <w:szCs w:val="24"/>
        </w:rPr>
        <w:t>Calcified Tissue International</w:t>
      </w:r>
      <w:r w:rsidRPr="00182DEB">
        <w:rPr>
          <w:rFonts w:ascii="Times New Roman" w:hAnsi="Times New Roman" w:cs="Times New Roman"/>
          <w:noProof/>
          <w:sz w:val="24"/>
          <w:szCs w:val="24"/>
        </w:rPr>
        <w:t>. Springer US, 93(2), pp. 101–120. doi: 10.1007/s00223-013-9758-y.</w:t>
      </w:r>
    </w:p>
    <w:p w14:paraId="7E950F4B"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Ross, A. and Leveritt, M. (2001) ‘Long-term metabolic and skeletal muscle adaptations to short-sprint training: implications for sprint training and tapering.’, </w:t>
      </w:r>
      <w:r w:rsidRPr="00182DEB">
        <w:rPr>
          <w:rFonts w:ascii="Times New Roman" w:hAnsi="Times New Roman" w:cs="Times New Roman"/>
          <w:i/>
          <w:iCs/>
          <w:noProof/>
          <w:sz w:val="24"/>
          <w:szCs w:val="24"/>
        </w:rPr>
        <w:t>Sports medicine (Auckland, N.Z.)</w:t>
      </w:r>
      <w:r w:rsidRPr="00182DEB">
        <w:rPr>
          <w:rFonts w:ascii="Times New Roman" w:hAnsi="Times New Roman" w:cs="Times New Roman"/>
          <w:noProof/>
          <w:sz w:val="24"/>
          <w:szCs w:val="24"/>
        </w:rPr>
        <w:t>, 31(15), pp. 1063–82. Available at: http://www.ncbi.nlm.nih.gov/pubmed/11735686 (Accessed: 21 November 2017).</w:t>
      </w:r>
    </w:p>
    <w:p w14:paraId="37789CD1"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Shiraev, T. and Barclay, G. (no date) ‘Evidence based exercise Clinical benefits of high intensity interval training’. Available at: https://search.proquest.com/openview/1451dd6e1b5b956eaed41db8bef37580/1?pq-origsite=gscholar&amp;cbl=33668 (Accessed: 2 November 2017).</w:t>
      </w:r>
    </w:p>
    <w:p w14:paraId="2924DF69"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Simonsick, E. M., Guralnik, J. M., Volpato, S., Balfour, J. and Fried, L. P. (2005) ‘Just Get Out the Door! Importance of Walking Outside the Home for Maintaining Mobility: Findings from the Women’s Health and Aging Study’, </w:t>
      </w:r>
      <w:r w:rsidRPr="00182DEB">
        <w:rPr>
          <w:rFonts w:ascii="Times New Roman" w:hAnsi="Times New Roman" w:cs="Times New Roman"/>
          <w:i/>
          <w:iCs/>
          <w:noProof/>
          <w:sz w:val="24"/>
          <w:szCs w:val="24"/>
        </w:rPr>
        <w:t>Journal of the American Geriatrics Society</w:t>
      </w:r>
      <w:r w:rsidRPr="00182DEB">
        <w:rPr>
          <w:rFonts w:ascii="Times New Roman" w:hAnsi="Times New Roman" w:cs="Times New Roman"/>
          <w:noProof/>
          <w:sz w:val="24"/>
          <w:szCs w:val="24"/>
        </w:rPr>
        <w:t>. Blackwell Science Inc, 53(2), pp. 198–203. doi: 10.1111/j.1532-5415.2005.53103.x.</w:t>
      </w:r>
    </w:p>
    <w:p w14:paraId="069B7EB0"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lastRenderedPageBreak/>
        <w:t xml:space="preserve">Swain, D. and Frankelin, B. (2006) ‘Comparison of Cardioprotective Benefits of Vigorous Versus Moderate Intensity Aerobic Exercise’, </w:t>
      </w:r>
      <w:r w:rsidRPr="00182DEB">
        <w:rPr>
          <w:rFonts w:ascii="Times New Roman" w:hAnsi="Times New Roman" w:cs="Times New Roman"/>
          <w:i/>
          <w:iCs/>
          <w:noProof/>
          <w:sz w:val="24"/>
          <w:szCs w:val="24"/>
        </w:rPr>
        <w:t>The American Journal of Cardiology</w:t>
      </w:r>
      <w:r w:rsidRPr="00182DEB">
        <w:rPr>
          <w:rFonts w:ascii="Times New Roman" w:hAnsi="Times New Roman" w:cs="Times New Roman"/>
          <w:noProof/>
          <w:sz w:val="24"/>
          <w:szCs w:val="24"/>
        </w:rPr>
        <w:t>. Excerpta Medica, 97(1), pp. 141–147. doi: 10.1016/J.AMJCARD.2005.07.130.</w:t>
      </w:r>
    </w:p>
    <w:p w14:paraId="1657DA9D"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Tanaka, H., Monahan, K. D. and Seals, D. R. (2001) ‘Age-predicted maximal heart rate revisited.’, </w:t>
      </w:r>
      <w:r w:rsidRPr="00182DEB">
        <w:rPr>
          <w:rFonts w:ascii="Times New Roman" w:hAnsi="Times New Roman" w:cs="Times New Roman"/>
          <w:i/>
          <w:iCs/>
          <w:noProof/>
          <w:sz w:val="24"/>
          <w:szCs w:val="24"/>
        </w:rPr>
        <w:t>Journal of the American College of Cardiology</w:t>
      </w:r>
      <w:r w:rsidRPr="00182DEB">
        <w:rPr>
          <w:rFonts w:ascii="Times New Roman" w:hAnsi="Times New Roman" w:cs="Times New Roman"/>
          <w:noProof/>
          <w:sz w:val="24"/>
          <w:szCs w:val="24"/>
        </w:rPr>
        <w:t>, 37(1), pp. 153–6. Available at: http://www.ncbi.nlm.nih.gov/pubmed/11153730 (Accessed: 12 November 2017).</w:t>
      </w:r>
    </w:p>
    <w:p w14:paraId="436A871C"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Visser, M., Kritchevsky, S. B., Goodpaster, B. H., Newman, A. B., Nevitt, M., Stamm, E. and Harris, T. B. (2002) ‘Leg Muscle Mass and Composition in Relation to Lower Extremity Performance in Men and Women Aged 70 to 79: The Health, Aging and Body Composition Study’, </w:t>
      </w:r>
      <w:r w:rsidRPr="00182DEB">
        <w:rPr>
          <w:rFonts w:ascii="Times New Roman" w:hAnsi="Times New Roman" w:cs="Times New Roman"/>
          <w:i/>
          <w:iCs/>
          <w:noProof/>
          <w:sz w:val="24"/>
          <w:szCs w:val="24"/>
        </w:rPr>
        <w:t>Journal of the American Geriatrics Society</w:t>
      </w:r>
      <w:r w:rsidRPr="00182DEB">
        <w:rPr>
          <w:rFonts w:ascii="Times New Roman" w:hAnsi="Times New Roman" w:cs="Times New Roman"/>
          <w:noProof/>
          <w:sz w:val="24"/>
          <w:szCs w:val="24"/>
        </w:rPr>
        <w:t>. Blackwell Science Inc, 50(5), pp. 897–904. doi: 10.1046/j.1532-5415.2002.50217.x.</w:t>
      </w:r>
    </w:p>
    <w:p w14:paraId="68CE2159"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szCs w:val="24"/>
        </w:rPr>
      </w:pPr>
      <w:r w:rsidRPr="00182DEB">
        <w:rPr>
          <w:rFonts w:ascii="Times New Roman" w:hAnsi="Times New Roman" w:cs="Times New Roman"/>
          <w:noProof/>
          <w:sz w:val="24"/>
          <w:szCs w:val="24"/>
        </w:rPr>
        <w:t xml:space="preserve">Weston, K. S., Wisløff, U. and Coombes, J. S. (2014) ‘High-intensity interval training in patients with lifestyle-induced cardiometabolic disease: a systematic review and meta-analysis.’, </w:t>
      </w:r>
      <w:r w:rsidRPr="00182DEB">
        <w:rPr>
          <w:rFonts w:ascii="Times New Roman" w:hAnsi="Times New Roman" w:cs="Times New Roman"/>
          <w:i/>
          <w:iCs/>
          <w:noProof/>
          <w:sz w:val="24"/>
          <w:szCs w:val="24"/>
        </w:rPr>
        <w:t>British journal of sports medicine</w:t>
      </w:r>
      <w:r w:rsidRPr="00182DEB">
        <w:rPr>
          <w:rFonts w:ascii="Times New Roman" w:hAnsi="Times New Roman" w:cs="Times New Roman"/>
          <w:noProof/>
          <w:sz w:val="24"/>
          <w:szCs w:val="24"/>
        </w:rPr>
        <w:t>. BMJ Publishing Group Ltd and British Association of Sport and Exercise Medicine, 48(16), pp. 1227–34. doi: 10.1136/bjsports-2013-092576.</w:t>
      </w:r>
    </w:p>
    <w:p w14:paraId="46E24DEA" w14:textId="77777777" w:rsidR="00C44487" w:rsidRPr="00182DEB" w:rsidRDefault="00C44487" w:rsidP="00C44487">
      <w:pPr>
        <w:widowControl w:val="0"/>
        <w:autoSpaceDE w:val="0"/>
        <w:autoSpaceDN w:val="0"/>
        <w:adjustRightInd w:val="0"/>
        <w:spacing w:line="240" w:lineRule="auto"/>
        <w:rPr>
          <w:rFonts w:ascii="Times New Roman" w:hAnsi="Times New Roman" w:cs="Times New Roman"/>
          <w:noProof/>
          <w:sz w:val="24"/>
        </w:rPr>
      </w:pPr>
      <w:r w:rsidRPr="00182DEB">
        <w:rPr>
          <w:rFonts w:ascii="Times New Roman" w:hAnsi="Times New Roman" w:cs="Times New Roman"/>
          <w:noProof/>
          <w:sz w:val="24"/>
          <w:szCs w:val="24"/>
        </w:rPr>
        <w:t xml:space="preserve">Zwetsloot, K. A., John, C. S., Lawrence, M. M., Battista, R. A. and Shanely, R. A. (2014) ‘High-intensity interval training induces a modest systemic inflammatory response in active, young men.’, </w:t>
      </w:r>
      <w:r w:rsidRPr="00182DEB">
        <w:rPr>
          <w:rFonts w:ascii="Times New Roman" w:hAnsi="Times New Roman" w:cs="Times New Roman"/>
          <w:i/>
          <w:iCs/>
          <w:noProof/>
          <w:sz w:val="24"/>
          <w:szCs w:val="24"/>
        </w:rPr>
        <w:t>Journal of inflammation research</w:t>
      </w:r>
      <w:r w:rsidRPr="00182DEB">
        <w:rPr>
          <w:rFonts w:ascii="Times New Roman" w:hAnsi="Times New Roman" w:cs="Times New Roman"/>
          <w:noProof/>
          <w:sz w:val="24"/>
          <w:szCs w:val="24"/>
        </w:rPr>
        <w:t>. Dove Press, 7, pp. 9–17. doi: 10.2147/JIR.S54721.</w:t>
      </w:r>
    </w:p>
    <w:p w14:paraId="72D3EA23" w14:textId="77777777" w:rsidR="00C44487" w:rsidRPr="00182DEB" w:rsidRDefault="00C44487">
      <w:pPr>
        <w:rPr>
          <w:rFonts w:ascii="Times New Roman" w:hAnsi="Times New Roman" w:cs="Times New Roman"/>
          <w:sz w:val="24"/>
          <w:szCs w:val="24"/>
        </w:rPr>
      </w:pPr>
      <w:r w:rsidRPr="00182DEB">
        <w:rPr>
          <w:rFonts w:ascii="Times New Roman" w:hAnsi="Times New Roman" w:cs="Times New Roman"/>
          <w:sz w:val="24"/>
          <w:szCs w:val="24"/>
        </w:rPr>
        <w:fldChar w:fldCharType="end"/>
      </w:r>
    </w:p>
    <w:sectPr w:rsidR="00C44487" w:rsidRPr="00182D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Yu Gothic UI"/>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7FD"/>
    <w:rsid w:val="000256D0"/>
    <w:rsid w:val="00026863"/>
    <w:rsid w:val="000A78BF"/>
    <w:rsid w:val="000C3F3D"/>
    <w:rsid w:val="001102AE"/>
    <w:rsid w:val="00176EF3"/>
    <w:rsid w:val="00182DEB"/>
    <w:rsid w:val="001E0A76"/>
    <w:rsid w:val="00205C82"/>
    <w:rsid w:val="00217644"/>
    <w:rsid w:val="00234827"/>
    <w:rsid w:val="003A160A"/>
    <w:rsid w:val="003B19A1"/>
    <w:rsid w:val="0041216A"/>
    <w:rsid w:val="00455DCB"/>
    <w:rsid w:val="004B6083"/>
    <w:rsid w:val="00537E40"/>
    <w:rsid w:val="00557844"/>
    <w:rsid w:val="00625AEC"/>
    <w:rsid w:val="00725682"/>
    <w:rsid w:val="007B21FA"/>
    <w:rsid w:val="008A02AA"/>
    <w:rsid w:val="008E75AD"/>
    <w:rsid w:val="00942336"/>
    <w:rsid w:val="009B34FB"/>
    <w:rsid w:val="00AB3A06"/>
    <w:rsid w:val="00AF26CE"/>
    <w:rsid w:val="00B56A10"/>
    <w:rsid w:val="00B56BE9"/>
    <w:rsid w:val="00BF4BB7"/>
    <w:rsid w:val="00C44487"/>
    <w:rsid w:val="00CA03B8"/>
    <w:rsid w:val="00CC17FD"/>
    <w:rsid w:val="00D902A9"/>
    <w:rsid w:val="00DC2704"/>
    <w:rsid w:val="00E94A1E"/>
    <w:rsid w:val="00F57C20"/>
    <w:rsid w:val="00FA4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39451"/>
  <w15:chartTrackingRefBased/>
  <w15:docId w15:val="{163DA9BF-F8DA-49CE-B636-91495727D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17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C17F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423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D902A9"/>
    <w:rPr>
      <w:color w:val="0000FF"/>
      <w:u w:val="single"/>
    </w:rPr>
  </w:style>
  <w:style w:type="character" w:styleId="Emphasis">
    <w:name w:val="Emphasis"/>
    <w:basedOn w:val="DefaultParagraphFont"/>
    <w:uiPriority w:val="20"/>
    <w:qFormat/>
    <w:rsid w:val="00FA4A6A"/>
    <w:rPr>
      <w:i/>
      <w:iCs/>
    </w:rPr>
  </w:style>
  <w:style w:type="paragraph" w:styleId="Title">
    <w:name w:val="Title"/>
    <w:basedOn w:val="Normal"/>
    <w:link w:val="TitleChar"/>
    <w:uiPriority w:val="10"/>
    <w:qFormat/>
    <w:rsid w:val="000A78BF"/>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A78B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A78BF"/>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A78BF"/>
    <w:rPr>
      <w:rFonts w:ascii="Times New Roman" w:eastAsia="MS Minngs" w:hAnsi="Times New Roman" w:cs="Times New Roman"/>
      <w:sz w:val="32"/>
      <w:szCs w:val="32"/>
      <w:u w:val="single"/>
      <w:lang w:eastAsia="en-GB"/>
    </w:rPr>
  </w:style>
  <w:style w:type="character" w:styleId="CommentReference">
    <w:name w:val="annotation reference"/>
    <w:basedOn w:val="DefaultParagraphFont"/>
    <w:uiPriority w:val="99"/>
    <w:semiHidden/>
    <w:unhideWhenUsed/>
    <w:rsid w:val="00176EF3"/>
    <w:rPr>
      <w:sz w:val="16"/>
      <w:szCs w:val="16"/>
    </w:rPr>
  </w:style>
  <w:style w:type="paragraph" w:styleId="CommentText">
    <w:name w:val="annotation text"/>
    <w:basedOn w:val="Normal"/>
    <w:link w:val="CommentTextChar"/>
    <w:uiPriority w:val="99"/>
    <w:semiHidden/>
    <w:unhideWhenUsed/>
    <w:rsid w:val="00176EF3"/>
    <w:pPr>
      <w:spacing w:line="240" w:lineRule="auto"/>
    </w:pPr>
    <w:rPr>
      <w:sz w:val="20"/>
      <w:szCs w:val="20"/>
    </w:rPr>
  </w:style>
  <w:style w:type="character" w:customStyle="1" w:styleId="CommentTextChar">
    <w:name w:val="Comment Text Char"/>
    <w:basedOn w:val="DefaultParagraphFont"/>
    <w:link w:val="CommentText"/>
    <w:uiPriority w:val="99"/>
    <w:semiHidden/>
    <w:rsid w:val="00176EF3"/>
    <w:rPr>
      <w:sz w:val="20"/>
      <w:szCs w:val="20"/>
    </w:rPr>
  </w:style>
  <w:style w:type="paragraph" w:styleId="CommentSubject">
    <w:name w:val="annotation subject"/>
    <w:basedOn w:val="CommentText"/>
    <w:next w:val="CommentText"/>
    <w:link w:val="CommentSubjectChar"/>
    <w:uiPriority w:val="99"/>
    <w:semiHidden/>
    <w:unhideWhenUsed/>
    <w:rsid w:val="00176EF3"/>
    <w:rPr>
      <w:b/>
      <w:bCs/>
    </w:rPr>
  </w:style>
  <w:style w:type="character" w:customStyle="1" w:styleId="CommentSubjectChar">
    <w:name w:val="Comment Subject Char"/>
    <w:basedOn w:val="CommentTextChar"/>
    <w:link w:val="CommentSubject"/>
    <w:uiPriority w:val="99"/>
    <w:semiHidden/>
    <w:rsid w:val="00176EF3"/>
    <w:rPr>
      <w:b/>
      <w:bCs/>
      <w:sz w:val="20"/>
      <w:szCs w:val="20"/>
    </w:rPr>
  </w:style>
  <w:style w:type="paragraph" w:styleId="BalloonText">
    <w:name w:val="Balloon Text"/>
    <w:basedOn w:val="Normal"/>
    <w:link w:val="BalloonTextChar"/>
    <w:uiPriority w:val="99"/>
    <w:semiHidden/>
    <w:unhideWhenUsed/>
    <w:rsid w:val="00176E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6E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tmp"/><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982FB-B6A1-44FD-A109-5C1287F73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17320</Words>
  <Characters>98725</Characters>
  <Application>Microsoft Office Word</Application>
  <DocSecurity>0</DocSecurity>
  <Lines>822</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Taylor (1501571)</dc:creator>
  <cp:keywords/>
  <dc:description/>
  <cp:lastModifiedBy>Rhian Taylor (1501571)</cp:lastModifiedBy>
  <cp:revision>2</cp:revision>
  <dcterms:created xsi:type="dcterms:W3CDTF">2017-11-28T21:09:00Z</dcterms:created>
  <dcterms:modified xsi:type="dcterms:W3CDTF">2017-11-28T21:09:00Z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Harvard - Cite Them Right 9th edition</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(author-date)</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7th edition</vt:lpwstr>
  </property>
  <property fmtid="{D5CDD505-2E9C-101B-9397-08002B2CF9AE}" pid="22" name="Mendeley Document_1">
    <vt:lpwstr>True</vt:lpwstr>
  </property>
  <property fmtid="{D5CDD505-2E9C-101B-9397-08002B2CF9AE}" pid="23" name="Mendeley Unique User Id_1">
    <vt:lpwstr>60d1576d-9923-3ac2-b2b5-03a1b5e1120c</vt:lpwstr>
  </property>
  <property fmtid="{D5CDD505-2E9C-101B-9397-08002B2CF9AE}" pid="24" name="Mendeley Citation Style_1">
    <vt:lpwstr>http://www.zotero.org/styles/harvard-cite-them-right</vt:lpwstr>
  </property>
</Properties>
</file>