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324027"/>
        <w:docPartObj>
          <w:docPartGallery w:val="Cover Pages"/>
          <w:docPartUnique/>
        </w:docPartObj>
      </w:sdtPr>
      <w:sdtEndPr>
        <w:rPr>
          <w:rFonts w:asciiTheme="majorHAnsi" w:eastAsiaTheme="minorEastAsia" w:hAnsiTheme="majorHAnsi"/>
          <w:i/>
          <w:caps/>
          <w:color w:val="262626" w:themeColor="text1" w:themeTint="D9"/>
          <w:sz w:val="120"/>
          <w:szCs w:val="120"/>
          <w:lang w:val="en-US" w:eastAsia="zh-CN"/>
        </w:rPr>
      </w:sdtEndPr>
      <w:sdtContent>
        <w:p w14:paraId="3945A1A7" w14:textId="33D14B9E" w:rsidR="00911F05" w:rsidRDefault="00911F05">
          <w:r>
            <w:rPr>
              <w:noProof/>
            </w:rPr>
            <mc:AlternateContent>
              <mc:Choice Requires="wpg">
                <w:drawing>
                  <wp:anchor distT="0" distB="0" distL="114300" distR="114300" simplePos="0" relativeHeight="251659264" behindDoc="1" locked="0" layoutInCell="1" allowOverlap="1" wp14:anchorId="3F57448E" wp14:editId="3946A599">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B609CD8" w14:textId="74E4179E" w:rsidR="00911F05" w:rsidRDefault="00911F05">
                                      <w:pPr>
                                        <w:pStyle w:val="NoSpacing"/>
                                        <w:spacing w:before="120"/>
                                        <w:jc w:val="center"/>
                                        <w:rPr>
                                          <w:color w:val="FFFFFF" w:themeColor="background1"/>
                                        </w:rPr>
                                      </w:pPr>
                                      <w:r>
                                        <w:rPr>
                                          <w:color w:val="FFFFFF" w:themeColor="background1"/>
                                        </w:rPr>
                                        <w:t>Arianna Bennett (2200719)</w:t>
                                      </w:r>
                                    </w:p>
                                  </w:sdtContent>
                                </w:sdt>
                                <w:p w14:paraId="746DF8E9" w14:textId="7F5625D6" w:rsidR="00911F05" w:rsidRDefault="00911F0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Legal process </w:t>
                                      </w:r>
                                      <w:r w:rsidR="00185627">
                                        <w:rPr>
                                          <w:caps/>
                                          <w:color w:val="FFFFFF" w:themeColor="background1"/>
                                        </w:rPr>
                                        <w:t>–</w:t>
                                      </w:r>
                                      <w:r>
                                        <w:rPr>
                                          <w:caps/>
                                          <w:color w:val="FFFFFF" w:themeColor="background1"/>
                                        </w:rPr>
                                        <w:t xml:space="preserve"> bmpl</w:t>
                                      </w:r>
                                      <w:r w:rsidR="00185627">
                                        <w:rPr>
                                          <w:caps/>
                                          <w:color w:val="FFFFFF" w:themeColor="background1"/>
                                        </w:rPr>
                                        <w:t xml:space="preserve"> 4011</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E32D91"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F2F8F5" w14:textId="330F01FE" w:rsidR="00911F05" w:rsidRDefault="00911F05">
                                      <w:pPr>
                                        <w:pStyle w:val="NoSpacing"/>
                                        <w:jc w:val="center"/>
                                        <w:rPr>
                                          <w:rFonts w:asciiTheme="majorHAnsi" w:eastAsiaTheme="majorEastAsia" w:hAnsiTheme="majorHAnsi" w:cstheme="majorBidi"/>
                                          <w:caps/>
                                          <w:color w:val="E32D91" w:themeColor="accent1"/>
                                          <w:sz w:val="72"/>
                                          <w:szCs w:val="72"/>
                                        </w:rPr>
                                      </w:pPr>
                                      <w:r>
                                        <w:rPr>
                                          <w:rFonts w:asciiTheme="majorHAnsi" w:eastAsiaTheme="majorEastAsia" w:hAnsiTheme="majorHAnsi" w:cstheme="majorBidi"/>
                                          <w:caps/>
                                          <w:color w:val="E32D91" w:themeColor="accent1"/>
                                          <w:sz w:val="72"/>
                                          <w:szCs w:val="72"/>
                                        </w:rPr>
                                        <w:t>The english legal system is based upon common law principles. explain what this means.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57448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e32d91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e32d91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B609CD8" w14:textId="74E4179E" w:rsidR="00911F05" w:rsidRDefault="00911F05">
                                <w:pPr>
                                  <w:pStyle w:val="NoSpacing"/>
                                  <w:spacing w:before="120"/>
                                  <w:jc w:val="center"/>
                                  <w:rPr>
                                    <w:color w:val="FFFFFF" w:themeColor="background1"/>
                                  </w:rPr>
                                </w:pPr>
                                <w:r>
                                  <w:rPr>
                                    <w:color w:val="FFFFFF" w:themeColor="background1"/>
                                  </w:rPr>
                                  <w:t>Arianna Bennett (2200719)</w:t>
                                </w:r>
                              </w:p>
                            </w:sdtContent>
                          </w:sdt>
                          <w:p w14:paraId="746DF8E9" w14:textId="7F5625D6" w:rsidR="00911F05" w:rsidRDefault="00911F0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Legal process </w:t>
                                </w:r>
                                <w:r w:rsidR="00185627">
                                  <w:rPr>
                                    <w:caps/>
                                    <w:color w:val="FFFFFF" w:themeColor="background1"/>
                                  </w:rPr>
                                  <w:t>–</w:t>
                                </w:r>
                                <w:r>
                                  <w:rPr>
                                    <w:caps/>
                                    <w:color w:val="FFFFFF" w:themeColor="background1"/>
                                  </w:rPr>
                                  <w:t xml:space="preserve"> bmpl</w:t>
                                </w:r>
                                <w:r w:rsidR="00185627">
                                  <w:rPr>
                                    <w:caps/>
                                    <w:color w:val="FFFFFF" w:themeColor="background1"/>
                                  </w:rPr>
                                  <w:t xml:space="preserve"> 4011</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E32D91"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F2F8F5" w14:textId="330F01FE" w:rsidR="00911F05" w:rsidRDefault="00911F05">
                                <w:pPr>
                                  <w:pStyle w:val="NoSpacing"/>
                                  <w:jc w:val="center"/>
                                  <w:rPr>
                                    <w:rFonts w:asciiTheme="majorHAnsi" w:eastAsiaTheme="majorEastAsia" w:hAnsiTheme="majorHAnsi" w:cstheme="majorBidi"/>
                                    <w:caps/>
                                    <w:color w:val="E32D91" w:themeColor="accent1"/>
                                    <w:sz w:val="72"/>
                                    <w:szCs w:val="72"/>
                                  </w:rPr>
                                </w:pPr>
                                <w:r>
                                  <w:rPr>
                                    <w:rFonts w:asciiTheme="majorHAnsi" w:eastAsiaTheme="majorEastAsia" w:hAnsiTheme="majorHAnsi" w:cstheme="majorBidi"/>
                                    <w:caps/>
                                    <w:color w:val="E32D91" w:themeColor="accent1"/>
                                    <w:sz w:val="72"/>
                                    <w:szCs w:val="72"/>
                                  </w:rPr>
                                  <w:t>The english legal system is based upon common law principles. explain what this means.</w:t>
                                </w:r>
                              </w:p>
                            </w:sdtContent>
                          </w:sdt>
                        </w:txbxContent>
                      </v:textbox>
                    </v:shape>
                    <w10:wrap anchorx="page" anchory="page"/>
                  </v:group>
                </w:pict>
              </mc:Fallback>
            </mc:AlternateContent>
          </w:r>
        </w:p>
        <w:p w14:paraId="254BE36D" w14:textId="42BAA0CC" w:rsidR="00911F05" w:rsidRDefault="00911F05">
          <w:pPr>
            <w:rPr>
              <w:rFonts w:asciiTheme="majorHAnsi" w:eastAsiaTheme="minorEastAsia" w:hAnsiTheme="majorHAnsi"/>
              <w:i/>
              <w:caps/>
              <w:color w:val="262626" w:themeColor="text1" w:themeTint="D9"/>
              <w:sz w:val="120"/>
              <w:szCs w:val="120"/>
              <w:lang w:val="en-US" w:eastAsia="zh-CN"/>
            </w:rPr>
          </w:pPr>
          <w:r>
            <w:rPr>
              <w:rFonts w:asciiTheme="majorHAnsi" w:eastAsiaTheme="minorEastAsia" w:hAnsiTheme="majorHAnsi"/>
              <w:i/>
              <w:caps/>
              <w:color w:val="262626" w:themeColor="text1" w:themeTint="D9"/>
              <w:sz w:val="120"/>
              <w:szCs w:val="120"/>
              <w:lang w:val="en-US" w:eastAsia="zh-CN"/>
            </w:rPr>
            <w:br w:type="page"/>
          </w:r>
        </w:p>
      </w:sdtContent>
    </w:sdt>
    <w:p w14:paraId="55C8B2CF" w14:textId="2C53C8D2" w:rsidR="00E34472" w:rsidRDefault="006A2854">
      <w:r>
        <w:lastRenderedPageBreak/>
        <w:t>The English Legal System is based upon common law principles. Explain what this means.</w:t>
      </w:r>
    </w:p>
    <w:p w14:paraId="5765ADF8" w14:textId="72CFE04D" w:rsidR="00C81874" w:rsidRDefault="00C81874"/>
    <w:p w14:paraId="65620394" w14:textId="63F9E127" w:rsidR="0000396A" w:rsidRDefault="00C81874">
      <w:r>
        <w:t>As a society, we have a set of rules enforced by laws, outlined by the English Legal System.</w:t>
      </w:r>
      <w:r w:rsidR="003B64A2">
        <w:t xml:space="preserve"> </w:t>
      </w:r>
      <w:r>
        <w:t xml:space="preserve">Our legal system here in the United Kingdom is applied to society through two main types of courts – criminal and civil. </w:t>
      </w:r>
      <w:r w:rsidR="00980FA0">
        <w:t>These courts will see different types of cases, depending on what law the case comes under. Developed in the early 11</w:t>
      </w:r>
      <w:r w:rsidR="00980FA0" w:rsidRPr="00980FA0">
        <w:rPr>
          <w:vertAlign w:val="superscript"/>
        </w:rPr>
        <w:t>th</w:t>
      </w:r>
      <w:r w:rsidR="00980FA0">
        <w:t xml:space="preserve"> century,</w:t>
      </w:r>
      <w:r w:rsidR="0000396A">
        <w:t xml:space="preserve"> Kischel [2019] states that c</w:t>
      </w:r>
      <w:r w:rsidR="00980FA0">
        <w:t xml:space="preserve">ommon law is based upon a precedent system, which is founded by Judges setting out the reasons for their decisions. </w:t>
      </w:r>
      <w:r w:rsidR="0000396A">
        <w:t xml:space="preserve">According to Poole [2010], common law provides the monarch with </w:t>
      </w:r>
      <w:r w:rsidR="002A3E9C">
        <w:t>prerogative powers, these powers allow the Monarch, currently King Charles II, to declare war or deploy the army without seeking the approval of the UK government.</w:t>
      </w:r>
      <w:r w:rsidR="003B64A2">
        <w:t xml:space="preserve"> </w:t>
      </w:r>
      <w:r w:rsidR="00D84A1B">
        <w:t xml:space="preserve">Common law also ties in with case law, which is when judges make decisions in higher courts, such as the Supreme courts. These judgements and decision then bind the judges from lower courts, and they must follow the precedent that has been set out. </w:t>
      </w:r>
      <w:r w:rsidR="003B64A2">
        <w:t xml:space="preserve">Differently to this, we have civil law. </w:t>
      </w:r>
      <w:r w:rsidR="00717D80">
        <w:t xml:space="preserve">Hudgell [2015] notes that civil law </w:t>
      </w:r>
      <w:r w:rsidR="00541D01">
        <w:t xml:space="preserve">comes from acts of parliament instead, for example The Police and Criminal Evidence Act 1984. It focuses </w:t>
      </w:r>
      <w:r w:rsidR="00717D80">
        <w:t>cases between two individuals or between an individual and an organisation. These sorts of cases must include a ‘claimant’, the person who brings the case to court, and a ‘defendant’, which is the person accused of breaching civil law.</w:t>
      </w:r>
      <w:r w:rsidR="009D670D">
        <w:t xml:space="preserve"> Within the United Kingdom, we have a </w:t>
      </w:r>
      <w:r w:rsidR="00F94733">
        <w:t xml:space="preserve">blend of a common and civil legal </w:t>
      </w:r>
      <w:r w:rsidR="005F3675">
        <w:t>system,</w:t>
      </w:r>
      <w:r w:rsidR="009D670D">
        <w:t xml:space="preserve"> and this essay will argue why.</w:t>
      </w:r>
    </w:p>
    <w:p w14:paraId="24EE3E77" w14:textId="6C13A041" w:rsidR="007034DC" w:rsidRDefault="007034DC"/>
    <w:p w14:paraId="601212A4" w14:textId="6C8427EA" w:rsidR="00602DE6" w:rsidRDefault="000E3012">
      <w:pPr>
        <w:rPr>
          <w:color w:val="000000"/>
        </w:rPr>
      </w:pPr>
      <w:r w:rsidRPr="00F45DA2">
        <w:rPr>
          <w:color w:val="000000"/>
        </w:rPr>
        <w:t xml:space="preserve">Rab [2022] suggests that common law is fundamental in establishing consistency within our legal system in the UK. We see this as the source notes that </w:t>
      </w:r>
      <w:r w:rsidRPr="00F45DA2">
        <w:rPr>
          <w:color w:val="000000"/>
        </w:rPr>
        <w:t>many of</w:t>
      </w:r>
      <w:r w:rsidRPr="00F45DA2">
        <w:rPr>
          <w:color w:val="000000"/>
        </w:rPr>
        <w:t xml:space="preserve"> our main legal principles come from common law. From this, we can understand that common law is key in ensuring that judgements are fair and consistent throughout the justice system. Our justice system in the UK is split into different types of courts, for example the Magistrates court, Crown court, Supreme </w:t>
      </w:r>
      <w:r w:rsidRPr="00F45DA2">
        <w:rPr>
          <w:color w:val="000000"/>
        </w:rPr>
        <w:t>court,</w:t>
      </w:r>
      <w:r w:rsidRPr="00F45DA2">
        <w:rPr>
          <w:color w:val="000000"/>
        </w:rPr>
        <w:t xml:space="preserve"> or the High court. Every one of these courts oversee different levels of cases, depending on the crime or circumstances. The judges that sit in these courts are responsible for making fair and consistent decisions, which is why we have common law. This system allows judges to follow a precedent, which is created by decisions made by previous judges in similar or identical cases. By analysing this alleged ‘consistency’, we see that </w:t>
      </w:r>
      <w:r w:rsidRPr="00F45DA2">
        <w:rPr>
          <w:color w:val="000000"/>
        </w:rPr>
        <w:t>most of</w:t>
      </w:r>
      <w:r w:rsidRPr="00F45DA2">
        <w:rPr>
          <w:color w:val="000000"/>
        </w:rPr>
        <w:t xml:space="preserve"> the time this consistency allows for fair and equal judgements and punishments.</w:t>
      </w:r>
      <w:r w:rsidRPr="00F45DA2">
        <w:rPr>
          <w:color w:val="000000"/>
        </w:rPr>
        <w:t xml:space="preserve"> Differently to this, our courts are not diverse. By looking at statistics from the Supreme Court [2023], we see that out of 12 judges currently sitting, only one of them is female. The rest of the judges are old, white men, a</w:t>
      </w:r>
      <w:r w:rsidR="00403484">
        <w:rPr>
          <w:color w:val="000000"/>
        </w:rPr>
        <w:t xml:space="preserve">dditionally </w:t>
      </w:r>
      <w:r w:rsidRPr="00F45DA2">
        <w:rPr>
          <w:color w:val="000000"/>
        </w:rPr>
        <w:t xml:space="preserve">the female judge is also from a white background. From this, we can gather that there is an extreme lack of diversity within our courts in the UK, specifically in the higher courts. </w:t>
      </w:r>
      <w:r w:rsidR="00602DE6">
        <w:rPr>
          <w:color w:val="000000"/>
        </w:rPr>
        <w:t xml:space="preserve">We see that Arden [2015] claims that judges play a key role in ensuring common law is continuously updated to keep up with our ever-changing society. </w:t>
      </w:r>
      <w:r w:rsidR="00F94733">
        <w:rPr>
          <w:color w:val="000000"/>
        </w:rPr>
        <w:t xml:space="preserve">Therefore, if the judges are not diverse then they are unable to match the growing diversity within today’s society. This leads to unfair judgements, as society has changed significantly since some precedents were set. </w:t>
      </w:r>
    </w:p>
    <w:p w14:paraId="44AA6535" w14:textId="57F98E26" w:rsidR="007C4C21" w:rsidRDefault="007C4C21">
      <w:pPr>
        <w:rPr>
          <w:color w:val="000000"/>
        </w:rPr>
      </w:pPr>
    </w:p>
    <w:p w14:paraId="615E1D74" w14:textId="1369BC25" w:rsidR="00DA1B02" w:rsidRDefault="009843D3" w:rsidP="00DA1B02">
      <w:pPr>
        <w:rPr>
          <w:color w:val="000000"/>
        </w:rPr>
      </w:pPr>
      <w:r>
        <w:rPr>
          <w:color w:val="000000"/>
        </w:rPr>
        <w:t>Although we have a blend of common and civil law, both systems are very different to each other.</w:t>
      </w:r>
      <w:r w:rsidR="00B42FD2">
        <w:rPr>
          <w:color w:val="000000"/>
        </w:rPr>
        <w:t xml:space="preserve"> </w:t>
      </w:r>
      <w:r w:rsidR="00541D01">
        <w:rPr>
          <w:color w:val="000000"/>
        </w:rPr>
        <w:t>The University of Berkley (2010) explains that common law is uncodified, whereas civil law is codified. Uncodified means that there are no legal rules or statues binding it, which makes it less complicated to understand and implement.</w:t>
      </w:r>
      <w:r w:rsidR="002E33D9">
        <w:rPr>
          <w:color w:val="000000"/>
        </w:rPr>
        <w:t xml:space="preserve"> From this we understand that the </w:t>
      </w:r>
      <w:r w:rsidR="00C513DC">
        <w:rPr>
          <w:color w:val="000000"/>
        </w:rPr>
        <w:t>judge’s</w:t>
      </w:r>
      <w:r w:rsidR="002E33D9">
        <w:rPr>
          <w:color w:val="000000"/>
        </w:rPr>
        <w:t xml:space="preserve"> decision is based on previous decisions that bind them, rather than any legal codes. Teasdale (2017) discusses the meaning of codified law. He notes that this law </w:t>
      </w:r>
      <w:r w:rsidR="002E33D9">
        <w:rPr>
          <w:color w:val="000000"/>
        </w:rPr>
        <w:lastRenderedPageBreak/>
        <w:t xml:space="preserve">must follow legal codes that are brought together by acts of Parliament. This means that the judges in these cases must follow all the correct codes whilst making their decision. </w:t>
      </w:r>
      <w:r w:rsidR="00403484">
        <w:rPr>
          <w:color w:val="000000"/>
        </w:rPr>
        <w:t>Another difference between these two systems is th</w:t>
      </w:r>
      <w:r w:rsidR="00C513DC">
        <w:rPr>
          <w:color w:val="000000"/>
        </w:rPr>
        <w:t xml:space="preserve">e role that the judges play </w:t>
      </w:r>
      <w:r w:rsidR="005F3675">
        <w:rPr>
          <w:color w:val="000000"/>
        </w:rPr>
        <w:t>regarding</w:t>
      </w:r>
      <w:r w:rsidR="00C513DC">
        <w:rPr>
          <w:color w:val="000000"/>
        </w:rPr>
        <w:t xml:space="preserve"> the different laws and courts. Within civil law, the Courts and Tribunals Judiciary (?) explains that the judge must consider all factors of the case, in context, after reviewing the facts of the case. They must then apply the relevant and correct code. Differently, Yu (2016) claims that judges play a large role in criminal proceedings and upholding the basis of our legal system. Although both systems work differently and use different proceedings, they both share the same end goal. It is clear that both the common and civil law system strive to achieve justice for the victims and claimants that bring their cases to them. As a result of </w:t>
      </w:r>
      <w:r w:rsidR="005F3675">
        <w:rPr>
          <w:color w:val="000000"/>
        </w:rPr>
        <w:t>both</w:t>
      </w:r>
      <w:r w:rsidR="00C513DC">
        <w:rPr>
          <w:color w:val="000000"/>
        </w:rPr>
        <w:t xml:space="preserve"> systems striving towards the same goal, it is clear that they work effectively together, despite their differences. </w:t>
      </w:r>
    </w:p>
    <w:p w14:paraId="1DEF1AB6" w14:textId="101CC3EA" w:rsidR="00C513DC" w:rsidRDefault="00C513DC" w:rsidP="00C513DC">
      <w:pPr>
        <w:rPr>
          <w:color w:val="000000"/>
        </w:rPr>
      </w:pPr>
    </w:p>
    <w:p w14:paraId="20C85B7E" w14:textId="09B2A3C6" w:rsidR="005F3675" w:rsidRDefault="00D84A1B" w:rsidP="00C513DC">
      <w:pPr>
        <w:rPr>
          <w:color w:val="000000"/>
        </w:rPr>
      </w:pPr>
      <w:r>
        <w:rPr>
          <w:color w:val="000000"/>
        </w:rPr>
        <w:t>Common law developed in the early 11</w:t>
      </w:r>
      <w:r w:rsidRPr="00D84A1B">
        <w:rPr>
          <w:color w:val="000000"/>
          <w:vertAlign w:val="superscript"/>
        </w:rPr>
        <w:t>th</w:t>
      </w:r>
      <w:r>
        <w:rPr>
          <w:color w:val="000000"/>
        </w:rPr>
        <w:t xml:space="preserve"> century during the reign of Henry the 2</w:t>
      </w:r>
      <w:r w:rsidRPr="00D84A1B">
        <w:rPr>
          <w:color w:val="000000"/>
          <w:vertAlign w:val="superscript"/>
        </w:rPr>
        <w:t>nd</w:t>
      </w:r>
      <w:r>
        <w:rPr>
          <w:color w:val="000000"/>
        </w:rPr>
        <w:t xml:space="preserve">. Adams notes that the English judicial system was completely reformed, and by the end of Henry the 2nd’s reign, it was possible to interpret common law principles into the courts. Within the UK, we have what is called an “unwritten constitution”, which means that if anything needs </w:t>
      </w:r>
      <w:r w:rsidR="005F3675">
        <w:rPr>
          <w:color w:val="000000"/>
        </w:rPr>
        <w:t xml:space="preserve">changing it can be done by altering legislation, rather than re-writing the whole constitution. Quinn, Elliott, and Frances (2011) claim that a large part of our legal system in the UK relies on case law, which derives from judges decisions. Therefore, it is clear that judges have played a large role in the history of common law, by ensuring that they made the correct decisions that are to be followed by judges that came after them. One of the most popular examples of common law working in practice is in the case of R v Dudley and Stephens (1884) 14 QBD 273. In this case, 4 men became stranded after a shipwreck. After being stranded for 18 days, their food had run out and they decided that they must kill someone in order for the others to eat. One of the men refused to take part, so the defendant’s decided to kill the youngest boy as he was already very close to death. The men were rescued 4 days later, and the two defendants, Dudley and Stephens, were charged with the boys murder. The judge decided to convict the boys of murder, as the defence of necessity did not suffice. The judge in this case established a new precedent through common law, deciding that “necessity” is not a satisfactory defence to a murder charge. Another landmark case in establishing common law is the case of Donoghue v Stevenson [1932] UKHL 100. In this case, the defendant, which was Donoghue, purchased a ginger beer from a café. After consuming half of the drink, she poured the remainder of the contents into a glass and noticed a decomposing snail floating in the drink. As a result of this, Donoghue allegedly suffered severe gastro-enteritis, and had to be treated for shock. The defendant then launched a case against the manufacturer, which was Stevenson. As a result of this case, Stevenson was found to have breached a duty of care through failure to ensure safety of their product and failure to protect their customers. This case was extremely important to the English legal system, as it laid the precedent of a duty of care from employers. Judges now follow this precedent when dealing with similar cases and hold employers accountable when they fail their duty of care. It also established precedents surrounding negligence, and the “neighbour test” which was created by Lord Atkin. </w:t>
      </w:r>
    </w:p>
    <w:p w14:paraId="36308EFA" w14:textId="6A6D09A2" w:rsidR="00717D80" w:rsidRDefault="00717D80"/>
    <w:p w14:paraId="741779C5" w14:textId="182AF3BC" w:rsidR="005F3675" w:rsidRDefault="005F3675">
      <w:r>
        <w:t xml:space="preserve">This essay proves to us that we have a blended law system in the UK. Although our legal system has many prominent aspects of both common and civil law, it is primarily led by common law principles. This is clear as we do not have a written constitution. Countries that </w:t>
      </w:r>
      <w:r>
        <w:lastRenderedPageBreak/>
        <w:t>are led primarily by civil law must always have a written constitution, as civil law relies on acts of parliaments. After extensive research, it is clear that our English legal system is fundamentally based upon common law principles. This system has been in place for centuries and has upheld our legal system to the best of its availability. Although civil law has its advantages, common law gives defendant’s a fairer shot at working through the justice system and receiving the justice they deserve. The research also showed that common law principles continue to evolve alongside society, therefore making them the best option to base our legal system on.</w:t>
      </w:r>
    </w:p>
    <w:p w14:paraId="0728F51E" w14:textId="117A2198" w:rsidR="00911F05" w:rsidRDefault="00911F05">
      <w:r>
        <w:br w:type="page"/>
      </w:r>
    </w:p>
    <w:p w14:paraId="15677C6B" w14:textId="77777777" w:rsidR="0000396A" w:rsidRDefault="0000396A"/>
    <w:p w14:paraId="10849ADC" w14:textId="27B32386" w:rsidR="00980FA0" w:rsidRPr="005F3675" w:rsidRDefault="0000396A">
      <w:pPr>
        <w:rPr>
          <w:b/>
          <w:bCs/>
        </w:rPr>
      </w:pPr>
      <w:r w:rsidRPr="005F3675">
        <w:rPr>
          <w:b/>
          <w:bCs/>
        </w:rPr>
        <w:t>Reference List</w:t>
      </w:r>
    </w:p>
    <w:p w14:paraId="1E669B08" w14:textId="09F22B39" w:rsidR="0000396A" w:rsidRPr="005F3675" w:rsidRDefault="0000396A">
      <w:pPr>
        <w:rPr>
          <w:b/>
          <w:bCs/>
        </w:rPr>
      </w:pPr>
    </w:p>
    <w:p w14:paraId="2A70F250" w14:textId="43837BF8" w:rsidR="005F3675" w:rsidRPr="005F3675" w:rsidRDefault="005F3675">
      <w:pPr>
        <w:rPr>
          <w:b/>
          <w:bCs/>
        </w:rPr>
      </w:pPr>
      <w:r w:rsidRPr="005F3675">
        <w:rPr>
          <w:b/>
          <w:bCs/>
        </w:rPr>
        <w:t>Case Law</w:t>
      </w:r>
    </w:p>
    <w:p w14:paraId="2637C49E" w14:textId="447EADFA" w:rsidR="005F3675" w:rsidRDefault="005F3675"/>
    <w:p w14:paraId="4AE51BB9" w14:textId="5A63A1FE" w:rsidR="005F3675" w:rsidRDefault="005F3675">
      <w:pPr>
        <w:rPr>
          <w:color w:val="000000"/>
        </w:rPr>
      </w:pPr>
      <w:r>
        <w:rPr>
          <w:color w:val="000000"/>
        </w:rPr>
        <w:t>R v Dudley and Stephens (1884) 14 QBD 273.</w:t>
      </w:r>
    </w:p>
    <w:p w14:paraId="3B4A8336" w14:textId="349884B6" w:rsidR="005F3675" w:rsidRDefault="005F3675">
      <w:pPr>
        <w:rPr>
          <w:color w:val="000000"/>
        </w:rPr>
      </w:pPr>
    </w:p>
    <w:p w14:paraId="5A2808A4" w14:textId="6578B8C4" w:rsidR="005F3675" w:rsidRDefault="005F3675">
      <w:pPr>
        <w:rPr>
          <w:color w:val="000000"/>
        </w:rPr>
      </w:pPr>
      <w:r>
        <w:rPr>
          <w:color w:val="000000"/>
        </w:rPr>
        <w:t>Donoghue v Stevenson [1932] UKHL 100</w:t>
      </w:r>
    </w:p>
    <w:p w14:paraId="320BCE30" w14:textId="09F1D60A" w:rsidR="005F3675" w:rsidRDefault="005F3675">
      <w:pPr>
        <w:rPr>
          <w:color w:val="000000"/>
        </w:rPr>
      </w:pPr>
    </w:p>
    <w:p w14:paraId="1DAD05DE" w14:textId="18C89EF4" w:rsidR="005F3675" w:rsidRDefault="005F3675">
      <w:pPr>
        <w:rPr>
          <w:b/>
          <w:bCs/>
          <w:color w:val="000000"/>
        </w:rPr>
      </w:pPr>
      <w:r w:rsidRPr="005F3675">
        <w:rPr>
          <w:b/>
          <w:bCs/>
          <w:color w:val="000000"/>
        </w:rPr>
        <w:t xml:space="preserve">Academic </w:t>
      </w:r>
    </w:p>
    <w:p w14:paraId="608759C7" w14:textId="77777777" w:rsidR="005F3675" w:rsidRDefault="005F3675" w:rsidP="005F3675">
      <w:pPr>
        <w:rPr>
          <w:rFonts w:cstheme="minorHAnsi"/>
          <w:color w:val="000000" w:themeColor="text1"/>
        </w:rPr>
      </w:pPr>
    </w:p>
    <w:p w14:paraId="05AD32ED" w14:textId="723BABA9" w:rsidR="005F3675" w:rsidRPr="005F3675" w:rsidRDefault="005F3675">
      <w:pPr>
        <w:rPr>
          <w:rFonts w:cstheme="minorHAnsi"/>
          <w:color w:val="000000" w:themeColor="text1"/>
        </w:rPr>
      </w:pPr>
      <w:r>
        <w:rPr>
          <w:rFonts w:cstheme="minorHAnsi"/>
          <w:color w:val="000000" w:themeColor="text1"/>
        </w:rPr>
        <w:t xml:space="preserve">Adams, G.B. (1924) ‘The Origin of Common Law’. </w:t>
      </w:r>
      <w:r>
        <w:rPr>
          <w:rFonts w:cstheme="minorHAnsi"/>
          <w:i/>
          <w:iCs/>
          <w:color w:val="000000" w:themeColor="text1"/>
        </w:rPr>
        <w:t>The Yale Law Journal</w:t>
      </w:r>
      <w:r>
        <w:rPr>
          <w:rFonts w:cstheme="minorHAnsi"/>
          <w:color w:val="000000" w:themeColor="text1"/>
        </w:rPr>
        <w:t>. 34(2), pp. 115-128</w:t>
      </w:r>
    </w:p>
    <w:p w14:paraId="665F8EF1" w14:textId="5C981F36" w:rsidR="005F3675" w:rsidRDefault="005F3675"/>
    <w:p w14:paraId="52F242D7" w14:textId="67D488BE" w:rsidR="005F3675" w:rsidRPr="005F3675" w:rsidRDefault="005F3675">
      <w:pPr>
        <w:rPr>
          <w:rFonts w:cstheme="minorHAnsi"/>
          <w:color w:val="000000" w:themeColor="text1"/>
        </w:rPr>
      </w:pPr>
      <w:r>
        <w:rPr>
          <w:rFonts w:cstheme="minorHAnsi"/>
          <w:color w:val="000000" w:themeColor="text1"/>
        </w:rPr>
        <w:t xml:space="preserve">Arden, M. (2015) </w:t>
      </w:r>
      <w:r>
        <w:rPr>
          <w:rFonts w:cstheme="minorHAnsi"/>
          <w:i/>
          <w:iCs/>
          <w:color w:val="000000" w:themeColor="text1"/>
        </w:rPr>
        <w:t xml:space="preserve">Common Law and Modern Society: Keeping Pace with Change. </w:t>
      </w:r>
      <w:r>
        <w:rPr>
          <w:rFonts w:cstheme="minorHAnsi"/>
          <w:color w:val="000000" w:themeColor="text1"/>
        </w:rPr>
        <w:t xml:space="preserve">Oxford Online edn: Oxford University Press. Available at: </w:t>
      </w:r>
      <w:hyperlink r:id="rId5" w:history="1">
        <w:r w:rsidRPr="009C74F3">
          <w:rPr>
            <w:rStyle w:val="Hyperlink"/>
            <w:rFonts w:cstheme="minorHAnsi"/>
          </w:rPr>
          <w:t>https://academic.oup.com/book/5614/chapter-abstract/357934243?redirectedFrom=fulltext</w:t>
        </w:r>
      </w:hyperlink>
      <w:r>
        <w:rPr>
          <w:rFonts w:cstheme="minorHAnsi"/>
          <w:color w:val="000000" w:themeColor="text1"/>
        </w:rPr>
        <w:t xml:space="preserve"> (Accessed: 27 February 2023)</w:t>
      </w:r>
    </w:p>
    <w:p w14:paraId="12FBAFE8" w14:textId="21F9D331" w:rsidR="005F3675" w:rsidRDefault="005F3675"/>
    <w:p w14:paraId="78C09F00" w14:textId="77777777" w:rsidR="005F3675" w:rsidRDefault="005F3675" w:rsidP="005F3675">
      <w:pPr>
        <w:rPr>
          <w:rFonts w:cstheme="minorHAnsi"/>
          <w:color w:val="000000" w:themeColor="text1"/>
        </w:rPr>
      </w:pPr>
      <w:r>
        <w:rPr>
          <w:rFonts w:cstheme="minorHAnsi"/>
          <w:color w:val="000000" w:themeColor="text1"/>
        </w:rPr>
        <w:t xml:space="preserve">Courts and Tribunals Judiciary (2023) </w:t>
      </w:r>
      <w:r>
        <w:rPr>
          <w:rFonts w:cstheme="minorHAnsi"/>
          <w:i/>
          <w:iCs/>
          <w:color w:val="000000" w:themeColor="text1"/>
        </w:rPr>
        <w:t>Civil: Civil Justice in England and Wales</w:t>
      </w:r>
      <w:r>
        <w:rPr>
          <w:rFonts w:cstheme="minorHAnsi"/>
          <w:color w:val="000000" w:themeColor="text1"/>
        </w:rPr>
        <w:t xml:space="preserve">. Available at: </w:t>
      </w:r>
      <w:hyperlink r:id="rId6" w:history="1">
        <w:r w:rsidRPr="009C74F3">
          <w:rPr>
            <w:rStyle w:val="Hyperlink"/>
            <w:rFonts w:cstheme="minorHAnsi"/>
          </w:rPr>
          <w:t>https://www.judiciary.uk/about-the-judiciary/our-justice-system/jurisdictions/civil-jurisdiction/</w:t>
        </w:r>
      </w:hyperlink>
      <w:r>
        <w:rPr>
          <w:rFonts w:cstheme="minorHAnsi"/>
          <w:color w:val="000000" w:themeColor="text1"/>
        </w:rPr>
        <w:t xml:space="preserve"> (Accessed: 28 February 2023)</w:t>
      </w:r>
    </w:p>
    <w:p w14:paraId="0827C516" w14:textId="77777777" w:rsidR="005F3675" w:rsidRDefault="005F3675"/>
    <w:p w14:paraId="0EA36C1E" w14:textId="372ADDDB" w:rsidR="005F3675" w:rsidRPr="005F3675" w:rsidRDefault="005F3675">
      <w:pPr>
        <w:rPr>
          <w:rFonts w:cstheme="minorHAnsi"/>
          <w:color w:val="000000" w:themeColor="text1"/>
          <w:shd w:val="clear" w:color="auto" w:fill="FBFBFB"/>
        </w:rPr>
      </w:pPr>
      <w:r w:rsidRPr="0077469C">
        <w:rPr>
          <w:rFonts w:cstheme="minorHAnsi"/>
          <w:color w:val="000000" w:themeColor="text1"/>
          <w:shd w:val="clear" w:color="auto" w:fill="FBFBFB"/>
        </w:rPr>
        <w:t>Hudgell Solicitors (2015)</w:t>
      </w:r>
      <w:r w:rsidRPr="0077469C">
        <w:rPr>
          <w:rStyle w:val="apple-converted-space"/>
          <w:rFonts w:cstheme="minorHAnsi"/>
          <w:color w:val="000000" w:themeColor="text1"/>
          <w:shd w:val="clear" w:color="auto" w:fill="FBFBFB"/>
        </w:rPr>
        <w:t> </w:t>
      </w:r>
      <w:r w:rsidRPr="0077469C">
        <w:rPr>
          <w:rFonts w:cstheme="minorHAnsi"/>
          <w:i/>
          <w:iCs/>
          <w:color w:val="000000" w:themeColor="text1"/>
        </w:rPr>
        <w:t>Criminal vs Civil Law - What is the Difference?</w:t>
      </w:r>
      <w:r w:rsidRPr="0077469C">
        <w:rPr>
          <w:rFonts w:cstheme="minorHAnsi"/>
          <w:color w:val="000000" w:themeColor="text1"/>
          <w:shd w:val="clear" w:color="auto" w:fill="FBFBFB"/>
        </w:rPr>
        <w:t> Available at: https://www.hudgellsolicitors.co.uk/advice/criminal-vs-civil-law-what-is-the-difference/ (Accessed: 26 February 2023).</w:t>
      </w:r>
    </w:p>
    <w:p w14:paraId="392AEF85" w14:textId="77777777" w:rsidR="005F3675" w:rsidRDefault="005F3675"/>
    <w:p w14:paraId="4558CA9B" w14:textId="3FDE27F7" w:rsidR="0000396A" w:rsidRPr="0077469C" w:rsidRDefault="0000396A">
      <w:pPr>
        <w:rPr>
          <w:rFonts w:cstheme="minorHAnsi"/>
          <w:color w:val="000000" w:themeColor="text1"/>
          <w:shd w:val="clear" w:color="auto" w:fill="FBFBFB"/>
        </w:rPr>
      </w:pPr>
      <w:r w:rsidRPr="0077469C">
        <w:rPr>
          <w:rFonts w:cstheme="minorHAnsi"/>
          <w:color w:val="000000" w:themeColor="text1"/>
          <w:shd w:val="clear" w:color="auto" w:fill="FBFBFB"/>
        </w:rPr>
        <w:t>Kischel, U. (2019)</w:t>
      </w:r>
      <w:r w:rsidRPr="0077469C">
        <w:rPr>
          <w:rStyle w:val="apple-converted-space"/>
          <w:rFonts w:cstheme="minorHAnsi"/>
          <w:color w:val="000000" w:themeColor="text1"/>
          <w:shd w:val="clear" w:color="auto" w:fill="FBFBFB"/>
        </w:rPr>
        <w:t> </w:t>
      </w:r>
      <w:r w:rsidRPr="0077469C">
        <w:rPr>
          <w:rFonts w:cstheme="minorHAnsi"/>
          <w:i/>
          <w:iCs/>
          <w:color w:val="000000" w:themeColor="text1"/>
        </w:rPr>
        <w:t>Comparative</w:t>
      </w:r>
      <w:r w:rsidRPr="0077469C">
        <w:rPr>
          <w:rFonts w:cstheme="minorHAnsi"/>
          <w:i/>
          <w:iCs/>
          <w:color w:val="000000" w:themeColor="text1"/>
        </w:rPr>
        <w:t xml:space="preserve"> Law</w:t>
      </w:r>
      <w:r w:rsidRPr="0077469C">
        <w:rPr>
          <w:rFonts w:cstheme="minorHAnsi"/>
          <w:color w:val="000000" w:themeColor="text1"/>
          <w:shd w:val="clear" w:color="auto" w:fill="FBFBFB"/>
        </w:rPr>
        <w:t>. 1st edn. Oxford: Oxford Academic. </w:t>
      </w:r>
    </w:p>
    <w:p w14:paraId="48AFFA08" w14:textId="6C24E45F" w:rsidR="002A3E9C" w:rsidRPr="0077469C" w:rsidRDefault="002A3E9C">
      <w:pPr>
        <w:rPr>
          <w:rFonts w:cstheme="minorHAnsi"/>
          <w:color w:val="000000" w:themeColor="text1"/>
          <w:shd w:val="clear" w:color="auto" w:fill="FBFBFB"/>
        </w:rPr>
      </w:pPr>
    </w:p>
    <w:p w14:paraId="5E5A1356" w14:textId="79A59E55" w:rsidR="002A3E9C" w:rsidRDefault="002A3E9C">
      <w:pPr>
        <w:rPr>
          <w:rFonts w:cstheme="minorHAnsi"/>
          <w:color w:val="000000" w:themeColor="text1"/>
          <w:shd w:val="clear" w:color="auto" w:fill="FBFBFB"/>
        </w:rPr>
      </w:pPr>
      <w:r w:rsidRPr="0077469C">
        <w:rPr>
          <w:rFonts w:cstheme="minorHAnsi"/>
          <w:color w:val="000000" w:themeColor="text1"/>
          <w:shd w:val="clear" w:color="auto" w:fill="FBFBFB"/>
        </w:rPr>
        <w:t xml:space="preserve">Poole, T. </w:t>
      </w:r>
      <w:r w:rsidR="00602DE6">
        <w:rPr>
          <w:rFonts w:cstheme="minorHAnsi"/>
          <w:color w:val="000000" w:themeColor="text1"/>
          <w:shd w:val="clear" w:color="auto" w:fill="FBFBFB"/>
        </w:rPr>
        <w:t>(</w:t>
      </w:r>
      <w:r w:rsidRPr="0077469C">
        <w:rPr>
          <w:rFonts w:cstheme="minorHAnsi"/>
          <w:color w:val="000000" w:themeColor="text1"/>
          <w:shd w:val="clear" w:color="auto" w:fill="FBFBFB"/>
        </w:rPr>
        <w:t>2010</w:t>
      </w:r>
      <w:r w:rsidR="00602DE6">
        <w:rPr>
          <w:rFonts w:cstheme="minorHAnsi"/>
          <w:color w:val="000000" w:themeColor="text1"/>
          <w:shd w:val="clear" w:color="auto" w:fill="FBFBFB"/>
        </w:rPr>
        <w:t>)</w:t>
      </w:r>
      <w:r w:rsidRPr="0077469C">
        <w:rPr>
          <w:rFonts w:cstheme="minorHAnsi"/>
          <w:color w:val="000000" w:themeColor="text1"/>
          <w:shd w:val="clear" w:color="auto" w:fill="FBFBFB"/>
        </w:rPr>
        <w:t xml:space="preserve"> </w:t>
      </w:r>
      <w:r w:rsidR="003B64A2" w:rsidRPr="0077469C">
        <w:rPr>
          <w:rFonts w:cstheme="minorHAnsi"/>
          <w:color w:val="000000" w:themeColor="text1"/>
          <w:shd w:val="clear" w:color="auto" w:fill="FBFBFB"/>
        </w:rPr>
        <w:t>‘United Kingdom: The royal prerogative</w:t>
      </w:r>
      <w:r w:rsidR="0077469C" w:rsidRPr="0077469C">
        <w:rPr>
          <w:rFonts w:cstheme="minorHAnsi"/>
          <w:color w:val="000000" w:themeColor="text1"/>
          <w:shd w:val="clear" w:color="auto" w:fill="FBFBFB"/>
        </w:rPr>
        <w:t>’.</w:t>
      </w:r>
      <w:r w:rsidR="003B64A2" w:rsidRPr="0077469C">
        <w:rPr>
          <w:rFonts w:cstheme="minorHAnsi"/>
          <w:color w:val="000000" w:themeColor="text1"/>
          <w:shd w:val="clear" w:color="auto" w:fill="FBFBFB"/>
        </w:rPr>
        <w:t xml:space="preserve"> </w:t>
      </w:r>
      <w:r w:rsidR="003B64A2" w:rsidRPr="0077469C">
        <w:rPr>
          <w:rFonts w:cstheme="minorHAnsi"/>
          <w:i/>
          <w:iCs/>
          <w:color w:val="000000" w:themeColor="text1"/>
          <w:shd w:val="clear" w:color="auto" w:fill="FBFBFB"/>
        </w:rPr>
        <w:t xml:space="preserve">International Journal of Constitutional Law. </w:t>
      </w:r>
      <w:r w:rsidR="003B64A2" w:rsidRPr="0077469C">
        <w:rPr>
          <w:rFonts w:cstheme="minorHAnsi"/>
          <w:color w:val="000000" w:themeColor="text1"/>
          <w:shd w:val="clear" w:color="auto" w:fill="FBFBFB"/>
        </w:rPr>
        <w:t>8(1), pp. 146-155.</w:t>
      </w:r>
    </w:p>
    <w:p w14:paraId="61B80FE6" w14:textId="6D46CF7B" w:rsidR="005F3675" w:rsidRDefault="005F3675">
      <w:pPr>
        <w:rPr>
          <w:rFonts w:cstheme="minorHAnsi"/>
          <w:color w:val="000000" w:themeColor="text1"/>
          <w:shd w:val="clear" w:color="auto" w:fill="FBFBFB"/>
        </w:rPr>
      </w:pPr>
    </w:p>
    <w:p w14:paraId="50929539" w14:textId="45611753" w:rsidR="005F3675" w:rsidRPr="005F3675" w:rsidRDefault="005F3675">
      <w:pPr>
        <w:rPr>
          <w:rFonts w:cstheme="minorHAnsi"/>
          <w:color w:val="000000" w:themeColor="text1"/>
        </w:rPr>
      </w:pPr>
      <w:r>
        <w:rPr>
          <w:rFonts w:cstheme="minorHAnsi"/>
          <w:color w:val="000000" w:themeColor="text1"/>
        </w:rPr>
        <w:t xml:space="preserve">Quinn &amp; Elliott, C &amp; Frances. (2011) </w:t>
      </w:r>
      <w:r>
        <w:rPr>
          <w:rFonts w:cstheme="minorHAnsi"/>
          <w:i/>
          <w:iCs/>
          <w:color w:val="000000" w:themeColor="text1"/>
        </w:rPr>
        <w:t>The English Legal System</w:t>
      </w:r>
      <w:r>
        <w:rPr>
          <w:rFonts w:cstheme="minorHAnsi"/>
          <w:color w:val="000000" w:themeColor="text1"/>
        </w:rPr>
        <w:t>. 12th edn. Boston: Pearson Addison Wesley. pp. 26-28</w:t>
      </w:r>
    </w:p>
    <w:p w14:paraId="7FF490E4" w14:textId="64676B5E" w:rsidR="000E3012" w:rsidRDefault="000E3012">
      <w:pPr>
        <w:rPr>
          <w:rFonts w:cstheme="minorHAnsi"/>
          <w:color w:val="000000" w:themeColor="text1"/>
          <w:shd w:val="clear" w:color="auto" w:fill="FBFBFB"/>
        </w:rPr>
      </w:pPr>
    </w:p>
    <w:p w14:paraId="6E8EEEC1" w14:textId="623D2181" w:rsidR="000E3012" w:rsidRPr="000E3012" w:rsidRDefault="000E3012">
      <w:pPr>
        <w:rPr>
          <w:rFonts w:cstheme="minorHAnsi"/>
          <w:color w:val="000000" w:themeColor="text1"/>
          <w:shd w:val="clear" w:color="auto" w:fill="FBFBFB"/>
        </w:rPr>
      </w:pPr>
      <w:r w:rsidRPr="000E3012">
        <w:rPr>
          <w:rFonts w:cstheme="minorHAnsi"/>
          <w:color w:val="000000" w:themeColor="text1"/>
          <w:shd w:val="clear" w:color="auto" w:fill="FBFBFB"/>
        </w:rPr>
        <w:t xml:space="preserve">Rab, S. </w:t>
      </w:r>
      <w:r w:rsidR="00602DE6">
        <w:rPr>
          <w:rFonts w:cstheme="minorHAnsi"/>
          <w:color w:val="000000" w:themeColor="text1"/>
          <w:shd w:val="clear" w:color="auto" w:fill="FBFBFB"/>
        </w:rPr>
        <w:t>(</w:t>
      </w:r>
      <w:r w:rsidRPr="000E3012">
        <w:rPr>
          <w:rFonts w:cstheme="minorHAnsi"/>
          <w:color w:val="000000" w:themeColor="text1"/>
          <w:shd w:val="clear" w:color="auto" w:fill="FBFBFB"/>
        </w:rPr>
        <w:t>2022</w:t>
      </w:r>
      <w:r w:rsidR="00602DE6">
        <w:rPr>
          <w:rFonts w:cstheme="minorHAnsi"/>
          <w:color w:val="000000" w:themeColor="text1"/>
          <w:shd w:val="clear" w:color="auto" w:fill="FBFBFB"/>
        </w:rPr>
        <w:t xml:space="preserve">) </w:t>
      </w:r>
      <w:r w:rsidRPr="000E3012">
        <w:rPr>
          <w:rFonts w:cstheme="minorHAnsi"/>
          <w:i/>
          <w:iCs/>
          <w:color w:val="000000" w:themeColor="text1"/>
          <w:shd w:val="clear" w:color="auto" w:fill="FBFBFB"/>
        </w:rPr>
        <w:t>Practical Law: Legal Systems in the UK (England and Wales)</w:t>
      </w:r>
      <w:r w:rsidRPr="000E3012">
        <w:rPr>
          <w:rFonts w:cstheme="minorHAnsi"/>
          <w:color w:val="000000" w:themeColor="text1"/>
          <w:shd w:val="clear" w:color="auto" w:fill="FBFBFB"/>
        </w:rPr>
        <w:t>. Available at:</w:t>
      </w:r>
      <w:r>
        <w:rPr>
          <w:rFonts w:cstheme="minorHAnsi"/>
          <w:color w:val="000000" w:themeColor="text1"/>
          <w:shd w:val="clear" w:color="auto" w:fill="FBFBFB"/>
        </w:rPr>
        <w:t xml:space="preserve"> </w:t>
      </w:r>
      <w:hyperlink r:id="rId7" w:history="1">
        <w:r w:rsidRPr="009C74F3">
          <w:rPr>
            <w:rStyle w:val="Hyperlink"/>
            <w:rFonts w:cstheme="minorHAnsi"/>
            <w:shd w:val="clear" w:color="auto" w:fill="FBFBFB"/>
          </w:rPr>
          <w:t>https://uk.practicallaw.thomsonreuters.com/5-636-2498?transitionType=Default&amp;contextData=(sc.Default)&amp;firstPage=true#co_anchor_a127154</w:t>
        </w:r>
      </w:hyperlink>
      <w:r>
        <w:rPr>
          <w:rFonts w:cstheme="minorHAnsi"/>
          <w:color w:val="000000" w:themeColor="text1"/>
          <w:shd w:val="clear" w:color="auto" w:fill="FBFBFB"/>
        </w:rPr>
        <w:t xml:space="preserve"> </w:t>
      </w:r>
      <w:r w:rsidRPr="000E3012">
        <w:rPr>
          <w:color w:val="000000"/>
        </w:rPr>
        <w:t>(Accessed</w:t>
      </w:r>
      <w:r>
        <w:rPr>
          <w:color w:val="000000"/>
        </w:rPr>
        <w:t>:</w:t>
      </w:r>
      <w:r w:rsidRPr="000E3012">
        <w:rPr>
          <w:color w:val="000000"/>
        </w:rPr>
        <w:t xml:space="preserve"> 27 February 2023)</w:t>
      </w:r>
      <w:r w:rsidRPr="000E3012">
        <w:rPr>
          <w:color w:val="000000"/>
        </w:rPr>
        <w:t xml:space="preserve"> </w:t>
      </w:r>
    </w:p>
    <w:p w14:paraId="610BB0A1" w14:textId="1883EDA0" w:rsidR="007034DC" w:rsidRPr="0077469C" w:rsidRDefault="007034DC">
      <w:pPr>
        <w:rPr>
          <w:rFonts w:cstheme="minorHAnsi"/>
          <w:color w:val="000000" w:themeColor="text1"/>
          <w:shd w:val="clear" w:color="auto" w:fill="FBFBFB"/>
        </w:rPr>
      </w:pPr>
    </w:p>
    <w:p w14:paraId="4D946E7B" w14:textId="305EC257" w:rsidR="004C4AA0" w:rsidRPr="000E3012" w:rsidRDefault="000E3012">
      <w:pPr>
        <w:rPr>
          <w:rFonts w:cstheme="minorHAnsi"/>
          <w:color w:val="000000" w:themeColor="text1"/>
        </w:rPr>
      </w:pPr>
      <w:r>
        <w:rPr>
          <w:rFonts w:cstheme="minorHAnsi"/>
          <w:color w:val="000000" w:themeColor="text1"/>
        </w:rPr>
        <w:t xml:space="preserve">Supreme Court </w:t>
      </w:r>
      <w:r w:rsidR="00602DE6">
        <w:rPr>
          <w:rFonts w:cstheme="minorHAnsi"/>
          <w:color w:val="000000" w:themeColor="text1"/>
        </w:rPr>
        <w:t>(</w:t>
      </w:r>
      <w:r>
        <w:rPr>
          <w:rFonts w:cstheme="minorHAnsi"/>
          <w:color w:val="000000" w:themeColor="text1"/>
        </w:rPr>
        <w:t>2023</w:t>
      </w:r>
      <w:r w:rsidR="00602DE6">
        <w:rPr>
          <w:rFonts w:cstheme="minorHAnsi"/>
          <w:color w:val="000000" w:themeColor="text1"/>
        </w:rPr>
        <w:t>)</w:t>
      </w:r>
      <w:r>
        <w:rPr>
          <w:rFonts w:cstheme="minorHAnsi"/>
          <w:color w:val="000000" w:themeColor="text1"/>
        </w:rPr>
        <w:t xml:space="preserve"> </w:t>
      </w:r>
      <w:r>
        <w:rPr>
          <w:rFonts w:cstheme="minorHAnsi"/>
          <w:i/>
          <w:iCs/>
          <w:color w:val="000000" w:themeColor="text1"/>
        </w:rPr>
        <w:t>Biographies of the Justices</w:t>
      </w:r>
      <w:r>
        <w:rPr>
          <w:rFonts w:cstheme="minorHAnsi"/>
          <w:color w:val="000000" w:themeColor="text1"/>
        </w:rPr>
        <w:t xml:space="preserve">. Available at: </w:t>
      </w:r>
      <w:hyperlink r:id="rId8" w:history="1">
        <w:r w:rsidRPr="009C74F3">
          <w:rPr>
            <w:rStyle w:val="Hyperlink"/>
            <w:rFonts w:cstheme="minorHAnsi"/>
          </w:rPr>
          <w:t>https://www.supremecourt.uk/about/biographies-of-the-justices.html</w:t>
        </w:r>
      </w:hyperlink>
      <w:r>
        <w:rPr>
          <w:rFonts w:cstheme="minorHAnsi"/>
          <w:color w:val="000000" w:themeColor="text1"/>
        </w:rPr>
        <w:t xml:space="preserve"> (Accessed: 27 February 2023)</w:t>
      </w:r>
    </w:p>
    <w:p w14:paraId="26C4C699" w14:textId="04EDBC12" w:rsidR="00F94733" w:rsidRDefault="00F94733">
      <w:pPr>
        <w:rPr>
          <w:rFonts w:cstheme="minorHAnsi"/>
          <w:color w:val="000000" w:themeColor="text1"/>
        </w:rPr>
      </w:pPr>
    </w:p>
    <w:p w14:paraId="5C725553" w14:textId="77777777" w:rsidR="005F3675" w:rsidRDefault="005F3675" w:rsidP="005F3675">
      <w:pPr>
        <w:rPr>
          <w:rFonts w:cstheme="minorHAnsi"/>
          <w:color w:val="000000" w:themeColor="text1"/>
        </w:rPr>
      </w:pPr>
      <w:r>
        <w:rPr>
          <w:rFonts w:cstheme="minorHAnsi"/>
          <w:color w:val="000000" w:themeColor="text1"/>
        </w:rPr>
        <w:t xml:space="preserve">Teasdale, J. (2017) ‘Codification in a Civil Law Jurisdiction: A Northern European Perspective’ </w:t>
      </w:r>
      <w:r>
        <w:rPr>
          <w:rFonts w:cstheme="minorHAnsi"/>
          <w:i/>
          <w:iCs/>
          <w:color w:val="000000" w:themeColor="text1"/>
        </w:rPr>
        <w:t xml:space="preserve">European Journal of Law Reform. </w:t>
      </w:r>
      <w:r>
        <w:rPr>
          <w:rFonts w:cstheme="minorHAnsi"/>
          <w:color w:val="000000" w:themeColor="text1"/>
        </w:rPr>
        <w:t>19(4), pp. 253-254</w:t>
      </w:r>
    </w:p>
    <w:p w14:paraId="2F549F5C" w14:textId="77777777" w:rsidR="005F3675" w:rsidRDefault="005F3675">
      <w:pPr>
        <w:rPr>
          <w:rFonts w:cstheme="minorHAnsi"/>
          <w:color w:val="000000" w:themeColor="text1"/>
        </w:rPr>
      </w:pPr>
    </w:p>
    <w:p w14:paraId="4F311C5B" w14:textId="38C89E8C" w:rsidR="00C513DC" w:rsidRPr="005F3675" w:rsidRDefault="00541D01">
      <w:pPr>
        <w:rPr>
          <w:color w:val="000000"/>
        </w:rPr>
      </w:pPr>
      <w:r w:rsidRPr="00541D01">
        <w:rPr>
          <w:color w:val="000000"/>
        </w:rPr>
        <w:lastRenderedPageBreak/>
        <w:t xml:space="preserve">University of Berkley (2010) </w:t>
      </w:r>
      <w:r w:rsidRPr="00541D01">
        <w:rPr>
          <w:i/>
          <w:iCs/>
          <w:color w:val="000000"/>
        </w:rPr>
        <w:t xml:space="preserve">The Common Law and Civil Traditions. </w:t>
      </w:r>
      <w:r>
        <w:rPr>
          <w:color w:val="000000"/>
        </w:rPr>
        <w:t xml:space="preserve">California: The Robbins Collection. </w:t>
      </w:r>
      <w:r w:rsidRPr="00541D01">
        <w:rPr>
          <w:color w:val="000000"/>
        </w:rPr>
        <w:t xml:space="preserve">Available at: </w:t>
      </w:r>
      <w:hyperlink r:id="rId9" w:history="1">
        <w:r w:rsidRPr="009C74F3">
          <w:rPr>
            <w:rStyle w:val="Hyperlink"/>
          </w:rPr>
          <w:t>https://www.law.berkeley.edu/wp-content/uploads/2017/11/CommonLawCivilLawTraditions.pdf</w:t>
        </w:r>
      </w:hyperlink>
      <w:r w:rsidRPr="00541D01">
        <w:rPr>
          <w:color w:val="000000"/>
        </w:rPr>
        <w:t xml:space="preserve"> </w:t>
      </w:r>
      <w:r>
        <w:rPr>
          <w:color w:val="000000"/>
        </w:rPr>
        <w:t>(Accessed: 27 February 2023)</w:t>
      </w:r>
    </w:p>
    <w:p w14:paraId="0292D1E3" w14:textId="77777777" w:rsidR="005F3675" w:rsidRDefault="005F3675">
      <w:pPr>
        <w:rPr>
          <w:rFonts w:cstheme="minorHAnsi"/>
          <w:color w:val="000000" w:themeColor="text1"/>
        </w:rPr>
      </w:pPr>
    </w:p>
    <w:p w14:paraId="35CD4D17" w14:textId="10A0C42E" w:rsidR="00C513DC" w:rsidRPr="00C513DC" w:rsidRDefault="00C513DC">
      <w:pPr>
        <w:rPr>
          <w:rFonts w:cstheme="minorHAnsi"/>
          <w:color w:val="000000" w:themeColor="text1"/>
        </w:rPr>
      </w:pPr>
      <w:r>
        <w:rPr>
          <w:rFonts w:cstheme="minorHAnsi"/>
          <w:color w:val="000000" w:themeColor="text1"/>
        </w:rPr>
        <w:t xml:space="preserve">Yu, S.B (1999) ‘The Role of the Judge in the Common Law and Civil Law Systems: The Cases of the United States and European Countries.’ </w:t>
      </w:r>
      <w:r>
        <w:rPr>
          <w:rFonts w:cstheme="minorHAnsi"/>
          <w:i/>
          <w:iCs/>
          <w:color w:val="000000" w:themeColor="text1"/>
        </w:rPr>
        <w:t xml:space="preserve">International Area Review. </w:t>
      </w:r>
      <w:r>
        <w:rPr>
          <w:rFonts w:cstheme="minorHAnsi"/>
          <w:color w:val="000000" w:themeColor="text1"/>
        </w:rPr>
        <w:t xml:space="preserve">2(2), pp. 35-46. Available at: </w:t>
      </w:r>
      <w:hyperlink r:id="rId10" w:history="1">
        <w:r w:rsidRPr="009C74F3">
          <w:rPr>
            <w:rStyle w:val="Hyperlink"/>
            <w:rFonts w:cstheme="minorHAnsi"/>
          </w:rPr>
          <w:t>https://journals.sagepub.com/doi/abs/10.1177/223386599900200203?journalCode=iasa</w:t>
        </w:r>
      </w:hyperlink>
      <w:r>
        <w:rPr>
          <w:rFonts w:cstheme="minorHAnsi"/>
          <w:color w:val="000000" w:themeColor="text1"/>
        </w:rPr>
        <w:t xml:space="preserve"> (Accessed: 1 March 2023)</w:t>
      </w:r>
    </w:p>
    <w:p w14:paraId="054F8599" w14:textId="56C4F0A2" w:rsidR="005F3675" w:rsidRDefault="005F3675">
      <w:pPr>
        <w:rPr>
          <w:rFonts w:cstheme="minorHAnsi"/>
          <w:color w:val="000000" w:themeColor="text1"/>
        </w:rPr>
      </w:pPr>
    </w:p>
    <w:p w14:paraId="7386A3DF" w14:textId="0F498512" w:rsidR="00D84A1B" w:rsidRDefault="00D84A1B">
      <w:pPr>
        <w:rPr>
          <w:rFonts w:cstheme="minorHAnsi"/>
          <w:color w:val="000000" w:themeColor="text1"/>
        </w:rPr>
      </w:pPr>
    </w:p>
    <w:p w14:paraId="1282BC1D" w14:textId="77777777" w:rsidR="00D84A1B" w:rsidRPr="00D84A1B" w:rsidRDefault="00D84A1B">
      <w:pPr>
        <w:rPr>
          <w:rFonts w:cstheme="minorHAnsi"/>
          <w:color w:val="000000" w:themeColor="text1"/>
        </w:rPr>
      </w:pPr>
    </w:p>
    <w:sectPr w:rsidR="00D84A1B" w:rsidRPr="00D84A1B" w:rsidSect="00911F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E06AB"/>
    <w:multiLevelType w:val="hybridMultilevel"/>
    <w:tmpl w:val="FA50599C"/>
    <w:lvl w:ilvl="0" w:tplc="1562BF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B4068C"/>
    <w:multiLevelType w:val="hybridMultilevel"/>
    <w:tmpl w:val="2124E9E4"/>
    <w:lvl w:ilvl="0" w:tplc="836C45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5133457">
    <w:abstractNumId w:val="1"/>
  </w:num>
  <w:num w:numId="2" w16cid:durableId="1392849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854"/>
    <w:rsid w:val="0000396A"/>
    <w:rsid w:val="000E3012"/>
    <w:rsid w:val="000F6C86"/>
    <w:rsid w:val="001117CC"/>
    <w:rsid w:val="00112335"/>
    <w:rsid w:val="00185627"/>
    <w:rsid w:val="00220C11"/>
    <w:rsid w:val="002A3E9C"/>
    <w:rsid w:val="002E33D9"/>
    <w:rsid w:val="002F0E3D"/>
    <w:rsid w:val="003B64A2"/>
    <w:rsid w:val="00403484"/>
    <w:rsid w:val="004C4AA0"/>
    <w:rsid w:val="005108A3"/>
    <w:rsid w:val="00541D01"/>
    <w:rsid w:val="005F3675"/>
    <w:rsid w:val="006021F2"/>
    <w:rsid w:val="00602DE6"/>
    <w:rsid w:val="00647822"/>
    <w:rsid w:val="006613A7"/>
    <w:rsid w:val="006A2854"/>
    <w:rsid w:val="007034DC"/>
    <w:rsid w:val="00717D80"/>
    <w:rsid w:val="00756A6A"/>
    <w:rsid w:val="0077469C"/>
    <w:rsid w:val="007C4C21"/>
    <w:rsid w:val="00911F05"/>
    <w:rsid w:val="00980FA0"/>
    <w:rsid w:val="009843D3"/>
    <w:rsid w:val="009D670D"/>
    <w:rsid w:val="00AC3AFB"/>
    <w:rsid w:val="00B42FD2"/>
    <w:rsid w:val="00C20E95"/>
    <w:rsid w:val="00C513DC"/>
    <w:rsid w:val="00C81874"/>
    <w:rsid w:val="00CC139C"/>
    <w:rsid w:val="00CD747B"/>
    <w:rsid w:val="00D84A1B"/>
    <w:rsid w:val="00DA1B02"/>
    <w:rsid w:val="00DE5C07"/>
    <w:rsid w:val="00E04DE6"/>
    <w:rsid w:val="00E34472"/>
    <w:rsid w:val="00E86B0F"/>
    <w:rsid w:val="00F45DA2"/>
    <w:rsid w:val="00F94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3B2D0"/>
  <w15:chartTrackingRefBased/>
  <w15:docId w15:val="{C0DB568D-C8AE-D144-A68A-A78DD6EEB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0396A"/>
  </w:style>
  <w:style w:type="paragraph" w:styleId="NoSpacing">
    <w:name w:val="No Spacing"/>
    <w:link w:val="NoSpacingChar"/>
    <w:uiPriority w:val="1"/>
    <w:qFormat/>
    <w:rsid w:val="00911F05"/>
    <w:rPr>
      <w:rFonts w:eastAsiaTheme="minorEastAsia"/>
      <w:sz w:val="22"/>
      <w:szCs w:val="22"/>
      <w:lang w:val="en-US" w:eastAsia="zh-CN"/>
    </w:rPr>
  </w:style>
  <w:style w:type="character" w:customStyle="1" w:styleId="NoSpacingChar">
    <w:name w:val="No Spacing Char"/>
    <w:basedOn w:val="DefaultParagraphFont"/>
    <w:link w:val="NoSpacing"/>
    <w:uiPriority w:val="1"/>
    <w:rsid w:val="00911F05"/>
    <w:rPr>
      <w:rFonts w:eastAsiaTheme="minorEastAsia"/>
      <w:sz w:val="22"/>
      <w:szCs w:val="22"/>
      <w:lang w:val="en-US" w:eastAsia="zh-CN"/>
    </w:rPr>
  </w:style>
  <w:style w:type="character" w:styleId="Hyperlink">
    <w:name w:val="Hyperlink"/>
    <w:basedOn w:val="DefaultParagraphFont"/>
    <w:uiPriority w:val="99"/>
    <w:unhideWhenUsed/>
    <w:rsid w:val="000E3012"/>
    <w:rPr>
      <w:color w:val="0000FF"/>
      <w:u w:val="single"/>
    </w:rPr>
  </w:style>
  <w:style w:type="character" w:styleId="UnresolvedMention">
    <w:name w:val="Unresolved Mention"/>
    <w:basedOn w:val="DefaultParagraphFont"/>
    <w:uiPriority w:val="99"/>
    <w:semiHidden/>
    <w:unhideWhenUsed/>
    <w:rsid w:val="000E3012"/>
    <w:rPr>
      <w:color w:val="605E5C"/>
      <w:shd w:val="clear" w:color="auto" w:fill="E1DFDD"/>
    </w:rPr>
  </w:style>
  <w:style w:type="paragraph" w:styleId="ListParagraph">
    <w:name w:val="List Paragraph"/>
    <w:basedOn w:val="Normal"/>
    <w:uiPriority w:val="34"/>
    <w:qFormat/>
    <w:rsid w:val="00F94733"/>
    <w:pPr>
      <w:ind w:left="720"/>
      <w:contextualSpacing/>
    </w:pPr>
  </w:style>
  <w:style w:type="character" w:styleId="Emphasis">
    <w:name w:val="Emphasis"/>
    <w:basedOn w:val="DefaultParagraphFont"/>
    <w:uiPriority w:val="20"/>
    <w:qFormat/>
    <w:rsid w:val="005F3675"/>
    <w:rPr>
      <w:i/>
      <w:iCs/>
    </w:rPr>
  </w:style>
  <w:style w:type="paragraph" w:styleId="NormalWeb">
    <w:name w:val="Normal (Web)"/>
    <w:basedOn w:val="Normal"/>
    <w:uiPriority w:val="99"/>
    <w:semiHidden/>
    <w:unhideWhenUsed/>
    <w:rsid w:val="005F367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963852">
      <w:bodyDiv w:val="1"/>
      <w:marLeft w:val="0"/>
      <w:marRight w:val="0"/>
      <w:marTop w:val="0"/>
      <w:marBottom w:val="0"/>
      <w:divBdr>
        <w:top w:val="none" w:sz="0" w:space="0" w:color="auto"/>
        <w:left w:val="none" w:sz="0" w:space="0" w:color="auto"/>
        <w:bottom w:val="none" w:sz="0" w:space="0" w:color="auto"/>
        <w:right w:val="none" w:sz="0" w:space="0" w:color="auto"/>
      </w:divBdr>
    </w:div>
    <w:div w:id="1224219364">
      <w:bodyDiv w:val="1"/>
      <w:marLeft w:val="0"/>
      <w:marRight w:val="0"/>
      <w:marTop w:val="0"/>
      <w:marBottom w:val="0"/>
      <w:divBdr>
        <w:top w:val="none" w:sz="0" w:space="0" w:color="auto"/>
        <w:left w:val="none" w:sz="0" w:space="0" w:color="auto"/>
        <w:bottom w:val="none" w:sz="0" w:space="0" w:color="auto"/>
        <w:right w:val="none" w:sz="0" w:space="0" w:color="auto"/>
      </w:divBdr>
    </w:div>
    <w:div w:id="207323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remecourt.uk/about/biographies-of-the-justices.html" TargetMode="External"/><Relationship Id="rId3" Type="http://schemas.openxmlformats.org/officeDocument/2006/relationships/settings" Target="settings.xml"/><Relationship Id="rId7" Type="http://schemas.openxmlformats.org/officeDocument/2006/relationships/hyperlink" Target="https://uk.practicallaw.thomsonreuters.com/5-636-2498?transitionType=Default&amp;contextData=(sc.Default)&amp;firstPage=true#co_anchor_a12715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udiciary.uk/about-the-judiciary/our-justice-system/jurisdictions/civil-jurisdiction/" TargetMode="External"/><Relationship Id="rId11" Type="http://schemas.openxmlformats.org/officeDocument/2006/relationships/fontTable" Target="fontTable.xml"/><Relationship Id="rId5" Type="http://schemas.openxmlformats.org/officeDocument/2006/relationships/hyperlink" Target="https://academic.oup.com/book/5614/chapter-abstract/357934243?redirectedFrom=fulltext" TargetMode="External"/><Relationship Id="rId10" Type="http://schemas.openxmlformats.org/officeDocument/2006/relationships/hyperlink" Target="https://journals.sagepub.com/doi/abs/10.1177/223386599900200203?journalCode=iasa" TargetMode="External"/><Relationship Id="rId4" Type="http://schemas.openxmlformats.org/officeDocument/2006/relationships/webSettings" Target="webSettings.xml"/><Relationship Id="rId9" Type="http://schemas.openxmlformats.org/officeDocument/2006/relationships/hyperlink" Target="https://www.law.berkeley.edu/wp-content/uploads/2017/11/CommonLawCivilLawTraditions.pdf"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1714</Words>
  <Characters>9771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Legal process – bmpl 4011</Company>
  <LinksUpToDate>false</LinksUpToDate>
  <CharactersWithSpaces>11463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english legal system is based upon common law principles. explain what this means.</dc:title>
  <dc:subject/>
  <dc:creator>Arianna Bennett (2200719)</dc:creator>
  <cp:keywords/>
  <dc:description/>
  <cp:lastModifiedBy>Arianna Bennett (2200719)</cp:lastModifiedBy>
  <cp:revision>2</cp:revision>
  <dcterms:created xsi:type="dcterms:W3CDTF">2023-03-08T19:28:00Z</dcterms:created>
  <dcterms:modified xsi:type="dcterms:W3CDTF">2023-03-08T19:28:00Z</dcterms:modified>
</cp:coreProperties>
</file>