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shd w:val="clear" w:color="auto" w:fill="FFFFFF" w:themeFill="background1"/>
        <w:tblLook w:val="04A0" w:firstRow="1" w:lastRow="0" w:firstColumn="1" w:lastColumn="0" w:noHBand="0" w:noVBand="1"/>
      </w:tblPr>
      <w:tblGrid>
        <w:gridCol w:w="9576"/>
      </w:tblGrid>
      <w:tr w:rsidR="000962A5" w:rsidRPr="00694803" w:rsidTr="00F861E1">
        <w:trPr>
          <w:trHeight w:val="2880"/>
        </w:trPr>
        <w:tc>
          <w:tcPr>
            <w:tcW w:w="5000" w:type="pct"/>
            <w:shd w:val="clear" w:color="auto" w:fill="FFFFFF" w:themeFill="background1"/>
            <w:hideMark/>
          </w:tcPr>
          <w:p w:rsidR="000962A5" w:rsidRPr="00694803" w:rsidRDefault="000962A5" w:rsidP="00F861E1">
            <w:pPr>
              <w:spacing w:after="0" w:line="276" w:lineRule="auto"/>
              <w:rPr>
                <w:rFonts w:asciiTheme="majorHAnsi" w:eastAsiaTheme="majorEastAsia" w:hAnsiTheme="majorHAnsi" w:cstheme="majorBidi"/>
                <w:caps/>
                <w:sz w:val="22"/>
                <w:lang w:val="en-US" w:eastAsia="ja-JP"/>
              </w:rPr>
            </w:pPr>
            <w:r w:rsidRPr="00694803">
              <w:rPr>
                <w:rFonts w:eastAsiaTheme="minorEastAsia" w:cs="Times New Roman"/>
                <w:noProof/>
                <w:sz w:val="22"/>
                <w:lang w:val="en-US"/>
              </w:rPr>
              <w:drawing>
                <wp:inline distT="0" distB="0" distL="0" distR="0" wp14:anchorId="797BD25A" wp14:editId="1E41C9BF">
                  <wp:extent cx="1699260" cy="940435"/>
                  <wp:effectExtent l="0" t="0" r="0" b="0"/>
                  <wp:docPr id="1" name="Picture 1" descr="Description: Description: 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university-of-wales-trinity-saint-david-logo-vector | ESRC Wales Doctoral  Training Partnershi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9260" cy="940435"/>
                          </a:xfrm>
                          <a:prstGeom prst="rect">
                            <a:avLst/>
                          </a:prstGeom>
                          <a:noFill/>
                          <a:ln>
                            <a:noFill/>
                          </a:ln>
                        </pic:spPr>
                      </pic:pic>
                    </a:graphicData>
                  </a:graphic>
                </wp:inline>
              </w:drawing>
            </w:r>
          </w:p>
        </w:tc>
      </w:tr>
      <w:tr w:rsidR="000962A5" w:rsidRPr="00694803" w:rsidTr="00F861E1">
        <w:trPr>
          <w:trHeight w:val="1440"/>
        </w:trPr>
        <w:tc>
          <w:tcPr>
            <w:tcW w:w="5000" w:type="pct"/>
            <w:shd w:val="clear" w:color="auto" w:fill="FFFFFF" w:themeFill="background1"/>
            <w:vAlign w:val="center"/>
          </w:tcPr>
          <w:p w:rsidR="00FA3A4A" w:rsidRDefault="00FA3A4A" w:rsidP="00F861E1">
            <w:pPr>
              <w:spacing w:after="0" w:line="276" w:lineRule="auto"/>
              <w:jc w:val="center"/>
              <w:rPr>
                <w:rFonts w:asciiTheme="minorHAnsi" w:hAnsiTheme="minorHAnsi" w:cs="Cambria"/>
                <w:b/>
                <w:bCs/>
                <w:sz w:val="72"/>
                <w:szCs w:val="72"/>
              </w:rPr>
            </w:pPr>
            <w:r w:rsidRPr="00FA3A4A">
              <w:rPr>
                <w:rFonts w:asciiTheme="minorHAnsi" w:hAnsiTheme="minorHAnsi" w:cs="Cambria"/>
                <w:b/>
                <w:bCs/>
                <w:sz w:val="72"/>
                <w:szCs w:val="72"/>
              </w:rPr>
              <w:t>BMMB7006</w:t>
            </w:r>
          </w:p>
          <w:p w:rsidR="00FA3A4A" w:rsidRDefault="00FA3A4A" w:rsidP="00F861E1">
            <w:pPr>
              <w:spacing w:after="0" w:line="276" w:lineRule="auto"/>
              <w:jc w:val="center"/>
              <w:rPr>
                <w:rFonts w:asciiTheme="minorHAnsi" w:hAnsiTheme="minorHAnsi" w:cs="Cambria"/>
                <w:b/>
                <w:bCs/>
                <w:sz w:val="72"/>
                <w:szCs w:val="72"/>
              </w:rPr>
            </w:pPr>
          </w:p>
          <w:p w:rsidR="00FA3A4A" w:rsidRPr="00FA3A4A" w:rsidRDefault="00FA3A4A" w:rsidP="00F861E1">
            <w:pPr>
              <w:spacing w:after="0" w:line="276" w:lineRule="auto"/>
              <w:jc w:val="center"/>
              <w:rPr>
                <w:rFonts w:eastAsiaTheme="minorEastAsia" w:cs="Cambria"/>
                <w:b/>
                <w:bCs/>
                <w:sz w:val="36"/>
                <w:szCs w:val="36"/>
                <w:lang w:val="en-US" w:eastAsia="ja-JP"/>
              </w:rPr>
            </w:pPr>
            <w:r w:rsidRPr="00FA3A4A">
              <w:rPr>
                <w:rFonts w:eastAsiaTheme="minorEastAsia" w:cs="Cambria"/>
                <w:b/>
                <w:bCs/>
                <w:sz w:val="36"/>
                <w:szCs w:val="36"/>
                <w:lang w:val="en-US" w:eastAsia="ja-JP"/>
              </w:rPr>
              <w:t>Global Business Challenges</w:t>
            </w:r>
          </w:p>
        </w:tc>
      </w:tr>
      <w:tr w:rsidR="000962A5" w:rsidRPr="00694803" w:rsidTr="00F861E1">
        <w:trPr>
          <w:trHeight w:val="720"/>
        </w:trPr>
        <w:tc>
          <w:tcPr>
            <w:tcW w:w="5000" w:type="pct"/>
            <w:shd w:val="clear" w:color="auto" w:fill="FFFFFF" w:themeFill="background1"/>
            <w:vAlign w:val="center"/>
            <w:hideMark/>
          </w:tcPr>
          <w:p w:rsidR="000962A5" w:rsidRDefault="000962A5" w:rsidP="00F861E1">
            <w:pPr>
              <w:spacing w:after="0" w:line="276" w:lineRule="auto"/>
              <w:jc w:val="center"/>
              <w:rPr>
                <w:rFonts w:eastAsiaTheme="minorEastAsia" w:cs="Times New Roman"/>
                <w:b/>
                <w:bCs/>
                <w:sz w:val="52"/>
                <w:szCs w:val="52"/>
                <w:lang w:val="en-US" w:eastAsia="ja-JP"/>
              </w:rPr>
            </w:pPr>
          </w:p>
          <w:p w:rsidR="000962A5" w:rsidRPr="00694803" w:rsidRDefault="000962A5" w:rsidP="00F861E1">
            <w:pPr>
              <w:spacing w:after="0" w:line="276" w:lineRule="auto"/>
              <w:jc w:val="center"/>
              <w:rPr>
                <w:rFonts w:eastAsiaTheme="minorEastAsia" w:cs="Times New Roman"/>
                <w:b/>
                <w:bCs/>
                <w:sz w:val="52"/>
                <w:szCs w:val="52"/>
                <w:lang w:val="en-US" w:eastAsia="ja-JP"/>
              </w:rPr>
            </w:pPr>
            <w:r w:rsidRPr="00694803">
              <w:rPr>
                <w:rFonts w:eastAsiaTheme="minorEastAsia" w:cs="Times New Roman"/>
                <w:b/>
                <w:bCs/>
                <w:sz w:val="52"/>
                <w:szCs w:val="52"/>
                <w:lang w:val="en-US" w:eastAsia="ja-JP"/>
              </w:rPr>
              <w:t xml:space="preserve">Name: SK MD SHOIB HASAN </w:t>
            </w:r>
          </w:p>
          <w:p w:rsidR="000962A5" w:rsidRPr="00694803" w:rsidRDefault="000962A5" w:rsidP="00F861E1">
            <w:pPr>
              <w:spacing w:after="0" w:line="276" w:lineRule="auto"/>
              <w:jc w:val="center"/>
              <w:rPr>
                <w:rFonts w:asciiTheme="minorHAnsi" w:eastAsiaTheme="minorEastAsia" w:hAnsiTheme="minorHAnsi" w:cs="Times New Roman"/>
                <w:b/>
                <w:bCs/>
                <w:sz w:val="52"/>
                <w:szCs w:val="52"/>
                <w:lang w:val="en-US" w:eastAsia="ja-JP"/>
              </w:rPr>
            </w:pPr>
            <w:r w:rsidRPr="00694803">
              <w:rPr>
                <w:rFonts w:eastAsiaTheme="minorEastAsia" w:cs="Times New Roman"/>
                <w:b/>
                <w:bCs/>
                <w:sz w:val="52"/>
                <w:szCs w:val="52"/>
                <w:lang w:val="en-US" w:eastAsia="ja-JP"/>
              </w:rPr>
              <w:t>ID: 2505891</w:t>
            </w:r>
          </w:p>
        </w:tc>
      </w:tr>
      <w:tr w:rsidR="000962A5" w:rsidRPr="00694803" w:rsidTr="00F861E1">
        <w:trPr>
          <w:trHeight w:val="360"/>
        </w:trPr>
        <w:tc>
          <w:tcPr>
            <w:tcW w:w="5000" w:type="pct"/>
            <w:shd w:val="clear" w:color="auto" w:fill="FFFFFF" w:themeFill="background1"/>
            <w:vAlign w:val="center"/>
          </w:tcPr>
          <w:p w:rsidR="000962A5" w:rsidRPr="00694803" w:rsidRDefault="000962A5" w:rsidP="00F861E1">
            <w:pPr>
              <w:spacing w:after="0" w:line="276" w:lineRule="auto"/>
              <w:jc w:val="center"/>
              <w:rPr>
                <w:rFonts w:eastAsiaTheme="minorEastAsia" w:cs="Times New Roman"/>
                <w:sz w:val="22"/>
                <w:lang w:val="en-US" w:eastAsia="ja-JP"/>
              </w:rPr>
            </w:pPr>
          </w:p>
        </w:tc>
      </w:tr>
      <w:tr w:rsidR="000962A5" w:rsidRPr="00694803" w:rsidTr="00F861E1">
        <w:trPr>
          <w:trHeight w:val="360"/>
        </w:trPr>
        <w:tc>
          <w:tcPr>
            <w:tcW w:w="5000" w:type="pct"/>
            <w:shd w:val="clear" w:color="auto" w:fill="FFFFFF" w:themeFill="background1"/>
            <w:vAlign w:val="center"/>
          </w:tcPr>
          <w:p w:rsidR="000962A5" w:rsidRPr="00694803" w:rsidRDefault="000962A5" w:rsidP="00F861E1">
            <w:pPr>
              <w:spacing w:after="0" w:line="276" w:lineRule="auto"/>
              <w:jc w:val="center"/>
              <w:rPr>
                <w:rFonts w:eastAsiaTheme="minorEastAsia" w:cs="Times New Roman"/>
                <w:b/>
                <w:bCs/>
                <w:sz w:val="22"/>
                <w:lang w:val="en-US" w:eastAsia="ja-JP"/>
              </w:rPr>
            </w:pPr>
          </w:p>
        </w:tc>
      </w:tr>
      <w:tr w:rsidR="000962A5" w:rsidRPr="00694803" w:rsidTr="00F861E1">
        <w:trPr>
          <w:trHeight w:val="360"/>
        </w:trPr>
        <w:tc>
          <w:tcPr>
            <w:tcW w:w="5000" w:type="pct"/>
            <w:shd w:val="clear" w:color="auto" w:fill="FFFFFF" w:themeFill="background1"/>
            <w:vAlign w:val="center"/>
          </w:tcPr>
          <w:p w:rsidR="000962A5" w:rsidRPr="00694803" w:rsidRDefault="000962A5" w:rsidP="00F861E1">
            <w:pPr>
              <w:spacing w:after="0" w:line="276" w:lineRule="auto"/>
              <w:jc w:val="center"/>
              <w:rPr>
                <w:rFonts w:eastAsiaTheme="minorEastAsia" w:cs="Times New Roman"/>
                <w:b/>
                <w:bCs/>
                <w:sz w:val="22"/>
                <w:lang w:val="en-US" w:eastAsia="ja-JP"/>
              </w:rPr>
            </w:pPr>
          </w:p>
        </w:tc>
      </w:tr>
    </w:tbl>
    <w:p w:rsidR="000962A5" w:rsidRDefault="000962A5">
      <w:pPr>
        <w:spacing w:line="276" w:lineRule="auto"/>
        <w:jc w:val="left"/>
        <w:rPr>
          <w:rFonts w:eastAsiaTheme="majorEastAsia" w:cstheme="majorBidi"/>
          <w:b/>
          <w:bCs/>
          <w:color w:val="365F91" w:themeColor="accent1" w:themeShade="BF"/>
          <w:sz w:val="32"/>
          <w:szCs w:val="28"/>
        </w:rPr>
      </w:pPr>
      <w:r>
        <w:br w:type="page"/>
      </w:r>
    </w:p>
    <w:sdt>
      <w:sdtPr>
        <w:rPr>
          <w:rFonts w:ascii="Times New Roman" w:eastAsiaTheme="minorHAnsi" w:hAnsi="Times New Roman" w:cstheme="minorBidi"/>
          <w:b w:val="0"/>
          <w:bCs w:val="0"/>
          <w:color w:val="auto"/>
          <w:sz w:val="24"/>
          <w:szCs w:val="22"/>
          <w:lang w:val="en-GB" w:eastAsia="en-US"/>
        </w:rPr>
        <w:id w:val="-303157281"/>
        <w:docPartObj>
          <w:docPartGallery w:val="Table of Contents"/>
          <w:docPartUnique/>
        </w:docPartObj>
      </w:sdtPr>
      <w:sdtEndPr>
        <w:rPr>
          <w:noProof/>
        </w:rPr>
      </w:sdtEndPr>
      <w:sdtContent>
        <w:p w:rsidR="00FA3A4A" w:rsidRDefault="00FA3A4A">
          <w:pPr>
            <w:pStyle w:val="TOCHeading"/>
          </w:pPr>
          <w:r>
            <w:t>Contents</w:t>
          </w:r>
          <w:bookmarkStart w:id="0" w:name="_GoBack"/>
          <w:bookmarkEnd w:id="0"/>
        </w:p>
        <w:p w:rsidR="00122415" w:rsidRDefault="00FA3A4A">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8141471" w:history="1">
            <w:r w:rsidR="00122415" w:rsidRPr="00B166A9">
              <w:rPr>
                <w:rStyle w:val="Hyperlink"/>
                <w:noProof/>
              </w:rPr>
              <w:t>1. Executive Summery</w:t>
            </w:r>
            <w:r w:rsidR="00122415">
              <w:rPr>
                <w:noProof/>
                <w:webHidden/>
              </w:rPr>
              <w:tab/>
            </w:r>
            <w:r w:rsidR="00122415">
              <w:rPr>
                <w:noProof/>
                <w:webHidden/>
              </w:rPr>
              <w:fldChar w:fldCharType="begin"/>
            </w:r>
            <w:r w:rsidR="00122415">
              <w:rPr>
                <w:noProof/>
                <w:webHidden/>
              </w:rPr>
              <w:instrText xml:space="preserve"> PAGEREF _Toc228141471 \h </w:instrText>
            </w:r>
            <w:r w:rsidR="00122415">
              <w:rPr>
                <w:noProof/>
                <w:webHidden/>
              </w:rPr>
            </w:r>
            <w:r w:rsidR="00122415">
              <w:rPr>
                <w:noProof/>
                <w:webHidden/>
              </w:rPr>
              <w:fldChar w:fldCharType="separate"/>
            </w:r>
            <w:r w:rsidR="00122415">
              <w:rPr>
                <w:noProof/>
                <w:webHidden/>
              </w:rPr>
              <w:t>1</w:t>
            </w:r>
            <w:r w:rsidR="00122415">
              <w:rPr>
                <w:noProof/>
                <w:webHidden/>
              </w:rPr>
              <w:fldChar w:fldCharType="end"/>
            </w:r>
          </w:hyperlink>
        </w:p>
        <w:p w:rsidR="00122415" w:rsidRDefault="00122415">
          <w:pPr>
            <w:pStyle w:val="TOC1"/>
            <w:tabs>
              <w:tab w:val="right" w:leader="dot" w:pos="9350"/>
            </w:tabs>
            <w:rPr>
              <w:rFonts w:asciiTheme="minorHAnsi" w:eastAsiaTheme="minorEastAsia" w:hAnsiTheme="minorHAnsi"/>
              <w:noProof/>
              <w:sz w:val="22"/>
              <w:lang w:val="en-US"/>
            </w:rPr>
          </w:pPr>
          <w:hyperlink w:anchor="_Toc228141472" w:history="1">
            <w:r w:rsidRPr="00B166A9">
              <w:rPr>
                <w:rStyle w:val="Hyperlink"/>
                <w:noProof/>
              </w:rPr>
              <w:t>2. Introduction</w:t>
            </w:r>
            <w:r>
              <w:rPr>
                <w:noProof/>
                <w:webHidden/>
              </w:rPr>
              <w:tab/>
            </w:r>
            <w:r>
              <w:rPr>
                <w:noProof/>
                <w:webHidden/>
              </w:rPr>
              <w:fldChar w:fldCharType="begin"/>
            </w:r>
            <w:r>
              <w:rPr>
                <w:noProof/>
                <w:webHidden/>
              </w:rPr>
              <w:instrText xml:space="preserve"> PAGEREF _Toc228141472 \h </w:instrText>
            </w:r>
            <w:r>
              <w:rPr>
                <w:noProof/>
                <w:webHidden/>
              </w:rPr>
            </w:r>
            <w:r>
              <w:rPr>
                <w:noProof/>
                <w:webHidden/>
              </w:rPr>
              <w:fldChar w:fldCharType="separate"/>
            </w:r>
            <w:r>
              <w:rPr>
                <w:noProof/>
                <w:webHidden/>
              </w:rPr>
              <w:t>2</w:t>
            </w:r>
            <w:r>
              <w:rPr>
                <w:noProof/>
                <w:webHidden/>
              </w:rPr>
              <w:fldChar w:fldCharType="end"/>
            </w:r>
          </w:hyperlink>
        </w:p>
        <w:p w:rsidR="00122415" w:rsidRDefault="00122415">
          <w:pPr>
            <w:pStyle w:val="TOC1"/>
            <w:tabs>
              <w:tab w:val="right" w:leader="dot" w:pos="9350"/>
            </w:tabs>
            <w:rPr>
              <w:rFonts w:asciiTheme="minorHAnsi" w:eastAsiaTheme="minorEastAsia" w:hAnsiTheme="minorHAnsi"/>
              <w:noProof/>
              <w:sz w:val="22"/>
              <w:lang w:val="en-US"/>
            </w:rPr>
          </w:pPr>
          <w:hyperlink w:anchor="_Toc228141473" w:history="1">
            <w:r w:rsidRPr="00B166A9">
              <w:rPr>
                <w:rStyle w:val="Hyperlink"/>
                <w:noProof/>
              </w:rPr>
              <w:t>3. Main Body</w:t>
            </w:r>
            <w:r>
              <w:rPr>
                <w:noProof/>
                <w:webHidden/>
              </w:rPr>
              <w:tab/>
            </w:r>
            <w:r>
              <w:rPr>
                <w:noProof/>
                <w:webHidden/>
              </w:rPr>
              <w:fldChar w:fldCharType="begin"/>
            </w:r>
            <w:r>
              <w:rPr>
                <w:noProof/>
                <w:webHidden/>
              </w:rPr>
              <w:instrText xml:space="preserve"> PAGEREF _Toc228141473 \h </w:instrText>
            </w:r>
            <w:r>
              <w:rPr>
                <w:noProof/>
                <w:webHidden/>
              </w:rPr>
            </w:r>
            <w:r>
              <w:rPr>
                <w:noProof/>
                <w:webHidden/>
              </w:rPr>
              <w:fldChar w:fldCharType="separate"/>
            </w:r>
            <w:r>
              <w:rPr>
                <w:noProof/>
                <w:webHidden/>
              </w:rPr>
              <w:t>5</w:t>
            </w:r>
            <w:r>
              <w:rPr>
                <w:noProof/>
                <w:webHidden/>
              </w:rPr>
              <w:fldChar w:fldCharType="end"/>
            </w:r>
          </w:hyperlink>
        </w:p>
        <w:p w:rsidR="00122415" w:rsidRDefault="00122415">
          <w:pPr>
            <w:pStyle w:val="TOC2"/>
            <w:tabs>
              <w:tab w:val="right" w:leader="dot" w:pos="9350"/>
            </w:tabs>
            <w:rPr>
              <w:rFonts w:asciiTheme="minorHAnsi" w:eastAsiaTheme="minorEastAsia" w:hAnsiTheme="minorHAnsi"/>
              <w:noProof/>
              <w:sz w:val="22"/>
              <w:lang w:val="en-US"/>
            </w:rPr>
          </w:pPr>
          <w:hyperlink w:anchor="_Toc228141474" w:history="1">
            <w:r w:rsidRPr="00B166A9">
              <w:rPr>
                <w:rStyle w:val="Hyperlink"/>
                <w:noProof/>
              </w:rPr>
              <w:t>3.1 Regulatory Analysis</w:t>
            </w:r>
            <w:r>
              <w:rPr>
                <w:noProof/>
                <w:webHidden/>
              </w:rPr>
              <w:tab/>
            </w:r>
            <w:r>
              <w:rPr>
                <w:noProof/>
                <w:webHidden/>
              </w:rPr>
              <w:fldChar w:fldCharType="begin"/>
            </w:r>
            <w:r>
              <w:rPr>
                <w:noProof/>
                <w:webHidden/>
              </w:rPr>
              <w:instrText xml:space="preserve"> PAGEREF _Toc228141474 \h </w:instrText>
            </w:r>
            <w:r>
              <w:rPr>
                <w:noProof/>
                <w:webHidden/>
              </w:rPr>
            </w:r>
            <w:r>
              <w:rPr>
                <w:noProof/>
                <w:webHidden/>
              </w:rPr>
              <w:fldChar w:fldCharType="separate"/>
            </w:r>
            <w:r>
              <w:rPr>
                <w:noProof/>
                <w:webHidden/>
              </w:rPr>
              <w:t>5</w:t>
            </w:r>
            <w:r>
              <w:rPr>
                <w:noProof/>
                <w:webHidden/>
              </w:rPr>
              <w:fldChar w:fldCharType="end"/>
            </w:r>
          </w:hyperlink>
        </w:p>
        <w:p w:rsidR="00122415" w:rsidRDefault="00122415">
          <w:pPr>
            <w:pStyle w:val="TOC2"/>
            <w:tabs>
              <w:tab w:val="right" w:leader="dot" w:pos="9350"/>
            </w:tabs>
            <w:rPr>
              <w:rFonts w:asciiTheme="minorHAnsi" w:eastAsiaTheme="minorEastAsia" w:hAnsiTheme="minorHAnsi"/>
              <w:noProof/>
              <w:sz w:val="22"/>
              <w:lang w:val="en-US"/>
            </w:rPr>
          </w:pPr>
          <w:hyperlink w:anchor="_Toc228141475" w:history="1">
            <w:r w:rsidRPr="00B166A9">
              <w:rPr>
                <w:rStyle w:val="Hyperlink"/>
                <w:noProof/>
              </w:rPr>
              <w:t>3.2 Data Governance</w:t>
            </w:r>
            <w:r>
              <w:rPr>
                <w:noProof/>
                <w:webHidden/>
              </w:rPr>
              <w:tab/>
            </w:r>
            <w:r>
              <w:rPr>
                <w:noProof/>
                <w:webHidden/>
              </w:rPr>
              <w:fldChar w:fldCharType="begin"/>
            </w:r>
            <w:r>
              <w:rPr>
                <w:noProof/>
                <w:webHidden/>
              </w:rPr>
              <w:instrText xml:space="preserve"> PAGEREF _Toc228141475 \h </w:instrText>
            </w:r>
            <w:r>
              <w:rPr>
                <w:noProof/>
                <w:webHidden/>
              </w:rPr>
            </w:r>
            <w:r>
              <w:rPr>
                <w:noProof/>
                <w:webHidden/>
              </w:rPr>
              <w:fldChar w:fldCharType="separate"/>
            </w:r>
            <w:r>
              <w:rPr>
                <w:noProof/>
                <w:webHidden/>
              </w:rPr>
              <w:t>8</w:t>
            </w:r>
            <w:r>
              <w:rPr>
                <w:noProof/>
                <w:webHidden/>
              </w:rPr>
              <w:fldChar w:fldCharType="end"/>
            </w:r>
          </w:hyperlink>
        </w:p>
        <w:p w:rsidR="00122415" w:rsidRDefault="00122415">
          <w:pPr>
            <w:pStyle w:val="TOC2"/>
            <w:tabs>
              <w:tab w:val="right" w:leader="dot" w:pos="9350"/>
            </w:tabs>
            <w:rPr>
              <w:rFonts w:asciiTheme="minorHAnsi" w:eastAsiaTheme="minorEastAsia" w:hAnsiTheme="minorHAnsi"/>
              <w:noProof/>
              <w:sz w:val="22"/>
              <w:lang w:val="en-US"/>
            </w:rPr>
          </w:pPr>
          <w:hyperlink w:anchor="_Toc228141476" w:history="1">
            <w:r w:rsidRPr="00B166A9">
              <w:rPr>
                <w:rStyle w:val="Hyperlink"/>
                <w:noProof/>
              </w:rPr>
              <w:t>3.3 Ethical AI</w:t>
            </w:r>
            <w:r>
              <w:rPr>
                <w:noProof/>
                <w:webHidden/>
              </w:rPr>
              <w:tab/>
            </w:r>
            <w:r>
              <w:rPr>
                <w:noProof/>
                <w:webHidden/>
              </w:rPr>
              <w:fldChar w:fldCharType="begin"/>
            </w:r>
            <w:r>
              <w:rPr>
                <w:noProof/>
                <w:webHidden/>
              </w:rPr>
              <w:instrText xml:space="preserve"> PAGEREF _Toc228141476 \h </w:instrText>
            </w:r>
            <w:r>
              <w:rPr>
                <w:noProof/>
                <w:webHidden/>
              </w:rPr>
            </w:r>
            <w:r>
              <w:rPr>
                <w:noProof/>
                <w:webHidden/>
              </w:rPr>
              <w:fldChar w:fldCharType="separate"/>
            </w:r>
            <w:r>
              <w:rPr>
                <w:noProof/>
                <w:webHidden/>
              </w:rPr>
              <w:t>11</w:t>
            </w:r>
            <w:r>
              <w:rPr>
                <w:noProof/>
                <w:webHidden/>
              </w:rPr>
              <w:fldChar w:fldCharType="end"/>
            </w:r>
          </w:hyperlink>
        </w:p>
        <w:p w:rsidR="00122415" w:rsidRDefault="00122415">
          <w:pPr>
            <w:pStyle w:val="TOC2"/>
            <w:tabs>
              <w:tab w:val="right" w:leader="dot" w:pos="9350"/>
            </w:tabs>
            <w:rPr>
              <w:rFonts w:asciiTheme="minorHAnsi" w:eastAsiaTheme="minorEastAsia" w:hAnsiTheme="minorHAnsi"/>
              <w:noProof/>
              <w:sz w:val="22"/>
              <w:lang w:val="en-US"/>
            </w:rPr>
          </w:pPr>
          <w:hyperlink w:anchor="_Toc228141477" w:history="1">
            <w:r w:rsidRPr="00B166A9">
              <w:rPr>
                <w:rStyle w:val="Hyperlink"/>
                <w:noProof/>
              </w:rPr>
              <w:t>3.4 Customer Trust</w:t>
            </w:r>
            <w:r>
              <w:rPr>
                <w:noProof/>
                <w:webHidden/>
              </w:rPr>
              <w:tab/>
            </w:r>
            <w:r>
              <w:rPr>
                <w:noProof/>
                <w:webHidden/>
              </w:rPr>
              <w:fldChar w:fldCharType="begin"/>
            </w:r>
            <w:r>
              <w:rPr>
                <w:noProof/>
                <w:webHidden/>
              </w:rPr>
              <w:instrText xml:space="preserve"> PAGEREF _Toc228141477 \h </w:instrText>
            </w:r>
            <w:r>
              <w:rPr>
                <w:noProof/>
                <w:webHidden/>
              </w:rPr>
            </w:r>
            <w:r>
              <w:rPr>
                <w:noProof/>
                <w:webHidden/>
              </w:rPr>
              <w:fldChar w:fldCharType="separate"/>
            </w:r>
            <w:r>
              <w:rPr>
                <w:noProof/>
                <w:webHidden/>
              </w:rPr>
              <w:t>14</w:t>
            </w:r>
            <w:r>
              <w:rPr>
                <w:noProof/>
                <w:webHidden/>
              </w:rPr>
              <w:fldChar w:fldCharType="end"/>
            </w:r>
          </w:hyperlink>
        </w:p>
        <w:p w:rsidR="00122415" w:rsidRDefault="00122415">
          <w:pPr>
            <w:pStyle w:val="TOC1"/>
            <w:tabs>
              <w:tab w:val="right" w:leader="dot" w:pos="9350"/>
            </w:tabs>
            <w:rPr>
              <w:rFonts w:asciiTheme="minorHAnsi" w:eastAsiaTheme="minorEastAsia" w:hAnsiTheme="minorHAnsi"/>
              <w:noProof/>
              <w:sz w:val="22"/>
              <w:lang w:val="en-US"/>
            </w:rPr>
          </w:pPr>
          <w:hyperlink w:anchor="_Toc228141478" w:history="1">
            <w:r w:rsidRPr="00B166A9">
              <w:rPr>
                <w:rStyle w:val="Hyperlink"/>
                <w:noProof/>
              </w:rPr>
              <w:t>4. Conclusion</w:t>
            </w:r>
            <w:r>
              <w:rPr>
                <w:noProof/>
                <w:webHidden/>
              </w:rPr>
              <w:tab/>
            </w:r>
            <w:r>
              <w:rPr>
                <w:noProof/>
                <w:webHidden/>
              </w:rPr>
              <w:fldChar w:fldCharType="begin"/>
            </w:r>
            <w:r>
              <w:rPr>
                <w:noProof/>
                <w:webHidden/>
              </w:rPr>
              <w:instrText xml:space="preserve"> PAGEREF _Toc228141478 \h </w:instrText>
            </w:r>
            <w:r>
              <w:rPr>
                <w:noProof/>
                <w:webHidden/>
              </w:rPr>
            </w:r>
            <w:r>
              <w:rPr>
                <w:noProof/>
                <w:webHidden/>
              </w:rPr>
              <w:fldChar w:fldCharType="separate"/>
            </w:r>
            <w:r>
              <w:rPr>
                <w:noProof/>
                <w:webHidden/>
              </w:rPr>
              <w:t>16</w:t>
            </w:r>
            <w:r>
              <w:rPr>
                <w:noProof/>
                <w:webHidden/>
              </w:rPr>
              <w:fldChar w:fldCharType="end"/>
            </w:r>
          </w:hyperlink>
        </w:p>
        <w:p w:rsidR="00122415" w:rsidRDefault="00122415">
          <w:pPr>
            <w:pStyle w:val="TOC1"/>
            <w:tabs>
              <w:tab w:val="right" w:leader="dot" w:pos="9350"/>
            </w:tabs>
            <w:rPr>
              <w:rFonts w:asciiTheme="minorHAnsi" w:eastAsiaTheme="minorEastAsia" w:hAnsiTheme="minorHAnsi"/>
              <w:noProof/>
              <w:sz w:val="22"/>
              <w:lang w:val="en-US"/>
            </w:rPr>
          </w:pPr>
          <w:hyperlink w:anchor="_Toc228141479" w:history="1">
            <w:r w:rsidRPr="00B166A9">
              <w:rPr>
                <w:rStyle w:val="Hyperlink"/>
                <w:noProof/>
              </w:rPr>
              <w:t>5. References</w:t>
            </w:r>
            <w:r>
              <w:rPr>
                <w:noProof/>
                <w:webHidden/>
              </w:rPr>
              <w:tab/>
            </w:r>
            <w:r>
              <w:rPr>
                <w:noProof/>
                <w:webHidden/>
              </w:rPr>
              <w:fldChar w:fldCharType="begin"/>
            </w:r>
            <w:r>
              <w:rPr>
                <w:noProof/>
                <w:webHidden/>
              </w:rPr>
              <w:instrText xml:space="preserve"> PAGEREF _Toc228141479 \h </w:instrText>
            </w:r>
            <w:r>
              <w:rPr>
                <w:noProof/>
                <w:webHidden/>
              </w:rPr>
            </w:r>
            <w:r>
              <w:rPr>
                <w:noProof/>
                <w:webHidden/>
              </w:rPr>
              <w:fldChar w:fldCharType="separate"/>
            </w:r>
            <w:r>
              <w:rPr>
                <w:noProof/>
                <w:webHidden/>
              </w:rPr>
              <w:t>18</w:t>
            </w:r>
            <w:r>
              <w:rPr>
                <w:noProof/>
                <w:webHidden/>
              </w:rPr>
              <w:fldChar w:fldCharType="end"/>
            </w:r>
          </w:hyperlink>
        </w:p>
        <w:p w:rsidR="00FA3A4A" w:rsidRDefault="00FA3A4A">
          <w:r>
            <w:rPr>
              <w:b/>
              <w:bCs/>
              <w:noProof/>
            </w:rPr>
            <w:fldChar w:fldCharType="end"/>
          </w:r>
        </w:p>
      </w:sdtContent>
    </w:sdt>
    <w:p w:rsidR="00FA3A4A" w:rsidRDefault="00FA3A4A">
      <w:pPr>
        <w:spacing w:line="276" w:lineRule="auto"/>
        <w:jc w:val="left"/>
        <w:rPr>
          <w:rFonts w:eastAsiaTheme="majorEastAsia" w:cstheme="majorBidi"/>
          <w:b/>
          <w:bCs/>
          <w:color w:val="365F91" w:themeColor="accent1" w:themeShade="BF"/>
          <w:sz w:val="32"/>
          <w:szCs w:val="28"/>
        </w:rPr>
      </w:pPr>
      <w:r>
        <w:br w:type="page"/>
      </w:r>
    </w:p>
    <w:p w:rsidR="00FA3A4A" w:rsidRDefault="00FA3A4A" w:rsidP="006621DB">
      <w:pPr>
        <w:pStyle w:val="Heading1"/>
        <w:sectPr w:rsidR="00FA3A4A" w:rsidSect="00FA3A4A">
          <w:footerReference w:type="default" r:id="rId10"/>
          <w:pgSz w:w="12240" w:h="15840"/>
          <w:pgMar w:top="1440" w:right="1440" w:bottom="1440" w:left="1440" w:header="720" w:footer="720" w:gutter="0"/>
          <w:pgNumType w:fmt="lowerRoman"/>
          <w:cols w:space="720"/>
          <w:docGrid w:linePitch="360"/>
        </w:sectPr>
      </w:pPr>
    </w:p>
    <w:p w:rsidR="00122415" w:rsidRDefault="00122415" w:rsidP="00122415">
      <w:pPr>
        <w:pStyle w:val="Heading1"/>
      </w:pPr>
      <w:bookmarkStart w:id="1" w:name="_Toc228141471"/>
      <w:r>
        <w:lastRenderedPageBreak/>
        <w:t>1. Executive Summery</w:t>
      </w:r>
      <w:bookmarkEnd w:id="1"/>
    </w:p>
    <w:p w:rsidR="00122415" w:rsidRPr="00122415" w:rsidRDefault="00122415" w:rsidP="00122415">
      <w:r>
        <w:t>This report provides recommendations to a multinational company on the risks associated with the increase in artificial intelligence (AI). It is focused on data governance, ethical AI, regulation, and customer trust. The two regions are the</w:t>
      </w:r>
      <w:r>
        <w:t xml:space="preserve"> UK and the European Union (EU). </w:t>
      </w:r>
      <w:r>
        <w:t>The application of AI has become common in business processes like marketing, supply chain, and customer service. Nevertheless, this also poses risks of misusing data, algorithm bias, and compliance with regulations. The UK and the EU have stringent regulations like GDPR, which mandate that com</w:t>
      </w:r>
      <w:r>
        <w:t xml:space="preserve">panies will be careful of data. </w:t>
      </w:r>
      <w:r>
        <w:t>The results indicate that ineffective data governance may result in fines and lawsuits. The presence of AI-related ethical issues like bias can decrease fairness and damage customers. The lack of trust is also threatened in case companies are irresponsible in</w:t>
      </w:r>
      <w:r>
        <w:t xml:space="preserve"> the use of AI. </w:t>
      </w:r>
      <w:r>
        <w:t>The report suggests the use of more robust data management systems, ethical AI models, and effective communication with customers. These measures will assist the firm to minimize risk and develop a long term trust.</w:t>
      </w:r>
      <w:r>
        <w:br w:type="page"/>
      </w:r>
    </w:p>
    <w:p w:rsidR="00837C9D" w:rsidRPr="00885C77" w:rsidRDefault="00122415" w:rsidP="006621DB">
      <w:pPr>
        <w:pStyle w:val="Heading1"/>
      </w:pPr>
      <w:bookmarkStart w:id="2" w:name="_Toc228141472"/>
      <w:r>
        <w:lastRenderedPageBreak/>
        <w:t>2</w:t>
      </w:r>
      <w:r w:rsidR="006621DB" w:rsidRPr="00885C77">
        <w:t>. Introduction</w:t>
      </w:r>
      <w:bookmarkEnd w:id="2"/>
    </w:p>
    <w:p w:rsidR="00837C9D" w:rsidRPr="00885C77" w:rsidRDefault="00837C9D" w:rsidP="00837C9D">
      <w:r w:rsidRPr="00885C77">
        <w:t xml:space="preserve">Artificial intelligence (AI) is emerging as a significant aspect of business today. AI has helped many organisations to become more efficient, cost-effective, and make better decisions. AI is able to process data at a scale, automate various processes, and aid in strategic planning. Consequently, multinational firms are putting a lot of money </w:t>
      </w:r>
      <w:r w:rsidR="00386311">
        <w:t>into</w:t>
      </w:r>
      <w:r w:rsidRPr="00885C77">
        <w:t xml:space="preserve"> AI. Nevertheless, the swift development of AI also poses new threats that </w:t>
      </w:r>
      <w:r w:rsidR="006621DB" w:rsidRPr="00885C77">
        <w:t xml:space="preserve">are to be tackled with caution. </w:t>
      </w:r>
      <w:r w:rsidRPr="00885C77">
        <w:t xml:space="preserve">The company that is the subject of this report is Unilever, a multinational corporation that operates in numerous countries. Unilever is involved in </w:t>
      </w:r>
      <w:r w:rsidR="00386311">
        <w:t xml:space="preserve">the </w:t>
      </w:r>
      <w:r w:rsidRPr="00885C77">
        <w:t>food, personal care, and household products industries. The firm is highly established in the United Kingdom as well as the European Union</w:t>
      </w:r>
      <w:r w:rsidR="00FE3C90" w:rsidRPr="00885C77">
        <w:t xml:space="preserve"> (</w:t>
      </w:r>
      <w:proofErr w:type="spellStart"/>
      <w:r w:rsidR="00FE3C90" w:rsidRPr="00885C77">
        <w:rPr>
          <w:rFonts w:eastAsia="Times New Roman" w:cs="Times New Roman"/>
          <w:szCs w:val="24"/>
        </w:rPr>
        <w:t>Essien</w:t>
      </w:r>
      <w:proofErr w:type="spellEnd"/>
      <w:r w:rsidR="00FE3C90" w:rsidRPr="00885C77">
        <w:rPr>
          <w:rFonts w:eastAsia="Times New Roman" w:cs="Times New Roman"/>
          <w:szCs w:val="24"/>
        </w:rPr>
        <w:t xml:space="preserve"> et al., 2024)</w:t>
      </w:r>
      <w:r w:rsidRPr="00885C77">
        <w:t xml:space="preserve">. It applies AI in various fields, such as marketing, supply chain management, and customer insights. To illustrate, AI assists the company </w:t>
      </w:r>
      <w:r w:rsidR="00386311">
        <w:t>in knowing</w:t>
      </w:r>
      <w:r w:rsidRPr="00885C77">
        <w:t xml:space="preserve"> the market preferences, predict</w:t>
      </w:r>
      <w:r w:rsidR="00386311">
        <w:t>ing</w:t>
      </w:r>
      <w:r w:rsidRPr="00885C77">
        <w:t xml:space="preserve"> demand, and streamlin</w:t>
      </w:r>
      <w:r w:rsidR="00386311">
        <w:t xml:space="preserve">ing </w:t>
      </w:r>
      <w:r w:rsidRPr="00885C77">
        <w:t>delivery systems. Although these applications have numerous advantag</w:t>
      </w:r>
      <w:r w:rsidR="006621DB" w:rsidRPr="00885C77">
        <w:t>es, they pose additional risks.</w:t>
      </w:r>
    </w:p>
    <w:p w:rsidR="006621DB" w:rsidRPr="00885C77" w:rsidRDefault="00837C9D" w:rsidP="00837C9D">
      <w:r w:rsidRPr="00885C77">
        <w:t xml:space="preserve">The primary objective of the report is to examine the threat associated with the development of AI in a multinational setting. The report will discuss four major aspects, including regulation, data governance, ethical AI, and customer trust. The importance of these areas lies in the fact that they directly influence the functionality of the AI systems and their perception by stakeholders. The report will also make </w:t>
      </w:r>
      <w:r w:rsidR="00386311">
        <w:t xml:space="preserve">a </w:t>
      </w:r>
      <w:r w:rsidRPr="00885C77">
        <w:t>comparison of the regulatory environments of the UK and the EU. This analogy is significant as MNCs are required to abide by various regula</w:t>
      </w:r>
      <w:r w:rsidR="006621DB" w:rsidRPr="00885C77">
        <w:t xml:space="preserve">tions in various jurisdictions. </w:t>
      </w:r>
      <w:r w:rsidRPr="00885C77">
        <w:t xml:space="preserve">AI systems are very dependent on data. They need huge </w:t>
      </w:r>
      <w:r w:rsidR="00386311">
        <w:t xml:space="preserve">amounts of </w:t>
      </w:r>
      <w:r w:rsidRPr="00885C77">
        <w:t xml:space="preserve">data to be able to learn and decide. This poses issues with regard to data acquisition, storage and </w:t>
      </w:r>
      <w:r w:rsidR="00544022">
        <w:t>utilisation</w:t>
      </w:r>
      <w:r w:rsidRPr="00885C77">
        <w:t>. When data is not handled appropriately, it can result in severe issues like data breaches or abuse of personal data</w:t>
      </w:r>
      <w:r w:rsidR="007A6280">
        <w:t xml:space="preserve"> (</w:t>
      </w:r>
      <w:r w:rsidR="007A6280">
        <w:rPr>
          <w:rFonts w:eastAsia="Times New Roman" w:cs="Times New Roman"/>
          <w:szCs w:val="24"/>
        </w:rPr>
        <w:t xml:space="preserve">Morrison, </w:t>
      </w:r>
      <w:r w:rsidR="007A6280" w:rsidRPr="000C43E1">
        <w:rPr>
          <w:rFonts w:eastAsia="Times New Roman" w:cs="Times New Roman"/>
          <w:szCs w:val="24"/>
        </w:rPr>
        <w:t>2020)</w:t>
      </w:r>
      <w:r w:rsidRPr="00885C77">
        <w:t>. The governance of data is thus a very important matter. It is the responsibility of companies to make sure that data</w:t>
      </w:r>
      <w:r w:rsidR="00386311">
        <w:t xml:space="preserve"> is precise, safe, and is utilis</w:t>
      </w:r>
      <w:r w:rsidRPr="00885C77">
        <w:t xml:space="preserve">ed in a legal manner. </w:t>
      </w:r>
      <w:r w:rsidR="00386311">
        <w:t>Good data management can minimis</w:t>
      </w:r>
      <w:r w:rsidRPr="00885C77">
        <w:t>e risks and enhance the accuracy of a</w:t>
      </w:r>
      <w:r w:rsidR="006621DB" w:rsidRPr="00885C77">
        <w:t xml:space="preserve">rtificial intelligence systems. </w:t>
      </w:r>
      <w:r w:rsidRPr="00885C77">
        <w:t>Regulation is another important concern. Regulations are being implemented to regulat</w:t>
      </w:r>
      <w:r w:rsidR="006621DB" w:rsidRPr="00885C77">
        <w:t>e the use of AI by governments.</w:t>
      </w:r>
    </w:p>
    <w:p w:rsidR="00837C9D" w:rsidRPr="00885C77" w:rsidRDefault="00837C9D" w:rsidP="00837C9D">
      <w:r w:rsidRPr="00885C77">
        <w:t xml:space="preserve">The UK General Data Protection Regulation (UK GDPR) and the Data Protection Act 2018 are the primary sources of data protection in the UK. These laws are aimed at safeguarding personal information and introducing transparency. The General Data Protection Regulation (GDPR) has </w:t>
      </w:r>
      <w:r w:rsidRPr="00885C77">
        <w:lastRenderedPageBreak/>
        <w:t>already been adopted in the EU, and the Artificial Intelligence Act is being proposed. The EU strategy is more risk-based and detail</w:t>
      </w:r>
      <w:r w:rsidR="00386311">
        <w:t>ed. The AI systems are categoris</w:t>
      </w:r>
      <w:r w:rsidRPr="00885C77">
        <w:t xml:space="preserve">ed according to their risk level, with more rigorous rules being enforced with regard to the high-risk systems. </w:t>
      </w:r>
      <w:r w:rsidR="00386311">
        <w:t>This presents a complicated set-</w:t>
      </w:r>
      <w:r w:rsidRPr="00885C77">
        <w:t>up to multinationa</w:t>
      </w:r>
      <w:r w:rsidR="00386311">
        <w:t xml:space="preserve">l corporations such as Unilever, </w:t>
      </w:r>
      <w:r w:rsidRPr="00885C77">
        <w:t>which have to follow</w:t>
      </w:r>
      <w:r w:rsidR="006621DB" w:rsidRPr="00885C77">
        <w:t xml:space="preserve"> various regulat</w:t>
      </w:r>
      <w:r w:rsidR="00386311">
        <w:t>ory</w:t>
      </w:r>
      <w:r w:rsidR="006621DB" w:rsidRPr="00885C77">
        <w:t xml:space="preserve"> structures. </w:t>
      </w:r>
      <w:r w:rsidRPr="00885C77">
        <w:t xml:space="preserve">Another significant aspect of AI risk is ethical issues. There is also a risk of biased or unfair results with AI systems. This is usually the case when the data that is used to train the system is imbalanced. To illustrate, an AI system which is employed in the recruitment process may discriminate against some groups. This may cause discrimination and damage the reputation of the companies. Many AI systems lack transparency as well. Other systems are black boxes, which are hard to comprehend how decisions are arrived at. This leads to issues </w:t>
      </w:r>
      <w:r w:rsidR="006621DB" w:rsidRPr="00885C77">
        <w:t xml:space="preserve">of accountability and fairness. </w:t>
      </w:r>
      <w:r w:rsidRPr="00885C77">
        <w:t xml:space="preserve">The use of AI is closely related to customer trust. Customers have demanded that companies be responsible with their data. Unless a company keeps all the information safe or applies AI in an ethical manner, clients might lose their confidence. This may result in </w:t>
      </w:r>
      <w:r w:rsidR="00386311">
        <w:t xml:space="preserve">a </w:t>
      </w:r>
      <w:r w:rsidRPr="00885C77">
        <w:t xml:space="preserve">loss in sales and brand damage. Trust is thus one of the main aspects of long-term success. </w:t>
      </w:r>
      <w:r w:rsidR="006621DB" w:rsidRPr="00885C77">
        <w:t>Organisations</w:t>
      </w:r>
      <w:r w:rsidRPr="00885C77">
        <w:t xml:space="preserve"> need to be open regarding their application of AI and assure t</w:t>
      </w:r>
      <w:r w:rsidR="006621DB" w:rsidRPr="00885C77">
        <w:t xml:space="preserve">he customer that they are safe. </w:t>
      </w:r>
      <w:r w:rsidRPr="00885C77">
        <w:t>These issues are becoming more crucial as AI a</w:t>
      </w:r>
      <w:r w:rsidR="00386311">
        <w:t>dvances. Marketing and decision-</w:t>
      </w:r>
      <w:r w:rsidRPr="00885C77">
        <w:t>making, which are more sensitive areas, are now being used by companies through AI. This adds to the possible severity of any errors or failures. As one example, a data breach may impact millions of customers, and a biased AI system may result in inequality on a large scale. Thus, the issue of the risks of AI management is not onl</w:t>
      </w:r>
      <w:r w:rsidR="006621DB" w:rsidRPr="00885C77">
        <w:t xml:space="preserve">y technical but also strategic. </w:t>
      </w:r>
      <w:r w:rsidRPr="00885C77">
        <w:t>The approach of this report is consulta</w:t>
      </w:r>
      <w:r w:rsidR="00386311">
        <w:t>tive</w:t>
      </w:r>
      <w:r w:rsidRPr="00885C77">
        <w:t>. It is in the form of advice to senior management, not a strictly scholarly debate. It is aimed at practical information and recommendations to take action. The report associates the risks of AI with the business performance, competitive advantage, and reputation. This will make the analysis applicabl</w:t>
      </w:r>
      <w:r w:rsidR="00386311">
        <w:t>e to real-life decision-</w:t>
      </w:r>
      <w:r w:rsidR="006621DB" w:rsidRPr="00885C77">
        <w:t xml:space="preserve">making. </w:t>
      </w:r>
      <w:r w:rsidRPr="00885C77">
        <w:t>The UK and one international region are cove</w:t>
      </w:r>
      <w:r w:rsidR="00386311">
        <w:t xml:space="preserve">red by the report, in this case, </w:t>
      </w:r>
      <w:r w:rsidRPr="00885C77">
        <w:t>the European Union. They are selected as these are areas that have good regulatory systems and are significant to Unilever</w:t>
      </w:r>
      <w:r w:rsidR="00FE3C90" w:rsidRPr="00885C77">
        <w:t xml:space="preserve"> (</w:t>
      </w:r>
      <w:r w:rsidR="00FE3C90" w:rsidRPr="00885C77">
        <w:rPr>
          <w:rFonts w:eastAsia="Times New Roman" w:cs="Times New Roman"/>
          <w:szCs w:val="24"/>
        </w:rPr>
        <w:t>Hunt et al., 2022)</w:t>
      </w:r>
      <w:r w:rsidR="00386311">
        <w:t>. The comparison will emphasis</w:t>
      </w:r>
      <w:r w:rsidRPr="00885C77">
        <w:t>e the similarities and differences in regulation and their effects on AI use. It will also demonstrate how international firms need to change their approach to suit various settings.</w:t>
      </w:r>
    </w:p>
    <w:p w:rsidR="00837C9D" w:rsidRPr="00885C77" w:rsidRDefault="00837C9D" w:rsidP="00837C9D"/>
    <w:p w:rsidR="00837C9D" w:rsidRPr="00885C77" w:rsidRDefault="00837C9D" w:rsidP="00837C9D">
      <w:r w:rsidRPr="00885C77">
        <w:lastRenderedPageBreak/>
        <w:t xml:space="preserve">The approach of this report is premised on secondary research. The sources of information include academic journals, industry reports, and official regulatory sources. This encompasses data protection policies, AI principles and trust research. Reliability and support of the analysis are ensured by the </w:t>
      </w:r>
      <w:r w:rsidR="00544022">
        <w:t>utilisation</w:t>
      </w:r>
      <w:r w:rsidRPr="00885C77">
        <w:t xml:space="preserve"> of the numerous sources. Theoretical frameworks (including ethical AI principles and stakeholder theory) are also use</w:t>
      </w:r>
      <w:r w:rsidR="006621DB" w:rsidRPr="00885C77">
        <w:t xml:space="preserve">d in the report where suitable. </w:t>
      </w:r>
      <w:r w:rsidRPr="00885C77">
        <w:t xml:space="preserve">To conclude, AI is an effective instrument that can provide numerous advantages to multinational corporations. Nevertheless, it poses considerable threats too. These risks should be comprehended and properly handled. This report will discuss the most significant issues associated with regulation, data governance, ethical AI, and customer trust. It will give a clear picture of these issues and give recommendations that would assist the company </w:t>
      </w:r>
      <w:r w:rsidR="00386311">
        <w:t>in mitigating</w:t>
      </w:r>
      <w:r w:rsidRPr="00885C77">
        <w:t xml:space="preserve"> risk and enhanc</w:t>
      </w:r>
      <w:r w:rsidR="00386311">
        <w:t>ing</w:t>
      </w:r>
      <w:r w:rsidRPr="00885C77">
        <w:t xml:space="preserve"> performance. By surmounting these issues, Unilever will be able to act responsibly with AI and remain one of the most successful companies in the world.</w:t>
      </w:r>
    </w:p>
    <w:p w:rsidR="00FA3A4A" w:rsidRDefault="00FA3A4A">
      <w:pPr>
        <w:spacing w:line="276" w:lineRule="auto"/>
        <w:jc w:val="left"/>
        <w:rPr>
          <w:rFonts w:eastAsiaTheme="majorEastAsia" w:cstheme="majorBidi"/>
          <w:b/>
          <w:bCs/>
          <w:color w:val="365F91" w:themeColor="accent1" w:themeShade="BF"/>
          <w:sz w:val="32"/>
          <w:szCs w:val="28"/>
        </w:rPr>
      </w:pPr>
      <w:r>
        <w:br w:type="page"/>
      </w:r>
    </w:p>
    <w:p w:rsidR="00837C9D" w:rsidRPr="00885C77" w:rsidRDefault="00122415" w:rsidP="006621DB">
      <w:pPr>
        <w:pStyle w:val="Heading1"/>
      </w:pPr>
      <w:bookmarkStart w:id="3" w:name="_Toc228141473"/>
      <w:r>
        <w:lastRenderedPageBreak/>
        <w:t>3.</w:t>
      </w:r>
      <w:r w:rsidR="007C73D0">
        <w:t xml:space="preserve"> Main Body</w:t>
      </w:r>
      <w:bookmarkEnd w:id="3"/>
    </w:p>
    <w:p w:rsidR="00837C9D" w:rsidRPr="00885C77" w:rsidRDefault="00122415" w:rsidP="006621DB">
      <w:pPr>
        <w:pStyle w:val="Heading2"/>
      </w:pPr>
      <w:bookmarkStart w:id="4" w:name="_Toc228141474"/>
      <w:r>
        <w:t>3</w:t>
      </w:r>
      <w:r w:rsidR="00837C9D" w:rsidRPr="00885C77">
        <w:t>.1 Re</w:t>
      </w:r>
      <w:r w:rsidR="006621DB" w:rsidRPr="00885C77">
        <w:t>gulatory Analysis</w:t>
      </w:r>
      <w:bookmarkEnd w:id="4"/>
    </w:p>
    <w:p w:rsidR="00885C77" w:rsidRPr="00885C77" w:rsidRDefault="00837C9D" w:rsidP="00837C9D">
      <w:r w:rsidRPr="00885C77">
        <w:t>One of the most significant aspects of the application of artificial intelligence (AI) in multina</w:t>
      </w:r>
      <w:r w:rsidR="006621DB" w:rsidRPr="00885C77">
        <w:t>tional companies is regulation. Use of AI is increasing day-by-day. So, the government imposes different rules and regulations in gathering information, setting algorithms and safeguarding related factors. So many regulations can be problematic for companies like Unilever (</w:t>
      </w:r>
      <w:r w:rsidR="006621DB" w:rsidRPr="00885C77">
        <w:rPr>
          <w:rFonts w:eastAsia="Times New Roman" w:cs="Times New Roman"/>
          <w:szCs w:val="24"/>
        </w:rPr>
        <w:t>Lu et al., 2025)</w:t>
      </w:r>
      <w:r w:rsidR="006621DB" w:rsidRPr="00885C77">
        <w:t xml:space="preserve">. The regulatory environment of business in the UK and the EU has changed significantly </w:t>
      </w:r>
      <w:r w:rsidR="00386311">
        <w:t xml:space="preserve">in </w:t>
      </w:r>
      <w:r w:rsidR="006621DB" w:rsidRPr="00885C77">
        <w:t xml:space="preserve">recent days and has </w:t>
      </w:r>
      <w:r w:rsidR="00386311">
        <w:t xml:space="preserve">a </w:t>
      </w:r>
      <w:r w:rsidR="006621DB" w:rsidRPr="00885C77">
        <w:t xml:space="preserve">significant impact on </w:t>
      </w:r>
      <w:r w:rsidR="00386311">
        <w:t xml:space="preserve">the </w:t>
      </w:r>
      <w:r w:rsidR="006621DB" w:rsidRPr="00885C77">
        <w:t xml:space="preserve">business of Unilever. In the UK, there </w:t>
      </w:r>
      <w:r w:rsidR="00386311">
        <w:t>is</w:t>
      </w:r>
      <w:r w:rsidR="006621DB" w:rsidRPr="00885C77">
        <w:t xml:space="preserve"> no separate AI law or</w:t>
      </w:r>
      <w:r w:rsidR="00386311">
        <w:t xml:space="preserve"> AI A</w:t>
      </w:r>
      <w:r w:rsidR="006621DB" w:rsidRPr="00885C77">
        <w:t xml:space="preserve">ct. The data protection laws are amended based on topics related to AI to prevent interest of different parties. UK General Data Protection Regulation (UK GDRP) and the Data Protection Act 2018 are the </w:t>
      </w:r>
      <w:r w:rsidR="00386311">
        <w:t>most prominent and impactful AI-</w:t>
      </w:r>
      <w:r w:rsidR="006621DB" w:rsidRPr="00885C77">
        <w:t xml:space="preserve">related rules in the UK. </w:t>
      </w:r>
      <w:r w:rsidRPr="00885C77">
        <w:t xml:space="preserve">These policies are aimed at safeguarding personal information, maintaining transparency, and providing individuals </w:t>
      </w:r>
      <w:r w:rsidR="00386311">
        <w:t>with</w:t>
      </w:r>
      <w:r w:rsidRPr="00885C77">
        <w:t xml:space="preserve"> their information. The UK government has decided to be</w:t>
      </w:r>
      <w:r w:rsidR="00885C77" w:rsidRPr="00885C77">
        <w:t xml:space="preserve"> laxer in the regulation of AI.</w:t>
      </w:r>
    </w:p>
    <w:p w:rsidR="00837C9D" w:rsidRPr="00885C77" w:rsidRDefault="00837C9D" w:rsidP="00837C9D">
      <w:r w:rsidRPr="00885C77">
        <w:t>It does not involve providing a single law but gives the opportunity to various regulators, like the Information Commissioner</w:t>
      </w:r>
      <w:r w:rsidR="00386311">
        <w:t>’</w:t>
      </w:r>
      <w:r w:rsidRPr="00885C77">
        <w:t>s Office (ICO), to regulate the use of AI in their industries</w:t>
      </w:r>
      <w:r w:rsidR="00EE20E6" w:rsidRPr="00885C77">
        <w:t xml:space="preserve"> (</w:t>
      </w:r>
      <w:proofErr w:type="spellStart"/>
      <w:r w:rsidR="00EE20E6" w:rsidRPr="00885C77">
        <w:rPr>
          <w:rFonts w:eastAsia="Times New Roman" w:cs="Times New Roman"/>
          <w:szCs w:val="24"/>
        </w:rPr>
        <w:t>Okuno</w:t>
      </w:r>
      <w:proofErr w:type="spellEnd"/>
      <w:r w:rsidR="00EE20E6" w:rsidRPr="00885C77">
        <w:rPr>
          <w:rFonts w:eastAsia="Times New Roman" w:cs="Times New Roman"/>
          <w:szCs w:val="24"/>
        </w:rPr>
        <w:t xml:space="preserve">, and </w:t>
      </w:r>
      <w:proofErr w:type="spellStart"/>
      <w:r w:rsidR="00EE20E6" w:rsidRPr="00885C77">
        <w:rPr>
          <w:rFonts w:eastAsia="Times New Roman" w:cs="Times New Roman"/>
          <w:szCs w:val="24"/>
        </w:rPr>
        <w:t>Okuno</w:t>
      </w:r>
      <w:proofErr w:type="spellEnd"/>
      <w:r w:rsidR="00EE20E6" w:rsidRPr="00885C77">
        <w:rPr>
          <w:rFonts w:eastAsia="Times New Roman" w:cs="Times New Roman"/>
          <w:szCs w:val="24"/>
        </w:rPr>
        <w:t>, 2025)</w:t>
      </w:r>
      <w:r w:rsidRPr="00885C77">
        <w:t>.</w:t>
      </w:r>
      <w:r w:rsidR="00885C77" w:rsidRPr="00885C77">
        <w:t xml:space="preserve"> </w:t>
      </w:r>
      <w:r w:rsidRPr="00885C77">
        <w:t>This is an open method that tries to foster innovation. Businesses are urged to invent AI systems without a lot of restrictions. Nonetheless, this causes a degree of uncertainty as well. The businesses might not easily know how regulations are applicable in various industries. To illustrate, AI in healthcare can be governed i</w:t>
      </w:r>
      <w:r w:rsidR="00386311">
        <w:t>n a different way</w:t>
      </w:r>
      <w:r w:rsidRPr="00885C77">
        <w:t xml:space="preserve"> compared to AI in marketing. This absence of a consistent framework may augment compliance risks among multinational companies</w:t>
      </w:r>
      <w:r w:rsidR="00422B22" w:rsidRPr="00885C77">
        <w:t xml:space="preserve"> (</w:t>
      </w:r>
      <w:proofErr w:type="spellStart"/>
      <w:r w:rsidR="00422B22" w:rsidRPr="00885C77">
        <w:rPr>
          <w:rFonts w:eastAsia="Times New Roman" w:cs="Times New Roman"/>
          <w:szCs w:val="24"/>
        </w:rPr>
        <w:t>Astrom</w:t>
      </w:r>
      <w:proofErr w:type="spellEnd"/>
      <w:r w:rsidR="00422B22" w:rsidRPr="00885C77">
        <w:rPr>
          <w:rFonts w:eastAsia="Times New Roman" w:cs="Times New Roman"/>
          <w:szCs w:val="24"/>
        </w:rPr>
        <w:t xml:space="preserve"> et al., 2022)</w:t>
      </w:r>
      <w:r w:rsidR="00885C77" w:rsidRPr="00885C77">
        <w:t xml:space="preserve">. </w:t>
      </w:r>
      <w:r w:rsidR="00386311">
        <w:t xml:space="preserve">The EU, </w:t>
      </w:r>
      <w:r w:rsidRPr="00885C77">
        <w:t>on the other hand</w:t>
      </w:r>
      <w:r w:rsidR="00386311">
        <w:t>, has been more organis</w:t>
      </w:r>
      <w:r w:rsidRPr="00885C77">
        <w:t>ed and stern. The General Data Protection Regulation (GDPR) is one of the most powerful data prot</w:t>
      </w:r>
      <w:r w:rsidR="00386311">
        <w:t xml:space="preserve">ection regulations in the world, which is </w:t>
      </w:r>
      <w:r w:rsidRPr="00885C77">
        <w:t>already being implemented by the EU</w:t>
      </w:r>
      <w:r w:rsidR="00B94F35" w:rsidRPr="00885C77">
        <w:t xml:space="preserve"> (</w:t>
      </w:r>
      <w:r w:rsidR="00B94F35" w:rsidRPr="00885C77">
        <w:rPr>
          <w:rFonts w:eastAsia="Times New Roman" w:cs="Times New Roman"/>
          <w:szCs w:val="24"/>
        </w:rPr>
        <w:t>Kumar et al., 2021)</w:t>
      </w:r>
      <w:r w:rsidRPr="00885C77">
        <w:t>. GDPR extends to any company that handles</w:t>
      </w:r>
      <w:r w:rsidR="00386311">
        <w:t xml:space="preserve"> the information of EU citizens, </w:t>
      </w:r>
      <w:r w:rsidRPr="00885C77">
        <w:t>regardless of whether the company is located outside of the EU. Th</w:t>
      </w:r>
      <w:r w:rsidR="00386311">
        <w:t xml:space="preserve">is is to imply that any company, </w:t>
      </w:r>
      <w:r w:rsidRPr="00885C77">
        <w:t>such as Unilever</w:t>
      </w:r>
      <w:r w:rsidR="00386311">
        <w:t>,</w:t>
      </w:r>
      <w:r w:rsidRPr="00885C77">
        <w:t xml:space="preserve"> would have to abide by GDPR </w:t>
      </w:r>
      <w:r w:rsidR="00386311">
        <w:t xml:space="preserve">if </w:t>
      </w:r>
      <w:r w:rsidRPr="00885C77">
        <w:t>it has an op</w:t>
      </w:r>
      <w:r w:rsidR="00885C77" w:rsidRPr="00885C77">
        <w:t xml:space="preserve">eration in the European market. </w:t>
      </w:r>
      <w:r w:rsidRPr="00885C77">
        <w:t xml:space="preserve">Recent statistics indicate that GDPR enforcement is now a lot more robust in recent years. In 2024, EU regulators fined companies more than EUR4.5 billion due to GDPR violations alone. This represents a great improvement in terms of enforcement as compared to </w:t>
      </w:r>
      <w:r w:rsidRPr="00885C77">
        <w:lastRenderedPageBreak/>
        <w:t>previous years. In 2018-2024, the amount of fines topped over 2,000 cases, and the average amount is over EUR2 million</w:t>
      </w:r>
      <w:r w:rsidR="00B94F35" w:rsidRPr="00885C77">
        <w:t xml:space="preserve"> (</w:t>
      </w:r>
      <w:r w:rsidR="00B94F35" w:rsidRPr="00885C77">
        <w:rPr>
          <w:rFonts w:eastAsia="Times New Roman" w:cs="Times New Roman"/>
          <w:szCs w:val="24"/>
        </w:rPr>
        <w:t>Yang et al., 2024)</w:t>
      </w:r>
      <w:r w:rsidRPr="00885C77">
        <w:t xml:space="preserve">. These numbers clearly indicate that non-compliance may </w:t>
      </w:r>
      <w:r w:rsidR="00885C77" w:rsidRPr="00885C77">
        <w:t>be quite expensive to business</w:t>
      </w:r>
      <w:r w:rsidR="00386311">
        <w:t>es</w:t>
      </w:r>
      <w:r w:rsidR="00885C77" w:rsidRPr="00885C77">
        <w:t xml:space="preserve">. </w:t>
      </w:r>
      <w:r w:rsidRPr="00885C77">
        <w:t>Moreover, the implementation of GDPR has also been growing. The regulators imposed fines totalling more than EUR1.2 billion in 2025, with the notification of data breaches increased by 22 per</w:t>
      </w:r>
      <w:r w:rsidR="00386311">
        <w:t xml:space="preserve"> </w:t>
      </w:r>
      <w:r w:rsidRPr="00885C77">
        <w:t xml:space="preserve">cent, and an average of 443 breaches occurred each day. This means that threats to data security are increasing with the adoption of digital technologies and AI. It further demonstrates that regulators are on the watch of companies and acting when the need </w:t>
      </w:r>
      <w:r w:rsidR="00885C77" w:rsidRPr="00885C77">
        <w:t>arises.</w:t>
      </w:r>
    </w:p>
    <w:p w:rsidR="00837C9D" w:rsidRPr="00885C77" w:rsidRDefault="00837C9D" w:rsidP="00837C9D">
      <w:r w:rsidRPr="00885C77">
        <w:t>Another new law in AI that is a specific law within the EU is the Artificial Intelligence Act (AI Act). It is the inaugural ove</w:t>
      </w:r>
      <w:r w:rsidR="00386311">
        <w:t>rarching AI regulation. The AI A</w:t>
      </w:r>
      <w:r w:rsidRPr="00885C77">
        <w:t>ct came into force on 1 August 2024 in the form of an official document and will be enforced over the course of several years. Among the key points, prohibitions of some of the high-risk AI practices will start to be implemented in 2025, and complete obligations of the high-risk systems will be implemented in 2027</w:t>
      </w:r>
      <w:r w:rsidR="00957F53" w:rsidRPr="00885C77">
        <w:t xml:space="preserve"> (</w:t>
      </w:r>
      <w:proofErr w:type="spellStart"/>
      <w:r w:rsidR="00957F53" w:rsidRPr="00885C77">
        <w:rPr>
          <w:rFonts w:eastAsia="Times New Roman" w:cs="Times New Roman"/>
          <w:szCs w:val="24"/>
        </w:rPr>
        <w:t>Ke</w:t>
      </w:r>
      <w:proofErr w:type="spellEnd"/>
      <w:r w:rsidR="00957F53" w:rsidRPr="00885C77">
        <w:rPr>
          <w:rFonts w:eastAsia="Times New Roman" w:cs="Times New Roman"/>
          <w:szCs w:val="24"/>
        </w:rPr>
        <w:t>, and Ng, 2025)</w:t>
      </w:r>
      <w:r w:rsidR="00885C77" w:rsidRPr="00885C77">
        <w:t xml:space="preserve">.  </w:t>
      </w:r>
      <w:r w:rsidRPr="00885C77">
        <w:t>The AI Act is a risk-based approach. There are four types of AI systems: unacceptable risk, high risk, limited risk and minimal risk. Unacceptable-risk Systems, including social scoring or negative manipulation</w:t>
      </w:r>
      <w:r w:rsidR="00386311">
        <w:t>,</w:t>
      </w:r>
      <w:r w:rsidRPr="00885C77">
        <w:t xml:space="preserve"> are prohibited altogether. Sensitive systems like the ones in the healthcare system, recruitment or financial systems should be of high standards. These are risk assessment, human control, and transparency</w:t>
      </w:r>
      <w:r w:rsidR="00957F53" w:rsidRPr="00885C77">
        <w:t xml:space="preserve"> (</w:t>
      </w:r>
      <w:proofErr w:type="spellStart"/>
      <w:r w:rsidR="00957F53" w:rsidRPr="00885C77">
        <w:rPr>
          <w:rFonts w:eastAsia="Times New Roman" w:cs="Times New Roman"/>
          <w:szCs w:val="24"/>
        </w:rPr>
        <w:t>Jorzik</w:t>
      </w:r>
      <w:proofErr w:type="spellEnd"/>
      <w:r w:rsidR="00957F53" w:rsidRPr="00885C77">
        <w:rPr>
          <w:rFonts w:eastAsia="Times New Roman" w:cs="Times New Roman"/>
          <w:szCs w:val="24"/>
        </w:rPr>
        <w:t xml:space="preserve"> et al., 2024).</w:t>
      </w:r>
      <w:r w:rsidR="00885C77" w:rsidRPr="00885C77">
        <w:t xml:space="preserve"> </w:t>
      </w:r>
      <w:r w:rsidRPr="00885C77">
        <w:t>This is a more detailed approach compared to the UK system. It gives clear guidelines to companies, but it raises compliance expenses. Companies need to make investments in monitoring systems, documentation and reporting activities. In the case of multinational companies, this puts an extra burden as they are forced to adhere</w:t>
      </w:r>
      <w:r w:rsidR="00386311">
        <w:t xml:space="preserve"> to stricter EU regulations and, </w:t>
      </w:r>
      <w:r w:rsidRPr="00885C77">
        <w:t>at the same time</w:t>
      </w:r>
      <w:r w:rsidR="00386311">
        <w:t>,</w:t>
      </w:r>
      <w:r w:rsidRPr="00885C77">
        <w:t xml:space="preserve"> conform to the UK standards</w:t>
      </w:r>
      <w:r w:rsidR="0062435B" w:rsidRPr="00885C77">
        <w:t xml:space="preserve"> (</w:t>
      </w:r>
      <w:proofErr w:type="spellStart"/>
      <w:r w:rsidR="0062435B" w:rsidRPr="00885C77">
        <w:rPr>
          <w:rFonts w:eastAsia="Times New Roman" w:cs="Times New Roman"/>
          <w:szCs w:val="24"/>
        </w:rPr>
        <w:t>Tasiemski</w:t>
      </w:r>
      <w:proofErr w:type="spellEnd"/>
      <w:r w:rsidR="0062435B" w:rsidRPr="00885C77">
        <w:rPr>
          <w:rFonts w:eastAsia="Times New Roman" w:cs="Times New Roman"/>
          <w:szCs w:val="24"/>
        </w:rPr>
        <w:t>, and Orchard, 2023)</w:t>
      </w:r>
      <w:r w:rsidR="00885C77" w:rsidRPr="00885C77">
        <w:t xml:space="preserve">. </w:t>
      </w:r>
      <w:r w:rsidRPr="00885C77">
        <w:t>Penalties are another significant regulat</w:t>
      </w:r>
      <w:r w:rsidR="00386311">
        <w:t>ory</w:t>
      </w:r>
      <w:r w:rsidRPr="00885C77">
        <w:t xml:space="preserve"> feature. In GDPR, businesses will be fined not more than 4 per</w:t>
      </w:r>
      <w:r w:rsidR="00386311">
        <w:t xml:space="preserve"> </w:t>
      </w:r>
      <w:r w:rsidRPr="00885C77">
        <w:t>cent of their world</w:t>
      </w:r>
      <w:r w:rsidR="00386311">
        <w:t>wide</w:t>
      </w:r>
      <w:r w:rsidRPr="00885C77">
        <w:t xml:space="preserve"> annual turnover or EUR20million, whichever is greater. Equally, </w:t>
      </w:r>
      <w:r w:rsidR="00386311">
        <w:t xml:space="preserve">the </w:t>
      </w:r>
      <w:r w:rsidRPr="00885C77">
        <w:t xml:space="preserve">AI Act should consider imposing important fines </w:t>
      </w:r>
      <w:r w:rsidR="00386311">
        <w:t>for</w:t>
      </w:r>
      <w:r w:rsidRPr="00885C77">
        <w:t xml:space="preserve"> non-compliance. This puts a lot of pressure on the comp</w:t>
      </w:r>
      <w:r w:rsidR="00885C77" w:rsidRPr="00885C77">
        <w:t xml:space="preserve">anies to adhere to regulations. </w:t>
      </w:r>
      <w:r w:rsidRPr="00885C77">
        <w:t>We also have the real-life examples of how strict enforcement has been. Hundreds of millions of euros have been fined to big companies due to their breach of data transfer and user consent. These cases underscore the financial risks of low compliance. They also demonstrate that regulators are ready to act against big and small organisat</w:t>
      </w:r>
      <w:r w:rsidR="00885C77" w:rsidRPr="00885C77">
        <w:t>ions.</w:t>
      </w:r>
    </w:p>
    <w:p w:rsidR="00837C9D" w:rsidRPr="00885C77" w:rsidRDefault="00837C9D" w:rsidP="00837C9D">
      <w:r w:rsidRPr="00885C77">
        <w:lastRenderedPageBreak/>
        <w:t xml:space="preserve">In the case of companies such as Unilever, which operates both in the UK and the EU, there are two approaches to regulation that it has to deal with. </w:t>
      </w:r>
      <w:r w:rsidR="00386311">
        <w:t xml:space="preserve">The </w:t>
      </w:r>
      <w:r w:rsidRPr="00885C77">
        <w:t>UK is all about flex</w:t>
      </w:r>
      <w:r w:rsidR="00386311">
        <w:t xml:space="preserve">ibility and innovation, </w:t>
      </w:r>
      <w:r w:rsidRPr="00885C77">
        <w:t xml:space="preserve">whereas the EU is all about rules and risk management. This poses a problem </w:t>
      </w:r>
      <w:r w:rsidR="00386311">
        <w:t>for</w:t>
      </w:r>
      <w:r w:rsidRPr="00885C77">
        <w:t xml:space="preserve"> international operations. The company should develop AI systems that are of the highest standards so that they can be compliant across all regions</w:t>
      </w:r>
      <w:r w:rsidR="00885C77" w:rsidRPr="00885C77">
        <w:t xml:space="preserve"> (</w:t>
      </w:r>
      <w:proofErr w:type="spellStart"/>
      <w:r w:rsidR="00885C77" w:rsidRPr="00885C77">
        <w:rPr>
          <w:rFonts w:eastAsia="Times New Roman" w:cs="Times New Roman"/>
          <w:szCs w:val="24"/>
        </w:rPr>
        <w:t>Haefner</w:t>
      </w:r>
      <w:proofErr w:type="spellEnd"/>
      <w:r w:rsidR="00885C77" w:rsidRPr="00885C77">
        <w:rPr>
          <w:rFonts w:eastAsia="Times New Roman" w:cs="Times New Roman"/>
          <w:szCs w:val="24"/>
        </w:rPr>
        <w:t xml:space="preserve"> et al., 2023)</w:t>
      </w:r>
      <w:r w:rsidR="00885C77" w:rsidRPr="00885C77">
        <w:t xml:space="preserve">. </w:t>
      </w:r>
      <w:r w:rsidRPr="00885C77">
        <w:t>Cross-border data transfer is another challenge. The use of AI systems also usually involves sharing the data across nations. Companies need to make sure that they have adequate protection measures. Failure to</w:t>
      </w:r>
      <w:r w:rsidR="00885C77" w:rsidRPr="00885C77">
        <w:t xml:space="preserve"> do so may lead to hefty fines. </w:t>
      </w:r>
      <w:r w:rsidR="00386311">
        <w:t>The r</w:t>
      </w:r>
      <w:r w:rsidRPr="00885C77">
        <w:t xml:space="preserve">egulatory environment is also changing rapidly. New regulations and amendments are also made frequently to be in </w:t>
      </w:r>
      <w:r w:rsidR="00386311">
        <w:t>line</w:t>
      </w:r>
      <w:r w:rsidRPr="00885C77">
        <w:t xml:space="preserve"> with technological developments. As an illustration, there are more than 100 articles and guidelines </w:t>
      </w:r>
      <w:r w:rsidR="00386311">
        <w:t>on</w:t>
      </w:r>
      <w:r w:rsidRPr="00885C77">
        <w:t xml:space="preserve"> various forms of AI systems in the AI Act. This demonstrates the complexity of AI regulation. Businesses need to be on the leading edge and kee</w:t>
      </w:r>
      <w:r w:rsidR="00885C77" w:rsidRPr="00885C77">
        <w:t xml:space="preserve">p on changing their approaches. </w:t>
      </w:r>
      <w:r w:rsidRPr="00885C77">
        <w:t>Moreover, regulation is not only a legal problem, but a strategic one, as well. Good compliance will enhance the reputation of a company and earn the trust of the customers</w:t>
      </w:r>
      <w:r w:rsidR="00885C77" w:rsidRPr="00885C77">
        <w:t xml:space="preserve"> (</w:t>
      </w:r>
      <w:r w:rsidR="00885C77" w:rsidRPr="00885C77">
        <w:rPr>
          <w:rFonts w:eastAsia="Times New Roman" w:cs="Times New Roman"/>
          <w:szCs w:val="24"/>
        </w:rPr>
        <w:t>Arias-Perez et al., 2023)</w:t>
      </w:r>
      <w:r w:rsidRPr="00885C77">
        <w:t>. Conversely, lack of compliance may result in legal punishment, loss of money and reputation. Trust and compliance are crucial to success in</w:t>
      </w:r>
      <w:r w:rsidR="000C43E1">
        <w:t xml:space="preserve"> the current competitive world. </w:t>
      </w:r>
      <w:r w:rsidR="000C43E1" w:rsidRPr="000C43E1">
        <w:t xml:space="preserve">In conclusion, the regulatory analysis reveals that the regulation of AI is becoming stricter and more complex. </w:t>
      </w:r>
      <w:r w:rsidR="00386311">
        <w:t xml:space="preserve">The </w:t>
      </w:r>
      <w:r w:rsidR="000C43E1" w:rsidRPr="000C43E1">
        <w:t xml:space="preserve">UK has </w:t>
      </w:r>
      <w:r w:rsidR="00386311">
        <w:t xml:space="preserve">a </w:t>
      </w:r>
      <w:r w:rsidR="000C43E1" w:rsidRPr="000C43E1">
        <w:t xml:space="preserve">lax system where innovation can be promoted, whilst </w:t>
      </w:r>
      <w:r w:rsidR="00386311">
        <w:t xml:space="preserve">the </w:t>
      </w:r>
      <w:r w:rsidR="000C43E1" w:rsidRPr="000C43E1">
        <w:t>EU is more holistic and risk-based through GDPR and the AI Act. According to current statistics, fines and enforcement measures are increasing significantly and therefore compliance is a concern. When it comes to multinational companies like Unilever, these regulations are a big challenge to overcome.</w:t>
      </w:r>
    </w:p>
    <w:p w:rsidR="00FA3A4A" w:rsidRDefault="00FA3A4A">
      <w:pPr>
        <w:spacing w:line="276" w:lineRule="auto"/>
        <w:jc w:val="left"/>
        <w:rPr>
          <w:rFonts w:eastAsiaTheme="majorEastAsia" w:cstheme="majorBidi"/>
          <w:b/>
          <w:bCs/>
          <w:color w:val="4F81BD" w:themeColor="accent1"/>
          <w:sz w:val="28"/>
          <w:szCs w:val="26"/>
        </w:rPr>
      </w:pPr>
      <w:r>
        <w:br w:type="page"/>
      </w:r>
    </w:p>
    <w:p w:rsidR="00837C9D" w:rsidRPr="00885C77" w:rsidRDefault="00122415" w:rsidP="007A6280">
      <w:pPr>
        <w:pStyle w:val="Heading2"/>
      </w:pPr>
      <w:bookmarkStart w:id="5" w:name="_Toc228141475"/>
      <w:r>
        <w:lastRenderedPageBreak/>
        <w:t>3</w:t>
      </w:r>
      <w:r w:rsidR="00837C9D" w:rsidRPr="00885C77">
        <w:t>.</w:t>
      </w:r>
      <w:r w:rsidR="006621DB" w:rsidRPr="00885C77">
        <w:t>2 Data Governance</w:t>
      </w:r>
      <w:bookmarkEnd w:id="5"/>
    </w:p>
    <w:p w:rsidR="00837C9D" w:rsidRPr="00885C77" w:rsidRDefault="000C43E1" w:rsidP="00837C9D">
      <w:r w:rsidRPr="000C43E1">
        <w:t xml:space="preserve">Data governance is considered one of the most important aspects of artificial intelligence (AI) management in multinational companies. It is the manner in which organisations collect, store, process and protect data. </w:t>
      </w:r>
      <w:r w:rsidR="007A6280" w:rsidRPr="000C43E1">
        <w:t>Strong</w:t>
      </w:r>
      <w:r w:rsidRPr="000C43E1">
        <w:t xml:space="preserve"> data governance guarantees that data is accurate, secure and is used in a responsible way. On the other hand, ineffective data governance can le</w:t>
      </w:r>
      <w:r w:rsidR="00386311">
        <w:t xml:space="preserve">ad to the most serious outcomes, </w:t>
      </w:r>
      <w:r w:rsidRPr="000C43E1">
        <w:t>such as data breach</w:t>
      </w:r>
      <w:r w:rsidR="00386311">
        <w:t>es</w:t>
      </w:r>
      <w:r w:rsidRPr="000C43E1">
        <w:t>, fines, and mistrust of customers. Data governance is necessary in multinational companies like Unile</w:t>
      </w:r>
      <w:r w:rsidR="00386311">
        <w:t>ver, where data-</w:t>
      </w:r>
      <w:r w:rsidRPr="000C43E1">
        <w:t>driven systems play a key role in their operations and where the systems are vital to the firm.</w:t>
      </w:r>
      <w:r w:rsidR="008A6732">
        <w:t xml:space="preserve"> </w:t>
      </w:r>
      <w:r w:rsidR="00837C9D" w:rsidRPr="00885C77">
        <w:t>The AI systems require masses of data in order to work. These systems examine the customer behaviour, forecast demand and aid in the decision-making. The quality of AI outputs, however, depends on the quality of input data</w:t>
      </w:r>
      <w:r w:rsidR="007C73D0">
        <w:t xml:space="preserve"> (</w:t>
      </w:r>
      <w:proofErr w:type="spellStart"/>
      <w:r w:rsidR="007C73D0">
        <w:rPr>
          <w:rFonts w:eastAsia="Times New Roman" w:cs="Times New Roman"/>
          <w:szCs w:val="24"/>
        </w:rPr>
        <w:t>Sloman</w:t>
      </w:r>
      <w:proofErr w:type="spellEnd"/>
      <w:r w:rsidR="007C73D0">
        <w:rPr>
          <w:rFonts w:eastAsia="Times New Roman" w:cs="Times New Roman"/>
          <w:szCs w:val="24"/>
        </w:rPr>
        <w:t xml:space="preserve">, and Jones, </w:t>
      </w:r>
      <w:r w:rsidR="007C73D0" w:rsidRPr="007C73D0">
        <w:rPr>
          <w:rFonts w:eastAsia="Times New Roman" w:cs="Times New Roman"/>
          <w:szCs w:val="24"/>
        </w:rPr>
        <w:t>2020)</w:t>
      </w:r>
      <w:r w:rsidR="00837C9D" w:rsidRPr="00885C77">
        <w:t>. Unless the data is complete, not up to date, or biased, the results that the AI generates will also be unreliable. This renders data governance one of the main dete</w:t>
      </w:r>
      <w:r w:rsidR="007A6280">
        <w:t>rminants of AI systems</w:t>
      </w:r>
      <w:r w:rsidR="00386311">
        <w:t>’</w:t>
      </w:r>
      <w:r w:rsidR="007A6280">
        <w:t xml:space="preserve"> success.</w:t>
      </w:r>
    </w:p>
    <w:p w:rsidR="00837C9D" w:rsidRPr="00885C77" w:rsidRDefault="00837C9D" w:rsidP="00837C9D">
      <w:r w:rsidRPr="00885C77">
        <w:t xml:space="preserve">The latest statistics indicate that the risks of data governance are growing at a fast rate. </w:t>
      </w:r>
      <w:r w:rsidR="00386311">
        <w:t>From</w:t>
      </w:r>
      <w:r w:rsidRPr="00885C77">
        <w:t xml:space="preserve"> November 2023 to October 2024, over 12,000 organisations around the world were involved in data breaches with conf</w:t>
      </w:r>
      <w:r w:rsidR="0060518F" w:rsidRPr="00885C77">
        <w:t>irmed data loss</w:t>
      </w:r>
      <w:r w:rsidR="008A6732">
        <w:t xml:space="preserve"> (</w:t>
      </w:r>
      <w:proofErr w:type="spellStart"/>
      <w:r w:rsidR="008A6732">
        <w:rPr>
          <w:rFonts w:eastAsia="Times New Roman" w:cs="Times New Roman"/>
          <w:szCs w:val="24"/>
          <w:lang w:val="en-US"/>
        </w:rPr>
        <w:t>Avanzi</w:t>
      </w:r>
      <w:proofErr w:type="spellEnd"/>
      <w:r w:rsidR="008A6732">
        <w:rPr>
          <w:rFonts w:eastAsia="Times New Roman" w:cs="Times New Roman"/>
          <w:szCs w:val="24"/>
          <w:lang w:val="en-US"/>
        </w:rPr>
        <w:t xml:space="preserve"> et al., </w:t>
      </w:r>
      <w:r w:rsidR="008A6732" w:rsidRPr="00610F16">
        <w:rPr>
          <w:rFonts w:eastAsia="Times New Roman" w:cs="Times New Roman"/>
          <w:szCs w:val="24"/>
          <w:lang w:val="en-US"/>
        </w:rPr>
        <w:t>2025)</w:t>
      </w:r>
      <w:r w:rsidR="0060518F" w:rsidRPr="00885C77">
        <w:t>.</w:t>
      </w:r>
      <w:r w:rsidRPr="00885C77">
        <w:t xml:space="preserve"> This empha</w:t>
      </w:r>
      <w:r w:rsidR="0060518F" w:rsidRPr="00885C77">
        <w:t>sis</w:t>
      </w:r>
      <w:r w:rsidRPr="00885C77">
        <w:t>es the magnitude of the issue and indicates that data protection is a significant concern to companies. Moreover, there were about 10.8 billion records in 2023 that were exposed to data breach</w:t>
      </w:r>
      <w:r w:rsidR="0060518F" w:rsidRPr="00885C77">
        <w:t>es worldwide</w:t>
      </w:r>
      <w:r w:rsidRPr="00885C77">
        <w:t xml:space="preserve"> on </w:t>
      </w:r>
      <w:r w:rsidR="00386311">
        <w:t>their</w:t>
      </w:r>
      <w:r w:rsidRPr="00885C77">
        <w:t xml:space="preserve"> own. These statistics reveal the extent of sensitive information vulnerable when th</w:t>
      </w:r>
      <w:r w:rsidR="008A6732">
        <w:t xml:space="preserve">e system of governance is poor. </w:t>
      </w:r>
      <w:r w:rsidRPr="00885C77">
        <w:t>This situation was worsened even in 2024. It has been reported that more than 5.5 billion accounts were compromised in the year around the world, as opposed to approximately 730 m</w:t>
      </w:r>
      <w:r w:rsidR="00422B22" w:rsidRPr="00885C77">
        <w:t xml:space="preserve">illion in 2023. </w:t>
      </w:r>
      <w:r w:rsidRPr="00885C77">
        <w:t>This is almost eightfold growth. It implies that data breaches are not only common but also increasingly becoming bigger</w:t>
      </w:r>
      <w:r w:rsidR="008A6732">
        <w:t xml:space="preserve"> (</w:t>
      </w:r>
      <w:r w:rsidR="008A6732">
        <w:rPr>
          <w:rFonts w:eastAsia="Times New Roman" w:cs="Times New Roman"/>
          <w:szCs w:val="24"/>
          <w:lang w:val="en-US"/>
        </w:rPr>
        <w:t xml:space="preserve">Chen et al., </w:t>
      </w:r>
      <w:r w:rsidR="008A6732" w:rsidRPr="008A6732">
        <w:rPr>
          <w:rFonts w:eastAsia="Times New Roman" w:cs="Times New Roman"/>
          <w:szCs w:val="24"/>
          <w:lang w:val="en-US"/>
        </w:rPr>
        <w:t>2024)</w:t>
      </w:r>
      <w:r w:rsidRPr="00885C77">
        <w:t>. This poses a bi</w:t>
      </w:r>
      <w:r w:rsidR="00386311">
        <w:t xml:space="preserve">g threat to multinational firms, </w:t>
      </w:r>
      <w:r w:rsidRPr="00885C77">
        <w:t>particularly where the firm deals with customer infor</w:t>
      </w:r>
      <w:r w:rsidR="008A6732">
        <w:t xml:space="preserve">mation in more than one region. </w:t>
      </w:r>
      <w:r w:rsidRPr="00885C77">
        <w:t xml:space="preserve">Poor data management is one of the primary reasons behind data breaches. Most organisations do not </w:t>
      </w:r>
      <w:r w:rsidR="00386311">
        <w:t xml:space="preserve">have their systems well secured, </w:t>
      </w:r>
      <w:r w:rsidRPr="00885C77">
        <w:t>or they do not keep an eye on data access. According to statis</w:t>
      </w:r>
      <w:r w:rsidR="007A6280">
        <w:t xml:space="preserve">tics, in 2023, 78% </w:t>
      </w:r>
      <w:r w:rsidRPr="00885C77">
        <w:t>of data breaches were due to human error. This incorporates errors like poor passwords, improper sharing of data or negligence of security protocols</w:t>
      </w:r>
      <w:r w:rsidR="00610F16">
        <w:t xml:space="preserve"> (</w:t>
      </w:r>
      <w:proofErr w:type="spellStart"/>
      <w:r w:rsidR="00610F16">
        <w:rPr>
          <w:rFonts w:eastAsia="Times New Roman" w:cs="Times New Roman"/>
          <w:szCs w:val="24"/>
          <w:lang w:val="en-US"/>
        </w:rPr>
        <w:t>Molitor</w:t>
      </w:r>
      <w:proofErr w:type="spellEnd"/>
      <w:r w:rsidR="00610F16">
        <w:rPr>
          <w:rFonts w:eastAsia="Times New Roman" w:cs="Times New Roman"/>
          <w:szCs w:val="24"/>
          <w:lang w:val="en-US"/>
        </w:rPr>
        <w:t xml:space="preserve"> et al., </w:t>
      </w:r>
      <w:r w:rsidR="00610F16" w:rsidRPr="00610F16">
        <w:rPr>
          <w:rFonts w:eastAsia="Times New Roman" w:cs="Times New Roman"/>
          <w:szCs w:val="24"/>
          <w:lang w:val="en-US"/>
        </w:rPr>
        <w:t>2023)</w:t>
      </w:r>
      <w:r w:rsidRPr="00885C77">
        <w:t xml:space="preserve">. This implies that data governance is not a non-technical, </w:t>
      </w:r>
      <w:r w:rsidR="007A6280" w:rsidRPr="00885C77">
        <w:t>non-human</w:t>
      </w:r>
      <w:r w:rsidR="008A6732">
        <w:t xml:space="preserve"> and non-organisational issue. </w:t>
      </w:r>
      <w:r w:rsidRPr="00885C77">
        <w:t xml:space="preserve">The growing </w:t>
      </w:r>
      <w:r w:rsidR="00544022">
        <w:t>utilisation</w:t>
      </w:r>
      <w:r w:rsidRPr="00885C77">
        <w:t xml:space="preserve"> of cloud computing is another </w:t>
      </w:r>
      <w:r w:rsidRPr="00885C77">
        <w:lastRenderedPageBreak/>
        <w:t>critical concern. A large number of businesses keep data in cloud systems to enhance acc</w:t>
      </w:r>
      <w:r w:rsidR="00481A85">
        <w:t xml:space="preserve">essibility and efficiency. This, </w:t>
      </w:r>
      <w:r w:rsidRPr="00885C77">
        <w:t>however, is also risky. In 2023, the number of data breaches of cloud services increased by 30%. Another reason that causes brea</w:t>
      </w:r>
      <w:r w:rsidR="00481A85">
        <w:t xml:space="preserve">ches is cloud misconfigurations, </w:t>
      </w:r>
      <w:r w:rsidRPr="00885C77">
        <w:t>where the systems are not established appropriately. This demonstrates that businesses need to exercise caution when it comes to their cloud in</w:t>
      </w:r>
      <w:r w:rsidR="008A6732">
        <w:t>frastructure in data governance (</w:t>
      </w:r>
      <w:r w:rsidR="008A6732">
        <w:rPr>
          <w:rFonts w:eastAsia="Times New Roman" w:cs="Times New Roman"/>
          <w:szCs w:val="24"/>
          <w:lang w:val="en-US"/>
        </w:rPr>
        <w:t xml:space="preserve">Chen et al., </w:t>
      </w:r>
      <w:r w:rsidR="008A6732" w:rsidRPr="008A6732">
        <w:rPr>
          <w:rFonts w:eastAsia="Times New Roman" w:cs="Times New Roman"/>
          <w:szCs w:val="24"/>
          <w:lang w:val="en-US"/>
        </w:rPr>
        <w:t>2026)</w:t>
      </w:r>
      <w:r w:rsidR="008A6732">
        <w:rPr>
          <w:rFonts w:eastAsia="Times New Roman" w:cs="Times New Roman"/>
          <w:szCs w:val="24"/>
          <w:lang w:val="en-US"/>
        </w:rPr>
        <w:t>.</w:t>
      </w:r>
      <w:r w:rsidR="008A6732">
        <w:t xml:space="preserve"> </w:t>
      </w:r>
      <w:r w:rsidRPr="00885C77">
        <w:t>The costs of poor data governance are also huge. The average cost of a data breach in 2024 was around 4.88 million worldwide. In certain sectors like manufacturing, it was even more at $5.56 million per breach. Such expenses consist of legal expenses, compensation, system recovery and loss of business</w:t>
      </w:r>
      <w:r w:rsidR="008A6732">
        <w:t xml:space="preserve"> (</w:t>
      </w:r>
      <w:r w:rsidR="008A6732">
        <w:rPr>
          <w:rFonts w:eastAsia="Times New Roman" w:cs="Times New Roman"/>
          <w:szCs w:val="24"/>
          <w:lang w:val="en-US"/>
        </w:rPr>
        <w:t xml:space="preserve">Cornejo, </w:t>
      </w:r>
      <w:r w:rsidR="008A6732" w:rsidRPr="008A6732">
        <w:rPr>
          <w:rFonts w:eastAsia="Times New Roman" w:cs="Times New Roman"/>
          <w:szCs w:val="24"/>
          <w:lang w:val="en-US"/>
        </w:rPr>
        <w:t>2025)</w:t>
      </w:r>
      <w:r w:rsidRPr="00885C77">
        <w:t>. In the case of a big company like Unilever, loss of millions of pounds may be incurred in case of a significant data b</w:t>
      </w:r>
      <w:r w:rsidR="008A6732">
        <w:t>reach.</w:t>
      </w:r>
    </w:p>
    <w:p w:rsidR="00837C9D" w:rsidRPr="00885C77" w:rsidRDefault="00837C9D" w:rsidP="00837C9D">
      <w:r w:rsidRPr="00885C77">
        <w:t>These risks are explained with t</w:t>
      </w:r>
      <w:r w:rsidR="007A6280">
        <w:t>he help of a real-life example. Data breach</w:t>
      </w:r>
      <w:r w:rsidR="00481A85">
        <w:t>es</w:t>
      </w:r>
      <w:r w:rsidR="007A6280">
        <w:t xml:space="preserve"> of</w:t>
      </w:r>
      <w:r w:rsidR="00481A85">
        <w:t xml:space="preserve"> telecommunication companies have</w:t>
      </w:r>
      <w:r w:rsidR="007A6280">
        <w:t xml:space="preserve"> revealed </w:t>
      </w:r>
      <w:r w:rsidR="00481A85">
        <w:t xml:space="preserve">the </w:t>
      </w:r>
      <w:r w:rsidR="007A6280">
        <w:t xml:space="preserve">private data of </w:t>
      </w:r>
      <w:r w:rsidR="00481A85">
        <w:t>millions of customers in 2023. An i</w:t>
      </w:r>
      <w:r w:rsidR="007A6280">
        <w:t>ne</w:t>
      </w:r>
      <w:r w:rsidR="00481A85">
        <w:t xml:space="preserve">ffective data management system, </w:t>
      </w:r>
      <w:r w:rsidR="007A6280">
        <w:t xml:space="preserve">holding previous </w:t>
      </w:r>
      <w:proofErr w:type="gramStart"/>
      <w:r w:rsidR="007A6280">
        <w:t>data,</w:t>
      </w:r>
      <w:proofErr w:type="gramEnd"/>
      <w:r w:rsidR="007A6280">
        <w:t xml:space="preserve"> </w:t>
      </w:r>
      <w:r w:rsidR="00481A85">
        <w:t>and lax control of third-</w:t>
      </w:r>
      <w:r w:rsidR="007A6280">
        <w:t xml:space="preserve">party vendors are responsible for such </w:t>
      </w:r>
      <w:r w:rsidR="00481A85">
        <w:t xml:space="preserve">an </w:t>
      </w:r>
      <w:r w:rsidR="007A6280">
        <w:t xml:space="preserve">unwanted incident. </w:t>
      </w:r>
      <w:r w:rsidRPr="00885C77">
        <w:t>Due to this, the company was forced to pay millions in fines and enhance its data governance measures. This case illustrates how poor governance can result in financial and reputational losses</w:t>
      </w:r>
      <w:r w:rsidR="008A6732">
        <w:t xml:space="preserve">. </w:t>
      </w:r>
      <w:r w:rsidRPr="00885C77">
        <w:t>The cross-border data transfer is another significant issue of data governance. Multinationals usually transfer data across nations to facil</w:t>
      </w:r>
      <w:r w:rsidR="007A6280">
        <w:t xml:space="preserve">itate international activities. However, there are different ways for protecting customers and businesses from </w:t>
      </w:r>
      <w:r w:rsidR="00481A85">
        <w:t xml:space="preserve">the </w:t>
      </w:r>
      <w:r w:rsidR="007A6280">
        <w:t xml:space="preserve">bad sides of AI </w:t>
      </w:r>
      <w:r w:rsidR="00481A85">
        <w:t>in</w:t>
      </w:r>
      <w:r w:rsidR="007A6280">
        <w:t xml:space="preserve"> different countries</w:t>
      </w:r>
      <w:r w:rsidR="008A6732">
        <w:t xml:space="preserve"> (</w:t>
      </w:r>
      <w:r w:rsidR="008A6732">
        <w:rPr>
          <w:rFonts w:eastAsia="Times New Roman" w:cs="Times New Roman"/>
          <w:szCs w:val="24"/>
          <w:lang w:val="en-US"/>
        </w:rPr>
        <w:t xml:space="preserve">Kim, and Lee, </w:t>
      </w:r>
      <w:r w:rsidR="008A6732" w:rsidRPr="008A6732">
        <w:rPr>
          <w:rFonts w:eastAsia="Times New Roman" w:cs="Times New Roman"/>
          <w:szCs w:val="24"/>
          <w:lang w:val="en-US"/>
        </w:rPr>
        <w:t>2021)</w:t>
      </w:r>
      <w:r w:rsidR="007A6280">
        <w:t xml:space="preserve">. For example, </w:t>
      </w:r>
      <w:r w:rsidR="00481A85">
        <w:t xml:space="preserve">the </w:t>
      </w:r>
      <w:r w:rsidR="007A6280">
        <w:t xml:space="preserve">EU has stringent regulations under GDPR. It prohibits data </w:t>
      </w:r>
      <w:r w:rsidR="00481A85">
        <w:t>from being</w:t>
      </w:r>
      <w:r w:rsidR="007A6280">
        <w:t xml:space="preserve"> breached </w:t>
      </w:r>
      <w:r w:rsidR="00481A85">
        <w:t xml:space="preserve">in </w:t>
      </w:r>
      <w:r w:rsidR="007A6280">
        <w:t xml:space="preserve">its member countries. Companies need to ensure proper protection management to operate </w:t>
      </w:r>
      <w:r w:rsidR="00481A85">
        <w:t xml:space="preserve">a </w:t>
      </w:r>
      <w:r w:rsidR="007A6280">
        <w:t xml:space="preserve">business in EU member countries. </w:t>
      </w:r>
      <w:r w:rsidRPr="00885C77">
        <w:t xml:space="preserve">Non-compliance is subject </w:t>
      </w:r>
      <w:r w:rsidR="007A6280">
        <w:t>to hefty fines and prosecution.</w:t>
      </w:r>
      <w:r w:rsidR="008A6732">
        <w:t xml:space="preserve"> </w:t>
      </w:r>
      <w:r w:rsidRPr="00885C77">
        <w:t>Data governance also involves the management of data during its lifecycle. This involves the regulation of the process of data collection, storage, usage and ultimately deletion. Most of the companies do not clear data when they are not required</w:t>
      </w:r>
      <w:r w:rsidR="00481A85">
        <w:t xml:space="preserve"> to</w:t>
      </w:r>
      <w:r w:rsidRPr="00885C77">
        <w:t>. This adds the risk of breaches, whereby old data can still be accessed by the attackers. Governance is thus an important aspect of proper data lifecycle management.</w:t>
      </w:r>
      <w:r w:rsidR="008A6732">
        <w:t xml:space="preserve"> </w:t>
      </w:r>
      <w:r w:rsidRPr="00885C77">
        <w:t xml:space="preserve">Data ownership and accountability </w:t>
      </w:r>
      <w:r w:rsidR="00481A85">
        <w:t>are</w:t>
      </w:r>
      <w:r w:rsidRPr="00885C77">
        <w:t xml:space="preserve"> also crucial factor</w:t>
      </w:r>
      <w:r w:rsidR="00481A85">
        <w:t>s</w:t>
      </w:r>
      <w:r w:rsidRPr="00885C77">
        <w:t>. Businesses should specify the role of data management. Lack of roles makes it hard to follow data usage and implement policie</w:t>
      </w:r>
      <w:r w:rsidR="00481A85">
        <w:t>s. Good governance demands well-</w:t>
      </w:r>
      <w:r w:rsidRPr="00885C77">
        <w:t>defined responsibilities, frequent audits and constant monitoring</w:t>
      </w:r>
      <w:r w:rsidR="008A6732">
        <w:t xml:space="preserve"> (</w:t>
      </w:r>
      <w:r w:rsidR="008A6732">
        <w:rPr>
          <w:rFonts w:eastAsia="Times New Roman" w:cs="Times New Roman"/>
          <w:szCs w:val="24"/>
          <w:lang w:val="en-US"/>
        </w:rPr>
        <w:t xml:space="preserve">Kikuchi et al., </w:t>
      </w:r>
      <w:r w:rsidR="008A6732" w:rsidRPr="008A6732">
        <w:rPr>
          <w:rFonts w:eastAsia="Times New Roman" w:cs="Times New Roman"/>
          <w:szCs w:val="24"/>
          <w:lang w:val="en-US"/>
        </w:rPr>
        <w:t>2026)</w:t>
      </w:r>
      <w:r w:rsidR="008A6732">
        <w:t xml:space="preserve">. </w:t>
      </w:r>
      <w:r w:rsidRPr="00885C77">
        <w:t xml:space="preserve">Data governance has become </w:t>
      </w:r>
      <w:r w:rsidRPr="00885C77">
        <w:lastRenderedPageBreak/>
        <w:t xml:space="preserve">even more crucial due to the emergence of </w:t>
      </w:r>
      <w:r w:rsidR="008A6732">
        <w:t>AI. AI systems frequently utilis</w:t>
      </w:r>
      <w:r w:rsidRPr="00885C77">
        <w:t>e personal data to make insights. This brings up issues of privacy and consent. Firms should make sure</w:t>
      </w:r>
      <w:r w:rsidR="00481A85">
        <w:t xml:space="preserve"> that they are allowed to utilis</w:t>
      </w:r>
      <w:r w:rsidRPr="00885C77">
        <w:t xml:space="preserve">e customer information. They should also specify the use of the data. Trust is important </w:t>
      </w:r>
      <w:r w:rsidR="008A6732">
        <w:t xml:space="preserve">because of transparency. </w:t>
      </w:r>
      <w:r w:rsidRPr="00885C77">
        <w:t>Moreover, there is an increase in third-party risks. Numerous corporations use the services of external data processors and data storage. Nevertheless, the number of breaches related to third-par</w:t>
      </w:r>
      <w:r w:rsidR="00885C77" w:rsidRPr="00885C77">
        <w:t>ty vendors grew by 28% in 2023</w:t>
      </w:r>
      <w:r w:rsidR="00885C77" w:rsidRPr="00885C77">
        <w:rPr>
          <w:rFonts w:eastAsia="Times New Roman" w:cs="Times New Roman"/>
          <w:szCs w:val="24"/>
        </w:rPr>
        <w:t>.</w:t>
      </w:r>
      <w:r w:rsidR="00885C77" w:rsidRPr="00885C77">
        <w:t xml:space="preserve"> </w:t>
      </w:r>
      <w:r w:rsidRPr="00885C77">
        <w:t xml:space="preserve">This demonstrates that </w:t>
      </w:r>
      <w:r w:rsidR="006621DB" w:rsidRPr="00885C77">
        <w:t>organisations</w:t>
      </w:r>
      <w:r w:rsidRPr="00885C77">
        <w:t xml:space="preserve"> should exercise great caution in managing their partners and make sure that they adhere to the same set of rules on data governance</w:t>
      </w:r>
      <w:r w:rsidR="008A6732">
        <w:t xml:space="preserve"> (</w:t>
      </w:r>
      <w:r w:rsidR="008A6732">
        <w:rPr>
          <w:rFonts w:eastAsia="Times New Roman" w:cs="Times New Roman"/>
          <w:szCs w:val="24"/>
          <w:lang w:val="en-US"/>
        </w:rPr>
        <w:t xml:space="preserve">Botha, and Steyn, </w:t>
      </w:r>
      <w:r w:rsidR="008A6732" w:rsidRPr="008A6732">
        <w:rPr>
          <w:rFonts w:eastAsia="Times New Roman" w:cs="Times New Roman"/>
          <w:szCs w:val="24"/>
          <w:lang w:val="en-US"/>
        </w:rPr>
        <w:t>2023)</w:t>
      </w:r>
      <w:r w:rsidR="008A6732">
        <w:rPr>
          <w:rFonts w:eastAsia="Times New Roman" w:cs="Times New Roman"/>
          <w:szCs w:val="24"/>
          <w:lang w:val="en-US"/>
        </w:rPr>
        <w:t>.</w:t>
      </w:r>
      <w:r w:rsidR="008A6732">
        <w:t xml:space="preserve"> </w:t>
      </w:r>
      <w:r w:rsidRPr="00885C77">
        <w:t xml:space="preserve">Another issue is the time it takes to identify breaches. In 2023, an average of 277 days was spent detecting a data breach. This latency gives intruders a lengthy period of time to do harm with the data. There is a need to have faster detection systems to </w:t>
      </w:r>
      <w:r w:rsidR="00481A85">
        <w:t>minimis</w:t>
      </w:r>
      <w:r w:rsidR="008A6732">
        <w:t xml:space="preserve">e the effects of </w:t>
      </w:r>
      <w:r w:rsidR="00481A85">
        <w:t xml:space="preserve">a </w:t>
      </w:r>
      <w:r w:rsidR="008A6732">
        <w:t xml:space="preserve">breach. </w:t>
      </w:r>
      <w:r w:rsidRPr="00885C77">
        <w:t xml:space="preserve">These are very pertinent questions </w:t>
      </w:r>
      <w:r w:rsidR="00481A85">
        <w:t>for</w:t>
      </w:r>
      <w:r w:rsidRPr="00885C77">
        <w:t xml:space="preserve"> Unilever. The company gathers copious customer information across markets. It analyses this data with AI as well. This nec</w:t>
      </w:r>
      <w:r w:rsidR="00481A85">
        <w:t>essitates the need to have well-</w:t>
      </w:r>
      <w:r w:rsidRPr="00885C77">
        <w:t xml:space="preserve">established data governance systems. In </w:t>
      </w:r>
      <w:r w:rsidR="00481A85">
        <w:t xml:space="preserve">the </w:t>
      </w:r>
      <w:r w:rsidRPr="00885C77">
        <w:t>absence of good management, the firm may be subjected to fines, loss of money and image</w:t>
      </w:r>
      <w:r w:rsidR="008A6732">
        <w:t xml:space="preserve"> (</w:t>
      </w:r>
      <w:r w:rsidR="008A6732">
        <w:rPr>
          <w:rFonts w:eastAsia="Times New Roman" w:cs="Times New Roman"/>
          <w:szCs w:val="24"/>
          <w:lang w:val="en-US"/>
        </w:rPr>
        <w:t xml:space="preserve">Chen et al., </w:t>
      </w:r>
      <w:r w:rsidR="008A6732" w:rsidRPr="008A6732">
        <w:rPr>
          <w:rFonts w:eastAsia="Times New Roman" w:cs="Times New Roman"/>
          <w:szCs w:val="24"/>
          <w:lang w:val="en-US"/>
        </w:rPr>
        <w:t>2026)</w:t>
      </w:r>
      <w:r w:rsidR="008A6732">
        <w:t xml:space="preserve">. </w:t>
      </w:r>
      <w:r w:rsidRPr="00885C77">
        <w:t>To sum up, one of the essential AI risk management pillars is data governance. According to recent statistics, the number of data breaches, costs, and risks has increased drastically. Major sources of vulnerability are human error, cloud systems, and third-party vendors. The case studies of bad governance bring out the grave outcomes. In the case of multinational firms, there is an additional complexity of handling data in various regions. Hence, to attain security, compliance, and trust, stri</w:t>
      </w:r>
      <w:r w:rsidR="00FA3A4A">
        <w:t>ct data governance is required.</w:t>
      </w:r>
    </w:p>
    <w:p w:rsidR="00FA3A4A" w:rsidRDefault="00FA3A4A">
      <w:pPr>
        <w:spacing w:line="276" w:lineRule="auto"/>
        <w:jc w:val="left"/>
        <w:rPr>
          <w:rFonts w:eastAsiaTheme="majorEastAsia" w:cstheme="majorBidi"/>
          <w:b/>
          <w:bCs/>
          <w:color w:val="4F81BD" w:themeColor="accent1"/>
          <w:sz w:val="28"/>
          <w:szCs w:val="26"/>
        </w:rPr>
      </w:pPr>
      <w:r>
        <w:br w:type="page"/>
      </w:r>
    </w:p>
    <w:p w:rsidR="00837C9D" w:rsidRPr="00885C77" w:rsidRDefault="00122415" w:rsidP="008A6732">
      <w:pPr>
        <w:pStyle w:val="Heading2"/>
      </w:pPr>
      <w:bookmarkStart w:id="6" w:name="_Toc228141476"/>
      <w:r>
        <w:lastRenderedPageBreak/>
        <w:t>3</w:t>
      </w:r>
      <w:r w:rsidR="008A6732">
        <w:t>.3 Ethical AI</w:t>
      </w:r>
      <w:bookmarkEnd w:id="6"/>
    </w:p>
    <w:p w:rsidR="00B54037" w:rsidRDefault="00837C9D" w:rsidP="00837C9D">
      <w:r w:rsidRPr="00885C77">
        <w:t>Ethical AI is the reasonable and equitable use of artificial intelligence systems. It is aimed at making AI decisions transparent, unbiased, and responsible. With the growing application of AI in business, ethical issues are growing. In the case of multinational businesses, such as Unilever, ethical AI holds significance not just on compliance but also on</w:t>
      </w:r>
      <w:r w:rsidR="00B54037">
        <w:t xml:space="preserve"> reputation and customer trust. </w:t>
      </w:r>
      <w:r w:rsidRPr="00885C77">
        <w:t xml:space="preserve">Bias is one of the primary ethical concerns of AI. AI systems are taught by the data, and in case of bias in the data, the system will achieve biased outputs. This may cause inequity in other areas like recruitment, marketing, and customer service. To illustrate, research that was conducted after 2021 </w:t>
      </w:r>
      <w:r w:rsidR="0060518F" w:rsidRPr="00885C77">
        <w:t xml:space="preserve">indicates that approximately 44% </w:t>
      </w:r>
      <w:r w:rsidRPr="00885C77">
        <w:t>of AI systems exhibit some types of bias, especially when it comes to decision-making. This shows the prevalence of the problem</w:t>
      </w:r>
      <w:r w:rsidR="00A22C5E">
        <w:t xml:space="preserve"> (</w:t>
      </w:r>
      <w:r w:rsidR="00A22C5E">
        <w:rPr>
          <w:rFonts w:eastAsia="Times New Roman" w:cs="Times New Roman"/>
          <w:szCs w:val="24"/>
          <w:lang w:val="en-US"/>
        </w:rPr>
        <w:t xml:space="preserve">Teixeira da Silva, </w:t>
      </w:r>
      <w:r w:rsidR="00A22C5E" w:rsidRPr="008A6732">
        <w:rPr>
          <w:rFonts w:eastAsia="Times New Roman" w:cs="Times New Roman"/>
          <w:szCs w:val="24"/>
          <w:lang w:val="en-US"/>
        </w:rPr>
        <w:t>2025)</w:t>
      </w:r>
      <w:r w:rsidR="00B54037">
        <w:t xml:space="preserve">. </w:t>
      </w:r>
      <w:r w:rsidRPr="00885C77">
        <w:t>One of the most famous instances is the AI job recruitment system of Amazon, which displayed a biased position towards women. Despite the fact that this case was initiated earlier, it is still being cited in recent AI ethics debates</w:t>
      </w:r>
      <w:r w:rsidR="007A6280">
        <w:t xml:space="preserve"> (</w:t>
      </w:r>
      <w:proofErr w:type="spellStart"/>
      <w:r w:rsidR="007A6280">
        <w:rPr>
          <w:rFonts w:eastAsia="Times New Roman" w:cs="Times New Roman"/>
          <w:szCs w:val="24"/>
        </w:rPr>
        <w:t>Baye</w:t>
      </w:r>
      <w:proofErr w:type="spellEnd"/>
      <w:r w:rsidR="007A6280">
        <w:rPr>
          <w:rFonts w:eastAsia="Times New Roman" w:cs="Times New Roman"/>
          <w:szCs w:val="24"/>
        </w:rPr>
        <w:t xml:space="preserve">, </w:t>
      </w:r>
      <w:r w:rsidR="007A6280" w:rsidRPr="007A6280">
        <w:rPr>
          <w:rFonts w:eastAsia="Times New Roman" w:cs="Times New Roman"/>
          <w:szCs w:val="24"/>
        </w:rPr>
        <w:t>2017)</w:t>
      </w:r>
      <w:r w:rsidRPr="00885C77">
        <w:t xml:space="preserve">. More recent illustrations are like that. </w:t>
      </w:r>
      <w:r w:rsidR="00B54037">
        <w:t xml:space="preserve"> </w:t>
      </w:r>
      <w:r w:rsidR="00481A85">
        <w:t xml:space="preserve">The </w:t>
      </w:r>
      <w:r w:rsidRPr="00885C77">
        <w:t xml:space="preserve">UK and EU both take care of ethical AI, and </w:t>
      </w:r>
      <w:r w:rsidR="00B54037">
        <w:t>they take different approach</w:t>
      </w:r>
      <w:r w:rsidR="00481A85">
        <w:t>es</w:t>
      </w:r>
      <w:r w:rsidR="00B54037">
        <w:t>.</w:t>
      </w:r>
    </w:p>
    <w:p w:rsidR="00837C9D" w:rsidRPr="00885C77" w:rsidRDefault="00837C9D" w:rsidP="00837C9D">
      <w:r w:rsidRPr="00885C77">
        <w:t xml:space="preserve">The UK encourages AI ethics using guidelines and principles instead of enforcing laws. The government has presented an AI White Paper which </w:t>
      </w:r>
      <w:r w:rsidR="00481A85">
        <w:t xml:space="preserve">concentrates on five principles, </w:t>
      </w:r>
      <w:proofErr w:type="spellStart"/>
      <w:r w:rsidR="00481A85">
        <w:t>viz</w:t>
      </w:r>
      <w:proofErr w:type="spellEnd"/>
      <w:r w:rsidR="00481A85">
        <w:t xml:space="preserve">, </w:t>
      </w:r>
      <w:r w:rsidRPr="00885C77">
        <w:t>safety, transparency, fairness, accountability, and contestability. These principles are guidelines of companies and not legally binding</w:t>
      </w:r>
      <w:r w:rsidR="00B54037">
        <w:t xml:space="preserve"> (</w:t>
      </w:r>
      <w:r w:rsidR="00B54037">
        <w:rPr>
          <w:rFonts w:eastAsia="Times New Roman" w:cs="Times New Roman"/>
          <w:szCs w:val="24"/>
          <w:lang w:val="en-US"/>
        </w:rPr>
        <w:t xml:space="preserve">Ryan et al., </w:t>
      </w:r>
      <w:r w:rsidR="00B54037" w:rsidRPr="00B54037">
        <w:rPr>
          <w:rFonts w:eastAsia="Times New Roman" w:cs="Times New Roman"/>
          <w:szCs w:val="24"/>
          <w:lang w:val="en-US"/>
        </w:rPr>
        <w:t>2024)</w:t>
      </w:r>
      <w:r w:rsidR="00B54037">
        <w:t xml:space="preserve">. </w:t>
      </w:r>
      <w:r w:rsidRPr="00885C77">
        <w:t xml:space="preserve">On the contrary, the Artificial Intelligence Act has been a more stringent move by the EU. The Act contains explicit demands </w:t>
      </w:r>
      <w:r w:rsidR="00481A85">
        <w:t>for</w:t>
      </w:r>
      <w:r w:rsidRPr="00885C77">
        <w:t xml:space="preserve"> ethical AI, par</w:t>
      </w:r>
      <w:r w:rsidR="00B54037">
        <w:t xml:space="preserve">ticularly in high-risk systems. </w:t>
      </w:r>
      <w:r w:rsidR="00B56795">
        <w:t xml:space="preserve">There </w:t>
      </w:r>
      <w:proofErr w:type="gramStart"/>
      <w:r w:rsidR="00481A85">
        <w:t>are</w:t>
      </w:r>
      <w:proofErr w:type="gramEnd"/>
      <w:r w:rsidR="00B56795">
        <w:t xml:space="preserve"> some protection techniques followed by the EU but not by the UK. Unilever needs to make the usage of</w:t>
      </w:r>
      <w:r w:rsidR="00481A85">
        <w:t xml:space="preserve"> AI fair, transparent and human-</w:t>
      </w:r>
      <w:r w:rsidR="00B56795">
        <w:t xml:space="preserve">controlled. It would ensure that the AI usage would not harm people. Risk assessment of AI tools is also needed </w:t>
      </w:r>
      <w:r w:rsidR="00481A85">
        <w:t>before</w:t>
      </w:r>
      <w:r w:rsidR="00B56795">
        <w:t xml:space="preserve"> using the tools for complying with the EU business environment. </w:t>
      </w:r>
      <w:r w:rsidRPr="00885C77">
        <w:t>Transparency is another significant ethical concern. Most AI systems are used as b</w:t>
      </w:r>
      <w:r w:rsidR="00481A85">
        <w:t>lack boxes, i.e. their decision-</w:t>
      </w:r>
      <w:r w:rsidRPr="00885C77">
        <w:t>making process is not transparent. This poses an issue as decisions cannot be understood or contested by the users. As an illustration, when an AI system denies a job application or a service, the person might not be made aware of the reasons</w:t>
      </w:r>
      <w:r w:rsidR="00B54037">
        <w:t xml:space="preserve"> (</w:t>
      </w:r>
      <w:proofErr w:type="spellStart"/>
      <w:r w:rsidR="00B54037">
        <w:rPr>
          <w:rFonts w:eastAsia="Times New Roman" w:cs="Times New Roman"/>
          <w:szCs w:val="24"/>
          <w:lang w:val="en-US"/>
        </w:rPr>
        <w:t>Neuwirth</w:t>
      </w:r>
      <w:proofErr w:type="spellEnd"/>
      <w:r w:rsidR="00B54037">
        <w:rPr>
          <w:rFonts w:eastAsia="Times New Roman" w:cs="Times New Roman"/>
          <w:szCs w:val="24"/>
          <w:lang w:val="en-US"/>
        </w:rPr>
        <w:t xml:space="preserve">, </w:t>
      </w:r>
      <w:r w:rsidR="00B54037" w:rsidRPr="00B54037">
        <w:rPr>
          <w:rFonts w:eastAsia="Times New Roman" w:cs="Times New Roman"/>
          <w:szCs w:val="24"/>
          <w:lang w:val="en-US"/>
        </w:rPr>
        <w:t>2023)</w:t>
      </w:r>
      <w:r w:rsidR="00B54037">
        <w:t xml:space="preserve">. </w:t>
      </w:r>
      <w:r w:rsidRPr="00885C77">
        <w:t xml:space="preserve">According to </w:t>
      </w:r>
      <w:r w:rsidR="00B54037">
        <w:t>recent studies, more than 60% of the organisations that utilis</w:t>
      </w:r>
      <w:r w:rsidRPr="00885C77">
        <w:t xml:space="preserve">e AI encounter difficulty with </w:t>
      </w:r>
      <w:proofErr w:type="spellStart"/>
      <w:r w:rsidR="00481A85">
        <w:t>explain</w:t>
      </w:r>
      <w:r w:rsidR="008A6732" w:rsidRPr="00885C77">
        <w:t>ability</w:t>
      </w:r>
      <w:proofErr w:type="spellEnd"/>
      <w:r w:rsidRPr="00885C77">
        <w:t xml:space="preserve">. This implies that the majority of companies are not able to completely describe the functioning of their AI systems. This is a weakness in transparency that leads to risk and </w:t>
      </w:r>
      <w:r w:rsidRPr="00885C77">
        <w:lastRenderedPageBreak/>
        <w:t>diminishes accountability</w:t>
      </w:r>
      <w:r w:rsidR="00B54037">
        <w:t xml:space="preserve"> (</w:t>
      </w:r>
      <w:proofErr w:type="spellStart"/>
      <w:r w:rsidR="00B54037">
        <w:rPr>
          <w:rFonts w:eastAsia="Times New Roman" w:cs="Times New Roman"/>
          <w:szCs w:val="24"/>
          <w:lang w:val="en-US"/>
        </w:rPr>
        <w:t>Jarota</w:t>
      </w:r>
      <w:proofErr w:type="spellEnd"/>
      <w:r w:rsidR="00B54037">
        <w:rPr>
          <w:rFonts w:eastAsia="Times New Roman" w:cs="Times New Roman"/>
          <w:szCs w:val="24"/>
          <w:lang w:val="en-US"/>
        </w:rPr>
        <w:t xml:space="preserve">, </w:t>
      </w:r>
      <w:r w:rsidR="00B54037" w:rsidRPr="00B54037">
        <w:rPr>
          <w:rFonts w:eastAsia="Times New Roman" w:cs="Times New Roman"/>
          <w:szCs w:val="24"/>
          <w:lang w:val="en-US"/>
        </w:rPr>
        <w:t>2021)</w:t>
      </w:r>
      <w:r w:rsidR="00B54037">
        <w:t xml:space="preserve">. </w:t>
      </w:r>
      <w:r w:rsidRPr="00885C77">
        <w:t>This problem is di</w:t>
      </w:r>
      <w:r w:rsidR="00481A85">
        <w:t xml:space="preserve">rectly tackled by the EU AI Act, </w:t>
      </w:r>
      <w:r w:rsidRPr="00885C77">
        <w:t xml:space="preserve">which mandates the </w:t>
      </w:r>
      <w:proofErr w:type="spellStart"/>
      <w:r w:rsidR="00481A85">
        <w:t>explain</w:t>
      </w:r>
      <w:r w:rsidR="00B54037" w:rsidRPr="00885C77">
        <w:t>ability</w:t>
      </w:r>
      <w:proofErr w:type="spellEnd"/>
      <w:r w:rsidRPr="00885C77">
        <w:t xml:space="preserve"> of high-risk systems. The firms should give transparent information regarding decision-making processes. Transparency is not mandated but promoted in the UK. This once more demonstrates the disparity between the two areas.</w:t>
      </w:r>
      <w:r w:rsidR="00B54037">
        <w:t xml:space="preserve"> </w:t>
      </w:r>
      <w:r w:rsidRPr="00885C77">
        <w:t>Another essential ethical issue is responsibility. In cases of AI errors, it is hard to define who is to blame. Is it the system, the developer, or the company? This ambiguity poses legal and ethical issues</w:t>
      </w:r>
      <w:r w:rsidR="00B54037">
        <w:t xml:space="preserve"> (</w:t>
      </w:r>
      <w:proofErr w:type="spellStart"/>
      <w:r w:rsidR="00B54037">
        <w:rPr>
          <w:rFonts w:eastAsia="Times New Roman" w:cs="Times New Roman"/>
          <w:szCs w:val="24"/>
          <w:lang w:val="en-US"/>
        </w:rPr>
        <w:t>Sattari</w:t>
      </w:r>
      <w:proofErr w:type="spellEnd"/>
      <w:r w:rsidR="00B54037">
        <w:rPr>
          <w:rFonts w:eastAsia="Times New Roman" w:cs="Times New Roman"/>
          <w:szCs w:val="24"/>
          <w:lang w:val="en-US"/>
        </w:rPr>
        <w:t xml:space="preserve"> et al., </w:t>
      </w:r>
      <w:r w:rsidR="00B54037" w:rsidRPr="00B54037">
        <w:t>2022</w:t>
      </w:r>
      <w:r w:rsidR="00B54037" w:rsidRPr="00B54037">
        <w:rPr>
          <w:rFonts w:eastAsia="Times New Roman" w:cs="Times New Roman"/>
          <w:szCs w:val="24"/>
          <w:lang w:val="en-US"/>
        </w:rPr>
        <w:t>)</w:t>
      </w:r>
      <w:r w:rsidR="00B54037">
        <w:t xml:space="preserve">. </w:t>
      </w:r>
      <w:r w:rsidRPr="00885C77">
        <w:t xml:space="preserve">According to statistics, only a third of companies have clear accountability frameworks </w:t>
      </w:r>
      <w:r w:rsidR="00481A85">
        <w:t>for</w:t>
      </w:r>
      <w:r w:rsidRPr="00885C77">
        <w:t xml:space="preserve"> AI systems. This implies that not all organisations are quite ready to deal with ethical matters. In the absence of a clear responsibility, risk management and response to</w:t>
      </w:r>
      <w:r w:rsidR="00481A85">
        <w:t xml:space="preserve"> issues become</w:t>
      </w:r>
      <w:r w:rsidR="00B54037">
        <w:t xml:space="preserve"> more difficult. </w:t>
      </w:r>
      <w:r w:rsidRPr="00885C77">
        <w:t xml:space="preserve">Ethical AI is also closely related to privacy. AI systems tend to process personal data to come up with insights. When such information is abused, </w:t>
      </w:r>
      <w:r w:rsidR="00481A85">
        <w:t>it may be detrimental to people</w:t>
      </w:r>
      <w:r w:rsidRPr="00885C77">
        <w:t xml:space="preserve"> and may infringe on their rights</w:t>
      </w:r>
      <w:r w:rsidR="00B54037">
        <w:t xml:space="preserve"> (</w:t>
      </w:r>
      <w:proofErr w:type="spellStart"/>
      <w:r w:rsidR="00B54037">
        <w:rPr>
          <w:rFonts w:eastAsia="Times New Roman" w:cs="Times New Roman"/>
          <w:szCs w:val="24"/>
          <w:lang w:val="en-US"/>
        </w:rPr>
        <w:t>Jarota</w:t>
      </w:r>
      <w:proofErr w:type="spellEnd"/>
      <w:r w:rsidR="00B54037">
        <w:rPr>
          <w:rFonts w:eastAsia="Times New Roman" w:cs="Times New Roman"/>
          <w:szCs w:val="24"/>
          <w:lang w:val="en-US"/>
        </w:rPr>
        <w:t xml:space="preserve">, </w:t>
      </w:r>
      <w:r w:rsidR="00B54037" w:rsidRPr="00B54037">
        <w:rPr>
          <w:rFonts w:eastAsia="Times New Roman" w:cs="Times New Roman"/>
          <w:szCs w:val="24"/>
          <w:lang w:val="en-US"/>
        </w:rPr>
        <w:t>2021)</w:t>
      </w:r>
      <w:r w:rsidRPr="00885C77">
        <w:t>. Indicatively, the use of facial recognition technology has been criticised due to privacy issues. It has been applied inappr</w:t>
      </w:r>
      <w:r w:rsidR="00B54037">
        <w:t xml:space="preserve">opriately </w:t>
      </w:r>
      <w:r w:rsidR="00481A85">
        <w:t>on</w:t>
      </w:r>
      <w:r w:rsidR="00B54037">
        <w:t xml:space="preserve"> certain occasions.</w:t>
      </w:r>
    </w:p>
    <w:p w:rsidR="00837C9D" w:rsidRPr="00885C77" w:rsidRDefault="00837C9D" w:rsidP="00837C9D">
      <w:r w:rsidRPr="00885C77">
        <w:t>In 2024, it was reported that approximately 70 per</w:t>
      </w:r>
      <w:r w:rsidR="00481A85">
        <w:t xml:space="preserve"> </w:t>
      </w:r>
      <w:r w:rsidRPr="00885C77">
        <w:t>cent of customers are worried about the use of AI and their personal data by companies. This implies that there is a considerable degree of societal interest. Customers demand that companies use AI in a responsible manner and take care of their privacy</w:t>
      </w:r>
      <w:r w:rsidR="00B54037">
        <w:t xml:space="preserve"> (</w:t>
      </w:r>
      <w:r w:rsidR="00B54037">
        <w:rPr>
          <w:rFonts w:eastAsia="Times New Roman" w:cs="Times New Roman"/>
          <w:szCs w:val="24"/>
          <w:lang w:val="en-US"/>
        </w:rPr>
        <w:t xml:space="preserve">Ryan et al., </w:t>
      </w:r>
      <w:r w:rsidR="00B54037" w:rsidRPr="00B54037">
        <w:rPr>
          <w:rFonts w:eastAsia="Times New Roman" w:cs="Times New Roman"/>
          <w:szCs w:val="24"/>
          <w:lang w:val="en-US"/>
        </w:rPr>
        <w:t>2024)</w:t>
      </w:r>
      <w:r w:rsidR="00B54037">
        <w:t xml:space="preserve">. </w:t>
      </w:r>
      <w:r w:rsidRPr="00885C77">
        <w:t>In the case of Unilever, the significance of ethical AI is particularly due to its international presence and a well-established brand image. The company deals with millions of customers and gathers substantial data. Any unethical practice may tarnish its image. As an example, biased marketing algorithms may cause unfair customer targeting, and they may decrease trust du</w:t>
      </w:r>
      <w:r w:rsidR="00B54037">
        <w:t xml:space="preserve">e to the lack of transparency. </w:t>
      </w:r>
      <w:r w:rsidRPr="00885C77">
        <w:t xml:space="preserve">The other new problem is the application of generative AI. New tools like </w:t>
      </w:r>
      <w:proofErr w:type="spellStart"/>
      <w:r w:rsidRPr="00885C77">
        <w:t>chatbots</w:t>
      </w:r>
      <w:proofErr w:type="spellEnd"/>
      <w:r w:rsidRPr="00885C77">
        <w:t xml:space="preserve"> and content generators were increasingly repre</w:t>
      </w:r>
      <w:r w:rsidR="00481A85">
        <w:t xml:space="preserve">sented by AI. These systems may, </w:t>
      </w:r>
      <w:r w:rsidRPr="00885C77">
        <w:t>however</w:t>
      </w:r>
      <w:r w:rsidR="00481A85">
        <w:t>,</w:t>
      </w:r>
      <w:r w:rsidRPr="00885C77">
        <w:t xml:space="preserve"> generate false or bad content. In 2023 and 2024, generative AI has been involved in a number of instances where it generated fake information and</w:t>
      </w:r>
      <w:r w:rsidR="00B54037">
        <w:t xml:space="preserve"> caused criticism among people. </w:t>
      </w:r>
      <w:r w:rsidRPr="00885C77">
        <w:t>As a solution to these challenges, businesses are implementing ethical AI systems. As an example, the NIST AI Risk Management Framework offers guidelines on how to manage bias, transparency, and accountability. Internal ethics committees are also being established by many organisations to review AI systems</w:t>
      </w:r>
      <w:r w:rsidR="00B54037">
        <w:t xml:space="preserve"> (</w:t>
      </w:r>
      <w:proofErr w:type="spellStart"/>
      <w:r w:rsidR="00B54037">
        <w:rPr>
          <w:rFonts w:eastAsia="Times New Roman" w:cs="Times New Roman"/>
          <w:szCs w:val="24"/>
          <w:lang w:val="en-US"/>
        </w:rPr>
        <w:t>Neuwirth</w:t>
      </w:r>
      <w:proofErr w:type="spellEnd"/>
      <w:r w:rsidR="00B54037">
        <w:rPr>
          <w:rFonts w:eastAsia="Times New Roman" w:cs="Times New Roman"/>
          <w:szCs w:val="24"/>
          <w:lang w:val="en-US"/>
        </w:rPr>
        <w:t xml:space="preserve">, </w:t>
      </w:r>
      <w:r w:rsidR="00B54037" w:rsidRPr="00B54037">
        <w:rPr>
          <w:rFonts w:eastAsia="Times New Roman" w:cs="Times New Roman"/>
          <w:szCs w:val="24"/>
          <w:lang w:val="en-US"/>
        </w:rPr>
        <w:t>2023)</w:t>
      </w:r>
      <w:r w:rsidR="00B54037">
        <w:t xml:space="preserve">. </w:t>
      </w:r>
      <w:r w:rsidRPr="00885C77">
        <w:t>It is also important to train employees. Employees should be aware of ethical risks and be able to cope with them. Even well-designed systems may be ab</w:t>
      </w:r>
      <w:r w:rsidR="00B54037">
        <w:t xml:space="preserve">used without adequate training. </w:t>
      </w:r>
      <w:r w:rsidRPr="00885C77">
        <w:t xml:space="preserve">To sum up, ethical AI </w:t>
      </w:r>
      <w:r w:rsidRPr="00885C77">
        <w:lastRenderedPageBreak/>
        <w:t xml:space="preserve">represents a significant crisis </w:t>
      </w:r>
      <w:r w:rsidR="00481A85">
        <w:t>for</w:t>
      </w:r>
      <w:r w:rsidRPr="00885C77">
        <w:t xml:space="preserve"> multinational companies. </w:t>
      </w:r>
      <w:proofErr w:type="gramStart"/>
      <w:r w:rsidRPr="00885C77">
        <w:t>problems</w:t>
      </w:r>
      <w:proofErr w:type="gramEnd"/>
      <w:r w:rsidRPr="00885C77">
        <w:t xml:space="preserve"> like bias, the absence of transparency, and bad accountability pose a great threat. The UK and EU differ in this aspect, and the EU is more regulated and strict in their approach.</w:t>
      </w:r>
      <w:r w:rsidR="00481A85">
        <w:t xml:space="preserve"> According to recent statistics, </w:t>
      </w:r>
      <w:r w:rsidRPr="00885C77">
        <w:t xml:space="preserve">ethical issues are prevalent and on the rise. In the case of companies </w:t>
      </w:r>
      <w:r w:rsidR="00481A85">
        <w:t xml:space="preserve">such </w:t>
      </w:r>
      <w:r w:rsidRPr="00885C77">
        <w:t>as Unilever, it is vital to resolve these problems in order to save the reputation, achieve compliance, and retain the trust of customers.</w:t>
      </w:r>
    </w:p>
    <w:p w:rsidR="00FA3A4A" w:rsidRDefault="00FA3A4A">
      <w:pPr>
        <w:spacing w:line="276" w:lineRule="auto"/>
        <w:jc w:val="left"/>
        <w:rPr>
          <w:rFonts w:eastAsiaTheme="majorEastAsia" w:cstheme="majorBidi"/>
          <w:b/>
          <w:bCs/>
          <w:color w:val="4F81BD" w:themeColor="accent1"/>
          <w:sz w:val="28"/>
          <w:szCs w:val="26"/>
        </w:rPr>
      </w:pPr>
      <w:r>
        <w:br w:type="page"/>
      </w:r>
    </w:p>
    <w:p w:rsidR="00837C9D" w:rsidRPr="00885C77" w:rsidRDefault="00122415" w:rsidP="00FA3A4A">
      <w:pPr>
        <w:pStyle w:val="Heading2"/>
      </w:pPr>
      <w:bookmarkStart w:id="7" w:name="_Toc228141477"/>
      <w:r>
        <w:lastRenderedPageBreak/>
        <w:t>3</w:t>
      </w:r>
      <w:r w:rsidR="00B54037">
        <w:t>.4 Customer Trust</w:t>
      </w:r>
      <w:bookmarkEnd w:id="7"/>
    </w:p>
    <w:p w:rsidR="00837C9D" w:rsidRPr="00885C77" w:rsidRDefault="00481A85" w:rsidP="00837C9D">
      <w:r>
        <w:t>C</w:t>
      </w:r>
      <w:r w:rsidR="00837C9D" w:rsidRPr="00885C77">
        <w:t>ustomer trust is one of the determinants of the success of multinational companies that operate with the help of artificial intelligence (AI). The creation of trust is achieved when customers feel that a company is truthful, open and accountable in its activities. Trust in the context of AI will largely rely on the way in which companies manage personal information, the level of transparency of their systems, and t</w:t>
      </w:r>
      <w:r w:rsidR="000962A5">
        <w:t xml:space="preserve">he fairness of their decisions. </w:t>
      </w:r>
      <w:r w:rsidR="00837C9D" w:rsidRPr="00885C77">
        <w:t>Personalisation of services, product recommendations and enh</w:t>
      </w:r>
      <w:r>
        <w:t>ancement of customer experience</w:t>
      </w:r>
      <w:r w:rsidR="00837C9D" w:rsidRPr="00885C77">
        <w:t xml:space="preserve"> are usually performed by AI systems. Although this may lead to satisfaction, it is also worrisome. The customers might not be comfortable knowing that their information is being used without knowing how. Trust may be diminished in the case of excessive gathering of personal data by AI systems or their application without explicit consent</w:t>
      </w:r>
      <w:r w:rsidR="000962A5">
        <w:t xml:space="preserve"> (</w:t>
      </w:r>
      <w:proofErr w:type="spellStart"/>
      <w:r w:rsidR="000962A5">
        <w:rPr>
          <w:rFonts w:eastAsia="Times New Roman" w:cs="Times New Roman"/>
          <w:szCs w:val="24"/>
          <w:lang w:val="en-US"/>
        </w:rPr>
        <w:t>Puri</w:t>
      </w:r>
      <w:proofErr w:type="spellEnd"/>
      <w:r w:rsidR="000962A5">
        <w:rPr>
          <w:rFonts w:eastAsia="Times New Roman" w:cs="Times New Roman"/>
          <w:szCs w:val="24"/>
          <w:lang w:val="en-US"/>
        </w:rPr>
        <w:t xml:space="preserve"> et al., </w:t>
      </w:r>
      <w:r w:rsidR="000962A5" w:rsidRPr="00B54037">
        <w:rPr>
          <w:rFonts w:eastAsia="Times New Roman" w:cs="Times New Roman"/>
          <w:szCs w:val="24"/>
          <w:lang w:val="en-US"/>
        </w:rPr>
        <w:t>2026)</w:t>
      </w:r>
      <w:r w:rsidR="000962A5">
        <w:t xml:space="preserve">. </w:t>
      </w:r>
      <w:r w:rsidR="00837C9D" w:rsidRPr="00885C77">
        <w:t xml:space="preserve">Openness contributes significantly to trust-building. Customers are demanding that companies give a clear explanation </w:t>
      </w:r>
      <w:r>
        <w:t>of how they utilis</w:t>
      </w:r>
      <w:r w:rsidR="00837C9D" w:rsidRPr="00885C77">
        <w:t>e AI in their services. This involves the description of data collection, decision making and how the results can influence them. Failure by companies to provide such information will leave customers confused or doubtful.</w:t>
      </w:r>
      <w:r w:rsidR="000962A5">
        <w:t xml:space="preserve"> This uncertainty can be minimis</w:t>
      </w:r>
      <w:r w:rsidR="00837C9D" w:rsidRPr="00885C77">
        <w:t>ed through effective communication</w:t>
      </w:r>
      <w:r w:rsidR="000962A5">
        <w:t xml:space="preserve"> (</w:t>
      </w:r>
      <w:r w:rsidR="000962A5">
        <w:rPr>
          <w:rFonts w:eastAsia="Times New Roman" w:cs="Times New Roman"/>
          <w:szCs w:val="24"/>
          <w:lang w:val="en-US"/>
        </w:rPr>
        <w:t xml:space="preserve">Al </w:t>
      </w:r>
      <w:proofErr w:type="spellStart"/>
      <w:r w:rsidR="000962A5">
        <w:rPr>
          <w:rFonts w:eastAsia="Times New Roman" w:cs="Times New Roman"/>
          <w:szCs w:val="24"/>
          <w:lang w:val="en-US"/>
        </w:rPr>
        <w:t>Chami</w:t>
      </w:r>
      <w:proofErr w:type="spellEnd"/>
      <w:r w:rsidR="000962A5">
        <w:rPr>
          <w:rFonts w:eastAsia="Times New Roman" w:cs="Times New Roman"/>
          <w:szCs w:val="24"/>
          <w:lang w:val="en-US"/>
        </w:rPr>
        <w:t xml:space="preserve">, </w:t>
      </w:r>
      <w:r w:rsidR="000962A5" w:rsidRPr="000962A5">
        <w:rPr>
          <w:rFonts w:eastAsia="Times New Roman" w:cs="Times New Roman"/>
          <w:szCs w:val="24"/>
          <w:lang w:val="en-US"/>
        </w:rPr>
        <w:t>2025)</w:t>
      </w:r>
      <w:r w:rsidR="000962A5">
        <w:t xml:space="preserve">. </w:t>
      </w:r>
      <w:r w:rsidR="00837C9D" w:rsidRPr="00885C77">
        <w:t xml:space="preserve">The UK and EU are both aware of the value of trust, although their attitudes are somewhat different. In the UK, transparency and accountability are some of the principles which promote trust. The companies are instructed to be responsible, and they are freer in the way they implement this. Trust is justified in the EU by means of harsher regulation. Regulations like GDPR and AI Act demand </w:t>
      </w:r>
      <w:r>
        <w:t xml:space="preserve">that </w:t>
      </w:r>
      <w:r w:rsidR="00837C9D" w:rsidRPr="00885C77">
        <w:t>businesses adhere to distinct regulations regarding data security and openness. This brings a more systematic atmosphere in the development of trust</w:t>
      </w:r>
      <w:r w:rsidR="000962A5">
        <w:t xml:space="preserve"> (</w:t>
      </w:r>
      <w:proofErr w:type="spellStart"/>
      <w:r w:rsidR="000962A5" w:rsidRPr="000962A5">
        <w:rPr>
          <w:rFonts w:eastAsia="Times New Roman" w:cs="Times New Roman"/>
          <w:szCs w:val="24"/>
          <w:lang w:val="en-US"/>
        </w:rPr>
        <w:t>Nal</w:t>
      </w:r>
      <w:r w:rsidR="000962A5">
        <w:rPr>
          <w:rFonts w:eastAsia="Times New Roman" w:cs="Times New Roman"/>
          <w:szCs w:val="24"/>
          <w:lang w:val="en-US"/>
        </w:rPr>
        <w:t>ini</w:t>
      </w:r>
      <w:proofErr w:type="spellEnd"/>
      <w:r w:rsidR="000962A5">
        <w:rPr>
          <w:rFonts w:eastAsia="Times New Roman" w:cs="Times New Roman"/>
          <w:szCs w:val="24"/>
          <w:lang w:val="en-US"/>
        </w:rPr>
        <w:t xml:space="preserve">, and </w:t>
      </w:r>
      <w:proofErr w:type="spellStart"/>
      <w:r w:rsidR="000962A5">
        <w:rPr>
          <w:rFonts w:eastAsia="Times New Roman" w:cs="Times New Roman"/>
          <w:szCs w:val="24"/>
          <w:lang w:val="en-US"/>
        </w:rPr>
        <w:t>Paldon</w:t>
      </w:r>
      <w:proofErr w:type="spellEnd"/>
      <w:r w:rsidR="000962A5">
        <w:rPr>
          <w:rFonts w:eastAsia="Times New Roman" w:cs="Times New Roman"/>
          <w:szCs w:val="24"/>
          <w:lang w:val="en-US"/>
        </w:rPr>
        <w:t>, 2022).</w:t>
      </w:r>
      <w:r w:rsidR="000962A5">
        <w:t xml:space="preserve"> </w:t>
      </w:r>
      <w:r w:rsidR="00837C9D" w:rsidRPr="00885C77">
        <w:t>The other consideration is data security. Customers would like to see their personal information secured against unauthorised access. Trust is destroyed in a short period of time in case of a data breach. The occurrence of one incident is enough to cause a shift in the perception of customers towards a company. In the case of multinational companies, it is important to ensure effective security systems that safeguard the information of customers in various locations</w:t>
      </w:r>
      <w:r w:rsidR="000962A5">
        <w:t xml:space="preserve"> (</w:t>
      </w:r>
      <w:proofErr w:type="spellStart"/>
      <w:r w:rsidR="000962A5">
        <w:rPr>
          <w:rFonts w:eastAsia="Times New Roman" w:cs="Times New Roman"/>
          <w:szCs w:val="24"/>
          <w:lang w:val="en-US"/>
        </w:rPr>
        <w:t>Moharrak</w:t>
      </w:r>
      <w:proofErr w:type="spellEnd"/>
      <w:r w:rsidR="000962A5">
        <w:rPr>
          <w:rFonts w:eastAsia="Times New Roman" w:cs="Times New Roman"/>
          <w:szCs w:val="24"/>
          <w:lang w:val="en-US"/>
        </w:rPr>
        <w:t xml:space="preserve">, and </w:t>
      </w:r>
      <w:proofErr w:type="spellStart"/>
      <w:r w:rsidR="000962A5">
        <w:rPr>
          <w:rFonts w:eastAsia="Times New Roman" w:cs="Times New Roman"/>
          <w:szCs w:val="24"/>
          <w:lang w:val="en-US"/>
        </w:rPr>
        <w:t>Mogaji</w:t>
      </w:r>
      <w:proofErr w:type="spellEnd"/>
      <w:r w:rsidR="000962A5">
        <w:rPr>
          <w:rFonts w:eastAsia="Times New Roman" w:cs="Times New Roman"/>
          <w:szCs w:val="24"/>
          <w:lang w:val="en-US"/>
        </w:rPr>
        <w:t xml:space="preserve">, </w:t>
      </w:r>
      <w:r w:rsidR="000962A5" w:rsidRPr="000962A5">
        <w:rPr>
          <w:rFonts w:eastAsia="Times New Roman" w:cs="Times New Roman"/>
          <w:szCs w:val="24"/>
          <w:lang w:val="en-US"/>
        </w:rPr>
        <w:t>2025)</w:t>
      </w:r>
      <w:r w:rsidR="000962A5">
        <w:t xml:space="preserve">. </w:t>
      </w:r>
      <w:r w:rsidR="00837C9D" w:rsidRPr="00885C77">
        <w:t>Trust is also closely related to fairness. Customers desire to be treated equally and without discrimination. When the AI systems lead to unfair results, e.g., unfair recommendations or discrimination, the customers will no longer have trust in the company. To ensure trust, it is therefore pertinent to ensure fairness in the decision</w:t>
      </w:r>
      <w:r>
        <w:t>s</w:t>
      </w:r>
      <w:r w:rsidR="00837C9D" w:rsidRPr="00885C77">
        <w:t xml:space="preserve"> made by AI.</w:t>
      </w:r>
      <w:r w:rsidR="000962A5">
        <w:t xml:space="preserve"> </w:t>
      </w:r>
      <w:r w:rsidR="00837C9D" w:rsidRPr="00885C77">
        <w:t xml:space="preserve">Another important aspect is customer control. The customers must be able to </w:t>
      </w:r>
      <w:r w:rsidR="00837C9D" w:rsidRPr="00885C77">
        <w:lastRenderedPageBreak/>
        <w:t>control their information, such as providing or revoking consent. They also ought to be able to interrogate or dispute AI decisions. This kind of control is also important as it will give the customers a sense of security and respect</w:t>
      </w:r>
      <w:r w:rsidR="000962A5">
        <w:t xml:space="preserve"> (</w:t>
      </w:r>
      <w:r w:rsidR="000962A5">
        <w:rPr>
          <w:rFonts w:eastAsia="Times New Roman" w:cs="Times New Roman"/>
          <w:szCs w:val="24"/>
          <w:lang w:val="en-US"/>
        </w:rPr>
        <w:t xml:space="preserve">Train, </w:t>
      </w:r>
      <w:r w:rsidR="000962A5" w:rsidRPr="000962A5">
        <w:rPr>
          <w:rFonts w:eastAsia="Times New Roman" w:cs="Times New Roman"/>
          <w:szCs w:val="24"/>
          <w:lang w:val="en-US"/>
        </w:rPr>
        <w:t>2023)</w:t>
      </w:r>
      <w:r w:rsidR="000962A5">
        <w:t>.</w:t>
      </w:r>
    </w:p>
    <w:p w:rsidR="00837C9D" w:rsidRPr="00885C77" w:rsidRDefault="00837C9D" w:rsidP="00837C9D">
      <w:r w:rsidRPr="00885C77">
        <w:t xml:space="preserve">In the case of Unilever, customer trust will be of particular concern due to its international brand image. The company also has millions of customers in various markets. A decrease in trust may have far-reaching consequences on sales and brand image. Thus, Unilever has to make its </w:t>
      </w:r>
      <w:r w:rsidR="00544022">
        <w:t>utilisation</w:t>
      </w:r>
      <w:r w:rsidRPr="00885C77">
        <w:t xml:space="preserve"> of AI tran</w:t>
      </w:r>
      <w:r w:rsidR="000962A5">
        <w:t xml:space="preserve">sparent, secure, and equitable. </w:t>
      </w:r>
      <w:r w:rsidRPr="00885C77">
        <w:t>The strategies of communication are also important. Firms ought to take the initiative of educating consumers on their AI practices</w:t>
      </w:r>
      <w:r w:rsidR="000962A5">
        <w:t xml:space="preserve"> (</w:t>
      </w:r>
      <w:r w:rsidR="000962A5" w:rsidRPr="000962A5">
        <w:rPr>
          <w:rFonts w:eastAsia="Times New Roman" w:cs="Times New Roman"/>
          <w:szCs w:val="24"/>
          <w:lang w:val="en-US"/>
        </w:rPr>
        <w:t>Golda</w:t>
      </w:r>
      <w:r w:rsidR="000962A5">
        <w:rPr>
          <w:rFonts w:eastAsia="Times New Roman" w:cs="Times New Roman"/>
          <w:szCs w:val="24"/>
          <w:lang w:val="en-US"/>
        </w:rPr>
        <w:t xml:space="preserve"> et al., </w:t>
      </w:r>
      <w:r w:rsidR="000962A5" w:rsidRPr="000962A5">
        <w:rPr>
          <w:rFonts w:eastAsia="Times New Roman" w:cs="Times New Roman"/>
          <w:szCs w:val="24"/>
          <w:lang w:val="en-US"/>
        </w:rPr>
        <w:t>2024)</w:t>
      </w:r>
      <w:r w:rsidRPr="00885C77">
        <w:t>. This may involve privacy policies, expl</w:t>
      </w:r>
      <w:r w:rsidR="00481A85">
        <w:t>icit terms of service, and easy-to-</w:t>
      </w:r>
      <w:r w:rsidRPr="00885C77">
        <w:t xml:space="preserve">understand explanations. When customers can comprehend the benefits of AI to them, they </w:t>
      </w:r>
      <w:r w:rsidR="000962A5">
        <w:t xml:space="preserve">will tend to trust the company. </w:t>
      </w:r>
      <w:r w:rsidRPr="00885C77">
        <w:t>Finally, a vital matter of AI adoption is customer trust. It relies on openness, data protection, impartiality, and customer ownership. Both the UK and EU encourage trust, albeit in different ways. In the case of multinational companies, trust has to be maintained in a consistent and responsible manner in all regions.</w:t>
      </w:r>
    </w:p>
    <w:p w:rsidR="00FA3A4A" w:rsidRDefault="00FA3A4A">
      <w:pPr>
        <w:spacing w:line="276" w:lineRule="auto"/>
        <w:jc w:val="left"/>
        <w:rPr>
          <w:rFonts w:eastAsiaTheme="majorEastAsia" w:cstheme="majorBidi"/>
          <w:b/>
          <w:bCs/>
          <w:color w:val="365F91" w:themeColor="accent1" w:themeShade="BF"/>
          <w:sz w:val="32"/>
          <w:szCs w:val="28"/>
        </w:rPr>
      </w:pPr>
      <w:r>
        <w:br w:type="page"/>
      </w:r>
    </w:p>
    <w:p w:rsidR="00837C9D" w:rsidRPr="00885C77" w:rsidRDefault="00122415" w:rsidP="000962A5">
      <w:pPr>
        <w:pStyle w:val="Heading1"/>
      </w:pPr>
      <w:bookmarkStart w:id="8" w:name="_Toc228141478"/>
      <w:r>
        <w:lastRenderedPageBreak/>
        <w:t>4</w:t>
      </w:r>
      <w:r w:rsidR="000962A5">
        <w:t>. Conclusion</w:t>
      </w:r>
      <w:bookmarkEnd w:id="8"/>
    </w:p>
    <w:p w:rsidR="007C73D0" w:rsidRPr="000962A5" w:rsidRDefault="00837C9D" w:rsidP="000962A5">
      <w:r w:rsidRPr="00885C77">
        <w:t>This report has examined the risks of the development of artificial intelligence in a multinational firm. Four areas have been discussed: regulation, data governance, ethical AI, and customer trust. All these spheres are significant to the way in which AI is a</w:t>
      </w:r>
      <w:r w:rsidR="000962A5">
        <w:t xml:space="preserve">pplied and risks are mitigated. </w:t>
      </w:r>
      <w:r w:rsidRPr="00885C77">
        <w:t>The discussion has revealed that regulation is increasingly becoming complicated and significant. The approaches to AI governance in different territories vary, including the UK and the EU. The UK adheres to a more loose and principle-oriented system, and the EU to a more rigid and rule-based system. This poses a problem to multinational companies because they have to cope with two or more regulatory systems simultaneously. The point is proved by demonstrating how these differences complicate operations and have to be managed</w:t>
      </w:r>
      <w:r w:rsidR="00B54037">
        <w:t xml:space="preserve"> </w:t>
      </w:r>
      <w:r w:rsidR="000962A5">
        <w:t>(</w:t>
      </w:r>
      <w:proofErr w:type="spellStart"/>
      <w:r w:rsidR="000962A5">
        <w:rPr>
          <w:rFonts w:eastAsia="Times New Roman" w:cs="Times New Roman"/>
          <w:szCs w:val="24"/>
          <w:lang w:val="en-US"/>
        </w:rPr>
        <w:t>Puri</w:t>
      </w:r>
      <w:proofErr w:type="spellEnd"/>
      <w:r w:rsidR="000962A5">
        <w:rPr>
          <w:rFonts w:eastAsia="Times New Roman" w:cs="Times New Roman"/>
          <w:szCs w:val="24"/>
          <w:lang w:val="en-US"/>
        </w:rPr>
        <w:t xml:space="preserve"> et al., </w:t>
      </w:r>
      <w:r w:rsidR="00B54037" w:rsidRPr="00B54037">
        <w:rPr>
          <w:rFonts w:eastAsia="Times New Roman" w:cs="Times New Roman"/>
          <w:szCs w:val="24"/>
          <w:lang w:val="en-US"/>
        </w:rPr>
        <w:t>2026)</w:t>
      </w:r>
      <w:r w:rsidR="000962A5">
        <w:t xml:space="preserve">. </w:t>
      </w:r>
      <w:r w:rsidRPr="00885C77">
        <w:t xml:space="preserve">Data governance </w:t>
      </w:r>
      <w:r w:rsidR="00481A85">
        <w:t>is</w:t>
      </w:r>
      <w:r w:rsidRPr="00885C77">
        <w:t xml:space="preserve"> a vital base of AI </w:t>
      </w:r>
      <w:r w:rsidR="00481A85">
        <w:t xml:space="preserve">systems. AI relies on bulk data, </w:t>
      </w:r>
      <w:r w:rsidRPr="00885C77">
        <w:t>and the quality and safety of this data have a d</w:t>
      </w:r>
      <w:r w:rsidR="00544022">
        <w:t>irect influence on the results. There are numerous risks assoc</w:t>
      </w:r>
      <w:r w:rsidR="00481A85">
        <w:t xml:space="preserve">iated with poor data governance, </w:t>
      </w:r>
      <w:r w:rsidR="00544022">
        <w:t>including data breaches, misuse of available data and</w:t>
      </w:r>
      <w:r w:rsidR="00481A85">
        <w:t xml:space="preserve"> information, legal punishments, </w:t>
      </w:r>
      <w:r w:rsidR="00544022">
        <w:t xml:space="preserve">etc. Besides, different rules of AI protection in different regions add complexity </w:t>
      </w:r>
      <w:r w:rsidR="00481A85">
        <w:t>to</w:t>
      </w:r>
      <w:r w:rsidR="00544022">
        <w:t xml:space="preserve"> such management. So, the argument suggests that effective data governance play</w:t>
      </w:r>
      <w:r w:rsidR="00481A85">
        <w:t>s a</w:t>
      </w:r>
      <w:r w:rsidR="00544022">
        <w:t xml:space="preserve"> significant role in </w:t>
      </w:r>
      <w:r w:rsidR="00481A85">
        <w:t xml:space="preserve">the </w:t>
      </w:r>
      <w:r w:rsidR="00544022">
        <w:t>effective performance of the company</w:t>
      </w:r>
      <w:r w:rsidR="000962A5">
        <w:t xml:space="preserve"> (</w:t>
      </w:r>
      <w:proofErr w:type="spellStart"/>
      <w:r w:rsidR="000962A5">
        <w:rPr>
          <w:rFonts w:eastAsia="Times New Roman" w:cs="Times New Roman"/>
          <w:szCs w:val="24"/>
          <w:lang w:val="en-US"/>
        </w:rPr>
        <w:t>Moharrak</w:t>
      </w:r>
      <w:proofErr w:type="spellEnd"/>
      <w:r w:rsidR="000962A5">
        <w:rPr>
          <w:rFonts w:eastAsia="Times New Roman" w:cs="Times New Roman"/>
          <w:szCs w:val="24"/>
          <w:lang w:val="en-US"/>
        </w:rPr>
        <w:t xml:space="preserve">, and </w:t>
      </w:r>
      <w:proofErr w:type="spellStart"/>
      <w:r w:rsidR="000962A5">
        <w:rPr>
          <w:rFonts w:eastAsia="Times New Roman" w:cs="Times New Roman"/>
          <w:szCs w:val="24"/>
          <w:lang w:val="en-US"/>
        </w:rPr>
        <w:t>Mogaji</w:t>
      </w:r>
      <w:proofErr w:type="spellEnd"/>
      <w:r w:rsidR="000962A5">
        <w:rPr>
          <w:rFonts w:eastAsia="Times New Roman" w:cs="Times New Roman"/>
          <w:szCs w:val="24"/>
          <w:lang w:val="en-US"/>
        </w:rPr>
        <w:t xml:space="preserve">, </w:t>
      </w:r>
      <w:r w:rsidR="000962A5" w:rsidRPr="000962A5">
        <w:rPr>
          <w:rFonts w:eastAsia="Times New Roman" w:cs="Times New Roman"/>
          <w:szCs w:val="24"/>
          <w:lang w:val="en-US"/>
        </w:rPr>
        <w:t>2025)</w:t>
      </w:r>
      <w:r w:rsidR="00544022">
        <w:t>.</w:t>
      </w:r>
      <w:r w:rsidR="000962A5">
        <w:t xml:space="preserve"> </w:t>
      </w:r>
      <w:r w:rsidRPr="00885C77">
        <w:t xml:space="preserve">The UK/EU comparison indicates that various regulatory strategies affect the approach to addressing the ethical issues. This is further augmented by proving that ethical issues are not uniquely technical but also social and organisational. Corporations need to be accountable </w:t>
      </w:r>
      <w:r w:rsidR="00481A85">
        <w:t>for</w:t>
      </w:r>
      <w:r w:rsidRPr="00885C77">
        <w:t xml:space="preserve"> the impacts of t</w:t>
      </w:r>
      <w:r w:rsidR="000962A5">
        <w:t xml:space="preserve">heir AI systems on individuals. </w:t>
      </w:r>
      <w:r w:rsidRPr="00885C77">
        <w:t>One of the main re</w:t>
      </w:r>
      <w:r w:rsidR="00481A85">
        <w:t>sults of the quality of AI risk</w:t>
      </w:r>
      <w:r w:rsidRPr="00885C77">
        <w:t xml:space="preserve"> management has been proposed as customer trust. Trust relies on transparency, equity and security of data. In case customers believe their information is not secured or that AI technologies are discriminatory, they might lose their trust in the enterprise. As has been discussed, trust is paramount to success in the long run. This helps the argument that the responsible usage of AI is directly con</w:t>
      </w:r>
      <w:r w:rsidR="000962A5">
        <w:t xml:space="preserve">nected to business performance. </w:t>
      </w:r>
      <w:r w:rsidRPr="00885C77">
        <w:t>In general, the report demonstrates that the development of AI presents opportunities and threats. Even though AI can increase efficiency and innovation, it also brings about challenges that should be addressed with caution. The four areas addressed are intertwined. The others can be influenced by a weakness in a particular area. As an illustration, a lack of good data governance may create ethical problems, and this may in tur</w:t>
      </w:r>
      <w:r w:rsidR="000962A5">
        <w:t xml:space="preserve">n decrease customer confidence. </w:t>
      </w:r>
      <w:r w:rsidR="007C73D0" w:rsidRPr="007C73D0">
        <w:t xml:space="preserve">It is concluded that multinational companies must be proactive, which is reflected in the analysis. They must be well-informed about regulatory requirements, process data, act </w:t>
      </w:r>
      <w:r w:rsidR="007C73D0" w:rsidRPr="007C73D0">
        <w:lastRenderedPageBreak/>
        <w:t>ethically, and maintain customer trust. Integrating these spheres, the companies will be capable of reducing the risks and integrating AI in a sustainable way. Such an integrated approach is essential to achieve sustainable development in the age of artificial intelligence.</w:t>
      </w:r>
    </w:p>
    <w:p w:rsidR="000962A5" w:rsidRDefault="000962A5">
      <w:pPr>
        <w:spacing w:line="276" w:lineRule="auto"/>
        <w:jc w:val="left"/>
        <w:rPr>
          <w:rFonts w:eastAsiaTheme="majorEastAsia" w:cstheme="majorBidi"/>
          <w:b/>
          <w:bCs/>
          <w:color w:val="365F91" w:themeColor="accent1" w:themeShade="BF"/>
          <w:sz w:val="32"/>
          <w:szCs w:val="28"/>
        </w:rPr>
      </w:pPr>
      <w:r>
        <w:br w:type="page"/>
      </w:r>
    </w:p>
    <w:p w:rsidR="000962A5" w:rsidRPr="000962A5" w:rsidRDefault="00122415" w:rsidP="000962A5">
      <w:pPr>
        <w:pStyle w:val="Heading1"/>
      </w:pPr>
      <w:bookmarkStart w:id="9" w:name="_Toc228141479"/>
      <w:r>
        <w:lastRenderedPageBreak/>
        <w:t xml:space="preserve">5. </w:t>
      </w:r>
      <w:r w:rsidR="000962A5">
        <w:t>References</w:t>
      </w:r>
      <w:bookmarkEnd w:id="9"/>
    </w:p>
    <w:p w:rsidR="000962A5" w:rsidRDefault="000962A5" w:rsidP="000962A5">
      <w:pPr>
        <w:ind w:left="720" w:hanging="720"/>
        <w:rPr>
          <w:lang w:val="en-US"/>
        </w:rPr>
      </w:pPr>
      <w:r w:rsidRPr="000962A5">
        <w:rPr>
          <w:lang w:val="en-US"/>
        </w:rPr>
        <w:t xml:space="preserve">Al </w:t>
      </w:r>
      <w:proofErr w:type="spellStart"/>
      <w:r w:rsidRPr="000962A5">
        <w:rPr>
          <w:lang w:val="en-US"/>
        </w:rPr>
        <w:t>Chami</w:t>
      </w:r>
      <w:proofErr w:type="spellEnd"/>
      <w:r w:rsidRPr="000962A5">
        <w:rPr>
          <w:lang w:val="en-US"/>
        </w:rPr>
        <w:t xml:space="preserve">, R. (2025) “From talk to trust: cultural dynamics of AI-driven social responsibility in negotiations for strategic communication,” </w:t>
      </w:r>
      <w:r w:rsidRPr="000962A5">
        <w:rPr>
          <w:i/>
          <w:iCs/>
          <w:lang w:val="en-US"/>
        </w:rPr>
        <w:t>International communication of Chinese culture</w:t>
      </w:r>
      <w:r w:rsidRPr="000962A5">
        <w:rPr>
          <w:lang w:val="en-US"/>
        </w:rPr>
        <w:t xml:space="preserve">, 12(2), pp. 239–258. Available at: </w:t>
      </w:r>
      <w:hyperlink r:id="rId11" w:history="1">
        <w:r w:rsidRPr="005222B0">
          <w:rPr>
            <w:rStyle w:val="Hyperlink"/>
            <w:rFonts w:eastAsia="Times New Roman" w:cs="Times New Roman"/>
            <w:szCs w:val="24"/>
            <w:lang w:val="en-US"/>
          </w:rPr>
          <w:t>https://doi.org/10.1007/s40636-025-00331-4</w:t>
        </w:r>
      </w:hyperlink>
      <w:r w:rsidRPr="000962A5">
        <w:rPr>
          <w:lang w:val="en-US"/>
        </w:rPr>
        <w:t>.</w:t>
      </w:r>
    </w:p>
    <w:p w:rsidR="000962A5" w:rsidRPr="00885C77" w:rsidRDefault="000962A5" w:rsidP="000962A5">
      <w:pPr>
        <w:ind w:left="720" w:hanging="720"/>
      </w:pPr>
      <w:r w:rsidRPr="00885C77">
        <w:t>Arias-Perez, J., Chacon-</w:t>
      </w:r>
      <w:proofErr w:type="spellStart"/>
      <w:r w:rsidRPr="00885C77">
        <w:t>Henao</w:t>
      </w:r>
      <w:proofErr w:type="spellEnd"/>
      <w:r w:rsidRPr="00885C77">
        <w:t>, J. and Lopez-Zapata, E. (2023) “Unlocking agility: Trapped in the antagonism between co-innovation in digital platforms, business analytics capability and external pressure for AI adoption</w:t>
      </w:r>
      <w:proofErr w:type="gramStart"/>
      <w:r w:rsidRPr="00885C77">
        <w:t>?,</w:t>
      </w:r>
      <w:proofErr w:type="gramEnd"/>
      <w:r w:rsidRPr="00885C77">
        <w:t xml:space="preserve">” </w:t>
      </w:r>
      <w:r w:rsidRPr="00885C77">
        <w:rPr>
          <w:i/>
          <w:iCs/>
        </w:rPr>
        <w:t>Business process management journal</w:t>
      </w:r>
      <w:r w:rsidRPr="00885C77">
        <w:t xml:space="preserve">, 29(6), pp. 1791–1809. Available at: </w:t>
      </w:r>
      <w:hyperlink r:id="rId12" w:history="1">
        <w:r w:rsidRPr="00885C77">
          <w:rPr>
            <w:rStyle w:val="Hyperlink"/>
            <w:rFonts w:eastAsia="Times New Roman" w:cs="Times New Roman"/>
            <w:szCs w:val="24"/>
          </w:rPr>
          <w:t>https://doi.org/10.1108/BPMJ-10-2022-0484</w:t>
        </w:r>
      </w:hyperlink>
      <w:r w:rsidRPr="00885C77">
        <w:t>.</w:t>
      </w:r>
    </w:p>
    <w:p w:rsidR="000962A5" w:rsidRPr="00885C77" w:rsidRDefault="000962A5" w:rsidP="000962A5">
      <w:pPr>
        <w:ind w:left="720" w:hanging="720"/>
      </w:pPr>
      <w:proofErr w:type="spellStart"/>
      <w:r w:rsidRPr="00885C77">
        <w:t>Astrom</w:t>
      </w:r>
      <w:proofErr w:type="spellEnd"/>
      <w:r w:rsidRPr="00885C77">
        <w:t xml:space="preserve">, J., </w:t>
      </w:r>
      <w:proofErr w:type="spellStart"/>
      <w:r w:rsidRPr="00885C77">
        <w:t>Reim</w:t>
      </w:r>
      <w:proofErr w:type="spellEnd"/>
      <w:r w:rsidRPr="00885C77">
        <w:t xml:space="preserve">, W. and </w:t>
      </w:r>
      <w:proofErr w:type="spellStart"/>
      <w:r w:rsidRPr="00885C77">
        <w:t>Parida</w:t>
      </w:r>
      <w:proofErr w:type="spellEnd"/>
      <w:r w:rsidRPr="00885C77">
        <w:t xml:space="preserve">, V. (2022) “Value creation and value capture for AI business model innovation: a three-phase process framework,” </w:t>
      </w:r>
      <w:r w:rsidRPr="00885C77">
        <w:rPr>
          <w:i/>
          <w:iCs/>
        </w:rPr>
        <w:t>Review of managerial science</w:t>
      </w:r>
      <w:r w:rsidRPr="00885C77">
        <w:t xml:space="preserve">, 16(7), pp. 2111–2133. Available at: </w:t>
      </w:r>
      <w:hyperlink r:id="rId13" w:history="1">
        <w:r w:rsidRPr="00885C77">
          <w:rPr>
            <w:rStyle w:val="Hyperlink"/>
            <w:rFonts w:eastAsia="Times New Roman" w:cs="Times New Roman"/>
            <w:szCs w:val="24"/>
          </w:rPr>
          <w:t>https://doi.org/10.1007/s11846-022-00521-z</w:t>
        </w:r>
      </w:hyperlink>
      <w:r w:rsidRPr="00885C77">
        <w:t>.</w:t>
      </w:r>
    </w:p>
    <w:p w:rsidR="000962A5" w:rsidRDefault="000962A5" w:rsidP="000962A5">
      <w:pPr>
        <w:ind w:left="720" w:hanging="720"/>
        <w:rPr>
          <w:lang w:val="en-US"/>
        </w:rPr>
      </w:pPr>
      <w:proofErr w:type="spellStart"/>
      <w:proofErr w:type="gramStart"/>
      <w:r w:rsidRPr="00610F16">
        <w:rPr>
          <w:lang w:val="en-US"/>
        </w:rPr>
        <w:t>Avanzi</w:t>
      </w:r>
      <w:proofErr w:type="spellEnd"/>
      <w:r w:rsidRPr="00610F16">
        <w:rPr>
          <w:lang w:val="en-US"/>
        </w:rPr>
        <w:t xml:space="preserve">, B. </w:t>
      </w:r>
      <w:r w:rsidRPr="000962A5">
        <w:t>Tan, X., Taylor, G., and Wong, B.</w:t>
      </w:r>
      <w:proofErr w:type="gramEnd"/>
      <w:r>
        <w:rPr>
          <w:rFonts w:ascii="Helvetica" w:hAnsi="Helvetica" w:cs="Helvetica"/>
          <w:color w:val="3A3A3A"/>
          <w:sz w:val="23"/>
          <w:szCs w:val="23"/>
          <w:shd w:val="clear" w:color="auto" w:fill="FFFFFF"/>
        </w:rPr>
        <w:t> </w:t>
      </w:r>
      <w:r w:rsidRPr="00610F16">
        <w:rPr>
          <w:lang w:val="en-US"/>
        </w:rPr>
        <w:t xml:space="preserve"> (2025) “On the Evolution of Data Breach Reporting Patterns and Frequency in the United States: A Cross-State Analysis,” </w:t>
      </w:r>
      <w:r w:rsidRPr="00610F16">
        <w:rPr>
          <w:i/>
          <w:iCs/>
          <w:lang w:val="en-US"/>
        </w:rPr>
        <w:t>North American actuarial journal</w:t>
      </w:r>
      <w:r w:rsidRPr="00610F16">
        <w:rPr>
          <w:lang w:val="en-US"/>
        </w:rPr>
        <w:t xml:space="preserve">, 29(4), pp. 833–864. Available at: </w:t>
      </w:r>
      <w:hyperlink r:id="rId14" w:history="1">
        <w:r w:rsidRPr="005222B0">
          <w:rPr>
            <w:rStyle w:val="Hyperlink"/>
            <w:rFonts w:eastAsia="Times New Roman" w:cs="Times New Roman"/>
            <w:szCs w:val="24"/>
            <w:lang w:val="en-US"/>
          </w:rPr>
          <w:t>https://doi.org/10.1080/10920277.2025.2457491</w:t>
        </w:r>
      </w:hyperlink>
      <w:r w:rsidRPr="00610F16">
        <w:rPr>
          <w:lang w:val="en-US"/>
        </w:rPr>
        <w:t>.</w:t>
      </w:r>
    </w:p>
    <w:p w:rsidR="000962A5" w:rsidRDefault="000962A5" w:rsidP="000962A5">
      <w:pPr>
        <w:ind w:left="720" w:hanging="720"/>
      </w:pPr>
      <w:proofErr w:type="spellStart"/>
      <w:r w:rsidRPr="007A6280">
        <w:t>Baye</w:t>
      </w:r>
      <w:proofErr w:type="spellEnd"/>
      <w:r w:rsidRPr="007A6280">
        <w:t>, M. (2017): Managerial Economics &amp; Business Strategy, McGraw-Hill Education</w:t>
      </w:r>
    </w:p>
    <w:p w:rsidR="000962A5" w:rsidRDefault="000962A5" w:rsidP="000962A5">
      <w:pPr>
        <w:ind w:left="720" w:hanging="720"/>
        <w:rPr>
          <w:lang w:val="en-US"/>
        </w:rPr>
      </w:pPr>
      <w:r w:rsidRPr="008A6732">
        <w:rPr>
          <w:lang w:val="en-US"/>
        </w:rPr>
        <w:t xml:space="preserve">Botha, L. and Steyn, R. (2023) “Employee voice as a </w:t>
      </w:r>
      <w:proofErr w:type="spellStart"/>
      <w:r w:rsidRPr="008A6732">
        <w:rPr>
          <w:lang w:val="en-US"/>
        </w:rPr>
        <w:t>behavioural</w:t>
      </w:r>
      <w:proofErr w:type="spellEnd"/>
      <w:r w:rsidRPr="008A6732">
        <w:rPr>
          <w:lang w:val="en-US"/>
        </w:rPr>
        <w:t xml:space="preserve"> response to psychological contract breach: The moderating effect of leadership style,” </w:t>
      </w:r>
      <w:r w:rsidRPr="008A6732">
        <w:rPr>
          <w:i/>
          <w:iCs/>
          <w:lang w:val="en-US"/>
        </w:rPr>
        <w:t>Cogent business &amp; management</w:t>
      </w:r>
      <w:r w:rsidRPr="008A6732">
        <w:rPr>
          <w:lang w:val="en-US"/>
        </w:rPr>
        <w:t xml:space="preserve">, 10(1), pp. 1–23. Available at: </w:t>
      </w:r>
      <w:hyperlink r:id="rId15" w:history="1">
        <w:r w:rsidRPr="005222B0">
          <w:rPr>
            <w:rStyle w:val="Hyperlink"/>
            <w:rFonts w:eastAsia="Times New Roman" w:cs="Times New Roman"/>
            <w:szCs w:val="24"/>
            <w:lang w:val="en-US"/>
          </w:rPr>
          <w:t>https://doi.org/10.1080/23311975.2023.2174181</w:t>
        </w:r>
      </w:hyperlink>
    </w:p>
    <w:p w:rsidR="000962A5" w:rsidRPr="00885C77" w:rsidRDefault="000962A5" w:rsidP="000962A5">
      <w:pPr>
        <w:ind w:left="720" w:hanging="720"/>
      </w:pPr>
      <w:proofErr w:type="gramStart"/>
      <w:r w:rsidRPr="00885C77">
        <w:t xml:space="preserve">Chatterjee, S. </w:t>
      </w:r>
      <w:r w:rsidRPr="000962A5">
        <w:t xml:space="preserve">Rana, N. P., </w:t>
      </w:r>
      <w:proofErr w:type="spellStart"/>
      <w:r w:rsidRPr="000962A5">
        <w:t>Tamilmani</w:t>
      </w:r>
      <w:proofErr w:type="spellEnd"/>
      <w:r w:rsidRPr="000962A5">
        <w:t>, K., and Sharma, A.</w:t>
      </w:r>
      <w:proofErr w:type="gramEnd"/>
      <w:r w:rsidRPr="000962A5">
        <w:t>  (</w:t>
      </w:r>
      <w:r w:rsidRPr="00885C77">
        <w:t xml:space="preserve">2021) “The effect of AI-based CRM on organization performance and competitive advantage: An empirical analysis in the B2B context,” </w:t>
      </w:r>
      <w:r w:rsidRPr="00885C77">
        <w:rPr>
          <w:i/>
          <w:iCs/>
        </w:rPr>
        <w:t>Industrial marketing management</w:t>
      </w:r>
      <w:r w:rsidRPr="00885C77">
        <w:t xml:space="preserve">, 97, pp. 205–219. Available at: </w:t>
      </w:r>
      <w:hyperlink r:id="rId16" w:history="1">
        <w:r w:rsidRPr="00885C77">
          <w:rPr>
            <w:rStyle w:val="Hyperlink"/>
            <w:rFonts w:eastAsia="Times New Roman" w:cs="Times New Roman"/>
            <w:szCs w:val="24"/>
          </w:rPr>
          <w:t>https://doi.org/10.1016/j.indmarman.2021.07.013</w:t>
        </w:r>
      </w:hyperlink>
      <w:r w:rsidRPr="00885C77">
        <w:t>.</w:t>
      </w:r>
    </w:p>
    <w:p w:rsidR="000962A5" w:rsidRDefault="000962A5" w:rsidP="000962A5">
      <w:pPr>
        <w:ind w:left="720" w:hanging="720"/>
        <w:rPr>
          <w:lang w:val="en-US"/>
        </w:rPr>
      </w:pPr>
      <w:proofErr w:type="gramStart"/>
      <w:r w:rsidRPr="008A6732">
        <w:rPr>
          <w:lang w:val="en-US"/>
        </w:rPr>
        <w:t xml:space="preserve">Chen, S. </w:t>
      </w:r>
      <w:r w:rsidRPr="000962A5">
        <w:t xml:space="preserve">Hung, C., Chen, P., </w:t>
      </w:r>
      <w:proofErr w:type="spellStart"/>
      <w:r w:rsidRPr="000962A5">
        <w:t>Tfwala</w:t>
      </w:r>
      <w:proofErr w:type="spellEnd"/>
      <w:r w:rsidRPr="000962A5">
        <w:t>, S. S., Liang, M., Jiang, C., and Chao, W.</w:t>
      </w:r>
      <w:proofErr w:type="gramEnd"/>
      <w:r w:rsidRPr="000962A5">
        <w:t xml:space="preserve">  </w:t>
      </w:r>
      <w:r w:rsidRPr="008A6732">
        <w:rPr>
          <w:lang w:val="en-US"/>
        </w:rPr>
        <w:t xml:space="preserve">(2026) “Synchronized Multidisciplinary Observations in Large‐Scale Dam Breach Experiments </w:t>
      </w:r>
      <w:r w:rsidRPr="008A6732">
        <w:rPr>
          <w:lang w:val="en-US"/>
        </w:rPr>
        <w:lastRenderedPageBreak/>
        <w:t xml:space="preserve">to Enhance the Understanding of Dam Failure Evolution,” </w:t>
      </w:r>
      <w:r w:rsidRPr="008A6732">
        <w:rPr>
          <w:i/>
          <w:iCs/>
          <w:lang w:val="en-US"/>
        </w:rPr>
        <w:t>Water resources research</w:t>
      </w:r>
      <w:r w:rsidRPr="008A6732">
        <w:rPr>
          <w:lang w:val="en-US"/>
        </w:rPr>
        <w:t xml:space="preserve">, 62(1). Available at: </w:t>
      </w:r>
      <w:hyperlink r:id="rId17" w:history="1">
        <w:r w:rsidRPr="005222B0">
          <w:rPr>
            <w:rStyle w:val="Hyperlink"/>
            <w:rFonts w:eastAsia="Times New Roman" w:cs="Times New Roman"/>
            <w:szCs w:val="24"/>
            <w:lang w:val="en-US"/>
          </w:rPr>
          <w:t>https://doi.org/10.1029/2025WR040786</w:t>
        </w:r>
      </w:hyperlink>
      <w:r w:rsidRPr="008A6732">
        <w:rPr>
          <w:lang w:val="en-US"/>
        </w:rPr>
        <w:t>.</w:t>
      </w:r>
    </w:p>
    <w:p w:rsidR="000962A5" w:rsidRDefault="000962A5" w:rsidP="000962A5">
      <w:pPr>
        <w:ind w:left="720" w:hanging="720"/>
        <w:rPr>
          <w:lang w:val="en-US"/>
        </w:rPr>
      </w:pPr>
      <w:r w:rsidRPr="008A6732">
        <w:rPr>
          <w:lang w:val="en-US"/>
        </w:rPr>
        <w:t xml:space="preserve">Chen, W. </w:t>
      </w:r>
      <w:r w:rsidRPr="000962A5">
        <w:t>Li, X., Wu, H., and Zhang, L.</w:t>
      </w:r>
      <w:r w:rsidRPr="008A6732">
        <w:rPr>
          <w:lang w:val="en-US"/>
        </w:rPr>
        <w:t xml:space="preserve"> (2024) “The impact of managerial myopia on cybersecurity: Evidence from data breaches,” </w:t>
      </w:r>
      <w:r w:rsidRPr="008A6732">
        <w:rPr>
          <w:i/>
          <w:iCs/>
          <w:lang w:val="en-US"/>
        </w:rPr>
        <w:t>Journal of banking &amp; finance</w:t>
      </w:r>
      <w:r w:rsidRPr="008A6732">
        <w:rPr>
          <w:lang w:val="en-US"/>
        </w:rPr>
        <w:t xml:space="preserve">, 166. Available at: </w:t>
      </w:r>
      <w:hyperlink r:id="rId18" w:history="1">
        <w:r w:rsidRPr="005222B0">
          <w:rPr>
            <w:rStyle w:val="Hyperlink"/>
            <w:rFonts w:eastAsia="Times New Roman" w:cs="Times New Roman"/>
            <w:szCs w:val="24"/>
            <w:lang w:val="en-US"/>
          </w:rPr>
          <w:t>https://doi.org/10.1016/j.jbankfin.2024.107254</w:t>
        </w:r>
      </w:hyperlink>
      <w:r w:rsidRPr="008A6732">
        <w:rPr>
          <w:lang w:val="en-US"/>
        </w:rPr>
        <w:t>.</w:t>
      </w:r>
    </w:p>
    <w:p w:rsidR="000962A5" w:rsidRDefault="000962A5" w:rsidP="000962A5">
      <w:pPr>
        <w:ind w:left="720" w:hanging="720"/>
        <w:rPr>
          <w:lang w:val="en-US"/>
        </w:rPr>
      </w:pPr>
      <w:r w:rsidRPr="008A6732">
        <w:rPr>
          <w:lang w:val="en-US"/>
        </w:rPr>
        <w:t xml:space="preserve">Cornejo, G.M. (2025) “Third-party risk in U.S. health care ransomware incidents: business associate involvement and breach size,” </w:t>
      </w:r>
      <w:r w:rsidRPr="008A6732">
        <w:rPr>
          <w:i/>
          <w:iCs/>
          <w:lang w:val="en-US"/>
        </w:rPr>
        <w:t>Health and technology</w:t>
      </w:r>
      <w:r w:rsidRPr="008A6732">
        <w:rPr>
          <w:lang w:val="en-US"/>
        </w:rPr>
        <w:t xml:space="preserve"> [Preprint]. Available at: </w:t>
      </w:r>
      <w:hyperlink r:id="rId19" w:history="1">
        <w:r w:rsidRPr="005222B0">
          <w:rPr>
            <w:rStyle w:val="Hyperlink"/>
            <w:rFonts w:eastAsia="Times New Roman" w:cs="Times New Roman"/>
            <w:szCs w:val="24"/>
            <w:lang w:val="en-US"/>
          </w:rPr>
          <w:t>https://doi.org/10.1007/s12553-025-01036-9</w:t>
        </w:r>
      </w:hyperlink>
      <w:r w:rsidRPr="008A6732">
        <w:rPr>
          <w:lang w:val="en-US"/>
        </w:rPr>
        <w:t>.</w:t>
      </w:r>
    </w:p>
    <w:p w:rsidR="000962A5" w:rsidRPr="00885C77" w:rsidRDefault="000962A5" w:rsidP="000962A5">
      <w:pPr>
        <w:ind w:left="720" w:hanging="720"/>
      </w:pPr>
      <w:proofErr w:type="spellStart"/>
      <w:r w:rsidRPr="00885C77">
        <w:t>Essien</w:t>
      </w:r>
      <w:proofErr w:type="spellEnd"/>
      <w:r w:rsidRPr="00885C77">
        <w:t xml:space="preserve">, A. </w:t>
      </w:r>
      <w:proofErr w:type="spellStart"/>
      <w:r w:rsidRPr="000962A5">
        <w:t>Bukoye</w:t>
      </w:r>
      <w:proofErr w:type="spellEnd"/>
      <w:r w:rsidRPr="000962A5">
        <w:t xml:space="preserve">, O. T., O’Dea, X., and </w:t>
      </w:r>
      <w:proofErr w:type="spellStart"/>
      <w:r w:rsidRPr="000962A5">
        <w:t>Kremantzis</w:t>
      </w:r>
      <w:proofErr w:type="spellEnd"/>
      <w:r w:rsidRPr="000962A5">
        <w:t>, M.</w:t>
      </w:r>
      <w:r w:rsidRPr="00885C77">
        <w:t xml:space="preserve"> (2024) “The influence of AI text generators on critical thinking skills in UK business schools,” </w:t>
      </w:r>
      <w:r w:rsidRPr="00885C77">
        <w:rPr>
          <w:i/>
          <w:iCs/>
        </w:rPr>
        <w:t>Studies in higher education (Dorchester-on-Thames)</w:t>
      </w:r>
      <w:r w:rsidRPr="00885C77">
        <w:t xml:space="preserve">, 49(5), pp. 865–882. Available at: </w:t>
      </w:r>
      <w:hyperlink r:id="rId20" w:history="1">
        <w:r w:rsidRPr="00885C77">
          <w:rPr>
            <w:rStyle w:val="Hyperlink"/>
            <w:rFonts w:eastAsia="Times New Roman" w:cs="Times New Roman"/>
            <w:szCs w:val="24"/>
          </w:rPr>
          <w:t>https://doi.org/10.1080/03075079.2024.2316881</w:t>
        </w:r>
      </w:hyperlink>
      <w:r w:rsidRPr="00885C77">
        <w:t>.</w:t>
      </w:r>
    </w:p>
    <w:p w:rsidR="000962A5" w:rsidRPr="000962A5" w:rsidRDefault="000962A5" w:rsidP="000962A5">
      <w:pPr>
        <w:ind w:left="720" w:hanging="720"/>
        <w:rPr>
          <w:lang w:val="en-US"/>
        </w:rPr>
      </w:pPr>
      <w:r w:rsidRPr="000962A5">
        <w:rPr>
          <w:lang w:val="en-US"/>
        </w:rPr>
        <w:t xml:space="preserve">Golda, A. </w:t>
      </w:r>
      <w:proofErr w:type="spellStart"/>
      <w:r w:rsidRPr="000962A5">
        <w:t>Mekonen</w:t>
      </w:r>
      <w:proofErr w:type="spellEnd"/>
      <w:r w:rsidRPr="000962A5">
        <w:t xml:space="preserve">, K., Pandey, A., Singh, A., </w:t>
      </w:r>
      <w:proofErr w:type="spellStart"/>
      <w:r w:rsidRPr="000962A5">
        <w:t>Hassija</w:t>
      </w:r>
      <w:proofErr w:type="spellEnd"/>
      <w:r w:rsidRPr="000962A5">
        <w:t xml:space="preserve">, V., </w:t>
      </w:r>
      <w:proofErr w:type="spellStart"/>
      <w:r w:rsidRPr="000962A5">
        <w:t>Chamola</w:t>
      </w:r>
      <w:proofErr w:type="spellEnd"/>
      <w:r w:rsidRPr="000962A5">
        <w:t xml:space="preserve">, V., and </w:t>
      </w:r>
      <w:proofErr w:type="spellStart"/>
      <w:r w:rsidRPr="000962A5">
        <w:t>Sikdar</w:t>
      </w:r>
      <w:proofErr w:type="spellEnd"/>
      <w:r w:rsidRPr="000962A5">
        <w:t>, B.</w:t>
      </w:r>
      <w:r w:rsidRPr="000962A5">
        <w:rPr>
          <w:lang w:val="en-US"/>
        </w:rPr>
        <w:t xml:space="preserve"> (2024) “Privacy and Security Concerns in Generative AI: A Comprehensive Survey,” </w:t>
      </w:r>
      <w:r w:rsidRPr="000962A5">
        <w:rPr>
          <w:i/>
          <w:iCs/>
          <w:lang w:val="en-US"/>
        </w:rPr>
        <w:t>IEEE access</w:t>
      </w:r>
      <w:r w:rsidRPr="000962A5">
        <w:rPr>
          <w:lang w:val="en-US"/>
        </w:rPr>
        <w:t>, 12, pp. 48126–48144. Available at: https://doi.org/10.1109/ACCESS.2024.3381611.</w:t>
      </w:r>
    </w:p>
    <w:p w:rsidR="000962A5" w:rsidRPr="00885C77" w:rsidRDefault="000962A5" w:rsidP="000962A5">
      <w:pPr>
        <w:ind w:left="720" w:hanging="720"/>
      </w:pPr>
      <w:proofErr w:type="spellStart"/>
      <w:r w:rsidRPr="00885C77">
        <w:t>Haefner</w:t>
      </w:r>
      <w:proofErr w:type="spellEnd"/>
      <w:r w:rsidRPr="00885C77">
        <w:t xml:space="preserve">, N., Gassmann, O. and Nielsen, C. (2023) “Generative AI and AI-based business model innovation: A conversation with Oliver Gassmann and Naomi </w:t>
      </w:r>
      <w:proofErr w:type="spellStart"/>
      <w:r w:rsidRPr="00885C77">
        <w:t>Haefner</w:t>
      </w:r>
      <w:proofErr w:type="spellEnd"/>
      <w:r w:rsidRPr="00885C77">
        <w:t xml:space="preserve">,” </w:t>
      </w:r>
      <w:r w:rsidRPr="00885C77">
        <w:rPr>
          <w:i/>
          <w:iCs/>
        </w:rPr>
        <w:t>Journal of business models</w:t>
      </w:r>
      <w:r w:rsidRPr="00885C77">
        <w:t>, 11(3), pp. 46–50.</w:t>
      </w:r>
    </w:p>
    <w:p w:rsidR="000962A5" w:rsidRPr="00885C77" w:rsidRDefault="000962A5" w:rsidP="000962A5">
      <w:pPr>
        <w:ind w:left="720" w:hanging="720"/>
      </w:pPr>
      <w:r w:rsidRPr="00885C77">
        <w:t xml:space="preserve">Hunt, W., Sarkar, S. and </w:t>
      </w:r>
      <w:proofErr w:type="spellStart"/>
      <w:r w:rsidRPr="00885C77">
        <w:t>Warhurst</w:t>
      </w:r>
      <w:proofErr w:type="spellEnd"/>
      <w:r w:rsidRPr="00885C77">
        <w:t xml:space="preserve">, C. (2022) “Measuring the impact of AI on jobs at the organization level: Lessons from a survey of UK business leaders,” </w:t>
      </w:r>
      <w:r w:rsidRPr="00885C77">
        <w:rPr>
          <w:i/>
          <w:iCs/>
        </w:rPr>
        <w:t>Research policy</w:t>
      </w:r>
      <w:r w:rsidRPr="00885C77">
        <w:t xml:space="preserve">, 51(2). Available at: </w:t>
      </w:r>
      <w:hyperlink r:id="rId21" w:history="1">
        <w:r w:rsidRPr="00885C77">
          <w:rPr>
            <w:rStyle w:val="Hyperlink"/>
            <w:rFonts w:eastAsia="Times New Roman" w:cs="Times New Roman"/>
            <w:szCs w:val="24"/>
          </w:rPr>
          <w:t>https://doi.org/10.1016/j.respol.2021.104425</w:t>
        </w:r>
      </w:hyperlink>
      <w:r w:rsidRPr="00885C77">
        <w:t>.</w:t>
      </w:r>
    </w:p>
    <w:p w:rsidR="000962A5" w:rsidRDefault="000962A5" w:rsidP="000962A5">
      <w:pPr>
        <w:ind w:left="720" w:hanging="720"/>
        <w:rPr>
          <w:lang w:val="en-US"/>
        </w:rPr>
      </w:pPr>
      <w:proofErr w:type="spellStart"/>
      <w:r w:rsidRPr="00B54037">
        <w:rPr>
          <w:lang w:val="en-US"/>
        </w:rPr>
        <w:t>Jarota</w:t>
      </w:r>
      <w:proofErr w:type="spellEnd"/>
      <w:r w:rsidRPr="00B54037">
        <w:rPr>
          <w:lang w:val="en-US"/>
        </w:rPr>
        <w:t xml:space="preserve">, M. (2021) “Artificial intelligence and </w:t>
      </w:r>
      <w:proofErr w:type="spellStart"/>
      <w:r w:rsidRPr="00B54037">
        <w:rPr>
          <w:lang w:val="en-US"/>
        </w:rPr>
        <w:t>robotisation</w:t>
      </w:r>
      <w:proofErr w:type="spellEnd"/>
      <w:r w:rsidRPr="00B54037">
        <w:rPr>
          <w:lang w:val="en-US"/>
        </w:rPr>
        <w:t xml:space="preserve"> in the EU - should we change OHS law</w:t>
      </w:r>
      <w:proofErr w:type="gramStart"/>
      <w:r w:rsidRPr="00B54037">
        <w:rPr>
          <w:lang w:val="en-US"/>
        </w:rPr>
        <w:t>?,</w:t>
      </w:r>
      <w:proofErr w:type="gramEnd"/>
      <w:r w:rsidRPr="00B54037">
        <w:rPr>
          <w:lang w:val="en-US"/>
        </w:rPr>
        <w:t xml:space="preserve">” </w:t>
      </w:r>
      <w:r w:rsidRPr="00B54037">
        <w:rPr>
          <w:i/>
          <w:iCs/>
          <w:lang w:val="en-US"/>
        </w:rPr>
        <w:t>Journal of occupational medicine and toxicology (London, England)</w:t>
      </w:r>
      <w:r w:rsidRPr="00B54037">
        <w:rPr>
          <w:lang w:val="en-US"/>
        </w:rPr>
        <w:t xml:space="preserve">, 16(1). Available at: </w:t>
      </w:r>
      <w:hyperlink r:id="rId22" w:history="1">
        <w:r w:rsidRPr="005222B0">
          <w:rPr>
            <w:rStyle w:val="Hyperlink"/>
            <w:rFonts w:eastAsia="Times New Roman" w:cs="Times New Roman"/>
            <w:szCs w:val="24"/>
            <w:lang w:val="en-US"/>
          </w:rPr>
          <w:t>https://doi.org/10.1186/s12995-021-00301-7</w:t>
        </w:r>
      </w:hyperlink>
      <w:r w:rsidRPr="00B54037">
        <w:rPr>
          <w:lang w:val="en-US"/>
        </w:rPr>
        <w:t>.</w:t>
      </w:r>
    </w:p>
    <w:p w:rsidR="000962A5" w:rsidRPr="00885C77" w:rsidRDefault="000962A5" w:rsidP="000962A5">
      <w:pPr>
        <w:ind w:left="720" w:hanging="720"/>
      </w:pPr>
      <w:proofErr w:type="spellStart"/>
      <w:r w:rsidRPr="00885C77">
        <w:lastRenderedPageBreak/>
        <w:t>Jorzik</w:t>
      </w:r>
      <w:proofErr w:type="spellEnd"/>
      <w:r w:rsidRPr="00885C77">
        <w:t xml:space="preserve">, P. </w:t>
      </w:r>
      <w:r w:rsidRPr="000962A5">
        <w:t xml:space="preserve">Klein, S. P., </w:t>
      </w:r>
      <w:proofErr w:type="spellStart"/>
      <w:r w:rsidRPr="000962A5">
        <w:t>Kanbach</w:t>
      </w:r>
      <w:proofErr w:type="spellEnd"/>
      <w:r w:rsidRPr="000962A5">
        <w:t>, D. K., and Kraus, S.</w:t>
      </w:r>
      <w:r w:rsidRPr="00885C77">
        <w:t xml:space="preserve"> (2024) “AI-driven business model innovation: A systematic review and research agenda,” </w:t>
      </w:r>
      <w:r w:rsidRPr="00885C77">
        <w:rPr>
          <w:i/>
          <w:iCs/>
        </w:rPr>
        <w:t>Journal of business research</w:t>
      </w:r>
      <w:r w:rsidRPr="00885C77">
        <w:t xml:space="preserve">, 182. Available at: </w:t>
      </w:r>
      <w:hyperlink r:id="rId23" w:history="1">
        <w:r w:rsidRPr="00885C77">
          <w:rPr>
            <w:rStyle w:val="Hyperlink"/>
            <w:rFonts w:eastAsia="Times New Roman" w:cs="Times New Roman"/>
            <w:szCs w:val="24"/>
          </w:rPr>
          <w:t>https://doi.org/10.1016/j.jbusres.2024.114764</w:t>
        </w:r>
      </w:hyperlink>
      <w:r w:rsidRPr="00885C77">
        <w:t>.</w:t>
      </w:r>
    </w:p>
    <w:p w:rsidR="000962A5" w:rsidRPr="00885C77" w:rsidRDefault="000962A5" w:rsidP="000962A5">
      <w:pPr>
        <w:ind w:left="720" w:hanging="720"/>
      </w:pPr>
      <w:proofErr w:type="spellStart"/>
      <w:r w:rsidRPr="00885C77">
        <w:t>Ke</w:t>
      </w:r>
      <w:proofErr w:type="spellEnd"/>
      <w:r w:rsidRPr="00885C77">
        <w:t xml:space="preserve">, P.F. and Ng, K.C. (2025) “Human-AI Synergy in Survey Development: Implications from Large Language Models in Business and Research,” </w:t>
      </w:r>
      <w:r w:rsidRPr="00885C77">
        <w:rPr>
          <w:i/>
          <w:iCs/>
        </w:rPr>
        <w:t>ACM transactions on management information systems</w:t>
      </w:r>
      <w:r w:rsidRPr="00885C77">
        <w:t xml:space="preserve">, 16(1). Available at: </w:t>
      </w:r>
      <w:hyperlink r:id="rId24" w:history="1">
        <w:r w:rsidRPr="00885C77">
          <w:rPr>
            <w:rStyle w:val="Hyperlink"/>
            <w:rFonts w:eastAsia="Times New Roman" w:cs="Times New Roman"/>
            <w:szCs w:val="24"/>
          </w:rPr>
          <w:t>https://doi.org/10.1145/3700597</w:t>
        </w:r>
      </w:hyperlink>
      <w:r w:rsidRPr="00885C77">
        <w:t>.</w:t>
      </w:r>
    </w:p>
    <w:p w:rsidR="000962A5" w:rsidRDefault="000962A5" w:rsidP="000962A5">
      <w:pPr>
        <w:ind w:left="720" w:hanging="720"/>
        <w:rPr>
          <w:lang w:val="en-US"/>
        </w:rPr>
      </w:pPr>
      <w:r w:rsidRPr="008A6732">
        <w:rPr>
          <w:lang w:val="en-US"/>
        </w:rPr>
        <w:t xml:space="preserve">Kikuchi, T. </w:t>
      </w:r>
      <w:proofErr w:type="spellStart"/>
      <w:r w:rsidRPr="000962A5">
        <w:t>Walston</w:t>
      </w:r>
      <w:proofErr w:type="spellEnd"/>
      <w:r w:rsidRPr="000962A5">
        <w:t xml:space="preserve">, S. L., </w:t>
      </w:r>
      <w:proofErr w:type="spellStart"/>
      <w:r w:rsidRPr="000962A5">
        <w:t>Takita</w:t>
      </w:r>
      <w:proofErr w:type="spellEnd"/>
      <w:r w:rsidRPr="000962A5">
        <w:t xml:space="preserve">, H., </w:t>
      </w:r>
      <w:proofErr w:type="spellStart"/>
      <w:r w:rsidRPr="000962A5">
        <w:t>Mitsuyama</w:t>
      </w:r>
      <w:proofErr w:type="spellEnd"/>
      <w:r w:rsidRPr="000962A5">
        <w:t xml:space="preserve">, Y., Ito, R., Hashimoto, M., </w:t>
      </w:r>
      <w:proofErr w:type="spellStart"/>
      <w:r w:rsidRPr="000962A5">
        <w:t>Nakaura</w:t>
      </w:r>
      <w:proofErr w:type="spellEnd"/>
      <w:r w:rsidRPr="000962A5">
        <w:t xml:space="preserve">, T., Hyakutake, H., </w:t>
      </w:r>
      <w:proofErr w:type="spellStart"/>
      <w:r w:rsidRPr="000962A5">
        <w:t>Kawabe</w:t>
      </w:r>
      <w:proofErr w:type="spellEnd"/>
      <w:r w:rsidRPr="000962A5">
        <w:t>, S., Mori, H., and Ueda, D.</w:t>
      </w:r>
      <w:r w:rsidRPr="008A6732">
        <w:rPr>
          <w:lang w:val="en-US"/>
        </w:rPr>
        <w:t xml:space="preserve"> (2026) “Scoping review of regulatory transparency in AI-based radiology software: analysis of PMDA-approved </w:t>
      </w:r>
      <w:proofErr w:type="spellStart"/>
      <w:r w:rsidRPr="008A6732">
        <w:rPr>
          <w:lang w:val="en-US"/>
        </w:rPr>
        <w:t>SaMD</w:t>
      </w:r>
      <w:proofErr w:type="spellEnd"/>
      <w:r w:rsidRPr="008A6732">
        <w:rPr>
          <w:lang w:val="en-US"/>
        </w:rPr>
        <w:t xml:space="preserve"> products,” </w:t>
      </w:r>
      <w:r w:rsidRPr="008A6732">
        <w:rPr>
          <w:i/>
          <w:iCs/>
          <w:lang w:val="en-US"/>
        </w:rPr>
        <w:t>Japanese journal of radiology</w:t>
      </w:r>
      <w:r w:rsidRPr="008A6732">
        <w:rPr>
          <w:lang w:val="en-US"/>
        </w:rPr>
        <w:t xml:space="preserve"> [Preprint]. Available at: </w:t>
      </w:r>
      <w:hyperlink r:id="rId25" w:history="1">
        <w:r w:rsidRPr="005222B0">
          <w:rPr>
            <w:rStyle w:val="Hyperlink"/>
            <w:rFonts w:eastAsia="Times New Roman" w:cs="Times New Roman"/>
            <w:szCs w:val="24"/>
            <w:lang w:val="en-US"/>
          </w:rPr>
          <w:t>https://doi.org/10.1007/s11604-025-01942-y</w:t>
        </w:r>
      </w:hyperlink>
      <w:r w:rsidRPr="008A6732">
        <w:rPr>
          <w:lang w:val="en-US"/>
        </w:rPr>
        <w:t>.</w:t>
      </w:r>
    </w:p>
    <w:p w:rsidR="000962A5" w:rsidRDefault="000962A5" w:rsidP="000962A5">
      <w:pPr>
        <w:ind w:left="720" w:hanging="720"/>
        <w:rPr>
          <w:lang w:val="en-US"/>
        </w:rPr>
      </w:pPr>
      <w:r w:rsidRPr="008A6732">
        <w:rPr>
          <w:lang w:val="en-US"/>
        </w:rPr>
        <w:t xml:space="preserve">Kim, N. and Lee, S. (2021) “Cybersecurity Breach and Crisis Response: An Analysis of Organizations’ Official Statements in the United States and South Korea,” </w:t>
      </w:r>
      <w:r w:rsidRPr="008A6732">
        <w:rPr>
          <w:i/>
          <w:iCs/>
          <w:lang w:val="en-US"/>
        </w:rPr>
        <w:t>International journal of business communication (Thousand Oaks, Calif.)</w:t>
      </w:r>
      <w:r w:rsidRPr="008A6732">
        <w:rPr>
          <w:lang w:val="en-US"/>
        </w:rPr>
        <w:t xml:space="preserve">, 58(4), pp. 560–581. Available at: </w:t>
      </w:r>
      <w:hyperlink r:id="rId26" w:history="1">
        <w:r w:rsidRPr="005222B0">
          <w:rPr>
            <w:rStyle w:val="Hyperlink"/>
            <w:rFonts w:eastAsia="Times New Roman" w:cs="Times New Roman"/>
            <w:szCs w:val="24"/>
            <w:lang w:val="en-US"/>
          </w:rPr>
          <w:t>https://doi.org/10.1177/2329488418777037</w:t>
        </w:r>
      </w:hyperlink>
      <w:r w:rsidRPr="008A6732">
        <w:rPr>
          <w:lang w:val="en-US"/>
        </w:rPr>
        <w:t>.</w:t>
      </w:r>
    </w:p>
    <w:p w:rsidR="000962A5" w:rsidRPr="00885C77" w:rsidRDefault="000962A5" w:rsidP="000962A5">
      <w:pPr>
        <w:ind w:left="720" w:hanging="720"/>
      </w:pPr>
      <w:proofErr w:type="gramStart"/>
      <w:r w:rsidRPr="00885C77">
        <w:t xml:space="preserve">Kumar, A. </w:t>
      </w:r>
      <w:r w:rsidRPr="000962A5">
        <w:t xml:space="preserve">Finley, B., </w:t>
      </w:r>
      <w:proofErr w:type="spellStart"/>
      <w:r w:rsidRPr="000962A5">
        <w:t>Braud</w:t>
      </w:r>
      <w:proofErr w:type="spellEnd"/>
      <w:r w:rsidRPr="000962A5">
        <w:t xml:space="preserve">, T., </w:t>
      </w:r>
      <w:proofErr w:type="spellStart"/>
      <w:r w:rsidRPr="000962A5">
        <w:t>Tarkoma</w:t>
      </w:r>
      <w:proofErr w:type="spellEnd"/>
      <w:r w:rsidRPr="000962A5">
        <w:t>, S., and Hui, P.</w:t>
      </w:r>
      <w:proofErr w:type="gramEnd"/>
      <w:r w:rsidRPr="00885C77">
        <w:rPr>
          <w:rFonts w:ascii="Helvetica" w:hAnsi="Helvetica" w:cs="Helvetica"/>
          <w:color w:val="3A3A3A"/>
          <w:sz w:val="23"/>
          <w:szCs w:val="23"/>
          <w:shd w:val="clear" w:color="auto" w:fill="FFFFFF"/>
        </w:rPr>
        <w:t> </w:t>
      </w:r>
      <w:r w:rsidRPr="00885C77">
        <w:t xml:space="preserve"> (2021) “Sketching an AI Marketplace: Tech, Economic, and Regulatory Aspects,” </w:t>
      </w:r>
      <w:r w:rsidRPr="00885C77">
        <w:rPr>
          <w:i/>
          <w:iCs/>
        </w:rPr>
        <w:t>IEEE access</w:t>
      </w:r>
      <w:r w:rsidRPr="00885C77">
        <w:t xml:space="preserve">, 9, pp. 13761–13774. Available at: </w:t>
      </w:r>
      <w:hyperlink r:id="rId27" w:history="1">
        <w:r w:rsidRPr="00885C77">
          <w:rPr>
            <w:rStyle w:val="Hyperlink"/>
            <w:rFonts w:eastAsia="Times New Roman" w:cs="Times New Roman"/>
            <w:szCs w:val="24"/>
          </w:rPr>
          <w:t>https://doi.org/10.1109/ACCESS.2021.3050929</w:t>
        </w:r>
      </w:hyperlink>
      <w:r w:rsidRPr="00885C77">
        <w:t>.</w:t>
      </w:r>
    </w:p>
    <w:p w:rsidR="000962A5" w:rsidRPr="00885C77" w:rsidRDefault="000962A5" w:rsidP="000962A5">
      <w:pPr>
        <w:ind w:left="720" w:hanging="720"/>
      </w:pPr>
      <w:proofErr w:type="gramStart"/>
      <w:r w:rsidRPr="00885C77">
        <w:t xml:space="preserve">Lu, S. </w:t>
      </w:r>
      <w:proofErr w:type="spellStart"/>
      <w:r w:rsidRPr="000962A5">
        <w:t>Serafeim</w:t>
      </w:r>
      <w:proofErr w:type="spellEnd"/>
      <w:r w:rsidRPr="000962A5">
        <w:t xml:space="preserve">, G., Xu, S., and </w:t>
      </w:r>
      <w:proofErr w:type="spellStart"/>
      <w:r w:rsidRPr="000962A5">
        <w:t>Awada</w:t>
      </w:r>
      <w:proofErr w:type="spellEnd"/>
      <w:r w:rsidRPr="000962A5">
        <w:t>, M.</w:t>
      </w:r>
      <w:r w:rsidRPr="00885C77">
        <w:t xml:space="preserve"> (2025) “Tracking business opportunities for climate solutions using AI in regulated accounting reports,” </w:t>
      </w:r>
      <w:r w:rsidRPr="00885C77">
        <w:rPr>
          <w:i/>
          <w:iCs/>
        </w:rPr>
        <w:t>Nature communications</w:t>
      </w:r>
      <w:r w:rsidRPr="00885C77">
        <w:t>, 16(1).</w:t>
      </w:r>
      <w:proofErr w:type="gramEnd"/>
      <w:r w:rsidRPr="00885C77">
        <w:t xml:space="preserve"> Available at: </w:t>
      </w:r>
      <w:hyperlink r:id="rId28" w:history="1">
        <w:r w:rsidRPr="00885C77">
          <w:rPr>
            <w:rStyle w:val="Hyperlink"/>
            <w:rFonts w:eastAsia="Times New Roman" w:cs="Times New Roman"/>
            <w:szCs w:val="24"/>
          </w:rPr>
          <w:t>https://doi.org/10.1038/s41467-025-64723-1</w:t>
        </w:r>
      </w:hyperlink>
      <w:r w:rsidRPr="00885C77">
        <w:t>.</w:t>
      </w:r>
    </w:p>
    <w:p w:rsidR="000962A5" w:rsidRPr="00885C77" w:rsidRDefault="000962A5" w:rsidP="000962A5">
      <w:pPr>
        <w:ind w:left="720" w:hanging="720"/>
      </w:pPr>
      <w:proofErr w:type="spellStart"/>
      <w:r w:rsidRPr="00885C77">
        <w:t>Metwally</w:t>
      </w:r>
      <w:proofErr w:type="spellEnd"/>
      <w:r w:rsidRPr="00885C77">
        <w:t xml:space="preserve">, A.B.M. </w:t>
      </w:r>
      <w:r w:rsidRPr="000962A5">
        <w:t>Al-</w:t>
      </w:r>
      <w:proofErr w:type="spellStart"/>
      <w:r w:rsidRPr="000962A5">
        <w:t>Maghzom</w:t>
      </w:r>
      <w:proofErr w:type="spellEnd"/>
      <w:r w:rsidRPr="000962A5">
        <w:t xml:space="preserve">, A., </w:t>
      </w:r>
      <w:proofErr w:type="spellStart"/>
      <w:r w:rsidRPr="000962A5">
        <w:t>Shabeeb</w:t>
      </w:r>
      <w:proofErr w:type="spellEnd"/>
      <w:r w:rsidRPr="000962A5">
        <w:t xml:space="preserve"> Ali, M. A., and El-Halaby, S.</w:t>
      </w:r>
      <w:r w:rsidRPr="00885C77">
        <w:t xml:space="preserve"> (2026) “Human familiarity meets machine intelligence: Evidence from experimental studies of generative AI and Financial Performance in U.K. retail,” </w:t>
      </w:r>
      <w:r w:rsidRPr="00885C77">
        <w:rPr>
          <w:i/>
          <w:iCs/>
        </w:rPr>
        <w:t>Journal of retailing and consumer services</w:t>
      </w:r>
      <w:r w:rsidRPr="00885C77">
        <w:t xml:space="preserve">, 91. Available at: </w:t>
      </w:r>
      <w:hyperlink r:id="rId29" w:history="1">
        <w:r w:rsidRPr="00885C77">
          <w:rPr>
            <w:rStyle w:val="Hyperlink"/>
            <w:rFonts w:eastAsia="Times New Roman" w:cs="Times New Roman"/>
            <w:szCs w:val="24"/>
          </w:rPr>
          <w:t>https://doi.org/10.1016/j.jretconser.2026.104726</w:t>
        </w:r>
      </w:hyperlink>
      <w:r w:rsidRPr="00885C77">
        <w:t>.</w:t>
      </w:r>
    </w:p>
    <w:p w:rsidR="000962A5" w:rsidRDefault="000962A5" w:rsidP="000962A5">
      <w:pPr>
        <w:ind w:left="720" w:hanging="720"/>
        <w:rPr>
          <w:lang w:val="en-US"/>
        </w:rPr>
      </w:pPr>
      <w:proofErr w:type="spellStart"/>
      <w:r w:rsidRPr="000962A5">
        <w:rPr>
          <w:lang w:val="en-US"/>
        </w:rPr>
        <w:t>Moharrak</w:t>
      </w:r>
      <w:proofErr w:type="spellEnd"/>
      <w:r w:rsidRPr="000962A5">
        <w:rPr>
          <w:lang w:val="en-US"/>
        </w:rPr>
        <w:t xml:space="preserve">, M. and </w:t>
      </w:r>
      <w:proofErr w:type="spellStart"/>
      <w:r w:rsidRPr="000962A5">
        <w:rPr>
          <w:lang w:val="en-US"/>
        </w:rPr>
        <w:t>Mogaji</w:t>
      </w:r>
      <w:proofErr w:type="spellEnd"/>
      <w:r w:rsidRPr="000962A5">
        <w:rPr>
          <w:lang w:val="en-US"/>
        </w:rPr>
        <w:t xml:space="preserve">, E. (2025) “Generative AI in banking: empirical insights on integration, challenges and opportunities in a regulated industry,” </w:t>
      </w:r>
      <w:r w:rsidRPr="000962A5">
        <w:rPr>
          <w:i/>
          <w:iCs/>
          <w:lang w:val="en-US"/>
        </w:rPr>
        <w:t xml:space="preserve">International journal of </w:t>
      </w:r>
      <w:r w:rsidRPr="000962A5">
        <w:rPr>
          <w:i/>
          <w:iCs/>
          <w:lang w:val="en-US"/>
        </w:rPr>
        <w:lastRenderedPageBreak/>
        <w:t>bank marketing</w:t>
      </w:r>
      <w:r w:rsidRPr="000962A5">
        <w:rPr>
          <w:lang w:val="en-US"/>
        </w:rPr>
        <w:t xml:space="preserve">, 43(4), pp. 871–896. Available at: </w:t>
      </w:r>
      <w:hyperlink r:id="rId30" w:history="1">
        <w:r w:rsidRPr="005222B0">
          <w:rPr>
            <w:rStyle w:val="Hyperlink"/>
            <w:rFonts w:eastAsia="Times New Roman" w:cs="Times New Roman"/>
            <w:szCs w:val="24"/>
            <w:lang w:val="en-US"/>
          </w:rPr>
          <w:t>https://doi.org/10.1108/IJBM-08-2024-0490</w:t>
        </w:r>
      </w:hyperlink>
      <w:r w:rsidRPr="000962A5">
        <w:rPr>
          <w:lang w:val="en-US"/>
        </w:rPr>
        <w:t>.</w:t>
      </w:r>
    </w:p>
    <w:p w:rsidR="000962A5" w:rsidRDefault="000962A5" w:rsidP="000962A5">
      <w:pPr>
        <w:ind w:left="720" w:hanging="720"/>
        <w:rPr>
          <w:lang w:val="en-US"/>
        </w:rPr>
      </w:pPr>
      <w:proofErr w:type="spellStart"/>
      <w:r w:rsidRPr="00610F16">
        <w:rPr>
          <w:lang w:val="en-US"/>
        </w:rPr>
        <w:t>Molitor</w:t>
      </w:r>
      <w:proofErr w:type="spellEnd"/>
      <w:r w:rsidRPr="00610F16">
        <w:rPr>
          <w:lang w:val="en-US"/>
        </w:rPr>
        <w:t xml:space="preserve">, D. </w:t>
      </w:r>
      <w:proofErr w:type="spellStart"/>
      <w:r w:rsidRPr="000962A5">
        <w:t>Raghupathi</w:t>
      </w:r>
      <w:proofErr w:type="spellEnd"/>
      <w:r w:rsidRPr="000962A5">
        <w:t xml:space="preserve">, W., </w:t>
      </w:r>
      <w:proofErr w:type="spellStart"/>
      <w:r w:rsidRPr="000962A5">
        <w:t>Saharia</w:t>
      </w:r>
      <w:proofErr w:type="spellEnd"/>
      <w:r w:rsidRPr="000962A5">
        <w:t xml:space="preserve">, A., and </w:t>
      </w:r>
      <w:proofErr w:type="spellStart"/>
      <w:r w:rsidRPr="000962A5">
        <w:t>Raghupathi</w:t>
      </w:r>
      <w:proofErr w:type="spellEnd"/>
      <w:r w:rsidRPr="000962A5">
        <w:t>, V</w:t>
      </w:r>
      <w:r>
        <w:rPr>
          <w:rFonts w:ascii="Helvetica" w:hAnsi="Helvetica" w:cs="Helvetica"/>
          <w:color w:val="3A3A3A"/>
          <w:sz w:val="23"/>
          <w:szCs w:val="23"/>
          <w:shd w:val="clear" w:color="auto" w:fill="FFFFFF"/>
        </w:rPr>
        <w:t>. </w:t>
      </w:r>
      <w:r w:rsidRPr="00610F16">
        <w:rPr>
          <w:lang w:val="en-US"/>
        </w:rPr>
        <w:t xml:space="preserve"> (2023) “Exploring Key Issues in Cybersecurity Data Breaches: Analyzing Data Breach Litigation with ML-Based Text Analytics,” </w:t>
      </w:r>
      <w:r w:rsidRPr="00610F16">
        <w:rPr>
          <w:i/>
          <w:iCs/>
          <w:lang w:val="en-US"/>
        </w:rPr>
        <w:t>Information (Basel)</w:t>
      </w:r>
      <w:r w:rsidRPr="00610F16">
        <w:rPr>
          <w:lang w:val="en-US"/>
        </w:rPr>
        <w:t xml:space="preserve">, 14(11), p. 600. Available at: </w:t>
      </w:r>
      <w:hyperlink r:id="rId31" w:history="1">
        <w:r w:rsidRPr="005222B0">
          <w:rPr>
            <w:rStyle w:val="Hyperlink"/>
            <w:rFonts w:eastAsia="Times New Roman" w:cs="Times New Roman"/>
            <w:szCs w:val="24"/>
            <w:lang w:val="en-US"/>
          </w:rPr>
          <w:t>https://doi.org/10.3390/info14110600</w:t>
        </w:r>
      </w:hyperlink>
      <w:r w:rsidRPr="00610F16">
        <w:rPr>
          <w:lang w:val="en-US"/>
        </w:rPr>
        <w:t>.</w:t>
      </w:r>
    </w:p>
    <w:p w:rsidR="000962A5" w:rsidRDefault="000962A5" w:rsidP="000962A5">
      <w:pPr>
        <w:ind w:left="720" w:hanging="720"/>
      </w:pPr>
      <w:r w:rsidRPr="000C43E1">
        <w:t xml:space="preserve">Morrison, J. (2020) </w:t>
      </w:r>
      <w:proofErr w:type="gramStart"/>
      <w:r w:rsidRPr="000C43E1">
        <w:t>The</w:t>
      </w:r>
      <w:proofErr w:type="gramEnd"/>
      <w:r w:rsidRPr="000C43E1">
        <w:t xml:space="preserve"> Global Business Environment Towards Sustainability, Red Globe Press</w:t>
      </w:r>
    </w:p>
    <w:p w:rsidR="000962A5" w:rsidRDefault="000962A5" w:rsidP="000962A5">
      <w:pPr>
        <w:ind w:left="720" w:hanging="720"/>
        <w:rPr>
          <w:lang w:val="en-US"/>
        </w:rPr>
      </w:pPr>
      <w:proofErr w:type="spellStart"/>
      <w:proofErr w:type="gramStart"/>
      <w:r w:rsidRPr="000962A5">
        <w:rPr>
          <w:lang w:val="en-US"/>
        </w:rPr>
        <w:t>Nalini</w:t>
      </w:r>
      <w:proofErr w:type="spellEnd"/>
      <w:r w:rsidRPr="000962A5">
        <w:rPr>
          <w:lang w:val="en-US"/>
        </w:rPr>
        <w:t xml:space="preserve">, G.S. and </w:t>
      </w:r>
      <w:proofErr w:type="spellStart"/>
      <w:r w:rsidRPr="000962A5">
        <w:rPr>
          <w:lang w:val="en-US"/>
        </w:rPr>
        <w:t>Paldon</w:t>
      </w:r>
      <w:proofErr w:type="spellEnd"/>
      <w:r w:rsidRPr="000962A5">
        <w:rPr>
          <w:lang w:val="en-US"/>
        </w:rPr>
        <w:t xml:space="preserve">, T. (2022) “Investment Decision Using Capital Asset Pricing Model,” </w:t>
      </w:r>
      <w:r w:rsidRPr="000962A5">
        <w:rPr>
          <w:i/>
          <w:iCs/>
          <w:lang w:val="en-US"/>
        </w:rPr>
        <w:t>Emerging economies cases journal (Online)</w:t>
      </w:r>
      <w:r w:rsidRPr="000962A5">
        <w:rPr>
          <w:lang w:val="en-US"/>
        </w:rPr>
        <w:t>, 4(1), pp. 44–48.</w:t>
      </w:r>
      <w:proofErr w:type="gramEnd"/>
      <w:r w:rsidRPr="000962A5">
        <w:rPr>
          <w:lang w:val="en-US"/>
        </w:rPr>
        <w:t xml:space="preserve"> Available at: </w:t>
      </w:r>
      <w:hyperlink r:id="rId32" w:history="1">
        <w:r w:rsidRPr="005222B0">
          <w:rPr>
            <w:rStyle w:val="Hyperlink"/>
            <w:rFonts w:eastAsia="Times New Roman" w:cs="Times New Roman"/>
            <w:szCs w:val="24"/>
            <w:lang w:val="en-US"/>
          </w:rPr>
          <w:t>https://doi.org/10.1177/25166042221115240</w:t>
        </w:r>
      </w:hyperlink>
      <w:r w:rsidRPr="000962A5">
        <w:rPr>
          <w:lang w:val="en-US"/>
        </w:rPr>
        <w:t>.</w:t>
      </w:r>
    </w:p>
    <w:p w:rsidR="000962A5" w:rsidRDefault="000962A5" w:rsidP="000962A5">
      <w:pPr>
        <w:ind w:left="720" w:hanging="720"/>
        <w:rPr>
          <w:lang w:val="en-US"/>
        </w:rPr>
      </w:pPr>
      <w:proofErr w:type="spellStart"/>
      <w:r w:rsidRPr="00B54037">
        <w:rPr>
          <w:lang w:val="en-US"/>
        </w:rPr>
        <w:t>Neuwirth</w:t>
      </w:r>
      <w:proofErr w:type="spellEnd"/>
      <w:r w:rsidRPr="00B54037">
        <w:rPr>
          <w:lang w:val="en-US"/>
        </w:rPr>
        <w:t xml:space="preserve">, R.J. (2023) “Prohibited artificial intelligence practices in the proposed EU artificial intelligence act (AIA),” </w:t>
      </w:r>
      <w:r w:rsidRPr="00B54037">
        <w:rPr>
          <w:i/>
          <w:iCs/>
          <w:lang w:val="en-US"/>
        </w:rPr>
        <w:t>Computer law &amp; security review</w:t>
      </w:r>
      <w:r w:rsidRPr="00B54037">
        <w:rPr>
          <w:lang w:val="en-US"/>
        </w:rPr>
        <w:t xml:space="preserve">, 48. Available at: </w:t>
      </w:r>
      <w:hyperlink r:id="rId33" w:history="1">
        <w:r w:rsidRPr="005222B0">
          <w:rPr>
            <w:rStyle w:val="Hyperlink"/>
            <w:rFonts w:eastAsia="Times New Roman" w:cs="Times New Roman"/>
            <w:szCs w:val="24"/>
            <w:lang w:val="en-US"/>
          </w:rPr>
          <w:t>https://doi.org/10.1016/j.clsr.2023.105798</w:t>
        </w:r>
      </w:hyperlink>
      <w:r w:rsidRPr="00B54037">
        <w:rPr>
          <w:lang w:val="en-US"/>
        </w:rPr>
        <w:t>.</w:t>
      </w:r>
    </w:p>
    <w:p w:rsidR="000962A5" w:rsidRPr="00885C77" w:rsidRDefault="000962A5" w:rsidP="000962A5">
      <w:pPr>
        <w:ind w:left="720" w:hanging="720"/>
      </w:pPr>
      <w:proofErr w:type="spellStart"/>
      <w:r w:rsidRPr="00885C77">
        <w:t>Okuno</w:t>
      </w:r>
      <w:proofErr w:type="spellEnd"/>
      <w:r w:rsidRPr="00885C77">
        <w:t xml:space="preserve">, M.J. and </w:t>
      </w:r>
      <w:proofErr w:type="spellStart"/>
      <w:r w:rsidRPr="00885C77">
        <w:t>Okuno</w:t>
      </w:r>
      <w:proofErr w:type="spellEnd"/>
      <w:r w:rsidRPr="00885C77">
        <w:t xml:space="preserve">, H.G. (2025) “Legal frameworks for AI service business participants: a comparative analysis of liability protection across jurisdictions,” </w:t>
      </w:r>
      <w:r w:rsidRPr="00885C77">
        <w:rPr>
          <w:i/>
          <w:iCs/>
        </w:rPr>
        <w:t>AI &amp; society</w:t>
      </w:r>
      <w:r w:rsidRPr="00885C77">
        <w:t xml:space="preserve">, 40(7), pp. 5667–5683. Available at: </w:t>
      </w:r>
      <w:hyperlink r:id="rId34" w:history="1">
        <w:r w:rsidRPr="00885C77">
          <w:rPr>
            <w:rStyle w:val="Hyperlink"/>
            <w:rFonts w:eastAsia="Times New Roman" w:cs="Times New Roman"/>
            <w:szCs w:val="24"/>
          </w:rPr>
          <w:t>https://doi.org/10.1007/s00146-025-02288-9</w:t>
        </w:r>
      </w:hyperlink>
      <w:r w:rsidRPr="00885C77">
        <w:t>.</w:t>
      </w:r>
    </w:p>
    <w:p w:rsidR="000962A5" w:rsidRDefault="000962A5" w:rsidP="000962A5">
      <w:pPr>
        <w:ind w:left="720" w:hanging="720"/>
        <w:rPr>
          <w:lang w:val="en-US"/>
        </w:rPr>
      </w:pPr>
      <w:proofErr w:type="spellStart"/>
      <w:r w:rsidRPr="00B54037">
        <w:rPr>
          <w:lang w:val="en-US"/>
        </w:rPr>
        <w:t>Puri</w:t>
      </w:r>
      <w:proofErr w:type="spellEnd"/>
      <w:r w:rsidRPr="00B54037">
        <w:rPr>
          <w:lang w:val="en-US"/>
        </w:rPr>
        <w:t xml:space="preserve">, S. </w:t>
      </w:r>
      <w:r w:rsidRPr="000962A5">
        <w:t xml:space="preserve">Pradhan, J. A., </w:t>
      </w:r>
      <w:proofErr w:type="spellStart"/>
      <w:r w:rsidRPr="000962A5">
        <w:t>Bernabe</w:t>
      </w:r>
      <w:proofErr w:type="spellEnd"/>
      <w:r w:rsidRPr="000962A5">
        <w:t>, B. G., and Ray, A. K</w:t>
      </w:r>
      <w:r>
        <w:rPr>
          <w:rFonts w:ascii="Helvetica" w:hAnsi="Helvetica" w:cs="Helvetica"/>
          <w:color w:val="3A3A3A"/>
          <w:sz w:val="23"/>
          <w:szCs w:val="23"/>
          <w:shd w:val="clear" w:color="auto" w:fill="FFFFFF"/>
        </w:rPr>
        <w:t>.</w:t>
      </w:r>
      <w:r w:rsidRPr="00B54037">
        <w:rPr>
          <w:lang w:val="en-US"/>
        </w:rPr>
        <w:t xml:space="preserve"> (2026) “Agentic AI in Branding: Driving Hyper-personalization and Real-time Adaptation,” </w:t>
      </w:r>
      <w:r w:rsidRPr="00B54037">
        <w:rPr>
          <w:i/>
          <w:iCs/>
          <w:lang w:val="en-US"/>
        </w:rPr>
        <w:t>Global business review</w:t>
      </w:r>
      <w:r w:rsidRPr="00B54037">
        <w:rPr>
          <w:lang w:val="en-US"/>
        </w:rPr>
        <w:t xml:space="preserve"> [Preprint]. Available at: </w:t>
      </w:r>
      <w:hyperlink r:id="rId35" w:history="1">
        <w:r w:rsidRPr="005222B0">
          <w:rPr>
            <w:rStyle w:val="Hyperlink"/>
            <w:rFonts w:eastAsia="Times New Roman" w:cs="Times New Roman"/>
            <w:szCs w:val="24"/>
            <w:lang w:val="en-US"/>
          </w:rPr>
          <w:t>https://doi.org/10.1177/09721509251414773</w:t>
        </w:r>
      </w:hyperlink>
      <w:r w:rsidRPr="00B54037">
        <w:rPr>
          <w:lang w:val="en-US"/>
        </w:rPr>
        <w:t>.</w:t>
      </w:r>
    </w:p>
    <w:p w:rsidR="000962A5" w:rsidRDefault="000962A5" w:rsidP="000962A5">
      <w:pPr>
        <w:ind w:left="720" w:hanging="720"/>
        <w:rPr>
          <w:lang w:val="en-US"/>
        </w:rPr>
      </w:pPr>
      <w:r w:rsidRPr="00B54037">
        <w:rPr>
          <w:lang w:val="en-US"/>
        </w:rPr>
        <w:t xml:space="preserve">Ryan, M. </w:t>
      </w:r>
      <w:r w:rsidRPr="000962A5">
        <w:t xml:space="preserve">Christodoulou, E., Antoniou, J., and </w:t>
      </w:r>
      <w:proofErr w:type="spellStart"/>
      <w:r w:rsidRPr="000962A5">
        <w:t>Iordanou</w:t>
      </w:r>
      <w:proofErr w:type="spellEnd"/>
      <w:r w:rsidRPr="000962A5">
        <w:t>,</w:t>
      </w:r>
      <w:r>
        <w:rPr>
          <w:rFonts w:ascii="Helvetica" w:hAnsi="Helvetica" w:cs="Helvetica"/>
          <w:color w:val="3A3A3A"/>
          <w:sz w:val="23"/>
          <w:szCs w:val="23"/>
          <w:shd w:val="clear" w:color="auto" w:fill="FFFFFF"/>
        </w:rPr>
        <w:t xml:space="preserve"> K.</w:t>
      </w:r>
      <w:r w:rsidRPr="00B54037">
        <w:rPr>
          <w:lang w:val="en-US"/>
        </w:rPr>
        <w:t xml:space="preserve"> (2024) “An AI ethics ‘David and Goliath’: value conflicts between large tech companies and their employees,” </w:t>
      </w:r>
      <w:r w:rsidRPr="00B54037">
        <w:rPr>
          <w:i/>
          <w:iCs/>
          <w:lang w:val="en-US"/>
        </w:rPr>
        <w:t>AI &amp; society</w:t>
      </w:r>
      <w:r w:rsidRPr="00B54037">
        <w:rPr>
          <w:lang w:val="en-US"/>
        </w:rPr>
        <w:t xml:space="preserve">, 39(2), pp. 557–572. Available at: </w:t>
      </w:r>
      <w:hyperlink r:id="rId36" w:history="1">
        <w:r w:rsidRPr="005222B0">
          <w:rPr>
            <w:rStyle w:val="Hyperlink"/>
            <w:rFonts w:eastAsia="Times New Roman" w:cs="Times New Roman"/>
            <w:szCs w:val="24"/>
            <w:lang w:val="en-US"/>
          </w:rPr>
          <w:t>https://doi.org/10.1007/s00146-022-01430-1</w:t>
        </w:r>
      </w:hyperlink>
      <w:r w:rsidRPr="00B54037">
        <w:rPr>
          <w:lang w:val="en-US"/>
        </w:rPr>
        <w:t>.</w:t>
      </w:r>
    </w:p>
    <w:p w:rsidR="000962A5" w:rsidRDefault="000962A5" w:rsidP="000962A5">
      <w:pPr>
        <w:ind w:left="720" w:hanging="720"/>
        <w:rPr>
          <w:lang w:val="en-US"/>
        </w:rPr>
      </w:pPr>
      <w:proofErr w:type="spellStart"/>
      <w:proofErr w:type="gramStart"/>
      <w:r w:rsidRPr="00B54037">
        <w:rPr>
          <w:lang w:val="en-US"/>
        </w:rPr>
        <w:t>Sattari</w:t>
      </w:r>
      <w:proofErr w:type="spellEnd"/>
      <w:r w:rsidRPr="00B54037">
        <w:rPr>
          <w:lang w:val="en-US"/>
        </w:rPr>
        <w:t xml:space="preserve">, F. </w:t>
      </w:r>
      <w:proofErr w:type="spellStart"/>
      <w:r w:rsidRPr="00B54037">
        <w:t>efsrud</w:t>
      </w:r>
      <w:proofErr w:type="spellEnd"/>
      <w:r w:rsidRPr="00B54037">
        <w:t xml:space="preserve">, L., Kurian, D., and </w:t>
      </w:r>
      <w:proofErr w:type="spellStart"/>
      <w:r w:rsidRPr="00B54037">
        <w:t>Macciotta</w:t>
      </w:r>
      <w:proofErr w:type="spellEnd"/>
      <w:r w:rsidRPr="00B54037">
        <w:t>, R. (2022)</w:t>
      </w:r>
      <w:r w:rsidRPr="00B54037">
        <w:rPr>
          <w:lang w:val="en-US"/>
        </w:rPr>
        <w:t xml:space="preserve"> “A theoretical framework for data-driven artificial intelligence decision making for enhancing the asset integrity management system in the oil &amp; gas sector,” </w:t>
      </w:r>
      <w:r w:rsidRPr="00B54037">
        <w:rPr>
          <w:i/>
          <w:iCs/>
          <w:lang w:val="en-US"/>
        </w:rPr>
        <w:t>Journal of loss prevention in the process industries</w:t>
      </w:r>
      <w:r w:rsidRPr="00B54037">
        <w:rPr>
          <w:lang w:val="en-US"/>
        </w:rPr>
        <w:t>, 74.</w:t>
      </w:r>
      <w:proofErr w:type="gramEnd"/>
      <w:r w:rsidRPr="00B54037">
        <w:rPr>
          <w:lang w:val="en-US"/>
        </w:rPr>
        <w:t xml:space="preserve"> Available at: </w:t>
      </w:r>
      <w:hyperlink r:id="rId37" w:history="1">
        <w:r w:rsidRPr="005222B0">
          <w:rPr>
            <w:rStyle w:val="Hyperlink"/>
            <w:rFonts w:eastAsia="Times New Roman" w:cs="Times New Roman"/>
            <w:szCs w:val="24"/>
            <w:lang w:val="en-US"/>
          </w:rPr>
          <w:t>https://doi.org/10.1016/j.jlp.2021.104648</w:t>
        </w:r>
      </w:hyperlink>
      <w:r w:rsidRPr="00B54037">
        <w:rPr>
          <w:lang w:val="en-US"/>
        </w:rPr>
        <w:t>.</w:t>
      </w:r>
    </w:p>
    <w:p w:rsidR="000962A5" w:rsidRDefault="000962A5" w:rsidP="000962A5">
      <w:pPr>
        <w:ind w:left="720" w:hanging="720"/>
      </w:pPr>
      <w:proofErr w:type="spellStart"/>
      <w:r w:rsidRPr="007C73D0">
        <w:t>Sloman</w:t>
      </w:r>
      <w:proofErr w:type="spellEnd"/>
      <w:r w:rsidRPr="007C73D0">
        <w:t>, J. and Jones, E. (2020): Essential Economics for Business, 6/E, Pearson, London.</w:t>
      </w:r>
    </w:p>
    <w:p w:rsidR="000962A5" w:rsidRPr="00885C77" w:rsidRDefault="000962A5" w:rsidP="000962A5">
      <w:pPr>
        <w:ind w:left="720" w:hanging="720"/>
      </w:pPr>
      <w:proofErr w:type="spellStart"/>
      <w:proofErr w:type="gramStart"/>
      <w:r w:rsidRPr="00885C77">
        <w:lastRenderedPageBreak/>
        <w:t>Tasiemski</w:t>
      </w:r>
      <w:proofErr w:type="spellEnd"/>
      <w:r w:rsidRPr="00885C77">
        <w:t xml:space="preserve">, L. and Orchard, T. (2023) “The rise of Generative AI and possible effects on the economy,” </w:t>
      </w:r>
      <w:r w:rsidRPr="00885C77">
        <w:rPr>
          <w:i/>
          <w:iCs/>
        </w:rPr>
        <w:t>Economics and business review</w:t>
      </w:r>
      <w:r w:rsidRPr="00885C77">
        <w:t>, 9(2), pp. 9–26.</w:t>
      </w:r>
      <w:proofErr w:type="gramEnd"/>
      <w:r w:rsidRPr="00885C77">
        <w:t xml:space="preserve"> Available at: </w:t>
      </w:r>
      <w:hyperlink r:id="rId38" w:history="1">
        <w:r w:rsidRPr="00885C77">
          <w:rPr>
            <w:rStyle w:val="Hyperlink"/>
            <w:rFonts w:eastAsia="Times New Roman" w:cs="Times New Roman"/>
            <w:szCs w:val="24"/>
          </w:rPr>
          <w:t>https://doi.org/10.18559/ebr.2023.2.732</w:t>
        </w:r>
      </w:hyperlink>
      <w:r w:rsidRPr="00885C77">
        <w:t>.</w:t>
      </w:r>
    </w:p>
    <w:p w:rsidR="000962A5" w:rsidRDefault="000962A5" w:rsidP="000962A5">
      <w:pPr>
        <w:ind w:left="720" w:hanging="720"/>
        <w:rPr>
          <w:lang w:val="en-US"/>
        </w:rPr>
      </w:pPr>
      <w:r w:rsidRPr="008A6732">
        <w:rPr>
          <w:lang w:val="en-US"/>
        </w:rPr>
        <w:t xml:space="preserve">Teixeira da Silva, J.A. (2025) “Editing companies have the responsibility of ensuring their declared use of generative artificial intelligence,” </w:t>
      </w:r>
      <w:r w:rsidRPr="008A6732">
        <w:rPr>
          <w:i/>
          <w:iCs/>
          <w:lang w:val="en-US"/>
        </w:rPr>
        <w:t>Journal of clinical epidemiology</w:t>
      </w:r>
      <w:r w:rsidRPr="008A6732">
        <w:rPr>
          <w:lang w:val="en-US"/>
        </w:rPr>
        <w:t xml:space="preserve">, 177. Available at: </w:t>
      </w:r>
      <w:hyperlink r:id="rId39" w:history="1">
        <w:r w:rsidRPr="005222B0">
          <w:rPr>
            <w:rStyle w:val="Hyperlink"/>
            <w:rFonts w:eastAsia="Times New Roman" w:cs="Times New Roman"/>
            <w:szCs w:val="24"/>
            <w:lang w:val="en-US"/>
          </w:rPr>
          <w:t>https://doi.org/10.1016/j.jclinepi.2024.111607</w:t>
        </w:r>
      </w:hyperlink>
      <w:r w:rsidRPr="008A6732">
        <w:rPr>
          <w:lang w:val="en-US"/>
        </w:rPr>
        <w:t>.</w:t>
      </w:r>
    </w:p>
    <w:p w:rsidR="000962A5" w:rsidRPr="000962A5" w:rsidRDefault="000962A5" w:rsidP="000962A5">
      <w:pPr>
        <w:ind w:left="720" w:hanging="720"/>
        <w:rPr>
          <w:lang w:val="en-US"/>
        </w:rPr>
      </w:pPr>
      <w:r w:rsidRPr="000962A5">
        <w:rPr>
          <w:lang w:val="en-US"/>
        </w:rPr>
        <w:t xml:space="preserve">Train, N. (2023) “‘It’s so cheap that even I’m finding </w:t>
      </w:r>
      <w:proofErr w:type="spellStart"/>
      <w:r w:rsidRPr="000962A5">
        <w:rPr>
          <w:lang w:val="en-US"/>
        </w:rPr>
        <w:t>finding</w:t>
      </w:r>
      <w:proofErr w:type="spellEnd"/>
      <w:r w:rsidRPr="000962A5">
        <w:rPr>
          <w:lang w:val="en-US"/>
        </w:rPr>
        <w:t xml:space="preserve"> it hard to resist,’” </w:t>
      </w:r>
      <w:r w:rsidRPr="000962A5">
        <w:rPr>
          <w:i/>
          <w:iCs/>
          <w:lang w:val="en-US"/>
        </w:rPr>
        <w:t>Investors Chronicle</w:t>
      </w:r>
      <w:r w:rsidRPr="000962A5">
        <w:rPr>
          <w:lang w:val="en-US"/>
        </w:rPr>
        <w:t>, p. 44.</w:t>
      </w:r>
    </w:p>
    <w:p w:rsidR="000962A5" w:rsidRPr="00885C77" w:rsidRDefault="000962A5" w:rsidP="000962A5">
      <w:pPr>
        <w:ind w:left="720" w:hanging="720"/>
      </w:pPr>
      <w:proofErr w:type="gramStart"/>
      <w:r w:rsidRPr="00885C77">
        <w:t xml:space="preserve">Yang, F. </w:t>
      </w:r>
      <w:r w:rsidRPr="000962A5">
        <w:t xml:space="preserve">Abedin, M. Z., </w:t>
      </w:r>
      <w:proofErr w:type="spellStart"/>
      <w:r w:rsidRPr="000962A5">
        <w:t>Qiao</w:t>
      </w:r>
      <w:proofErr w:type="spellEnd"/>
      <w:r w:rsidRPr="000962A5">
        <w:t>, Y., and Ye, L.</w:t>
      </w:r>
      <w:proofErr w:type="gramEnd"/>
      <w:r w:rsidRPr="000962A5">
        <w:t>  (2024</w:t>
      </w:r>
      <w:r w:rsidRPr="00885C77">
        <w:t xml:space="preserve">) “Toward Trustworthy Governance of AI-Generated Content (AIGC): A </w:t>
      </w:r>
      <w:proofErr w:type="spellStart"/>
      <w:r w:rsidRPr="00885C77">
        <w:t>Blockchain</w:t>
      </w:r>
      <w:proofErr w:type="spellEnd"/>
      <w:r w:rsidRPr="00885C77">
        <w:t xml:space="preserve">-Driven Regulatory Framework for Secure Digital Ecosystems,” </w:t>
      </w:r>
      <w:r w:rsidRPr="00885C77">
        <w:rPr>
          <w:i/>
          <w:iCs/>
        </w:rPr>
        <w:t>IEEE transactions on engineering management</w:t>
      </w:r>
      <w:r w:rsidRPr="00885C77">
        <w:t xml:space="preserve">, 71, pp. 14945–14962. Available at: </w:t>
      </w:r>
      <w:hyperlink r:id="rId40" w:history="1">
        <w:r w:rsidRPr="00885C77">
          <w:rPr>
            <w:rStyle w:val="Hyperlink"/>
            <w:rFonts w:eastAsia="Times New Roman" w:cs="Times New Roman"/>
            <w:szCs w:val="24"/>
          </w:rPr>
          <w:t>https://doi.org/10.1109/TEM.2024.3472292</w:t>
        </w:r>
      </w:hyperlink>
      <w:r w:rsidRPr="00885C77">
        <w:t>.</w:t>
      </w:r>
    </w:p>
    <w:sectPr w:rsidR="000962A5" w:rsidRPr="00885C77" w:rsidSect="00FA3A4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24D" w:rsidRDefault="0094224D" w:rsidP="000962A5">
      <w:pPr>
        <w:spacing w:after="0" w:line="240" w:lineRule="auto"/>
      </w:pPr>
      <w:r>
        <w:separator/>
      </w:r>
    </w:p>
  </w:endnote>
  <w:endnote w:type="continuationSeparator" w:id="0">
    <w:p w:rsidR="0094224D" w:rsidRDefault="0094224D" w:rsidP="00096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454037"/>
      <w:docPartObj>
        <w:docPartGallery w:val="Page Numbers (Bottom of Page)"/>
        <w:docPartUnique/>
      </w:docPartObj>
    </w:sdtPr>
    <w:sdtEndPr>
      <w:rPr>
        <w:noProof/>
      </w:rPr>
    </w:sdtEndPr>
    <w:sdtContent>
      <w:p w:rsidR="000962A5" w:rsidRDefault="000962A5">
        <w:pPr>
          <w:pStyle w:val="Footer"/>
        </w:pPr>
        <w:r>
          <w:fldChar w:fldCharType="begin"/>
        </w:r>
        <w:r>
          <w:instrText xml:space="preserve"> PAGE   \* MERGEFORMAT </w:instrText>
        </w:r>
        <w:r>
          <w:fldChar w:fldCharType="separate"/>
        </w:r>
        <w:r w:rsidR="00122415">
          <w:rPr>
            <w:noProof/>
          </w:rPr>
          <w:t>ii</w:t>
        </w:r>
        <w:r>
          <w:rPr>
            <w:noProof/>
          </w:rPr>
          <w:fldChar w:fldCharType="end"/>
        </w:r>
      </w:p>
    </w:sdtContent>
  </w:sdt>
  <w:p w:rsidR="000962A5" w:rsidRDefault="000962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24D" w:rsidRDefault="0094224D" w:rsidP="000962A5">
      <w:pPr>
        <w:spacing w:after="0" w:line="240" w:lineRule="auto"/>
      </w:pPr>
      <w:r>
        <w:separator/>
      </w:r>
    </w:p>
  </w:footnote>
  <w:footnote w:type="continuationSeparator" w:id="0">
    <w:p w:rsidR="0094224D" w:rsidRDefault="0094224D" w:rsidP="000962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23887"/>
    <w:multiLevelType w:val="hybridMultilevel"/>
    <w:tmpl w:val="A104C8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xMjSzMDY0NjA1NTA1M7JQ0lEKTi0uzszPAykwrAUAC1o92ywAAAA="/>
  </w:docVars>
  <w:rsids>
    <w:rsidRoot w:val="00837C9D"/>
    <w:rsid w:val="000962A5"/>
    <w:rsid w:val="000C43E1"/>
    <w:rsid w:val="00122415"/>
    <w:rsid w:val="002C1A67"/>
    <w:rsid w:val="00386311"/>
    <w:rsid w:val="00422B22"/>
    <w:rsid w:val="00466BDC"/>
    <w:rsid w:val="00481A85"/>
    <w:rsid w:val="00544022"/>
    <w:rsid w:val="0060518F"/>
    <w:rsid w:val="00610F16"/>
    <w:rsid w:val="0062435B"/>
    <w:rsid w:val="006621DB"/>
    <w:rsid w:val="007A6280"/>
    <w:rsid w:val="007C73D0"/>
    <w:rsid w:val="00837C9D"/>
    <w:rsid w:val="00885C77"/>
    <w:rsid w:val="008A6732"/>
    <w:rsid w:val="0094224D"/>
    <w:rsid w:val="00957F53"/>
    <w:rsid w:val="00A22C5E"/>
    <w:rsid w:val="00AC3CE0"/>
    <w:rsid w:val="00B435A9"/>
    <w:rsid w:val="00B54037"/>
    <w:rsid w:val="00B56795"/>
    <w:rsid w:val="00B94F35"/>
    <w:rsid w:val="00B9581D"/>
    <w:rsid w:val="00EE20E6"/>
    <w:rsid w:val="00FA3A4A"/>
    <w:rsid w:val="00FE3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C9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7C9D"/>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837C9D"/>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C9D"/>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837C9D"/>
    <w:rPr>
      <w:rFonts w:ascii="Times New Roman" w:eastAsiaTheme="majorEastAsia" w:hAnsi="Times New Roman" w:cstheme="majorBidi"/>
      <w:b/>
      <w:bCs/>
      <w:color w:val="4F81BD" w:themeColor="accent1"/>
      <w:sz w:val="28"/>
      <w:szCs w:val="26"/>
      <w:lang w:val="en-GB"/>
    </w:rPr>
  </w:style>
  <w:style w:type="paragraph" w:styleId="ListParagraph">
    <w:name w:val="List Paragraph"/>
    <w:basedOn w:val="Normal"/>
    <w:uiPriority w:val="34"/>
    <w:qFormat/>
    <w:rsid w:val="00FE3C90"/>
    <w:pPr>
      <w:ind w:left="720"/>
      <w:contextualSpacing/>
    </w:pPr>
  </w:style>
  <w:style w:type="character" w:styleId="Hyperlink">
    <w:name w:val="Hyperlink"/>
    <w:basedOn w:val="DefaultParagraphFont"/>
    <w:uiPriority w:val="99"/>
    <w:unhideWhenUsed/>
    <w:rsid w:val="00FE3C90"/>
    <w:rPr>
      <w:color w:val="0000FF" w:themeColor="hyperlink"/>
      <w:u w:val="single"/>
    </w:rPr>
  </w:style>
  <w:style w:type="paragraph" w:styleId="Header">
    <w:name w:val="header"/>
    <w:basedOn w:val="Normal"/>
    <w:link w:val="HeaderChar"/>
    <w:uiPriority w:val="99"/>
    <w:unhideWhenUsed/>
    <w:rsid w:val="000962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62A5"/>
    <w:rPr>
      <w:rFonts w:ascii="Times New Roman" w:hAnsi="Times New Roman"/>
      <w:sz w:val="24"/>
      <w:lang w:val="en-GB"/>
    </w:rPr>
  </w:style>
  <w:style w:type="paragraph" w:styleId="Footer">
    <w:name w:val="footer"/>
    <w:basedOn w:val="Normal"/>
    <w:link w:val="FooterChar"/>
    <w:uiPriority w:val="99"/>
    <w:unhideWhenUsed/>
    <w:rsid w:val="000962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62A5"/>
    <w:rPr>
      <w:rFonts w:ascii="Times New Roman" w:hAnsi="Times New Roman"/>
      <w:sz w:val="24"/>
      <w:lang w:val="en-GB"/>
    </w:rPr>
  </w:style>
  <w:style w:type="paragraph" w:styleId="BalloonText">
    <w:name w:val="Balloon Text"/>
    <w:basedOn w:val="Normal"/>
    <w:link w:val="BalloonTextChar"/>
    <w:uiPriority w:val="99"/>
    <w:semiHidden/>
    <w:unhideWhenUsed/>
    <w:rsid w:val="000962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62A5"/>
    <w:rPr>
      <w:rFonts w:ascii="Tahoma" w:hAnsi="Tahoma" w:cs="Tahoma"/>
      <w:sz w:val="16"/>
      <w:szCs w:val="16"/>
      <w:lang w:val="en-GB"/>
    </w:rPr>
  </w:style>
  <w:style w:type="paragraph" w:styleId="TOCHeading">
    <w:name w:val="TOC Heading"/>
    <w:basedOn w:val="Heading1"/>
    <w:next w:val="Normal"/>
    <w:uiPriority w:val="39"/>
    <w:semiHidden/>
    <w:unhideWhenUsed/>
    <w:qFormat/>
    <w:rsid w:val="00FA3A4A"/>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FA3A4A"/>
    <w:pPr>
      <w:spacing w:after="100"/>
    </w:pPr>
  </w:style>
  <w:style w:type="paragraph" w:styleId="TOC2">
    <w:name w:val="toc 2"/>
    <w:basedOn w:val="Normal"/>
    <w:next w:val="Normal"/>
    <w:autoRedefine/>
    <w:uiPriority w:val="39"/>
    <w:unhideWhenUsed/>
    <w:rsid w:val="00FA3A4A"/>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C9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7C9D"/>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837C9D"/>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C9D"/>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837C9D"/>
    <w:rPr>
      <w:rFonts w:ascii="Times New Roman" w:eastAsiaTheme="majorEastAsia" w:hAnsi="Times New Roman" w:cstheme="majorBidi"/>
      <w:b/>
      <w:bCs/>
      <w:color w:val="4F81BD" w:themeColor="accent1"/>
      <w:sz w:val="28"/>
      <w:szCs w:val="26"/>
      <w:lang w:val="en-GB"/>
    </w:rPr>
  </w:style>
  <w:style w:type="paragraph" w:styleId="ListParagraph">
    <w:name w:val="List Paragraph"/>
    <w:basedOn w:val="Normal"/>
    <w:uiPriority w:val="34"/>
    <w:qFormat/>
    <w:rsid w:val="00FE3C90"/>
    <w:pPr>
      <w:ind w:left="720"/>
      <w:contextualSpacing/>
    </w:pPr>
  </w:style>
  <w:style w:type="character" w:styleId="Hyperlink">
    <w:name w:val="Hyperlink"/>
    <w:basedOn w:val="DefaultParagraphFont"/>
    <w:uiPriority w:val="99"/>
    <w:unhideWhenUsed/>
    <w:rsid w:val="00FE3C90"/>
    <w:rPr>
      <w:color w:val="0000FF" w:themeColor="hyperlink"/>
      <w:u w:val="single"/>
    </w:rPr>
  </w:style>
  <w:style w:type="paragraph" w:styleId="Header">
    <w:name w:val="header"/>
    <w:basedOn w:val="Normal"/>
    <w:link w:val="HeaderChar"/>
    <w:uiPriority w:val="99"/>
    <w:unhideWhenUsed/>
    <w:rsid w:val="000962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62A5"/>
    <w:rPr>
      <w:rFonts w:ascii="Times New Roman" w:hAnsi="Times New Roman"/>
      <w:sz w:val="24"/>
      <w:lang w:val="en-GB"/>
    </w:rPr>
  </w:style>
  <w:style w:type="paragraph" w:styleId="Footer">
    <w:name w:val="footer"/>
    <w:basedOn w:val="Normal"/>
    <w:link w:val="FooterChar"/>
    <w:uiPriority w:val="99"/>
    <w:unhideWhenUsed/>
    <w:rsid w:val="000962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62A5"/>
    <w:rPr>
      <w:rFonts w:ascii="Times New Roman" w:hAnsi="Times New Roman"/>
      <w:sz w:val="24"/>
      <w:lang w:val="en-GB"/>
    </w:rPr>
  </w:style>
  <w:style w:type="paragraph" w:styleId="BalloonText">
    <w:name w:val="Balloon Text"/>
    <w:basedOn w:val="Normal"/>
    <w:link w:val="BalloonTextChar"/>
    <w:uiPriority w:val="99"/>
    <w:semiHidden/>
    <w:unhideWhenUsed/>
    <w:rsid w:val="000962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62A5"/>
    <w:rPr>
      <w:rFonts w:ascii="Tahoma" w:hAnsi="Tahoma" w:cs="Tahoma"/>
      <w:sz w:val="16"/>
      <w:szCs w:val="16"/>
      <w:lang w:val="en-GB"/>
    </w:rPr>
  </w:style>
  <w:style w:type="paragraph" w:styleId="TOCHeading">
    <w:name w:val="TOC Heading"/>
    <w:basedOn w:val="Heading1"/>
    <w:next w:val="Normal"/>
    <w:uiPriority w:val="39"/>
    <w:semiHidden/>
    <w:unhideWhenUsed/>
    <w:qFormat/>
    <w:rsid w:val="00FA3A4A"/>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FA3A4A"/>
    <w:pPr>
      <w:spacing w:after="100"/>
    </w:pPr>
  </w:style>
  <w:style w:type="paragraph" w:styleId="TOC2">
    <w:name w:val="toc 2"/>
    <w:basedOn w:val="Normal"/>
    <w:next w:val="Normal"/>
    <w:autoRedefine/>
    <w:uiPriority w:val="39"/>
    <w:unhideWhenUsed/>
    <w:rsid w:val="00FA3A4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3250">
      <w:bodyDiv w:val="1"/>
      <w:marLeft w:val="0"/>
      <w:marRight w:val="0"/>
      <w:marTop w:val="0"/>
      <w:marBottom w:val="0"/>
      <w:divBdr>
        <w:top w:val="none" w:sz="0" w:space="0" w:color="auto"/>
        <w:left w:val="none" w:sz="0" w:space="0" w:color="auto"/>
        <w:bottom w:val="none" w:sz="0" w:space="0" w:color="auto"/>
        <w:right w:val="none" w:sz="0" w:space="0" w:color="auto"/>
      </w:divBdr>
      <w:divsChild>
        <w:div w:id="1863125620">
          <w:marLeft w:val="0"/>
          <w:marRight w:val="0"/>
          <w:marTop w:val="0"/>
          <w:marBottom w:val="0"/>
          <w:divBdr>
            <w:top w:val="none" w:sz="0" w:space="0" w:color="auto"/>
            <w:left w:val="none" w:sz="0" w:space="0" w:color="auto"/>
            <w:bottom w:val="none" w:sz="0" w:space="0" w:color="auto"/>
            <w:right w:val="none" w:sz="0" w:space="0" w:color="auto"/>
          </w:divBdr>
          <w:divsChild>
            <w:div w:id="78127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2769">
      <w:bodyDiv w:val="1"/>
      <w:marLeft w:val="0"/>
      <w:marRight w:val="0"/>
      <w:marTop w:val="0"/>
      <w:marBottom w:val="0"/>
      <w:divBdr>
        <w:top w:val="none" w:sz="0" w:space="0" w:color="auto"/>
        <w:left w:val="none" w:sz="0" w:space="0" w:color="auto"/>
        <w:bottom w:val="none" w:sz="0" w:space="0" w:color="auto"/>
        <w:right w:val="none" w:sz="0" w:space="0" w:color="auto"/>
      </w:divBdr>
      <w:divsChild>
        <w:div w:id="741417412">
          <w:marLeft w:val="0"/>
          <w:marRight w:val="0"/>
          <w:marTop w:val="0"/>
          <w:marBottom w:val="0"/>
          <w:divBdr>
            <w:top w:val="none" w:sz="0" w:space="0" w:color="auto"/>
            <w:left w:val="none" w:sz="0" w:space="0" w:color="auto"/>
            <w:bottom w:val="none" w:sz="0" w:space="0" w:color="auto"/>
            <w:right w:val="none" w:sz="0" w:space="0" w:color="auto"/>
          </w:divBdr>
          <w:divsChild>
            <w:div w:id="74006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8567">
      <w:bodyDiv w:val="1"/>
      <w:marLeft w:val="0"/>
      <w:marRight w:val="0"/>
      <w:marTop w:val="0"/>
      <w:marBottom w:val="0"/>
      <w:divBdr>
        <w:top w:val="none" w:sz="0" w:space="0" w:color="auto"/>
        <w:left w:val="none" w:sz="0" w:space="0" w:color="auto"/>
        <w:bottom w:val="none" w:sz="0" w:space="0" w:color="auto"/>
        <w:right w:val="none" w:sz="0" w:space="0" w:color="auto"/>
      </w:divBdr>
      <w:divsChild>
        <w:div w:id="1102384979">
          <w:marLeft w:val="0"/>
          <w:marRight w:val="0"/>
          <w:marTop w:val="0"/>
          <w:marBottom w:val="0"/>
          <w:divBdr>
            <w:top w:val="none" w:sz="0" w:space="0" w:color="auto"/>
            <w:left w:val="none" w:sz="0" w:space="0" w:color="auto"/>
            <w:bottom w:val="none" w:sz="0" w:space="0" w:color="auto"/>
            <w:right w:val="none" w:sz="0" w:space="0" w:color="auto"/>
          </w:divBdr>
          <w:divsChild>
            <w:div w:id="186694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35729">
      <w:bodyDiv w:val="1"/>
      <w:marLeft w:val="0"/>
      <w:marRight w:val="0"/>
      <w:marTop w:val="0"/>
      <w:marBottom w:val="0"/>
      <w:divBdr>
        <w:top w:val="none" w:sz="0" w:space="0" w:color="auto"/>
        <w:left w:val="none" w:sz="0" w:space="0" w:color="auto"/>
        <w:bottom w:val="none" w:sz="0" w:space="0" w:color="auto"/>
        <w:right w:val="none" w:sz="0" w:space="0" w:color="auto"/>
      </w:divBdr>
      <w:divsChild>
        <w:div w:id="1843200677">
          <w:marLeft w:val="0"/>
          <w:marRight w:val="0"/>
          <w:marTop w:val="0"/>
          <w:marBottom w:val="0"/>
          <w:divBdr>
            <w:top w:val="none" w:sz="0" w:space="0" w:color="auto"/>
            <w:left w:val="none" w:sz="0" w:space="0" w:color="auto"/>
            <w:bottom w:val="none" w:sz="0" w:space="0" w:color="auto"/>
            <w:right w:val="none" w:sz="0" w:space="0" w:color="auto"/>
          </w:divBdr>
          <w:divsChild>
            <w:div w:id="41447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25451">
      <w:bodyDiv w:val="1"/>
      <w:marLeft w:val="0"/>
      <w:marRight w:val="0"/>
      <w:marTop w:val="0"/>
      <w:marBottom w:val="0"/>
      <w:divBdr>
        <w:top w:val="none" w:sz="0" w:space="0" w:color="auto"/>
        <w:left w:val="none" w:sz="0" w:space="0" w:color="auto"/>
        <w:bottom w:val="none" w:sz="0" w:space="0" w:color="auto"/>
        <w:right w:val="none" w:sz="0" w:space="0" w:color="auto"/>
      </w:divBdr>
      <w:divsChild>
        <w:div w:id="1401053431">
          <w:marLeft w:val="0"/>
          <w:marRight w:val="0"/>
          <w:marTop w:val="0"/>
          <w:marBottom w:val="0"/>
          <w:divBdr>
            <w:top w:val="none" w:sz="0" w:space="0" w:color="auto"/>
            <w:left w:val="none" w:sz="0" w:space="0" w:color="auto"/>
            <w:bottom w:val="none" w:sz="0" w:space="0" w:color="auto"/>
            <w:right w:val="none" w:sz="0" w:space="0" w:color="auto"/>
          </w:divBdr>
          <w:divsChild>
            <w:div w:id="132770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20716">
      <w:bodyDiv w:val="1"/>
      <w:marLeft w:val="0"/>
      <w:marRight w:val="0"/>
      <w:marTop w:val="0"/>
      <w:marBottom w:val="0"/>
      <w:divBdr>
        <w:top w:val="none" w:sz="0" w:space="0" w:color="auto"/>
        <w:left w:val="none" w:sz="0" w:space="0" w:color="auto"/>
        <w:bottom w:val="none" w:sz="0" w:space="0" w:color="auto"/>
        <w:right w:val="none" w:sz="0" w:space="0" w:color="auto"/>
      </w:divBdr>
      <w:divsChild>
        <w:div w:id="640579863">
          <w:marLeft w:val="0"/>
          <w:marRight w:val="0"/>
          <w:marTop w:val="0"/>
          <w:marBottom w:val="0"/>
          <w:divBdr>
            <w:top w:val="none" w:sz="0" w:space="0" w:color="auto"/>
            <w:left w:val="none" w:sz="0" w:space="0" w:color="auto"/>
            <w:bottom w:val="none" w:sz="0" w:space="0" w:color="auto"/>
            <w:right w:val="none" w:sz="0" w:space="0" w:color="auto"/>
          </w:divBdr>
          <w:divsChild>
            <w:div w:id="9704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46722">
      <w:bodyDiv w:val="1"/>
      <w:marLeft w:val="0"/>
      <w:marRight w:val="0"/>
      <w:marTop w:val="0"/>
      <w:marBottom w:val="0"/>
      <w:divBdr>
        <w:top w:val="none" w:sz="0" w:space="0" w:color="auto"/>
        <w:left w:val="none" w:sz="0" w:space="0" w:color="auto"/>
        <w:bottom w:val="none" w:sz="0" w:space="0" w:color="auto"/>
        <w:right w:val="none" w:sz="0" w:space="0" w:color="auto"/>
      </w:divBdr>
      <w:divsChild>
        <w:div w:id="324630143">
          <w:marLeft w:val="0"/>
          <w:marRight w:val="0"/>
          <w:marTop w:val="0"/>
          <w:marBottom w:val="0"/>
          <w:divBdr>
            <w:top w:val="none" w:sz="0" w:space="0" w:color="auto"/>
            <w:left w:val="none" w:sz="0" w:space="0" w:color="auto"/>
            <w:bottom w:val="none" w:sz="0" w:space="0" w:color="auto"/>
            <w:right w:val="none" w:sz="0" w:space="0" w:color="auto"/>
          </w:divBdr>
          <w:divsChild>
            <w:div w:id="205226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378369">
      <w:bodyDiv w:val="1"/>
      <w:marLeft w:val="0"/>
      <w:marRight w:val="0"/>
      <w:marTop w:val="0"/>
      <w:marBottom w:val="0"/>
      <w:divBdr>
        <w:top w:val="none" w:sz="0" w:space="0" w:color="auto"/>
        <w:left w:val="none" w:sz="0" w:space="0" w:color="auto"/>
        <w:bottom w:val="none" w:sz="0" w:space="0" w:color="auto"/>
        <w:right w:val="none" w:sz="0" w:space="0" w:color="auto"/>
      </w:divBdr>
      <w:divsChild>
        <w:div w:id="2102949463">
          <w:marLeft w:val="0"/>
          <w:marRight w:val="0"/>
          <w:marTop w:val="0"/>
          <w:marBottom w:val="0"/>
          <w:divBdr>
            <w:top w:val="none" w:sz="0" w:space="0" w:color="auto"/>
            <w:left w:val="none" w:sz="0" w:space="0" w:color="auto"/>
            <w:bottom w:val="none" w:sz="0" w:space="0" w:color="auto"/>
            <w:right w:val="none" w:sz="0" w:space="0" w:color="auto"/>
          </w:divBdr>
          <w:divsChild>
            <w:div w:id="16463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567401">
      <w:bodyDiv w:val="1"/>
      <w:marLeft w:val="0"/>
      <w:marRight w:val="0"/>
      <w:marTop w:val="0"/>
      <w:marBottom w:val="0"/>
      <w:divBdr>
        <w:top w:val="none" w:sz="0" w:space="0" w:color="auto"/>
        <w:left w:val="none" w:sz="0" w:space="0" w:color="auto"/>
        <w:bottom w:val="none" w:sz="0" w:space="0" w:color="auto"/>
        <w:right w:val="none" w:sz="0" w:space="0" w:color="auto"/>
      </w:divBdr>
      <w:divsChild>
        <w:div w:id="1623458443">
          <w:marLeft w:val="0"/>
          <w:marRight w:val="0"/>
          <w:marTop w:val="0"/>
          <w:marBottom w:val="0"/>
          <w:divBdr>
            <w:top w:val="none" w:sz="0" w:space="0" w:color="auto"/>
            <w:left w:val="none" w:sz="0" w:space="0" w:color="auto"/>
            <w:bottom w:val="none" w:sz="0" w:space="0" w:color="auto"/>
            <w:right w:val="none" w:sz="0" w:space="0" w:color="auto"/>
          </w:divBdr>
          <w:divsChild>
            <w:div w:id="149495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713246">
      <w:bodyDiv w:val="1"/>
      <w:marLeft w:val="0"/>
      <w:marRight w:val="0"/>
      <w:marTop w:val="0"/>
      <w:marBottom w:val="0"/>
      <w:divBdr>
        <w:top w:val="none" w:sz="0" w:space="0" w:color="auto"/>
        <w:left w:val="none" w:sz="0" w:space="0" w:color="auto"/>
        <w:bottom w:val="none" w:sz="0" w:space="0" w:color="auto"/>
        <w:right w:val="none" w:sz="0" w:space="0" w:color="auto"/>
      </w:divBdr>
      <w:divsChild>
        <w:div w:id="1964265078">
          <w:marLeft w:val="0"/>
          <w:marRight w:val="0"/>
          <w:marTop w:val="0"/>
          <w:marBottom w:val="0"/>
          <w:divBdr>
            <w:top w:val="none" w:sz="0" w:space="0" w:color="auto"/>
            <w:left w:val="none" w:sz="0" w:space="0" w:color="auto"/>
            <w:bottom w:val="none" w:sz="0" w:space="0" w:color="auto"/>
            <w:right w:val="none" w:sz="0" w:space="0" w:color="auto"/>
          </w:divBdr>
          <w:divsChild>
            <w:div w:id="86167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957565">
      <w:bodyDiv w:val="1"/>
      <w:marLeft w:val="0"/>
      <w:marRight w:val="0"/>
      <w:marTop w:val="0"/>
      <w:marBottom w:val="0"/>
      <w:divBdr>
        <w:top w:val="none" w:sz="0" w:space="0" w:color="auto"/>
        <w:left w:val="none" w:sz="0" w:space="0" w:color="auto"/>
        <w:bottom w:val="none" w:sz="0" w:space="0" w:color="auto"/>
        <w:right w:val="none" w:sz="0" w:space="0" w:color="auto"/>
      </w:divBdr>
      <w:divsChild>
        <w:div w:id="640036267">
          <w:marLeft w:val="0"/>
          <w:marRight w:val="0"/>
          <w:marTop w:val="0"/>
          <w:marBottom w:val="0"/>
          <w:divBdr>
            <w:top w:val="none" w:sz="0" w:space="0" w:color="auto"/>
            <w:left w:val="none" w:sz="0" w:space="0" w:color="auto"/>
            <w:bottom w:val="none" w:sz="0" w:space="0" w:color="auto"/>
            <w:right w:val="none" w:sz="0" w:space="0" w:color="auto"/>
          </w:divBdr>
          <w:divsChild>
            <w:div w:id="101708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104735">
      <w:bodyDiv w:val="1"/>
      <w:marLeft w:val="0"/>
      <w:marRight w:val="0"/>
      <w:marTop w:val="0"/>
      <w:marBottom w:val="0"/>
      <w:divBdr>
        <w:top w:val="none" w:sz="0" w:space="0" w:color="auto"/>
        <w:left w:val="none" w:sz="0" w:space="0" w:color="auto"/>
        <w:bottom w:val="none" w:sz="0" w:space="0" w:color="auto"/>
        <w:right w:val="none" w:sz="0" w:space="0" w:color="auto"/>
      </w:divBdr>
      <w:divsChild>
        <w:div w:id="1985348055">
          <w:marLeft w:val="0"/>
          <w:marRight w:val="0"/>
          <w:marTop w:val="0"/>
          <w:marBottom w:val="0"/>
          <w:divBdr>
            <w:top w:val="none" w:sz="0" w:space="0" w:color="auto"/>
            <w:left w:val="none" w:sz="0" w:space="0" w:color="auto"/>
            <w:bottom w:val="none" w:sz="0" w:space="0" w:color="auto"/>
            <w:right w:val="none" w:sz="0" w:space="0" w:color="auto"/>
          </w:divBdr>
          <w:divsChild>
            <w:div w:id="23770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691889">
      <w:bodyDiv w:val="1"/>
      <w:marLeft w:val="0"/>
      <w:marRight w:val="0"/>
      <w:marTop w:val="0"/>
      <w:marBottom w:val="0"/>
      <w:divBdr>
        <w:top w:val="none" w:sz="0" w:space="0" w:color="auto"/>
        <w:left w:val="none" w:sz="0" w:space="0" w:color="auto"/>
        <w:bottom w:val="none" w:sz="0" w:space="0" w:color="auto"/>
        <w:right w:val="none" w:sz="0" w:space="0" w:color="auto"/>
      </w:divBdr>
      <w:divsChild>
        <w:div w:id="1938294655">
          <w:marLeft w:val="0"/>
          <w:marRight w:val="0"/>
          <w:marTop w:val="0"/>
          <w:marBottom w:val="0"/>
          <w:divBdr>
            <w:top w:val="none" w:sz="0" w:space="0" w:color="auto"/>
            <w:left w:val="none" w:sz="0" w:space="0" w:color="auto"/>
            <w:bottom w:val="none" w:sz="0" w:space="0" w:color="auto"/>
            <w:right w:val="none" w:sz="0" w:space="0" w:color="auto"/>
          </w:divBdr>
          <w:divsChild>
            <w:div w:id="118798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681752">
      <w:bodyDiv w:val="1"/>
      <w:marLeft w:val="0"/>
      <w:marRight w:val="0"/>
      <w:marTop w:val="0"/>
      <w:marBottom w:val="0"/>
      <w:divBdr>
        <w:top w:val="none" w:sz="0" w:space="0" w:color="auto"/>
        <w:left w:val="none" w:sz="0" w:space="0" w:color="auto"/>
        <w:bottom w:val="none" w:sz="0" w:space="0" w:color="auto"/>
        <w:right w:val="none" w:sz="0" w:space="0" w:color="auto"/>
      </w:divBdr>
      <w:divsChild>
        <w:div w:id="930813604">
          <w:marLeft w:val="0"/>
          <w:marRight w:val="0"/>
          <w:marTop w:val="0"/>
          <w:marBottom w:val="0"/>
          <w:divBdr>
            <w:top w:val="none" w:sz="0" w:space="0" w:color="auto"/>
            <w:left w:val="none" w:sz="0" w:space="0" w:color="auto"/>
            <w:bottom w:val="none" w:sz="0" w:space="0" w:color="auto"/>
            <w:right w:val="none" w:sz="0" w:space="0" w:color="auto"/>
          </w:divBdr>
          <w:divsChild>
            <w:div w:id="51376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150160">
      <w:bodyDiv w:val="1"/>
      <w:marLeft w:val="0"/>
      <w:marRight w:val="0"/>
      <w:marTop w:val="0"/>
      <w:marBottom w:val="0"/>
      <w:divBdr>
        <w:top w:val="none" w:sz="0" w:space="0" w:color="auto"/>
        <w:left w:val="none" w:sz="0" w:space="0" w:color="auto"/>
        <w:bottom w:val="none" w:sz="0" w:space="0" w:color="auto"/>
        <w:right w:val="none" w:sz="0" w:space="0" w:color="auto"/>
      </w:divBdr>
      <w:divsChild>
        <w:div w:id="586769933">
          <w:marLeft w:val="0"/>
          <w:marRight w:val="0"/>
          <w:marTop w:val="0"/>
          <w:marBottom w:val="0"/>
          <w:divBdr>
            <w:top w:val="none" w:sz="0" w:space="0" w:color="auto"/>
            <w:left w:val="none" w:sz="0" w:space="0" w:color="auto"/>
            <w:bottom w:val="none" w:sz="0" w:space="0" w:color="auto"/>
            <w:right w:val="none" w:sz="0" w:space="0" w:color="auto"/>
          </w:divBdr>
          <w:divsChild>
            <w:div w:id="167511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717964">
      <w:bodyDiv w:val="1"/>
      <w:marLeft w:val="0"/>
      <w:marRight w:val="0"/>
      <w:marTop w:val="0"/>
      <w:marBottom w:val="0"/>
      <w:divBdr>
        <w:top w:val="none" w:sz="0" w:space="0" w:color="auto"/>
        <w:left w:val="none" w:sz="0" w:space="0" w:color="auto"/>
        <w:bottom w:val="none" w:sz="0" w:space="0" w:color="auto"/>
        <w:right w:val="none" w:sz="0" w:space="0" w:color="auto"/>
      </w:divBdr>
      <w:divsChild>
        <w:div w:id="1788968833">
          <w:marLeft w:val="0"/>
          <w:marRight w:val="0"/>
          <w:marTop w:val="0"/>
          <w:marBottom w:val="0"/>
          <w:divBdr>
            <w:top w:val="none" w:sz="0" w:space="0" w:color="auto"/>
            <w:left w:val="none" w:sz="0" w:space="0" w:color="auto"/>
            <w:bottom w:val="none" w:sz="0" w:space="0" w:color="auto"/>
            <w:right w:val="none" w:sz="0" w:space="0" w:color="auto"/>
          </w:divBdr>
          <w:divsChild>
            <w:div w:id="202023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27756">
      <w:bodyDiv w:val="1"/>
      <w:marLeft w:val="0"/>
      <w:marRight w:val="0"/>
      <w:marTop w:val="0"/>
      <w:marBottom w:val="0"/>
      <w:divBdr>
        <w:top w:val="none" w:sz="0" w:space="0" w:color="auto"/>
        <w:left w:val="none" w:sz="0" w:space="0" w:color="auto"/>
        <w:bottom w:val="none" w:sz="0" w:space="0" w:color="auto"/>
        <w:right w:val="none" w:sz="0" w:space="0" w:color="auto"/>
      </w:divBdr>
      <w:divsChild>
        <w:div w:id="841701673">
          <w:marLeft w:val="0"/>
          <w:marRight w:val="0"/>
          <w:marTop w:val="0"/>
          <w:marBottom w:val="0"/>
          <w:divBdr>
            <w:top w:val="none" w:sz="0" w:space="0" w:color="auto"/>
            <w:left w:val="none" w:sz="0" w:space="0" w:color="auto"/>
            <w:bottom w:val="none" w:sz="0" w:space="0" w:color="auto"/>
            <w:right w:val="none" w:sz="0" w:space="0" w:color="auto"/>
          </w:divBdr>
          <w:divsChild>
            <w:div w:id="128727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812464">
      <w:bodyDiv w:val="1"/>
      <w:marLeft w:val="0"/>
      <w:marRight w:val="0"/>
      <w:marTop w:val="0"/>
      <w:marBottom w:val="0"/>
      <w:divBdr>
        <w:top w:val="none" w:sz="0" w:space="0" w:color="auto"/>
        <w:left w:val="none" w:sz="0" w:space="0" w:color="auto"/>
        <w:bottom w:val="none" w:sz="0" w:space="0" w:color="auto"/>
        <w:right w:val="none" w:sz="0" w:space="0" w:color="auto"/>
      </w:divBdr>
      <w:divsChild>
        <w:div w:id="289749214">
          <w:marLeft w:val="0"/>
          <w:marRight w:val="0"/>
          <w:marTop w:val="0"/>
          <w:marBottom w:val="0"/>
          <w:divBdr>
            <w:top w:val="none" w:sz="0" w:space="0" w:color="auto"/>
            <w:left w:val="none" w:sz="0" w:space="0" w:color="auto"/>
            <w:bottom w:val="none" w:sz="0" w:space="0" w:color="auto"/>
            <w:right w:val="none" w:sz="0" w:space="0" w:color="auto"/>
          </w:divBdr>
          <w:divsChild>
            <w:div w:id="84352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449039">
      <w:bodyDiv w:val="1"/>
      <w:marLeft w:val="0"/>
      <w:marRight w:val="0"/>
      <w:marTop w:val="0"/>
      <w:marBottom w:val="0"/>
      <w:divBdr>
        <w:top w:val="none" w:sz="0" w:space="0" w:color="auto"/>
        <w:left w:val="none" w:sz="0" w:space="0" w:color="auto"/>
        <w:bottom w:val="none" w:sz="0" w:space="0" w:color="auto"/>
        <w:right w:val="none" w:sz="0" w:space="0" w:color="auto"/>
      </w:divBdr>
      <w:divsChild>
        <w:div w:id="886990052">
          <w:marLeft w:val="0"/>
          <w:marRight w:val="0"/>
          <w:marTop w:val="0"/>
          <w:marBottom w:val="0"/>
          <w:divBdr>
            <w:top w:val="none" w:sz="0" w:space="0" w:color="auto"/>
            <w:left w:val="none" w:sz="0" w:space="0" w:color="auto"/>
            <w:bottom w:val="none" w:sz="0" w:space="0" w:color="auto"/>
            <w:right w:val="none" w:sz="0" w:space="0" w:color="auto"/>
          </w:divBdr>
          <w:divsChild>
            <w:div w:id="73154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940473">
      <w:bodyDiv w:val="1"/>
      <w:marLeft w:val="0"/>
      <w:marRight w:val="0"/>
      <w:marTop w:val="0"/>
      <w:marBottom w:val="0"/>
      <w:divBdr>
        <w:top w:val="none" w:sz="0" w:space="0" w:color="auto"/>
        <w:left w:val="none" w:sz="0" w:space="0" w:color="auto"/>
        <w:bottom w:val="none" w:sz="0" w:space="0" w:color="auto"/>
        <w:right w:val="none" w:sz="0" w:space="0" w:color="auto"/>
      </w:divBdr>
      <w:divsChild>
        <w:div w:id="1757245786">
          <w:marLeft w:val="0"/>
          <w:marRight w:val="0"/>
          <w:marTop w:val="0"/>
          <w:marBottom w:val="0"/>
          <w:divBdr>
            <w:top w:val="none" w:sz="0" w:space="0" w:color="auto"/>
            <w:left w:val="none" w:sz="0" w:space="0" w:color="auto"/>
            <w:bottom w:val="none" w:sz="0" w:space="0" w:color="auto"/>
            <w:right w:val="none" w:sz="0" w:space="0" w:color="auto"/>
          </w:divBdr>
          <w:divsChild>
            <w:div w:id="85179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038135">
      <w:bodyDiv w:val="1"/>
      <w:marLeft w:val="0"/>
      <w:marRight w:val="0"/>
      <w:marTop w:val="0"/>
      <w:marBottom w:val="0"/>
      <w:divBdr>
        <w:top w:val="none" w:sz="0" w:space="0" w:color="auto"/>
        <w:left w:val="none" w:sz="0" w:space="0" w:color="auto"/>
        <w:bottom w:val="none" w:sz="0" w:space="0" w:color="auto"/>
        <w:right w:val="none" w:sz="0" w:space="0" w:color="auto"/>
      </w:divBdr>
      <w:divsChild>
        <w:div w:id="1420173512">
          <w:marLeft w:val="0"/>
          <w:marRight w:val="0"/>
          <w:marTop w:val="0"/>
          <w:marBottom w:val="0"/>
          <w:divBdr>
            <w:top w:val="none" w:sz="0" w:space="0" w:color="auto"/>
            <w:left w:val="none" w:sz="0" w:space="0" w:color="auto"/>
            <w:bottom w:val="none" w:sz="0" w:space="0" w:color="auto"/>
            <w:right w:val="none" w:sz="0" w:space="0" w:color="auto"/>
          </w:divBdr>
          <w:divsChild>
            <w:div w:id="183792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364708">
      <w:bodyDiv w:val="1"/>
      <w:marLeft w:val="0"/>
      <w:marRight w:val="0"/>
      <w:marTop w:val="0"/>
      <w:marBottom w:val="0"/>
      <w:divBdr>
        <w:top w:val="none" w:sz="0" w:space="0" w:color="auto"/>
        <w:left w:val="none" w:sz="0" w:space="0" w:color="auto"/>
        <w:bottom w:val="none" w:sz="0" w:space="0" w:color="auto"/>
        <w:right w:val="none" w:sz="0" w:space="0" w:color="auto"/>
      </w:divBdr>
      <w:divsChild>
        <w:div w:id="404303406">
          <w:marLeft w:val="0"/>
          <w:marRight w:val="0"/>
          <w:marTop w:val="0"/>
          <w:marBottom w:val="0"/>
          <w:divBdr>
            <w:top w:val="none" w:sz="0" w:space="0" w:color="auto"/>
            <w:left w:val="none" w:sz="0" w:space="0" w:color="auto"/>
            <w:bottom w:val="none" w:sz="0" w:space="0" w:color="auto"/>
            <w:right w:val="none" w:sz="0" w:space="0" w:color="auto"/>
          </w:divBdr>
          <w:divsChild>
            <w:div w:id="161501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971383">
      <w:bodyDiv w:val="1"/>
      <w:marLeft w:val="0"/>
      <w:marRight w:val="0"/>
      <w:marTop w:val="0"/>
      <w:marBottom w:val="0"/>
      <w:divBdr>
        <w:top w:val="none" w:sz="0" w:space="0" w:color="auto"/>
        <w:left w:val="none" w:sz="0" w:space="0" w:color="auto"/>
        <w:bottom w:val="none" w:sz="0" w:space="0" w:color="auto"/>
        <w:right w:val="none" w:sz="0" w:space="0" w:color="auto"/>
      </w:divBdr>
      <w:divsChild>
        <w:div w:id="1160273368">
          <w:marLeft w:val="0"/>
          <w:marRight w:val="0"/>
          <w:marTop w:val="0"/>
          <w:marBottom w:val="0"/>
          <w:divBdr>
            <w:top w:val="none" w:sz="0" w:space="0" w:color="auto"/>
            <w:left w:val="none" w:sz="0" w:space="0" w:color="auto"/>
            <w:bottom w:val="none" w:sz="0" w:space="0" w:color="auto"/>
            <w:right w:val="none" w:sz="0" w:space="0" w:color="auto"/>
          </w:divBdr>
          <w:divsChild>
            <w:div w:id="90881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24667">
      <w:bodyDiv w:val="1"/>
      <w:marLeft w:val="0"/>
      <w:marRight w:val="0"/>
      <w:marTop w:val="0"/>
      <w:marBottom w:val="0"/>
      <w:divBdr>
        <w:top w:val="none" w:sz="0" w:space="0" w:color="auto"/>
        <w:left w:val="none" w:sz="0" w:space="0" w:color="auto"/>
        <w:bottom w:val="none" w:sz="0" w:space="0" w:color="auto"/>
        <w:right w:val="none" w:sz="0" w:space="0" w:color="auto"/>
      </w:divBdr>
      <w:divsChild>
        <w:div w:id="90125888">
          <w:marLeft w:val="0"/>
          <w:marRight w:val="0"/>
          <w:marTop w:val="0"/>
          <w:marBottom w:val="0"/>
          <w:divBdr>
            <w:top w:val="none" w:sz="0" w:space="0" w:color="auto"/>
            <w:left w:val="none" w:sz="0" w:space="0" w:color="auto"/>
            <w:bottom w:val="none" w:sz="0" w:space="0" w:color="auto"/>
            <w:right w:val="none" w:sz="0" w:space="0" w:color="auto"/>
          </w:divBdr>
          <w:divsChild>
            <w:div w:id="127463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913835">
      <w:bodyDiv w:val="1"/>
      <w:marLeft w:val="0"/>
      <w:marRight w:val="0"/>
      <w:marTop w:val="0"/>
      <w:marBottom w:val="0"/>
      <w:divBdr>
        <w:top w:val="none" w:sz="0" w:space="0" w:color="auto"/>
        <w:left w:val="none" w:sz="0" w:space="0" w:color="auto"/>
        <w:bottom w:val="none" w:sz="0" w:space="0" w:color="auto"/>
        <w:right w:val="none" w:sz="0" w:space="0" w:color="auto"/>
      </w:divBdr>
      <w:divsChild>
        <w:div w:id="939221431">
          <w:marLeft w:val="0"/>
          <w:marRight w:val="0"/>
          <w:marTop w:val="0"/>
          <w:marBottom w:val="0"/>
          <w:divBdr>
            <w:top w:val="none" w:sz="0" w:space="0" w:color="auto"/>
            <w:left w:val="none" w:sz="0" w:space="0" w:color="auto"/>
            <w:bottom w:val="none" w:sz="0" w:space="0" w:color="auto"/>
            <w:right w:val="none" w:sz="0" w:space="0" w:color="auto"/>
          </w:divBdr>
          <w:divsChild>
            <w:div w:id="60805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766872">
      <w:bodyDiv w:val="1"/>
      <w:marLeft w:val="0"/>
      <w:marRight w:val="0"/>
      <w:marTop w:val="0"/>
      <w:marBottom w:val="0"/>
      <w:divBdr>
        <w:top w:val="none" w:sz="0" w:space="0" w:color="auto"/>
        <w:left w:val="none" w:sz="0" w:space="0" w:color="auto"/>
        <w:bottom w:val="none" w:sz="0" w:space="0" w:color="auto"/>
        <w:right w:val="none" w:sz="0" w:space="0" w:color="auto"/>
      </w:divBdr>
      <w:divsChild>
        <w:div w:id="903948983">
          <w:marLeft w:val="0"/>
          <w:marRight w:val="0"/>
          <w:marTop w:val="0"/>
          <w:marBottom w:val="0"/>
          <w:divBdr>
            <w:top w:val="none" w:sz="0" w:space="0" w:color="auto"/>
            <w:left w:val="none" w:sz="0" w:space="0" w:color="auto"/>
            <w:bottom w:val="none" w:sz="0" w:space="0" w:color="auto"/>
            <w:right w:val="none" w:sz="0" w:space="0" w:color="auto"/>
          </w:divBdr>
          <w:divsChild>
            <w:div w:id="186574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13187">
      <w:bodyDiv w:val="1"/>
      <w:marLeft w:val="0"/>
      <w:marRight w:val="0"/>
      <w:marTop w:val="0"/>
      <w:marBottom w:val="0"/>
      <w:divBdr>
        <w:top w:val="none" w:sz="0" w:space="0" w:color="auto"/>
        <w:left w:val="none" w:sz="0" w:space="0" w:color="auto"/>
        <w:bottom w:val="none" w:sz="0" w:space="0" w:color="auto"/>
        <w:right w:val="none" w:sz="0" w:space="0" w:color="auto"/>
      </w:divBdr>
      <w:divsChild>
        <w:div w:id="1100026667">
          <w:marLeft w:val="0"/>
          <w:marRight w:val="0"/>
          <w:marTop w:val="0"/>
          <w:marBottom w:val="0"/>
          <w:divBdr>
            <w:top w:val="none" w:sz="0" w:space="0" w:color="auto"/>
            <w:left w:val="none" w:sz="0" w:space="0" w:color="auto"/>
            <w:bottom w:val="none" w:sz="0" w:space="0" w:color="auto"/>
            <w:right w:val="none" w:sz="0" w:space="0" w:color="auto"/>
          </w:divBdr>
          <w:divsChild>
            <w:div w:id="9020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963105">
      <w:bodyDiv w:val="1"/>
      <w:marLeft w:val="0"/>
      <w:marRight w:val="0"/>
      <w:marTop w:val="0"/>
      <w:marBottom w:val="0"/>
      <w:divBdr>
        <w:top w:val="none" w:sz="0" w:space="0" w:color="auto"/>
        <w:left w:val="none" w:sz="0" w:space="0" w:color="auto"/>
        <w:bottom w:val="none" w:sz="0" w:space="0" w:color="auto"/>
        <w:right w:val="none" w:sz="0" w:space="0" w:color="auto"/>
      </w:divBdr>
      <w:divsChild>
        <w:div w:id="555091580">
          <w:marLeft w:val="0"/>
          <w:marRight w:val="0"/>
          <w:marTop w:val="0"/>
          <w:marBottom w:val="0"/>
          <w:divBdr>
            <w:top w:val="none" w:sz="0" w:space="0" w:color="auto"/>
            <w:left w:val="none" w:sz="0" w:space="0" w:color="auto"/>
            <w:bottom w:val="none" w:sz="0" w:space="0" w:color="auto"/>
            <w:right w:val="none" w:sz="0" w:space="0" w:color="auto"/>
          </w:divBdr>
          <w:divsChild>
            <w:div w:id="68355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5088">
      <w:bodyDiv w:val="1"/>
      <w:marLeft w:val="0"/>
      <w:marRight w:val="0"/>
      <w:marTop w:val="0"/>
      <w:marBottom w:val="0"/>
      <w:divBdr>
        <w:top w:val="none" w:sz="0" w:space="0" w:color="auto"/>
        <w:left w:val="none" w:sz="0" w:space="0" w:color="auto"/>
        <w:bottom w:val="none" w:sz="0" w:space="0" w:color="auto"/>
        <w:right w:val="none" w:sz="0" w:space="0" w:color="auto"/>
      </w:divBdr>
      <w:divsChild>
        <w:div w:id="553006493">
          <w:marLeft w:val="0"/>
          <w:marRight w:val="0"/>
          <w:marTop w:val="0"/>
          <w:marBottom w:val="0"/>
          <w:divBdr>
            <w:top w:val="none" w:sz="0" w:space="0" w:color="auto"/>
            <w:left w:val="none" w:sz="0" w:space="0" w:color="auto"/>
            <w:bottom w:val="none" w:sz="0" w:space="0" w:color="auto"/>
            <w:right w:val="none" w:sz="0" w:space="0" w:color="auto"/>
          </w:divBdr>
          <w:divsChild>
            <w:div w:id="174950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156676">
      <w:bodyDiv w:val="1"/>
      <w:marLeft w:val="0"/>
      <w:marRight w:val="0"/>
      <w:marTop w:val="0"/>
      <w:marBottom w:val="0"/>
      <w:divBdr>
        <w:top w:val="none" w:sz="0" w:space="0" w:color="auto"/>
        <w:left w:val="none" w:sz="0" w:space="0" w:color="auto"/>
        <w:bottom w:val="none" w:sz="0" w:space="0" w:color="auto"/>
        <w:right w:val="none" w:sz="0" w:space="0" w:color="auto"/>
      </w:divBdr>
      <w:divsChild>
        <w:div w:id="1103301025">
          <w:marLeft w:val="0"/>
          <w:marRight w:val="0"/>
          <w:marTop w:val="0"/>
          <w:marBottom w:val="0"/>
          <w:divBdr>
            <w:top w:val="none" w:sz="0" w:space="0" w:color="auto"/>
            <w:left w:val="none" w:sz="0" w:space="0" w:color="auto"/>
            <w:bottom w:val="none" w:sz="0" w:space="0" w:color="auto"/>
            <w:right w:val="none" w:sz="0" w:space="0" w:color="auto"/>
          </w:divBdr>
          <w:divsChild>
            <w:div w:id="143643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641491">
      <w:bodyDiv w:val="1"/>
      <w:marLeft w:val="0"/>
      <w:marRight w:val="0"/>
      <w:marTop w:val="0"/>
      <w:marBottom w:val="0"/>
      <w:divBdr>
        <w:top w:val="none" w:sz="0" w:space="0" w:color="auto"/>
        <w:left w:val="none" w:sz="0" w:space="0" w:color="auto"/>
        <w:bottom w:val="none" w:sz="0" w:space="0" w:color="auto"/>
        <w:right w:val="none" w:sz="0" w:space="0" w:color="auto"/>
      </w:divBdr>
      <w:divsChild>
        <w:div w:id="1821842617">
          <w:marLeft w:val="0"/>
          <w:marRight w:val="0"/>
          <w:marTop w:val="0"/>
          <w:marBottom w:val="0"/>
          <w:divBdr>
            <w:top w:val="none" w:sz="0" w:space="0" w:color="auto"/>
            <w:left w:val="none" w:sz="0" w:space="0" w:color="auto"/>
            <w:bottom w:val="none" w:sz="0" w:space="0" w:color="auto"/>
            <w:right w:val="none" w:sz="0" w:space="0" w:color="auto"/>
          </w:divBdr>
          <w:divsChild>
            <w:div w:id="81795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657249">
      <w:bodyDiv w:val="1"/>
      <w:marLeft w:val="0"/>
      <w:marRight w:val="0"/>
      <w:marTop w:val="0"/>
      <w:marBottom w:val="0"/>
      <w:divBdr>
        <w:top w:val="none" w:sz="0" w:space="0" w:color="auto"/>
        <w:left w:val="none" w:sz="0" w:space="0" w:color="auto"/>
        <w:bottom w:val="none" w:sz="0" w:space="0" w:color="auto"/>
        <w:right w:val="none" w:sz="0" w:space="0" w:color="auto"/>
      </w:divBdr>
      <w:divsChild>
        <w:div w:id="1297638410">
          <w:marLeft w:val="0"/>
          <w:marRight w:val="0"/>
          <w:marTop w:val="0"/>
          <w:marBottom w:val="0"/>
          <w:divBdr>
            <w:top w:val="none" w:sz="0" w:space="0" w:color="auto"/>
            <w:left w:val="none" w:sz="0" w:space="0" w:color="auto"/>
            <w:bottom w:val="none" w:sz="0" w:space="0" w:color="auto"/>
            <w:right w:val="none" w:sz="0" w:space="0" w:color="auto"/>
          </w:divBdr>
          <w:divsChild>
            <w:div w:id="77772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96171">
      <w:bodyDiv w:val="1"/>
      <w:marLeft w:val="0"/>
      <w:marRight w:val="0"/>
      <w:marTop w:val="0"/>
      <w:marBottom w:val="0"/>
      <w:divBdr>
        <w:top w:val="none" w:sz="0" w:space="0" w:color="auto"/>
        <w:left w:val="none" w:sz="0" w:space="0" w:color="auto"/>
        <w:bottom w:val="none" w:sz="0" w:space="0" w:color="auto"/>
        <w:right w:val="none" w:sz="0" w:space="0" w:color="auto"/>
      </w:divBdr>
      <w:divsChild>
        <w:div w:id="1481389519">
          <w:marLeft w:val="0"/>
          <w:marRight w:val="0"/>
          <w:marTop w:val="0"/>
          <w:marBottom w:val="0"/>
          <w:divBdr>
            <w:top w:val="none" w:sz="0" w:space="0" w:color="auto"/>
            <w:left w:val="none" w:sz="0" w:space="0" w:color="auto"/>
            <w:bottom w:val="none" w:sz="0" w:space="0" w:color="auto"/>
            <w:right w:val="none" w:sz="0" w:space="0" w:color="auto"/>
          </w:divBdr>
          <w:divsChild>
            <w:div w:id="73913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741900">
      <w:bodyDiv w:val="1"/>
      <w:marLeft w:val="0"/>
      <w:marRight w:val="0"/>
      <w:marTop w:val="0"/>
      <w:marBottom w:val="0"/>
      <w:divBdr>
        <w:top w:val="none" w:sz="0" w:space="0" w:color="auto"/>
        <w:left w:val="none" w:sz="0" w:space="0" w:color="auto"/>
        <w:bottom w:val="none" w:sz="0" w:space="0" w:color="auto"/>
        <w:right w:val="none" w:sz="0" w:space="0" w:color="auto"/>
      </w:divBdr>
      <w:divsChild>
        <w:div w:id="407315124">
          <w:marLeft w:val="0"/>
          <w:marRight w:val="0"/>
          <w:marTop w:val="0"/>
          <w:marBottom w:val="0"/>
          <w:divBdr>
            <w:top w:val="none" w:sz="0" w:space="0" w:color="auto"/>
            <w:left w:val="none" w:sz="0" w:space="0" w:color="auto"/>
            <w:bottom w:val="none" w:sz="0" w:space="0" w:color="auto"/>
            <w:right w:val="none" w:sz="0" w:space="0" w:color="auto"/>
          </w:divBdr>
          <w:divsChild>
            <w:div w:id="183063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87427">
      <w:bodyDiv w:val="1"/>
      <w:marLeft w:val="0"/>
      <w:marRight w:val="0"/>
      <w:marTop w:val="0"/>
      <w:marBottom w:val="0"/>
      <w:divBdr>
        <w:top w:val="none" w:sz="0" w:space="0" w:color="auto"/>
        <w:left w:val="none" w:sz="0" w:space="0" w:color="auto"/>
        <w:bottom w:val="none" w:sz="0" w:space="0" w:color="auto"/>
        <w:right w:val="none" w:sz="0" w:space="0" w:color="auto"/>
      </w:divBdr>
      <w:divsChild>
        <w:div w:id="1064374006">
          <w:marLeft w:val="0"/>
          <w:marRight w:val="0"/>
          <w:marTop w:val="0"/>
          <w:marBottom w:val="0"/>
          <w:divBdr>
            <w:top w:val="none" w:sz="0" w:space="0" w:color="auto"/>
            <w:left w:val="none" w:sz="0" w:space="0" w:color="auto"/>
            <w:bottom w:val="none" w:sz="0" w:space="0" w:color="auto"/>
            <w:right w:val="none" w:sz="0" w:space="0" w:color="auto"/>
          </w:divBdr>
          <w:divsChild>
            <w:div w:id="206965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248980">
      <w:bodyDiv w:val="1"/>
      <w:marLeft w:val="0"/>
      <w:marRight w:val="0"/>
      <w:marTop w:val="0"/>
      <w:marBottom w:val="0"/>
      <w:divBdr>
        <w:top w:val="none" w:sz="0" w:space="0" w:color="auto"/>
        <w:left w:val="none" w:sz="0" w:space="0" w:color="auto"/>
        <w:bottom w:val="none" w:sz="0" w:space="0" w:color="auto"/>
        <w:right w:val="none" w:sz="0" w:space="0" w:color="auto"/>
      </w:divBdr>
      <w:divsChild>
        <w:div w:id="2048022233">
          <w:marLeft w:val="0"/>
          <w:marRight w:val="0"/>
          <w:marTop w:val="0"/>
          <w:marBottom w:val="0"/>
          <w:divBdr>
            <w:top w:val="none" w:sz="0" w:space="0" w:color="auto"/>
            <w:left w:val="none" w:sz="0" w:space="0" w:color="auto"/>
            <w:bottom w:val="none" w:sz="0" w:space="0" w:color="auto"/>
            <w:right w:val="none" w:sz="0" w:space="0" w:color="auto"/>
          </w:divBdr>
          <w:divsChild>
            <w:div w:id="63066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453395">
      <w:bodyDiv w:val="1"/>
      <w:marLeft w:val="0"/>
      <w:marRight w:val="0"/>
      <w:marTop w:val="0"/>
      <w:marBottom w:val="0"/>
      <w:divBdr>
        <w:top w:val="none" w:sz="0" w:space="0" w:color="auto"/>
        <w:left w:val="none" w:sz="0" w:space="0" w:color="auto"/>
        <w:bottom w:val="none" w:sz="0" w:space="0" w:color="auto"/>
        <w:right w:val="none" w:sz="0" w:space="0" w:color="auto"/>
      </w:divBdr>
      <w:divsChild>
        <w:div w:id="772163886">
          <w:marLeft w:val="0"/>
          <w:marRight w:val="0"/>
          <w:marTop w:val="0"/>
          <w:marBottom w:val="0"/>
          <w:divBdr>
            <w:top w:val="none" w:sz="0" w:space="0" w:color="auto"/>
            <w:left w:val="none" w:sz="0" w:space="0" w:color="auto"/>
            <w:bottom w:val="none" w:sz="0" w:space="0" w:color="auto"/>
            <w:right w:val="none" w:sz="0" w:space="0" w:color="auto"/>
          </w:divBdr>
          <w:divsChild>
            <w:div w:id="38673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797223">
      <w:bodyDiv w:val="1"/>
      <w:marLeft w:val="0"/>
      <w:marRight w:val="0"/>
      <w:marTop w:val="0"/>
      <w:marBottom w:val="0"/>
      <w:divBdr>
        <w:top w:val="none" w:sz="0" w:space="0" w:color="auto"/>
        <w:left w:val="none" w:sz="0" w:space="0" w:color="auto"/>
        <w:bottom w:val="none" w:sz="0" w:space="0" w:color="auto"/>
        <w:right w:val="none" w:sz="0" w:space="0" w:color="auto"/>
      </w:divBdr>
      <w:divsChild>
        <w:div w:id="1566330151">
          <w:marLeft w:val="0"/>
          <w:marRight w:val="0"/>
          <w:marTop w:val="0"/>
          <w:marBottom w:val="0"/>
          <w:divBdr>
            <w:top w:val="none" w:sz="0" w:space="0" w:color="auto"/>
            <w:left w:val="none" w:sz="0" w:space="0" w:color="auto"/>
            <w:bottom w:val="none" w:sz="0" w:space="0" w:color="auto"/>
            <w:right w:val="none" w:sz="0" w:space="0" w:color="auto"/>
          </w:divBdr>
          <w:divsChild>
            <w:div w:id="30948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1846-022-00521-z" TargetMode="External"/><Relationship Id="rId18" Type="http://schemas.openxmlformats.org/officeDocument/2006/relationships/hyperlink" Target="https://doi.org/10.1016/j.jbankfin.2024.107254" TargetMode="External"/><Relationship Id="rId26" Type="http://schemas.openxmlformats.org/officeDocument/2006/relationships/hyperlink" Target="https://doi.org/10.1177/2329488418777037" TargetMode="External"/><Relationship Id="rId39" Type="http://schemas.openxmlformats.org/officeDocument/2006/relationships/hyperlink" Target="https://doi.org/10.1016/j.jclinepi.2024.111607" TargetMode="External"/><Relationship Id="rId21" Type="http://schemas.openxmlformats.org/officeDocument/2006/relationships/hyperlink" Target="https://doi.org/10.1016/j.respol.2021.104425" TargetMode="External"/><Relationship Id="rId34" Type="http://schemas.openxmlformats.org/officeDocument/2006/relationships/hyperlink" Target="https://doi.org/10.1007/s00146-025-02288-9"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doi.org/10.1016/j.indmarman.2021.07.013" TargetMode="External"/><Relationship Id="rId20" Type="http://schemas.openxmlformats.org/officeDocument/2006/relationships/hyperlink" Target="https://doi.org/10.1080/03075079.2024.2316881" TargetMode="External"/><Relationship Id="rId29" Type="http://schemas.openxmlformats.org/officeDocument/2006/relationships/hyperlink" Target="https://doi.org/10.1016/j.jretconser.2026.10472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7/s40636-025-00331-4" TargetMode="External"/><Relationship Id="rId24" Type="http://schemas.openxmlformats.org/officeDocument/2006/relationships/hyperlink" Target="https://doi.org/10.1145/3700597" TargetMode="External"/><Relationship Id="rId32" Type="http://schemas.openxmlformats.org/officeDocument/2006/relationships/hyperlink" Target="https://doi.org/10.1177/25166042221115240" TargetMode="External"/><Relationship Id="rId37" Type="http://schemas.openxmlformats.org/officeDocument/2006/relationships/hyperlink" Target="https://doi.org/10.1016/j.jlp.2021.104648" TargetMode="External"/><Relationship Id="rId40" Type="http://schemas.openxmlformats.org/officeDocument/2006/relationships/hyperlink" Target="https://doi.org/10.1109/TEM.2024.3472292" TargetMode="External"/><Relationship Id="rId5" Type="http://schemas.openxmlformats.org/officeDocument/2006/relationships/settings" Target="settings.xml"/><Relationship Id="rId15" Type="http://schemas.openxmlformats.org/officeDocument/2006/relationships/hyperlink" Target="https://doi.org/10.1080/23311975.2023.2174181" TargetMode="External"/><Relationship Id="rId23" Type="http://schemas.openxmlformats.org/officeDocument/2006/relationships/hyperlink" Target="https://doi.org/10.1016/j.jbusres.2024.114764" TargetMode="External"/><Relationship Id="rId28" Type="http://schemas.openxmlformats.org/officeDocument/2006/relationships/hyperlink" Target="https://doi.org/10.1038/s41467-025-64723-1" TargetMode="External"/><Relationship Id="rId36" Type="http://schemas.openxmlformats.org/officeDocument/2006/relationships/hyperlink" Target="https://doi.org/10.1007/s00146-022-01430-1" TargetMode="External"/><Relationship Id="rId10" Type="http://schemas.openxmlformats.org/officeDocument/2006/relationships/footer" Target="footer1.xml"/><Relationship Id="rId19" Type="http://schemas.openxmlformats.org/officeDocument/2006/relationships/hyperlink" Target="https://doi.org/10.1007/s12553-025-01036-9" TargetMode="External"/><Relationship Id="rId31" Type="http://schemas.openxmlformats.org/officeDocument/2006/relationships/hyperlink" Target="https://doi.org/10.3390/info1411060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080/10920277.2025.2457491" TargetMode="External"/><Relationship Id="rId22" Type="http://schemas.openxmlformats.org/officeDocument/2006/relationships/hyperlink" Target="https://doi.org/10.1186/s12995-021-00301-7" TargetMode="External"/><Relationship Id="rId27" Type="http://schemas.openxmlformats.org/officeDocument/2006/relationships/hyperlink" Target="https://doi.org/10.1109/ACCESS.2021.3050929" TargetMode="External"/><Relationship Id="rId30" Type="http://schemas.openxmlformats.org/officeDocument/2006/relationships/hyperlink" Target="https://doi.org/10.1108/IJBM-08-2024-0490" TargetMode="External"/><Relationship Id="rId35" Type="http://schemas.openxmlformats.org/officeDocument/2006/relationships/hyperlink" Target="https://doi.org/10.1177/09721509251414773"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doi.org/10.1108/BPMJ-10-2022-0484" TargetMode="External"/><Relationship Id="rId17" Type="http://schemas.openxmlformats.org/officeDocument/2006/relationships/hyperlink" Target="https://doi.org/10.1029/2025WR040786" TargetMode="External"/><Relationship Id="rId25" Type="http://schemas.openxmlformats.org/officeDocument/2006/relationships/hyperlink" Target="https://doi.org/10.1007/s11604-025-01942-y" TargetMode="External"/><Relationship Id="rId33" Type="http://schemas.openxmlformats.org/officeDocument/2006/relationships/hyperlink" Target="https://doi.org/10.1016/j.clsr.2023.105798" TargetMode="External"/><Relationship Id="rId38" Type="http://schemas.openxmlformats.org/officeDocument/2006/relationships/hyperlink" Target="https://doi.org/10.18559/ebr.2023.2.7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80785-2C00-4412-9F4A-CC98D40CA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7037</Words>
  <Characters>40116</Characters>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2026-04-26T14:12:00Z</dcterms:created>
  <dcterms:modified xsi:type="dcterms:W3CDTF">2026-04-26T18:17:00Z</dcterms:modified>
</cp:coreProperties>
</file>