
<file path=[Content_Types].xml><?xml version="1.0" encoding="utf-8"?>
<Types xmlns="http://schemas.openxmlformats.org/package/2006/content-types">
  <Default ContentType="application/xml" Extension="xml"/>
  <Default ContentType="application/vnd.openxmlformats-officedocument.obfuscatedFont" Extension="odttf"/>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body>
    <w:p w:rsidR="00000000" w:rsidDel="00000000" w:rsidP="00000000" w:rsidRDefault="00000000" w:rsidRPr="00000000" w14:paraId="00000001">
      <w:pPr>
        <w:rPr>
          <w:b w:val="1"/>
          <w:bCs w:val="1"/>
          <w:i w:val="1"/>
          <w:iCs w:val="1"/>
          <w:u w:val="single"/>
        </w:rPr>
      </w:pPr>
      <w:r w:rsidDel="00000000" w:rsidR="00000000" w:rsidRPr="00000000">
        <w:rPr>
          <w:b w:val="1"/>
          <w:bCs w:val="1"/>
          <w:i w:val="1"/>
          <w:iCs w:val="1"/>
          <w:u w:val="single"/>
          <w:rtl w:val="0"/>
        </w:rPr>
        <w:t xml:space="preserve">The Nature and Direction of Philosophy: Reason, Experience and the Wider Humanities</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spacing w:after="240" w:before="240" w:lineRule="auto"/>
        <w:rPr/>
      </w:pPr>
      <w:r w:rsidDel="00000000" w:rsidR="00000000" w:rsidRPr="00000000">
        <w:rPr>
          <w:rtl w:val="0"/>
        </w:rPr>
        <w:t xml:space="preserve">Philosophy as a discipline distinguishes itself not only through the questions it asks but also through the methods by which those questions are examined. While empirical disciplines investigate observable phenomena, philosophical inquiry is often concerned with questions of knowledge, meaning and morality that cannot be resolved with only empirical evidence. At the core of philosophy is the critical examination of beliefs and the intuitions upon which they are built; rather than merely defending entrenched convictions, philosophical inquiry necessitates that individuals question their justification and consider alternative perspectives where established arguments prove unsatisfying. </w:t>
      </w:r>
    </w:p>
    <w:p w:rsidR="00000000" w:rsidDel="00000000" w:rsidP="00000000" w:rsidRDefault="00000000" w:rsidRPr="00000000" w14:paraId="00000004">
      <w:pPr>
        <w:spacing w:after="240" w:before="240" w:lineRule="auto"/>
        <w:rPr/>
      </w:pPr>
      <w:r w:rsidDel="00000000" w:rsidR="00000000" w:rsidRPr="00000000">
        <w:rPr>
          <w:rtl w:val="0"/>
        </w:rPr>
        <w:t xml:space="preserve">Nevertheless, philosophy does not exist independently  of other disciplines; literature, for instance, provides avenues to interrogate moral conflict, subjective experience and the complexities of human behaviour utilising narrative. This essay will therefore examine the nature and direction of philosophy, focusing specifically on ethics, epistemology and philosophy of mind alongside their relationship to other disciplines within the humanities. Through exploring the contributions and limitations of interdisciplinary inquiry, with focus on the relationship between philosophy and literature, it will argue that such engagement can deepen philosophical understanding and contribute to its continued development; nonetheless, understanding or demonstrating a philosophical problem does not by definition demonstrate the validity of its proposed conclusions. </w:t>
      </w:r>
    </w:p>
    <w:p w:rsidR="00000000" w:rsidDel="00000000" w:rsidP="00000000" w:rsidRDefault="00000000" w:rsidRPr="00000000" w14:paraId="00000005">
      <w:pPr>
        <w:spacing w:after="240" w:before="240" w:lineRule="auto"/>
        <w:rPr/>
      </w:pPr>
      <w:r w:rsidDel="00000000" w:rsidR="00000000" w:rsidRPr="00000000">
        <w:rPr>
          <w:rtl w:val="0"/>
        </w:rPr>
        <w:t xml:space="preserve">The nature of philosophical inquiry can be examined through the relationship between experience, reason and the justification of moral beliefs. Hume (1739-1740), for instance, challenges the assumption that moral distinctions can be derived strictly from reason; instead, he asserts that sentiment plays a fundamental role in moral evaluation, while reason contributes to our understanding of the involved circumstances. Conversely, Nietzsche (1887) adopts a genealogical approach to morality, evaluating the psychological and historical conditions under which moral values develop and attain authority. Despite their differing methods, both philosophers challenge the assumption that entrenched moral convictions should be accepted without critical examination of their foundations. Nevertheless, identifying the origins of a moral belief does not necessarily corroborate whether that belief is justified; understanding the circumstances in which a conviction develops is distinct from whether it is philosophically valid.</w:t>
      </w:r>
    </w:p>
    <w:p w:rsidR="00000000" w:rsidDel="00000000" w:rsidP="00000000" w:rsidRDefault="00000000" w:rsidRPr="00000000" w14:paraId="00000006">
      <w:pPr>
        <w:spacing w:after="240" w:before="240" w:lineRule="auto"/>
        <w:rPr/>
      </w:pPr>
      <w:r w:rsidDel="00000000" w:rsidR="00000000" w:rsidRPr="00000000">
        <w:rPr>
          <w:rtl w:val="0"/>
        </w:rPr>
        <w:t xml:space="preserve">This distinction can be further explored through Dostoevsky’s </w:t>
      </w:r>
      <w:r w:rsidDel="00000000" w:rsidR="00000000" w:rsidRPr="00000000">
        <w:rPr>
          <w:i w:val="1"/>
          <w:iCs w:val="1"/>
          <w:rtl w:val="0"/>
        </w:rPr>
        <w:t xml:space="preserve">The Brothers Karamazov</w:t>
      </w:r>
      <w:r w:rsidDel="00000000" w:rsidR="00000000" w:rsidRPr="00000000">
        <w:rPr>
          <w:rtl w:val="0"/>
        </w:rPr>
        <w:t xml:space="preserve"> (2003). Per Ivan Karamazov’s objections to a moral order that allows the suffering of innocent children, Dostoevsky articulates a philosophical problem in which emotional experience and ethical reasoning are closely interlaced. Ivan’s rejection of a greater harmony purchased through innocent suffering invites readers to question the moral justification of such suffering; however, the emotional force of his argument does not necessarily establish the validity of its conclusions. The novel therefore illustrates how literature may contribute to philosophical inquiry through differing perspectives and experiences rather than abstract propositions alone. Nevertheless, literary representation does not eliminate the need for critical evaluation; understanding the circumstances surrounding a philosophical argument is not equivalent to establishing the truth of its conclusions. Philosophy's relationship with literature can therefore enrich moral reflection while preserving the distinction between experience and justification. </w:t>
      </w:r>
    </w:p>
    <w:p w:rsidR="00000000" w:rsidDel="00000000" w:rsidP="00000000" w:rsidRDefault="00000000" w:rsidRPr="00000000" w14:paraId="00000007">
      <w:pPr>
        <w:spacing w:after="240" w:before="240" w:lineRule="auto"/>
        <w:rPr/>
      </w:pPr>
      <w:r w:rsidDel="00000000" w:rsidR="00000000" w:rsidRPr="00000000">
        <w:rPr>
          <w:rtl w:val="0"/>
        </w:rPr>
        <w:t xml:space="preserve">Philosophy’s relationship with literature extends beyond the illustration of moral dilemmas; literary structure itself may provide opportunities for philosophical examination. Børtnes (2007), drawing upon Bakhtin’s concept of polyphony, investigates how Dostoevsky presents characters as distinct voices engaged in ideological dialogue. In </w:t>
      </w:r>
      <w:r w:rsidDel="00000000" w:rsidR="00000000" w:rsidRPr="00000000">
        <w:rPr>
          <w:i w:val="1"/>
          <w:iCs w:val="1"/>
          <w:rtl w:val="0"/>
        </w:rPr>
        <w:t xml:space="preserve">The Brothers Karamazov</w:t>
      </w:r>
      <w:r w:rsidDel="00000000" w:rsidR="00000000" w:rsidRPr="00000000">
        <w:rPr>
          <w:rtl w:val="0"/>
        </w:rPr>
        <w:t xml:space="preserve"> (Dostoevsky, 2003), the contrasting perspectives of Dimitri, Alyosha and Ivan allow competing approaches to morality and human experience to be explored without constricting their disagreements to a single abstract proposition. Such an approach may encourage readers to consider philosophical interpretations from perspectives other than their own; however, the apparent independence of these voices also raises questions about the author’s influence over their presentation. If the novel’s structure ultimately privileges a particular moral or religious outlook, its capacity to facilitate genuinely open philosophical dialogue may be more limited than polyphony asserts. Literature therefore offers potential for critical reflection, while remaining subject to interpretive and philosophical scrutiny.</w:t>
      </w:r>
    </w:p>
    <w:p w:rsidR="00000000" w:rsidDel="00000000" w:rsidP="00000000" w:rsidRDefault="00000000" w:rsidRPr="00000000" w14:paraId="00000008">
      <w:pPr>
        <w:spacing w:after="240" w:before="240" w:lineRule="auto"/>
        <w:rPr/>
      </w:pPr>
      <w:r w:rsidDel="00000000" w:rsidR="00000000" w:rsidRPr="00000000">
        <w:rPr>
          <w:rtl w:val="0"/>
        </w:rPr>
        <w:t xml:space="preserve">The epistemological contribution of literature can be analysed through the distinction between knowledge and understanding. Mikkonen (2024) asserts that the cognitive value of literary narratives may be better understood through their capacity to develop understanding rather than merely communicate factual knowledge. Literature may challenge entrenched assumptions and encourage readers to reevaluate their interpretations of human experience; consequently, philosophical inquiry can benefit from engaging with perspectives that complicate existing conceptual frameworks. Nonetheless, the degree to which engagement with literature produces actual cognitive development remains unclear. A reader’s interpretation may be influenced by prior beliefs, while the understanding cultivated via fictional narratives does not necessarily transcend the literary experience itself. Mikkonen's argument therefore suggests that the philosophical value of literature does not depend upon its capacity to establish factual truths; conversely, its contribution to understanding remains subject to questions concerning interpretation and the evidence supporting its effects upon readers.</w:t>
      </w:r>
    </w:p>
    <w:p w:rsidR="00000000" w:rsidDel="00000000" w:rsidP="00000000" w:rsidRDefault="00000000" w:rsidRPr="00000000" w14:paraId="00000009">
      <w:pPr>
        <w:spacing w:after="240" w:before="240" w:lineRule="auto"/>
        <w:rPr/>
      </w:pPr>
      <w:r w:rsidDel="00000000" w:rsidR="00000000" w:rsidRPr="00000000">
        <w:rPr>
          <w:rtl w:val="0"/>
        </w:rPr>
        <w:t xml:space="preserve">The limitations of inquiry through literature can be assessed further through Dostoevsky’s </w:t>
      </w:r>
      <w:r w:rsidDel="00000000" w:rsidR="00000000" w:rsidRPr="00000000">
        <w:rPr>
          <w:i w:val="1"/>
          <w:iCs w:val="1"/>
          <w:rtl w:val="0"/>
        </w:rPr>
        <w:t xml:space="preserve">Demons</w:t>
      </w:r>
      <w:r w:rsidDel="00000000" w:rsidR="00000000" w:rsidRPr="00000000">
        <w:rPr>
          <w:rtl w:val="0"/>
        </w:rPr>
        <w:t xml:space="preserve"> (2008). Statkiewicz (2018) explores the relationship between Nietzsche and Dostoevsky’s treatment of nihilism, especially with how literature may communicate aspects of philosophical experience that abstract reasoning may struggle to convey. Through its representation of the consequences of ideological conflicts, </w:t>
      </w:r>
      <w:r w:rsidDel="00000000" w:rsidR="00000000" w:rsidRPr="00000000">
        <w:rPr>
          <w:i w:val="1"/>
          <w:iCs w:val="1"/>
          <w:rtl w:val="0"/>
        </w:rPr>
        <w:t xml:space="preserve">Demons</w:t>
      </w:r>
      <w:r w:rsidDel="00000000" w:rsidR="00000000" w:rsidRPr="00000000">
        <w:rPr>
          <w:rtl w:val="0"/>
        </w:rPr>
        <w:t xml:space="preserve"> allows readers to encounter nihilism not just as a theoretical position, but as an experience with psychological and ethical considerations. Nevertheless, the consequences portrayed through fiction cannot in isolation demonstrate the falsity of the philosophical positions depicted within; such outcomes are continually shaped by the author's narrative decisions. Consequently, literature may deepen philosophical understanding without necessarily resolving the questions it posits. This demonstrates both the value and limitations of interdisciplinary inquiry, particularly with the intersection between philosophical justification and literary representation.</w:t>
      </w:r>
    </w:p>
    <w:p w:rsidR="00000000" w:rsidDel="00000000" w:rsidP="00000000" w:rsidRDefault="00000000" w:rsidRPr="00000000" w14:paraId="0000000A">
      <w:pPr>
        <w:spacing w:after="240" w:before="240" w:lineRule="auto"/>
        <w:rPr/>
      </w:pPr>
      <w:r w:rsidDel="00000000" w:rsidR="00000000" w:rsidRPr="00000000">
        <w:rPr>
          <w:rtl w:val="0"/>
        </w:rPr>
        <w:t xml:space="preserve">The relationship between philosophy and literature can also be analysed through questions that concern consciousness and subjective experiences. Nagel (1974) argues that conscious experience cannot be captured solely through the lens of objective descriptions; this raises difficulties for inquiry surrounding scientific and philosophical understandings of the experience of others. Tolstoy’s </w:t>
      </w:r>
      <w:r w:rsidDel="00000000" w:rsidR="00000000" w:rsidRPr="00000000">
        <w:rPr>
          <w:i w:val="1"/>
          <w:iCs w:val="1"/>
          <w:rtl w:val="0"/>
        </w:rPr>
        <w:t xml:space="preserve">Anna Karenina</w:t>
      </w:r>
      <w:r w:rsidDel="00000000" w:rsidR="00000000" w:rsidRPr="00000000">
        <w:rPr>
          <w:rtl w:val="0"/>
        </w:rPr>
        <w:t xml:space="preserve"> (2003) offers a literary perspective on this problem through its depiction of Anna’s internal conflicts, emotional experiences and relationship with societal expectations. Tolstoy allows readers to inhabit a perspective besides their own; nevertheless, such representations remain fictional constructions as opposed to direct evidence concerning the nature of consciousness. Therefore, literature may contribute to philosophical reflection by encouraging consideration of subjective perspectives, while Nagel’s argument demonstrates the limitations of assuming that such understanding provides unrestricted access to the subjective experience of another individual.</w:t>
      </w:r>
    </w:p>
    <w:p w:rsidR="00000000" w:rsidDel="00000000" w:rsidP="00000000" w:rsidRDefault="00000000" w:rsidRPr="00000000" w14:paraId="0000000B">
      <w:pPr>
        <w:spacing w:after="240" w:before="240" w:lineRule="auto"/>
        <w:rPr/>
      </w:pPr>
      <w:r w:rsidDel="00000000" w:rsidR="00000000" w:rsidRPr="00000000">
        <w:rPr>
          <w:rtl w:val="0"/>
        </w:rPr>
        <w:t xml:space="preserve">Philosophy’s relationship with the wider humanities can be examined further through questions concerning freedom and moral responsibility. Beauvoir (1948), in </w:t>
      </w:r>
      <w:r w:rsidDel="00000000" w:rsidR="00000000" w:rsidRPr="00000000">
        <w:rPr>
          <w:i w:val="1"/>
          <w:iCs w:val="1"/>
          <w:rtl w:val="0"/>
        </w:rPr>
        <w:t xml:space="preserve">The Ethics of Ambiguity</w:t>
      </w:r>
      <w:r w:rsidDel="00000000" w:rsidR="00000000" w:rsidRPr="00000000">
        <w:rPr>
          <w:rtl w:val="0"/>
        </w:rPr>
        <w:t xml:space="preserve">, examines freedom as embedded within social circumstances; individual agency cannot be sufficiently understood without regard to the conditions under which those choices are exercised. Zola’s </w:t>
      </w:r>
      <w:r w:rsidDel="00000000" w:rsidR="00000000" w:rsidRPr="00000000">
        <w:rPr>
          <w:i w:val="1"/>
          <w:iCs w:val="1"/>
          <w:rtl w:val="0"/>
        </w:rPr>
        <w:t xml:space="preserve">Germinal</w:t>
      </w:r>
      <w:r w:rsidDel="00000000" w:rsidR="00000000" w:rsidRPr="00000000">
        <w:rPr>
          <w:rtl w:val="0"/>
        </w:rPr>
        <w:t xml:space="preserve"> (2004a) illustrates this problem through its portrayal of miners whose opportunities are constrained by poverty and exploitation. However, social restrictions are not necessarily economic; the contrasting experiences of Anna in Tolstoy’s </w:t>
      </w:r>
      <w:r w:rsidDel="00000000" w:rsidR="00000000" w:rsidRPr="00000000">
        <w:rPr>
          <w:i w:val="1"/>
          <w:iCs w:val="1"/>
          <w:rtl w:val="0"/>
        </w:rPr>
        <w:t xml:space="preserve">Anna Karenina</w:t>
      </w:r>
      <w:r w:rsidDel="00000000" w:rsidR="00000000" w:rsidRPr="00000000">
        <w:rPr>
          <w:rtl w:val="0"/>
        </w:rPr>
        <w:t xml:space="preserve"> (2003) and Nana in Zola’s </w:t>
      </w:r>
      <w:r w:rsidDel="00000000" w:rsidR="00000000" w:rsidRPr="00000000">
        <w:rPr>
          <w:i w:val="1"/>
          <w:iCs w:val="1"/>
          <w:rtl w:val="0"/>
        </w:rPr>
        <w:t xml:space="preserve">Nana</w:t>
      </w:r>
      <w:r w:rsidDel="00000000" w:rsidR="00000000" w:rsidRPr="00000000">
        <w:rPr>
          <w:rtl w:val="0"/>
        </w:rPr>
        <w:t xml:space="preserve"> (2004b) illustrate how gender norms surrounding expectations and social power may complicate both individual freedom and moral judgement. These characters exercise agency, albeit in different circumstances; their experiences raise questions concerning the extent to which moral responsibility can be assessed with social conditions removed. Nevertheless, explaining behaviour through the lens of such conditions does not automatically demonstrate that it is morally permissible. Literary representations such as these consequently demonstrate how philosophical ethics may engage with both social and historical perspectives while retaining its concern with the justification of moral judgements.</w:t>
      </w:r>
    </w:p>
    <w:p w:rsidR="00000000" w:rsidDel="00000000" w:rsidP="00000000" w:rsidRDefault="00000000" w:rsidRPr="00000000" w14:paraId="0000000C">
      <w:pPr>
        <w:spacing w:after="240" w:before="240" w:lineRule="auto"/>
        <w:rPr/>
      </w:pPr>
      <w:r w:rsidDel="00000000" w:rsidR="00000000" w:rsidRPr="00000000">
        <w:rPr>
          <w:rtl w:val="0"/>
        </w:rPr>
        <w:t xml:space="preserve">The direction of Philosophy can be dissected through the development of its methods and its capacity to critically engage with other disciplines within the broader humanities. Philosophical inquiry has not followed a linear progression; conversely, different approaches have emerged through continuing disagreements concerning knowledge, morality and the subjective human experience. For instance, the contrast between Hume’s (1739-1740) account of moral sentiment, Nietzsche’s (1887) genealogical approach and Beauvoir's (1948) examination of situated freedom demonstrates how philosophical investigation can draw upon not only psychological but also historical and sociological approaches. Philosophy’s contribution to interdisciplinary inquiry may, as a result, be understood as a form of ‘intellectual alchemy’: the critical examination, deconstruction and reconstruction of the conceptual foundations upon which arguments and beliefs are established. In this respect, philosophy does not only draw upon the findings of other disciplines but also provides a means through which not only their methods but their assumptions and implications may themselves become subjects of critical evaluation.</w:t>
      </w:r>
    </w:p>
    <w:p w:rsidR="00000000" w:rsidDel="00000000" w:rsidP="00000000" w:rsidRDefault="00000000" w:rsidRPr="00000000" w14:paraId="0000000D">
      <w:pPr>
        <w:spacing w:after="240" w:before="240" w:lineRule="auto"/>
        <w:rPr/>
      </w:pPr>
      <w:r w:rsidDel="00000000" w:rsidR="00000000" w:rsidRPr="00000000">
        <w:rPr>
          <w:rtl w:val="0"/>
        </w:rPr>
        <w:t xml:space="preserve">Looking towards the future, greater interdisciplinary engagement offers one possible direction for philosophical inquiry. Literature and history may provide perspectives on human experience and moral conflict, while developments in neuroscience may contribute empirical findings relevant to questions concerning moral judgement and consciousness. Nevertheless, philosophy’s contribution extends beyond incorporating these findings; it actively involves dissecting their conceptual implications and examining to what extent they can justify particular conclusions. This distinction becomes increasingly significant when questions surrounding artificial intelligence and consciousness emerge: Nagel’s (1974) examination of subjective experience, for instance, raises questions concerning the limitations of understanding consciousness solely through observable behaviour; his argument may therefore inform philosophical investigations into whether artificial intelligence could possess subjective experience. However, such interdisciplinary engagement does not necessarily constitute philosophical progress; introducing new methods or areas of inquiry may add complications to existing problems without providing a satisfactory resolution. The future of philosophy may therefore benefit from continued collaboration with other disciplines within the humanities and sciences, provided that methodological diversity is accompanied by critical evaluation of the assumptions and standards upon which that inquiry necessarily depends.</w:t>
      </w:r>
    </w:p>
    <w:p w:rsidR="00000000" w:rsidDel="00000000" w:rsidP="00000000" w:rsidRDefault="00000000" w:rsidRPr="00000000" w14:paraId="0000000E">
      <w:pPr>
        <w:spacing w:after="240" w:before="240" w:lineRule="auto"/>
        <w:rPr/>
      </w:pPr>
      <w:r w:rsidDel="00000000" w:rsidR="00000000" w:rsidRPr="00000000">
        <w:rPr>
          <w:rtl w:val="0"/>
        </w:rPr>
        <w:t xml:space="preserve">A potential objection to this account concerns whether philosophy’s interdisciplinary inquiry is adequately  distinctive: history and literary criticism also examine assumptions, evaluate evidence and challenge established interpretations; to suggest that such scrutiny belongs solely to philosophy would disregard the critical methods of other disciplines. Nonetheless, philosophy’s particular contribution may be understood through its prolonged evaluation of conceptual coherence and the justification of claims concerning not only knowledge but also morality and the human experience. Historical inquiry, for instance, may explain how particular moral values developed, whereas philosophical investigation can question whether their origins provide adequate justification for accepting or rejecting them. This distinction, however, should not be considered absolute, as different disciplines frequently engage with overlapping questions. The value of philosophy among the wider humanities may lie in its capacity to contribute to a reciprocal process of critical inquiry, rather than in methodological superiority. </w:t>
      </w:r>
    </w:p>
    <w:p w:rsidR="00000000" w:rsidDel="00000000" w:rsidP="00000000" w:rsidRDefault="00000000" w:rsidRPr="00000000" w14:paraId="0000000F">
      <w:pPr>
        <w:spacing w:after="240" w:before="240" w:lineRule="auto"/>
        <w:rPr/>
      </w:pPr>
      <w:r w:rsidDel="00000000" w:rsidR="00000000" w:rsidRPr="00000000">
        <w:rPr>
          <w:rtl w:val="0"/>
        </w:rPr>
        <w:t xml:space="preserve">To conclude, philosophy may be understood not simply as the pursuit of answers but as the critical examination of the assumptions underlying questions concerning morality, knowledge and the human experience. Its relationship within the wider humanities can demonstrate not only the value but also the limitations of interdisciplinary inquiry. Literature and history can illuminate the philosophical problems that emerge from particular human experiences; nevertheless, such understanding cannot, in isolation, establish the justification of the conclusions drawn. Through both conceptual analysis and critical evaluation, philosophy can interrogate the interpretations whilst allowing its own methods and assumptions to be challenged. The direction of philosophy, therefore, does not need to be defined by a particular methodology or by linear progression towards definitive answers, but by the continued engagement with different interpretations without abandoning its standards concerning argumentation and justification. The significance of philosophy within the wider humanities lies ultimately in the reciprocal pursuit of understanding, criticism and intellectual revision.</w:t>
      </w:r>
    </w:p>
    <w:p w:rsidR="00000000" w:rsidDel="00000000" w:rsidP="00000000" w:rsidRDefault="00000000" w:rsidRPr="00000000" w14:paraId="00000010">
      <w:pPr>
        <w:spacing w:after="240" w:before="240" w:lineRule="auto"/>
        <w:rPr/>
      </w:pPr>
      <w:r w:rsidDel="00000000" w:rsidR="00000000" w:rsidRPr="00000000">
        <w:rPr>
          <w:rtl w:val="0"/>
        </w:rPr>
      </w:r>
    </w:p>
    <w:p w:rsidR="00000000" w:rsidDel="00000000" w:rsidP="00000000" w:rsidRDefault="00000000" w:rsidRPr="00000000" w14:paraId="00000011">
      <w:pPr>
        <w:spacing w:after="240" w:before="240" w:lineRule="auto"/>
        <w:ind w:left="720" w:firstLine="0"/>
        <w:jc w:val="center"/>
        <w:rPr>
          <w:b w:val="1"/>
          <w:bCs w:val="1"/>
          <w:u w:val="single"/>
        </w:rPr>
      </w:pPr>
      <w:r w:rsidDel="00000000" w:rsidR="00000000" w:rsidRPr="00000000">
        <w:rPr>
          <w:b w:val="1"/>
          <w:bCs w:val="1"/>
          <w:u w:val="single"/>
          <w:rtl w:val="0"/>
        </w:rPr>
        <w:t xml:space="preserve">Bibliography</w:t>
      </w:r>
    </w:p>
    <w:p w:rsidR="00000000" w:rsidDel="00000000" w:rsidP="00000000" w:rsidRDefault="00000000" w:rsidRPr="00000000" w14:paraId="00000012">
      <w:pPr>
        <w:spacing w:after="240" w:before="240" w:lineRule="auto"/>
        <w:rPr/>
      </w:pPr>
      <w:r w:rsidDel="00000000" w:rsidR="00000000" w:rsidRPr="00000000">
        <w:rPr>
          <w:rtl w:val="0"/>
        </w:rPr>
        <w:t xml:space="preserve">Beauvoir, S. de (1948) </w:t>
      </w:r>
      <w:r w:rsidDel="00000000" w:rsidR="00000000" w:rsidRPr="00000000">
        <w:rPr>
          <w:i w:val="1"/>
          <w:iCs w:val="1"/>
          <w:rtl w:val="0"/>
        </w:rPr>
        <w:t xml:space="preserve">The Ethics of Ambiguity</w:t>
      </w:r>
      <w:r w:rsidDel="00000000" w:rsidR="00000000" w:rsidRPr="00000000">
        <w:rPr>
          <w:rtl w:val="0"/>
        </w:rPr>
        <w:t xml:space="preserve">. Translated by B. Frechtman. New York: Philosophical Library. (Original French work published 1947).</w:t>
      </w:r>
    </w:p>
    <w:p w:rsidR="00000000" w:rsidDel="00000000" w:rsidP="00000000" w:rsidRDefault="00000000" w:rsidRPr="00000000" w14:paraId="00000013">
      <w:pPr>
        <w:spacing w:after="240" w:before="240" w:lineRule="auto"/>
        <w:rPr/>
      </w:pPr>
      <w:r w:rsidDel="00000000" w:rsidR="00000000" w:rsidRPr="00000000">
        <w:rPr>
          <w:rtl w:val="0"/>
        </w:rPr>
        <w:t xml:space="preserve">Børtnes, J. (2007) ‘Polyphony in The Brothers Karamazov: Variations on a Theme’, in </w:t>
      </w:r>
      <w:r w:rsidDel="00000000" w:rsidR="00000000" w:rsidRPr="00000000">
        <w:rPr>
          <w:i w:val="1"/>
          <w:iCs w:val="1"/>
          <w:rtl w:val="0"/>
        </w:rPr>
        <w:t xml:space="preserve">The Poetry of Prose: Readings in Russian Literature</w:t>
      </w:r>
      <w:r w:rsidDel="00000000" w:rsidR="00000000" w:rsidRPr="00000000">
        <w:rPr>
          <w:rtl w:val="0"/>
        </w:rPr>
        <w:t xml:space="preserve">. Bergen: University of Bergen, pp. 97–108. Available at:</w:t>
      </w:r>
      <w:hyperlink r:id="rId6">
        <w:r w:rsidDel="00000000" w:rsidR="00000000" w:rsidRPr="00000000">
          <w:rPr>
            <w:rtl w:val="0"/>
          </w:rPr>
          <w:t xml:space="preserve"> </w:t>
        </w:r>
      </w:hyperlink>
      <w:hyperlink r:id="rId7">
        <w:r w:rsidDel="00000000" w:rsidR="00000000" w:rsidRPr="00000000">
          <w:rPr>
            <w:color w:val="1155cc"/>
            <w:u w:val="single"/>
            <w:rtl w:val="0"/>
          </w:rPr>
          <w:t xml:space="preserve">https://doi.org/10.15845/sb.10.9</w:t>
        </w:r>
      </w:hyperlink>
      <w:r w:rsidDel="00000000" w:rsidR="00000000" w:rsidRPr="00000000">
        <w:rPr>
          <w:rtl w:val="0"/>
        </w:rPr>
        <w:t xml:space="preserve"> (Accessed: 19 October 2026).</w:t>
      </w:r>
    </w:p>
    <w:p w:rsidR="00000000" w:rsidDel="00000000" w:rsidP="00000000" w:rsidRDefault="00000000" w:rsidRPr="00000000" w14:paraId="00000014">
      <w:pPr>
        <w:spacing w:after="240" w:before="240" w:lineRule="auto"/>
        <w:rPr/>
      </w:pPr>
      <w:r w:rsidDel="00000000" w:rsidR="00000000" w:rsidRPr="00000000">
        <w:rPr>
          <w:rtl w:val="0"/>
        </w:rPr>
        <w:t xml:space="preserve">Dostoevsky, F. (2003) </w:t>
      </w:r>
      <w:r w:rsidDel="00000000" w:rsidR="00000000" w:rsidRPr="00000000">
        <w:rPr>
          <w:i w:val="1"/>
          <w:iCs w:val="1"/>
          <w:rtl w:val="0"/>
        </w:rPr>
        <w:t xml:space="preserve">The Brothers Karamazov</w:t>
      </w:r>
      <w:r w:rsidDel="00000000" w:rsidR="00000000" w:rsidRPr="00000000">
        <w:rPr>
          <w:rtl w:val="0"/>
        </w:rPr>
        <w:t xml:space="preserve">. Translated by D. McDuff. London: Penguin Classics.</w:t>
      </w:r>
    </w:p>
    <w:p w:rsidR="00000000" w:rsidDel="00000000" w:rsidP="00000000" w:rsidRDefault="00000000" w:rsidRPr="00000000" w14:paraId="00000015">
      <w:pPr>
        <w:spacing w:after="240" w:before="240" w:lineRule="auto"/>
        <w:rPr/>
      </w:pPr>
      <w:r w:rsidDel="00000000" w:rsidR="00000000" w:rsidRPr="00000000">
        <w:rPr>
          <w:rtl w:val="0"/>
        </w:rPr>
        <w:t xml:space="preserve">Dostoevsky, F. (2008) </w:t>
      </w:r>
      <w:r w:rsidDel="00000000" w:rsidR="00000000" w:rsidRPr="00000000">
        <w:rPr>
          <w:i w:val="1"/>
          <w:iCs w:val="1"/>
          <w:rtl w:val="0"/>
        </w:rPr>
        <w:t xml:space="preserve">Demons</w:t>
      </w:r>
      <w:r w:rsidDel="00000000" w:rsidR="00000000" w:rsidRPr="00000000">
        <w:rPr>
          <w:rtl w:val="0"/>
        </w:rPr>
        <w:t xml:space="preserve">. Translated by R.A. Maguire. London: Penguin Classics.</w:t>
      </w:r>
    </w:p>
    <w:p w:rsidR="00000000" w:rsidDel="00000000" w:rsidP="00000000" w:rsidRDefault="00000000" w:rsidRPr="00000000" w14:paraId="00000016">
      <w:pPr>
        <w:spacing w:after="240" w:before="240" w:lineRule="auto"/>
        <w:rPr/>
      </w:pPr>
      <w:r w:rsidDel="00000000" w:rsidR="00000000" w:rsidRPr="00000000">
        <w:rPr>
          <w:rtl w:val="0"/>
        </w:rPr>
        <w:t xml:space="preserve">Hume, D. (1739–1740) </w:t>
      </w:r>
      <w:r w:rsidDel="00000000" w:rsidR="00000000" w:rsidRPr="00000000">
        <w:rPr>
          <w:i w:val="1"/>
          <w:iCs w:val="1"/>
          <w:rtl w:val="0"/>
        </w:rPr>
        <w:t xml:space="preserve">A Treatise of Human Nature</w:t>
      </w:r>
      <w:r w:rsidDel="00000000" w:rsidR="00000000" w:rsidRPr="00000000">
        <w:rPr>
          <w:rtl w:val="0"/>
        </w:rPr>
        <w:t xml:space="preserve">. London: John Noon and Thomas Longman.</w:t>
      </w:r>
    </w:p>
    <w:p w:rsidR="00000000" w:rsidDel="00000000" w:rsidP="00000000" w:rsidRDefault="00000000" w:rsidRPr="00000000" w14:paraId="00000017">
      <w:pPr>
        <w:spacing w:after="240" w:before="240" w:lineRule="auto"/>
        <w:rPr/>
      </w:pPr>
      <w:r w:rsidDel="00000000" w:rsidR="00000000" w:rsidRPr="00000000">
        <w:rPr>
          <w:rtl w:val="0"/>
        </w:rPr>
        <w:t xml:space="preserve">Mikkonen, J. (2024) ‘Précis of Philosophy, Literature and Understanding: On Reading and Cognition’, </w:t>
      </w:r>
      <w:r w:rsidDel="00000000" w:rsidR="00000000" w:rsidRPr="00000000">
        <w:rPr>
          <w:i w:val="1"/>
          <w:iCs w:val="1"/>
          <w:rtl w:val="0"/>
        </w:rPr>
        <w:t xml:space="preserve">Philosophia</w:t>
      </w:r>
      <w:r w:rsidDel="00000000" w:rsidR="00000000" w:rsidRPr="00000000">
        <w:rPr>
          <w:rtl w:val="0"/>
        </w:rPr>
        <w:t xml:space="preserve">, 52, pp. 5–9. Available at:</w:t>
      </w:r>
      <w:hyperlink r:id="rId8">
        <w:r w:rsidDel="00000000" w:rsidR="00000000" w:rsidRPr="00000000">
          <w:rPr>
            <w:rtl w:val="0"/>
          </w:rPr>
          <w:t xml:space="preserve"> </w:t>
        </w:r>
      </w:hyperlink>
      <w:hyperlink r:id="rId9">
        <w:r w:rsidDel="00000000" w:rsidR="00000000" w:rsidRPr="00000000">
          <w:rPr>
            <w:color w:val="1155cc"/>
            <w:u w:val="single"/>
            <w:rtl w:val="0"/>
          </w:rPr>
          <w:t xml:space="preserve">https://doi.org/10.1007/s11406-023-00686-1</w:t>
        </w:r>
      </w:hyperlink>
      <w:r w:rsidDel="00000000" w:rsidR="00000000" w:rsidRPr="00000000">
        <w:rPr>
          <w:rtl w:val="0"/>
        </w:rPr>
        <w:t xml:space="preserve"> (Accessed: 19 October 2026).</w:t>
      </w:r>
    </w:p>
    <w:p w:rsidR="00000000" w:rsidDel="00000000" w:rsidP="00000000" w:rsidRDefault="00000000" w:rsidRPr="00000000" w14:paraId="00000018">
      <w:pPr>
        <w:spacing w:after="240" w:before="240" w:lineRule="auto"/>
        <w:rPr/>
      </w:pPr>
      <w:r w:rsidDel="00000000" w:rsidR="00000000" w:rsidRPr="00000000">
        <w:rPr>
          <w:rtl w:val="0"/>
        </w:rPr>
        <w:t xml:space="preserve">Nagel, T. (1974) ‘What is it like to be a bat?’, </w:t>
      </w:r>
      <w:r w:rsidDel="00000000" w:rsidR="00000000" w:rsidRPr="00000000">
        <w:rPr>
          <w:i w:val="1"/>
          <w:iCs w:val="1"/>
          <w:rtl w:val="0"/>
        </w:rPr>
        <w:t xml:space="preserve">The Philosophical Review</w:t>
      </w:r>
      <w:r w:rsidDel="00000000" w:rsidR="00000000" w:rsidRPr="00000000">
        <w:rPr>
          <w:rtl w:val="0"/>
        </w:rPr>
        <w:t xml:space="preserve">, 83(4), pp. 435–450. Available at:</w:t>
      </w:r>
      <w:hyperlink r:id="rId10">
        <w:r w:rsidDel="00000000" w:rsidR="00000000" w:rsidRPr="00000000">
          <w:rPr>
            <w:rtl w:val="0"/>
          </w:rPr>
          <w:t xml:space="preserve"> </w:t>
        </w:r>
      </w:hyperlink>
      <w:hyperlink r:id="rId11">
        <w:r w:rsidDel="00000000" w:rsidR="00000000" w:rsidRPr="00000000">
          <w:rPr>
            <w:color w:val="1155cc"/>
            <w:u w:val="single"/>
            <w:rtl w:val="0"/>
          </w:rPr>
          <w:t xml:space="preserve">https://doi.org/10.2307/2183914</w:t>
        </w:r>
      </w:hyperlink>
      <w:r w:rsidDel="00000000" w:rsidR="00000000" w:rsidRPr="00000000">
        <w:rPr>
          <w:rtl w:val="0"/>
        </w:rPr>
        <w:t xml:space="preserve"> (Accessed: 19 October 2026).</w:t>
      </w:r>
    </w:p>
    <w:p w:rsidR="00000000" w:rsidDel="00000000" w:rsidP="00000000" w:rsidRDefault="00000000" w:rsidRPr="00000000" w14:paraId="00000019">
      <w:pPr>
        <w:spacing w:after="240" w:before="240" w:lineRule="auto"/>
        <w:rPr/>
      </w:pPr>
      <w:r w:rsidDel="00000000" w:rsidR="00000000" w:rsidRPr="00000000">
        <w:rPr>
          <w:rtl w:val="0"/>
        </w:rPr>
        <w:t xml:space="preserve">Nietzsche, F. (1887) </w:t>
      </w:r>
      <w:r w:rsidDel="00000000" w:rsidR="00000000" w:rsidRPr="00000000">
        <w:rPr>
          <w:i w:val="1"/>
          <w:iCs w:val="1"/>
          <w:rtl w:val="0"/>
        </w:rPr>
        <w:t xml:space="preserve">Zur Genealogie der Moral</w:t>
      </w:r>
      <w:r w:rsidDel="00000000" w:rsidR="00000000" w:rsidRPr="00000000">
        <w:rPr>
          <w:rtl w:val="0"/>
        </w:rPr>
        <w:t xml:space="preserve"> [</w:t>
      </w:r>
      <w:r w:rsidDel="00000000" w:rsidR="00000000" w:rsidRPr="00000000">
        <w:rPr>
          <w:i w:val="1"/>
          <w:iCs w:val="1"/>
          <w:rtl w:val="0"/>
        </w:rPr>
        <w:t xml:space="preserve">On the Genealogy of Morality</w:t>
      </w:r>
      <w:r w:rsidDel="00000000" w:rsidR="00000000" w:rsidRPr="00000000">
        <w:rPr>
          <w:rtl w:val="0"/>
        </w:rPr>
        <w:t xml:space="preserve">]. Leipzig: C.G. Naumann.</w:t>
      </w:r>
    </w:p>
    <w:p w:rsidR="00000000" w:rsidDel="00000000" w:rsidP="00000000" w:rsidRDefault="00000000" w:rsidRPr="00000000" w14:paraId="0000001A">
      <w:pPr>
        <w:spacing w:after="240" w:before="240" w:lineRule="auto"/>
        <w:rPr/>
      </w:pPr>
      <w:r w:rsidDel="00000000" w:rsidR="00000000" w:rsidRPr="00000000">
        <w:rPr>
          <w:rtl w:val="0"/>
        </w:rPr>
        <w:t xml:space="preserve">Statkiewicz, M. (2018) ‘“Feeling of Thought”: Nietzsche's and Dostoevskii's Experience with Nihilism’, </w:t>
      </w:r>
      <w:r w:rsidDel="00000000" w:rsidR="00000000" w:rsidRPr="00000000">
        <w:rPr>
          <w:i w:val="1"/>
          <w:iCs w:val="1"/>
          <w:rtl w:val="0"/>
        </w:rPr>
        <w:t xml:space="preserve">Russian Literature</w:t>
      </w:r>
      <w:r w:rsidDel="00000000" w:rsidR="00000000" w:rsidRPr="00000000">
        <w:rPr>
          <w:rtl w:val="0"/>
        </w:rPr>
        <w:t xml:space="preserve">, 95, pp. 1–32. Available at:</w:t>
      </w:r>
      <w:hyperlink r:id="rId12">
        <w:r w:rsidDel="00000000" w:rsidR="00000000" w:rsidRPr="00000000">
          <w:rPr>
            <w:rtl w:val="0"/>
          </w:rPr>
          <w:t xml:space="preserve"> </w:t>
        </w:r>
      </w:hyperlink>
      <w:hyperlink r:id="rId13">
        <w:r w:rsidDel="00000000" w:rsidR="00000000" w:rsidRPr="00000000">
          <w:rPr>
            <w:color w:val="1155cc"/>
            <w:u w:val="single"/>
            <w:rtl w:val="0"/>
          </w:rPr>
          <w:t xml:space="preserve">https://doi.org/10.1016/j.ruslit.2018.01.001</w:t>
        </w:r>
      </w:hyperlink>
      <w:r w:rsidDel="00000000" w:rsidR="00000000" w:rsidRPr="00000000">
        <w:rPr>
          <w:rtl w:val="0"/>
        </w:rPr>
        <w:t xml:space="preserve"> (Accessed: 19 October 2026).</w:t>
      </w:r>
    </w:p>
    <w:p w:rsidR="00000000" w:rsidDel="00000000" w:rsidP="00000000" w:rsidRDefault="00000000" w:rsidRPr="00000000" w14:paraId="0000001B">
      <w:pPr>
        <w:spacing w:after="240" w:before="240" w:lineRule="auto"/>
        <w:rPr/>
      </w:pPr>
      <w:r w:rsidDel="00000000" w:rsidR="00000000" w:rsidRPr="00000000">
        <w:rPr>
          <w:rtl w:val="0"/>
        </w:rPr>
        <w:t xml:space="preserve">Tolstoy, L. (2003) </w:t>
      </w:r>
      <w:r w:rsidDel="00000000" w:rsidR="00000000" w:rsidRPr="00000000">
        <w:rPr>
          <w:i w:val="1"/>
          <w:iCs w:val="1"/>
          <w:rtl w:val="0"/>
        </w:rPr>
        <w:t xml:space="preserve">Anna Karenina</w:t>
      </w:r>
      <w:r w:rsidDel="00000000" w:rsidR="00000000" w:rsidRPr="00000000">
        <w:rPr>
          <w:rtl w:val="0"/>
        </w:rPr>
        <w:t xml:space="preserve">. Translated by R. Pevear and L. Volokhonsky. London: Penguin Classics.</w:t>
      </w:r>
    </w:p>
    <w:p w:rsidR="00000000" w:rsidDel="00000000" w:rsidP="00000000" w:rsidRDefault="00000000" w:rsidRPr="00000000" w14:paraId="0000001C">
      <w:pPr>
        <w:spacing w:after="240" w:before="240" w:lineRule="auto"/>
        <w:rPr/>
      </w:pPr>
      <w:r w:rsidDel="00000000" w:rsidR="00000000" w:rsidRPr="00000000">
        <w:rPr>
          <w:rtl w:val="0"/>
        </w:rPr>
        <w:t xml:space="preserve">Zola, É. (2004a) </w:t>
      </w:r>
      <w:r w:rsidDel="00000000" w:rsidR="00000000" w:rsidRPr="00000000">
        <w:rPr>
          <w:i w:val="1"/>
          <w:iCs w:val="1"/>
          <w:rtl w:val="0"/>
        </w:rPr>
        <w:t xml:space="preserve">Germinal</w:t>
      </w:r>
      <w:r w:rsidDel="00000000" w:rsidR="00000000" w:rsidRPr="00000000">
        <w:rPr>
          <w:rtl w:val="0"/>
        </w:rPr>
        <w:t xml:space="preserve">. Translated by R. Pearson. London: Penguin Classics.</w:t>
      </w:r>
    </w:p>
    <w:p w:rsidR="00000000" w:rsidDel="00000000" w:rsidP="00000000" w:rsidRDefault="00000000" w:rsidRPr="00000000" w14:paraId="0000001D">
      <w:pPr>
        <w:spacing w:after="240" w:before="240" w:lineRule="auto"/>
        <w:rPr/>
      </w:pPr>
      <w:r w:rsidDel="00000000" w:rsidR="00000000" w:rsidRPr="00000000">
        <w:rPr>
          <w:rtl w:val="0"/>
        </w:rPr>
        <w:t xml:space="preserve">Zola, É. (2004b) </w:t>
      </w:r>
      <w:r w:rsidDel="00000000" w:rsidR="00000000" w:rsidRPr="00000000">
        <w:rPr>
          <w:i w:val="1"/>
          <w:iCs w:val="1"/>
          <w:rtl w:val="0"/>
        </w:rPr>
        <w:t xml:space="preserve">Nana</w:t>
      </w:r>
      <w:r w:rsidDel="00000000" w:rsidR="00000000" w:rsidRPr="00000000">
        <w:rPr>
          <w:rtl w:val="0"/>
        </w:rPr>
        <w:t xml:space="preserve">. Translated by G. Holden. London: Penguin Classics.</w:t>
      </w:r>
    </w:p>
    <w:p w:rsidR="00000000" w:rsidDel="00000000" w:rsidP="00000000" w:rsidRDefault="00000000" w:rsidRPr="00000000" w14:paraId="0000001E">
      <w:pPr>
        <w:spacing w:after="240" w:before="240" w:lineRule="auto"/>
        <w:rPr/>
      </w:pPr>
      <w:r w:rsidDel="00000000" w:rsidR="00000000" w:rsidRPr="00000000">
        <w:rPr>
          <w:rtl w:val="0"/>
        </w:rPr>
      </w:r>
    </w:p>
    <w:p w:rsidR="00000000" w:rsidDel="00000000" w:rsidP="00000000" w:rsidRDefault="00000000" w:rsidRPr="00000000" w14:paraId="0000001F">
      <w:pPr>
        <w:spacing w:after="240" w:before="240" w:lineRule="auto"/>
        <w:rPr/>
      </w:pPr>
      <w:r w:rsidDel="00000000" w:rsidR="00000000" w:rsidRPr="00000000">
        <w:rPr>
          <w:rtl w:val="0"/>
        </w:rPr>
      </w:r>
    </w:p>
    <w:p w:rsidR="00000000" w:rsidDel="00000000" w:rsidP="00000000" w:rsidRDefault="00000000" w:rsidRPr="00000000" w14:paraId="00000020">
      <w:pPr>
        <w:spacing w:after="240" w:before="240" w:lineRule="auto"/>
        <w:rPr/>
      </w:pPr>
      <w:r w:rsidDel="00000000" w:rsidR="00000000" w:rsidRPr="00000000">
        <w:rPr>
          <w:rtl w:val="0"/>
        </w:rPr>
      </w:r>
    </w:p>
    <w:p w:rsidR="00000000" w:rsidDel="00000000" w:rsidP="00000000" w:rsidRDefault="00000000" w:rsidRPr="00000000" w14:paraId="00000021">
      <w:pPr>
        <w:spacing w:after="240" w:before="240" w:lineRule="auto"/>
        <w:rPr/>
      </w:pPr>
      <w:r w:rsidDel="00000000" w:rsidR="00000000" w:rsidRPr="00000000">
        <w:rPr>
          <w:rtl w:val="0"/>
        </w:rPr>
      </w:r>
    </w:p>
    <w:p w:rsidR="00000000" w:rsidDel="00000000" w:rsidP="00000000" w:rsidRDefault="00000000" w:rsidRPr="00000000" w14:paraId="00000022">
      <w:pPr>
        <w:spacing w:after="240" w:before="240" w:lineRule="auto"/>
        <w:rPr/>
      </w:pPr>
      <w:r w:rsidDel="00000000" w:rsidR="00000000" w:rsidRPr="00000000">
        <w:rPr>
          <w:rtl w:val="0"/>
        </w:rPr>
      </w:r>
    </w:p>
    <w:p w:rsidR="00000000" w:rsidDel="00000000" w:rsidP="00000000" w:rsidRDefault="00000000" w:rsidRPr="00000000" w14:paraId="00000023">
      <w:pPr>
        <w:spacing w:after="240" w:before="240" w:lineRule="auto"/>
        <w:rPr/>
      </w:pPr>
      <w:r w:rsidDel="00000000" w:rsidR="00000000" w:rsidRPr="00000000">
        <w:rPr>
          <w:rtl w:val="0"/>
        </w:rPr>
      </w:r>
    </w:p>
    <w:p w:rsidR="00000000" w:rsidDel="00000000" w:rsidP="00000000" w:rsidRDefault="00000000" w:rsidRPr="00000000" w14:paraId="00000024">
      <w:pPr>
        <w:spacing w:after="240" w:before="240" w:lineRule="auto"/>
        <w:rPr/>
      </w:pPr>
      <w:r w:rsidDel="00000000" w:rsidR="00000000" w:rsidRPr="00000000">
        <w:rPr>
          <w:rtl w:val="0"/>
        </w:rPr>
      </w:r>
    </w:p>
    <w:p w:rsidR="00000000" w:rsidDel="00000000" w:rsidP="00000000" w:rsidRDefault="00000000" w:rsidRPr="00000000" w14:paraId="00000025">
      <w:pPr>
        <w:spacing w:after="240" w:before="240" w:lineRule="auto"/>
        <w:rPr/>
      </w:pPr>
      <w:r w:rsidDel="00000000" w:rsidR="00000000" w:rsidRPr="00000000">
        <w:rPr>
          <w:rtl w:val="0"/>
        </w:rPr>
      </w:r>
    </w:p>
    <w:p w:rsidR="00000000" w:rsidDel="00000000" w:rsidP="00000000" w:rsidRDefault="00000000" w:rsidRPr="00000000" w14:paraId="00000026">
      <w:pPr>
        <w:spacing w:after="240" w:before="240" w:lineRule="auto"/>
        <w:ind w:left="720" w:firstLine="0"/>
        <w:jc w:val="center"/>
        <w:rPr>
          <w:b w:val="1"/>
          <w:bCs w:val="1"/>
          <w:u w:val="single"/>
        </w:rPr>
      </w:pPr>
      <w:r w:rsidDel="00000000" w:rsidR="00000000" w:rsidRPr="00000000">
        <w:rPr>
          <w:rtl w:val="0"/>
        </w:rPr>
      </w:r>
    </w:p>
    <w:p w:rsidR="00000000" w:rsidDel="00000000" w:rsidP="00000000" w:rsidRDefault="00000000" w:rsidRPr="00000000" w14:paraId="00000027">
      <w:pPr>
        <w:rPr/>
      </w:pPr>
      <w:r w:rsidDel="00000000" w:rsidR="00000000" w:rsidRPr="00000000">
        <w:rPr>
          <w:rtl w:val="0"/>
        </w:rPr>
      </w:r>
    </w:p>
    <w:sectPr>
      <w:pgSz w:h="15840" w:w="12240"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embedTrueTypeFonts w:val="1"/>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http://schemas.microsoft.com/office/tasks/2019/documenttasks" xmlns:cr="http://schemas.microsoft.com/office/comments/2020/reactions">
  <w:docDefaults>
    <w:rPrDefault>
      <w:rPr>
        <w:rFonts w:ascii="Arial" w:cs="Arial" w:eastAsia="Arial" w:hAnsi="Arial"/>
        <w:sz w:val="22"/>
        <w:szCs w:val="22"/>
        <w:lang w:val="en"/>
      </w:rPr>
    </w:rPrDefault>
    <w:pPrDefault>
      <w:pPr>
        <w:spacing w:line="276" w:lineRule="auto"/>
      </w:pPr>
    </w:pPrDefault>
  </w:docDefaults>
  <w:style w:type="table" w:styleId="TableNormal" w:default="1">
    <w:name w:val="TableNormal"/>
    <w:tblPr>
      <w:tblCellMar>
        <w:top w:w="100.0" w:type="dxa"/>
        <w:left w:w="100.0" w:type="dxa"/>
        <w:bottom w:w="100.0" w:type="dxa"/>
        <w:right w:w="100.0" w:type="dxa"/>
      </w:tblCellMar>
    </w:tblPr>
  </w:style>
  <w:style w:type="paragraph" w:styleId="Normal" w:default="1">
    <w:name w:val="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bCs w:val="0"/>
      <w:sz w:val="32"/>
      <w:szCs w:val="32"/>
    </w:rPr>
  </w:style>
  <w:style w:type="paragraph" w:styleId="Heading3">
    <w:name w:val="heading 3"/>
    <w:basedOn w:val="Normal"/>
    <w:next w:val="Normal"/>
    <w:pPr>
      <w:keepNext w:val="1"/>
      <w:keepLines w:val="1"/>
      <w:pageBreakBefore w:val="0"/>
      <w:spacing w:after="80" w:before="320" w:lineRule="auto"/>
    </w:pPr>
    <w:rPr>
      <w:b w:val="0"/>
      <w:bCs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iCs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iCs w:val="0"/>
      <w:color w:val="666666"/>
      <w:sz w:val="30"/>
      <w:szCs w:val="30"/>
    </w:rPr>
  </w:style>
</w:styles>
</file>

<file path=word/_rels/document.xml.rels><?xml version="1.0" encoding="UTF-8" standalone="yes"?><Relationships xmlns="http://schemas.openxmlformats.org/package/2006/relationships"><Relationship Id="rId11" Type="http://schemas.openxmlformats.org/officeDocument/2006/relationships/hyperlink" Target="https://doi.org/10.2307/2183914" TargetMode="External"/><Relationship Id="rId10" Type="http://schemas.openxmlformats.org/officeDocument/2006/relationships/hyperlink" Target="https://doi.org/10.2307/2183914" TargetMode="External"/><Relationship Id="rId13" Type="http://schemas.openxmlformats.org/officeDocument/2006/relationships/hyperlink" Target="https://doi.org/10.1016/j.ruslit.2018.01.001" TargetMode="External"/><Relationship Id="rId12" Type="http://schemas.openxmlformats.org/officeDocument/2006/relationships/hyperlink" Target="https://doi.org/10.1016/j.ruslit.2018.01.001"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hyperlink" Target="https://doi.org/10.1007/s11406-023-00686-1" TargetMode="External"/><Relationship Id="rId5" Type="http://schemas.openxmlformats.org/officeDocument/2006/relationships/styles" Target="styles.xml"/><Relationship Id="rId6" Type="http://schemas.openxmlformats.org/officeDocument/2006/relationships/hyperlink" Target="https://doi.org/10.15845/sb.10.9" TargetMode="External"/><Relationship Id="rId7" Type="http://schemas.openxmlformats.org/officeDocument/2006/relationships/hyperlink" Target="https://doi.org/10.15845/sb.10.9" TargetMode="External"/><Relationship Id="rId8" Type="http://schemas.openxmlformats.org/officeDocument/2006/relationships/hyperlink" Target="https://doi.org/10.1007/s11406-023-00686-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