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C63A79" w14:textId="77777777" w:rsidR="002A1E57" w:rsidRPr="008C6744" w:rsidRDefault="002A1E57" w:rsidP="002A1E57">
      <w:pPr>
        <w:spacing w:line="276" w:lineRule="auto"/>
        <w:jc w:val="center"/>
        <w:rPr>
          <w:rFonts w:ascii="Arial" w:hAnsi="Arial" w:cs="Arial"/>
          <w:b/>
          <w:bCs/>
          <w:i/>
          <w:iCs/>
          <w:sz w:val="28"/>
          <w:szCs w:val="28"/>
        </w:rPr>
      </w:pPr>
      <w:r w:rsidRPr="008C6744">
        <w:rPr>
          <w:rFonts w:ascii="Arial" w:hAnsi="Arial" w:cs="Arial"/>
          <w:b/>
          <w:bCs/>
          <w:i/>
          <w:iCs/>
          <w:noProof/>
          <w:sz w:val="28"/>
          <w:szCs w:val="28"/>
          <w:lang w:val="en-US" w:eastAsia="en-US"/>
        </w:rPr>
        <w:drawing>
          <wp:inline distT="0" distB="0" distL="0" distR="0" wp14:anchorId="1BA4993E" wp14:editId="14979E04">
            <wp:extent cx="3028950" cy="1514475"/>
            <wp:effectExtent l="19050" t="0" r="0" b="0"/>
            <wp:docPr id="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
                    <a:srcRect/>
                    <a:stretch>
                      <a:fillRect/>
                    </a:stretch>
                  </pic:blipFill>
                  <pic:spPr bwMode="auto">
                    <a:xfrm>
                      <a:off x="0" y="0"/>
                      <a:ext cx="3028950" cy="1514475"/>
                    </a:xfrm>
                    <a:prstGeom prst="rect">
                      <a:avLst/>
                    </a:prstGeom>
                    <a:noFill/>
                    <a:ln w="9525">
                      <a:noFill/>
                      <a:miter lim="800000"/>
                      <a:headEnd/>
                      <a:tailEnd/>
                    </a:ln>
                  </pic:spPr>
                </pic:pic>
              </a:graphicData>
            </a:graphic>
          </wp:inline>
        </w:drawing>
      </w:r>
    </w:p>
    <w:p w14:paraId="7ABE0ACC" w14:textId="77777777" w:rsidR="000947DB" w:rsidRPr="008C6744" w:rsidRDefault="000947DB" w:rsidP="002A1E57">
      <w:pPr>
        <w:spacing w:line="276" w:lineRule="auto"/>
        <w:jc w:val="center"/>
        <w:rPr>
          <w:rFonts w:ascii="Arial" w:hAnsi="Arial" w:cs="Arial"/>
          <w:b/>
          <w:bCs/>
          <w:sz w:val="36"/>
          <w:szCs w:val="36"/>
        </w:rPr>
      </w:pPr>
      <w:r w:rsidRPr="008C6744">
        <w:rPr>
          <w:rFonts w:ascii="Arial" w:hAnsi="Arial" w:cs="Arial"/>
          <w:b/>
          <w:bCs/>
          <w:sz w:val="36"/>
          <w:szCs w:val="36"/>
        </w:rPr>
        <w:t>Programme: Master of Business Administration</w:t>
      </w:r>
    </w:p>
    <w:p w14:paraId="7B78DC4A" w14:textId="79F11CA4" w:rsidR="00824C9D" w:rsidRDefault="00BC6BAA" w:rsidP="00BC6BAA">
      <w:pPr>
        <w:spacing w:line="276" w:lineRule="auto"/>
        <w:rPr>
          <w:rFonts w:ascii="Arial" w:hAnsi="Arial" w:cs="Arial"/>
          <w:b/>
          <w:bCs/>
          <w:sz w:val="36"/>
          <w:szCs w:val="36"/>
        </w:rPr>
      </w:pPr>
      <w:r>
        <w:rPr>
          <w:rFonts w:ascii="Arial" w:hAnsi="Arial" w:cs="Arial"/>
          <w:b/>
          <w:bCs/>
          <w:i/>
          <w:iCs/>
          <w:sz w:val="36"/>
          <w:szCs w:val="36"/>
        </w:rPr>
        <w:t xml:space="preserve">                </w:t>
      </w:r>
      <w:r w:rsidR="000947DB" w:rsidRPr="008C6744">
        <w:rPr>
          <w:rFonts w:ascii="Arial" w:hAnsi="Arial" w:cs="Arial"/>
          <w:b/>
          <w:bCs/>
          <w:sz w:val="36"/>
          <w:szCs w:val="36"/>
        </w:rPr>
        <w:t>Module: Marketing Management</w:t>
      </w:r>
    </w:p>
    <w:p w14:paraId="2BE47AE4" w14:textId="7BA42784" w:rsidR="00824C9D" w:rsidRPr="00824C9D" w:rsidRDefault="00824C9D" w:rsidP="00824C9D">
      <w:pPr>
        <w:spacing w:line="276" w:lineRule="auto"/>
        <w:rPr>
          <w:rFonts w:ascii="Arial" w:hAnsi="Arial" w:cs="Arial"/>
          <w:b/>
          <w:bCs/>
          <w:sz w:val="32"/>
          <w:szCs w:val="32"/>
        </w:rPr>
      </w:pPr>
      <w:r>
        <w:rPr>
          <w:b/>
          <w:sz w:val="32"/>
          <w:szCs w:val="32"/>
        </w:rPr>
        <w:t xml:space="preserve">     </w:t>
      </w:r>
      <w:r w:rsidRPr="00824C9D">
        <w:rPr>
          <w:b/>
          <w:sz w:val="32"/>
          <w:szCs w:val="32"/>
        </w:rPr>
        <w:t>Assessment component 1: Marketing Environment Analysis</w:t>
      </w:r>
    </w:p>
    <w:p w14:paraId="11707292" w14:textId="77777777" w:rsidR="00994369" w:rsidRPr="008C6744" w:rsidRDefault="000947DB" w:rsidP="000947DB">
      <w:pPr>
        <w:spacing w:line="276" w:lineRule="auto"/>
        <w:jc w:val="center"/>
        <w:rPr>
          <w:rFonts w:ascii="Arial" w:hAnsi="Arial" w:cs="Arial"/>
          <w:b/>
          <w:bCs/>
          <w:sz w:val="36"/>
          <w:szCs w:val="36"/>
        </w:rPr>
      </w:pPr>
      <w:r w:rsidRPr="008C6744">
        <w:rPr>
          <w:rFonts w:ascii="Arial" w:hAnsi="Arial" w:cs="Arial"/>
          <w:b/>
          <w:bCs/>
          <w:sz w:val="36"/>
          <w:szCs w:val="36"/>
        </w:rPr>
        <w:t>Module code: LCMB7024</w:t>
      </w:r>
    </w:p>
    <w:p w14:paraId="0DBDCA70" w14:textId="77777777" w:rsidR="00BC6BAA" w:rsidRDefault="00BC6BAA" w:rsidP="00BC6BAA">
      <w:pPr>
        <w:spacing w:line="276" w:lineRule="auto"/>
        <w:rPr>
          <w:rFonts w:ascii="Arial" w:hAnsi="Arial" w:cs="Arial"/>
          <w:b/>
          <w:bCs/>
          <w:i/>
          <w:iCs/>
          <w:sz w:val="28"/>
          <w:szCs w:val="28"/>
        </w:rPr>
      </w:pPr>
      <w:r>
        <w:rPr>
          <w:rFonts w:ascii="Arial" w:hAnsi="Arial" w:cs="Arial"/>
          <w:b/>
          <w:bCs/>
          <w:i/>
          <w:iCs/>
          <w:sz w:val="36"/>
          <w:szCs w:val="36"/>
        </w:rPr>
        <w:t xml:space="preserve">                               </w:t>
      </w:r>
    </w:p>
    <w:p w14:paraId="5FF5D344" w14:textId="760DE2AC" w:rsidR="008576DB" w:rsidRPr="00BC6BAA" w:rsidRDefault="008576DB" w:rsidP="00BC6BAA">
      <w:pPr>
        <w:spacing w:line="276" w:lineRule="auto"/>
        <w:rPr>
          <w:rFonts w:ascii="Arial" w:hAnsi="Arial" w:cs="Arial"/>
          <w:b/>
          <w:bCs/>
          <w:i/>
          <w:iCs/>
          <w:sz w:val="28"/>
          <w:szCs w:val="28"/>
        </w:rPr>
      </w:pPr>
      <w:r w:rsidRPr="008C6744">
        <w:rPr>
          <w:rFonts w:ascii="Arial" w:hAnsi="Arial" w:cs="Arial"/>
          <w:b/>
          <w:bCs/>
          <w:iCs/>
          <w:sz w:val="32"/>
          <w:szCs w:val="28"/>
        </w:rPr>
        <w:t>Study on HSBC (Pioneers) and Barclays Bank (Followers)</w:t>
      </w:r>
    </w:p>
    <w:p w14:paraId="753359F6" w14:textId="424DB0F5" w:rsidR="000479A7" w:rsidRDefault="000479A7" w:rsidP="000479A7">
      <w:pPr>
        <w:spacing w:line="276" w:lineRule="auto"/>
        <w:jc w:val="center"/>
        <w:rPr>
          <w:rFonts w:ascii="Arial" w:hAnsi="Arial" w:cs="Arial"/>
          <w:b/>
          <w:bCs/>
          <w:iCs/>
          <w:sz w:val="32"/>
          <w:szCs w:val="28"/>
        </w:rPr>
      </w:pPr>
      <w:r w:rsidRPr="008C6744">
        <w:rPr>
          <w:rFonts w:ascii="Arial" w:hAnsi="Arial" w:cs="Arial"/>
          <w:noProof/>
          <w:lang w:val="en-US" w:eastAsia="en-US"/>
        </w:rPr>
        <w:drawing>
          <wp:inline distT="0" distB="0" distL="0" distR="0" wp14:anchorId="7ECA986E" wp14:editId="09C86978">
            <wp:extent cx="2302178" cy="1944838"/>
            <wp:effectExtent l="0" t="0" r="0" b="0"/>
            <wp:docPr id="90929466" name="Picture 1" descr="hsbc-logo | THINK Digital Partners : THINK Digital Partn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sbc-logo | THINK Digital Partners : THINK Digital Partner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8054" cy="1949802"/>
                    </a:xfrm>
                    <a:prstGeom prst="rect">
                      <a:avLst/>
                    </a:prstGeom>
                    <a:noFill/>
                    <a:ln>
                      <a:noFill/>
                    </a:ln>
                  </pic:spPr>
                </pic:pic>
              </a:graphicData>
            </a:graphic>
          </wp:inline>
        </w:drawing>
      </w:r>
      <w:r w:rsidRPr="008C6744">
        <w:rPr>
          <w:rFonts w:ascii="Arial" w:hAnsi="Arial" w:cs="Arial"/>
          <w:noProof/>
          <w:lang w:val="en-US" w:eastAsia="en-US"/>
        </w:rPr>
        <w:drawing>
          <wp:inline distT="0" distB="0" distL="0" distR="0" wp14:anchorId="7F4981E1" wp14:editId="3E6C4C8E">
            <wp:extent cx="2857500" cy="1600200"/>
            <wp:effectExtent l="0" t="0" r="0" b="0"/>
            <wp:docPr id="1878923826" name="Picture 2" descr="Barclays Logo and symbol, meaning, history, PNG, br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Barclays Logo and symbol, meaning, history, PNG, bran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57500" cy="1600200"/>
                    </a:xfrm>
                    <a:prstGeom prst="rect">
                      <a:avLst/>
                    </a:prstGeom>
                    <a:noFill/>
                    <a:ln>
                      <a:noFill/>
                    </a:ln>
                  </pic:spPr>
                </pic:pic>
              </a:graphicData>
            </a:graphic>
          </wp:inline>
        </w:drawing>
      </w:r>
      <w:bookmarkStart w:id="0" w:name="_GoBack"/>
      <w:bookmarkEnd w:id="0"/>
    </w:p>
    <w:p w14:paraId="398A7B4D" w14:textId="77777777" w:rsidR="002B5829" w:rsidRPr="008C6744" w:rsidRDefault="002B5829" w:rsidP="000479A7">
      <w:pPr>
        <w:spacing w:line="276" w:lineRule="auto"/>
        <w:jc w:val="center"/>
        <w:rPr>
          <w:rFonts w:ascii="Arial" w:hAnsi="Arial" w:cs="Arial"/>
          <w:b/>
          <w:bCs/>
          <w:iCs/>
          <w:sz w:val="32"/>
          <w:szCs w:val="28"/>
        </w:rPr>
      </w:pPr>
    </w:p>
    <w:p w14:paraId="17E7C136" w14:textId="3D06F581" w:rsidR="00BC6BAA" w:rsidRDefault="00BC6BAA" w:rsidP="00BC6BAA">
      <w:pPr>
        <w:jc w:val="center"/>
        <w:rPr>
          <w:b/>
          <w:sz w:val="32"/>
          <w:szCs w:val="32"/>
        </w:rPr>
      </w:pPr>
      <w:r>
        <w:rPr>
          <w:b/>
          <w:sz w:val="32"/>
          <w:szCs w:val="32"/>
        </w:rPr>
        <w:t xml:space="preserve">Lecturer: </w:t>
      </w:r>
      <w:r w:rsidRPr="00BC6BAA">
        <w:rPr>
          <w:b/>
          <w:sz w:val="32"/>
          <w:szCs w:val="32"/>
        </w:rPr>
        <w:t>Laila Maazouz</w:t>
      </w:r>
    </w:p>
    <w:p w14:paraId="30EBEA31" w14:textId="77777777" w:rsidR="00BC6BAA" w:rsidRDefault="00BC6BAA" w:rsidP="00BC6BAA">
      <w:pPr>
        <w:jc w:val="center"/>
        <w:rPr>
          <w:b/>
          <w:sz w:val="32"/>
          <w:szCs w:val="32"/>
        </w:rPr>
      </w:pPr>
      <w:r>
        <w:rPr>
          <w:b/>
          <w:sz w:val="32"/>
          <w:szCs w:val="32"/>
        </w:rPr>
        <w:t>Student Name : Abhishekkumar Vinubhai Pethani</w:t>
      </w:r>
    </w:p>
    <w:p w14:paraId="5B03C61E" w14:textId="77777777" w:rsidR="00BC6BAA" w:rsidRDefault="00BC6BAA" w:rsidP="00BC6BAA">
      <w:pPr>
        <w:spacing w:line="276" w:lineRule="auto"/>
        <w:jc w:val="center"/>
        <w:rPr>
          <w:b/>
          <w:sz w:val="32"/>
          <w:szCs w:val="32"/>
        </w:rPr>
      </w:pPr>
      <w:r>
        <w:rPr>
          <w:b/>
          <w:sz w:val="32"/>
          <w:szCs w:val="32"/>
        </w:rPr>
        <w:t>Student ID : 2525424</w:t>
      </w:r>
    </w:p>
    <w:p w14:paraId="22CA09FD" w14:textId="1E586D59" w:rsidR="006F333C" w:rsidRPr="008C6744" w:rsidRDefault="00BC6BAA" w:rsidP="00BC6BAA">
      <w:pPr>
        <w:spacing w:line="276" w:lineRule="auto"/>
        <w:jc w:val="center"/>
        <w:rPr>
          <w:rFonts w:ascii="Arial" w:hAnsi="Arial" w:cs="Arial"/>
          <w:b/>
          <w:bCs/>
          <w:i/>
          <w:iCs/>
          <w:sz w:val="28"/>
          <w:szCs w:val="28"/>
        </w:rPr>
      </w:pPr>
      <w:r w:rsidRPr="008C6744">
        <w:rPr>
          <w:rFonts w:ascii="Arial" w:hAnsi="Arial" w:cs="Arial"/>
          <w:b/>
          <w:bCs/>
          <w:i/>
          <w:iCs/>
          <w:sz w:val="28"/>
          <w:szCs w:val="28"/>
        </w:rPr>
        <w:t>Word Count: 2</w:t>
      </w:r>
      <w:r>
        <w:rPr>
          <w:rFonts w:ascii="Arial" w:hAnsi="Arial" w:cs="Arial"/>
          <w:b/>
          <w:bCs/>
          <w:i/>
          <w:iCs/>
          <w:sz w:val="28"/>
          <w:szCs w:val="28"/>
        </w:rPr>
        <w:t>663</w:t>
      </w:r>
      <w:r w:rsidR="006F333C" w:rsidRPr="008C6744">
        <w:rPr>
          <w:rFonts w:ascii="Arial" w:hAnsi="Arial" w:cs="Arial"/>
          <w:b/>
          <w:bCs/>
          <w:i/>
          <w:iCs/>
          <w:sz w:val="28"/>
          <w:szCs w:val="28"/>
        </w:rPr>
        <w:br w:type="page"/>
      </w:r>
    </w:p>
    <w:sdt>
      <w:sdtPr>
        <w:rPr>
          <w:rFonts w:ascii="Arial" w:eastAsiaTheme="minorEastAsia" w:hAnsi="Arial" w:cs="Arial"/>
          <w:b w:val="0"/>
          <w:bCs w:val="0"/>
          <w:color w:val="auto"/>
          <w:sz w:val="24"/>
          <w:szCs w:val="22"/>
          <w:lang w:val="en-IN" w:eastAsia="en-IN"/>
        </w:rPr>
        <w:id w:val="44548127"/>
        <w:docPartObj>
          <w:docPartGallery w:val="Table of Contents"/>
          <w:docPartUnique/>
        </w:docPartObj>
      </w:sdtPr>
      <w:sdtEndPr/>
      <w:sdtContent>
        <w:p w14:paraId="3BEE0228" w14:textId="77777777" w:rsidR="00135FE8" w:rsidRPr="008C6744" w:rsidRDefault="00135FE8" w:rsidP="00937E9D">
          <w:pPr>
            <w:pStyle w:val="TOCHeading"/>
            <w:jc w:val="center"/>
            <w:rPr>
              <w:rFonts w:ascii="Arial" w:hAnsi="Arial" w:cs="Arial"/>
              <w:color w:val="000000" w:themeColor="text1"/>
            </w:rPr>
          </w:pPr>
          <w:r w:rsidRPr="008C6744">
            <w:rPr>
              <w:rFonts w:ascii="Arial" w:hAnsi="Arial" w:cs="Arial"/>
              <w:color w:val="000000" w:themeColor="text1"/>
            </w:rPr>
            <w:t>Table of Contents</w:t>
          </w:r>
        </w:p>
        <w:p w14:paraId="7B737F6C" w14:textId="075ADD28" w:rsidR="00EB6110" w:rsidRPr="008C6744" w:rsidRDefault="00135FE8" w:rsidP="00EB6110">
          <w:pPr>
            <w:pStyle w:val="TOC1"/>
            <w:tabs>
              <w:tab w:val="right" w:leader="dot" w:pos="9016"/>
            </w:tabs>
            <w:spacing w:line="240" w:lineRule="auto"/>
            <w:rPr>
              <w:rFonts w:ascii="Arial" w:hAnsi="Arial" w:cs="Arial"/>
              <w:noProof/>
              <w:kern w:val="2"/>
              <w:szCs w:val="24"/>
              <w14:ligatures w14:val="standardContextual"/>
            </w:rPr>
          </w:pPr>
          <w:r w:rsidRPr="008C6744">
            <w:rPr>
              <w:rFonts w:ascii="Arial" w:hAnsi="Arial" w:cs="Arial"/>
            </w:rPr>
            <w:fldChar w:fldCharType="begin"/>
          </w:r>
          <w:r w:rsidRPr="008C6744">
            <w:rPr>
              <w:rFonts w:ascii="Arial" w:hAnsi="Arial" w:cs="Arial"/>
            </w:rPr>
            <w:instrText xml:space="preserve"> TOC \o "1-3" \h \z \u </w:instrText>
          </w:r>
          <w:r w:rsidRPr="008C6744">
            <w:rPr>
              <w:rFonts w:ascii="Arial" w:hAnsi="Arial" w:cs="Arial"/>
            </w:rPr>
            <w:fldChar w:fldCharType="separate"/>
          </w:r>
          <w:hyperlink w:anchor="_Toc223606299" w:history="1">
            <w:r w:rsidR="00EB6110" w:rsidRPr="008C6744">
              <w:rPr>
                <w:rStyle w:val="Hyperlink"/>
                <w:rFonts w:ascii="Arial" w:hAnsi="Arial" w:cs="Arial"/>
                <w:noProof/>
              </w:rPr>
              <w:t>Task 1: Marketing Environmental Analysis for Pioneers and Followers</w:t>
            </w:r>
            <w:r w:rsidR="00EB6110" w:rsidRPr="008C6744">
              <w:rPr>
                <w:rFonts w:ascii="Arial" w:hAnsi="Arial" w:cs="Arial"/>
                <w:noProof/>
                <w:webHidden/>
              </w:rPr>
              <w:tab/>
            </w:r>
            <w:r w:rsidR="00EB6110" w:rsidRPr="008C6744">
              <w:rPr>
                <w:rFonts w:ascii="Arial" w:hAnsi="Arial" w:cs="Arial"/>
                <w:noProof/>
                <w:webHidden/>
              </w:rPr>
              <w:fldChar w:fldCharType="begin"/>
            </w:r>
            <w:r w:rsidR="00EB6110" w:rsidRPr="008C6744">
              <w:rPr>
                <w:rFonts w:ascii="Arial" w:hAnsi="Arial" w:cs="Arial"/>
                <w:noProof/>
                <w:webHidden/>
              </w:rPr>
              <w:instrText xml:space="preserve"> PAGEREF _Toc223606299 \h </w:instrText>
            </w:r>
            <w:r w:rsidR="00EB6110" w:rsidRPr="008C6744">
              <w:rPr>
                <w:rFonts w:ascii="Arial" w:hAnsi="Arial" w:cs="Arial"/>
                <w:noProof/>
                <w:webHidden/>
              </w:rPr>
            </w:r>
            <w:r w:rsidR="00EB6110" w:rsidRPr="008C6744">
              <w:rPr>
                <w:rFonts w:ascii="Arial" w:hAnsi="Arial" w:cs="Arial"/>
                <w:noProof/>
                <w:webHidden/>
              </w:rPr>
              <w:fldChar w:fldCharType="separate"/>
            </w:r>
            <w:r w:rsidR="00EB6110" w:rsidRPr="008C6744">
              <w:rPr>
                <w:rFonts w:ascii="Arial" w:hAnsi="Arial" w:cs="Arial"/>
                <w:noProof/>
                <w:webHidden/>
              </w:rPr>
              <w:t>4</w:t>
            </w:r>
            <w:r w:rsidR="00EB6110" w:rsidRPr="008C6744">
              <w:rPr>
                <w:rFonts w:ascii="Arial" w:hAnsi="Arial" w:cs="Arial"/>
                <w:noProof/>
                <w:webHidden/>
              </w:rPr>
              <w:fldChar w:fldCharType="end"/>
            </w:r>
          </w:hyperlink>
        </w:p>
        <w:p w14:paraId="18EC506B" w14:textId="764E4730" w:rsidR="00EB6110" w:rsidRPr="008C6744" w:rsidRDefault="00C67ED3" w:rsidP="00EB6110">
          <w:pPr>
            <w:pStyle w:val="TOC2"/>
            <w:tabs>
              <w:tab w:val="right" w:leader="dot" w:pos="9016"/>
            </w:tabs>
            <w:spacing w:line="240" w:lineRule="auto"/>
            <w:rPr>
              <w:rFonts w:ascii="Arial" w:hAnsi="Arial" w:cs="Arial"/>
              <w:noProof/>
              <w:kern w:val="2"/>
              <w:szCs w:val="24"/>
              <w14:ligatures w14:val="standardContextual"/>
            </w:rPr>
          </w:pPr>
          <w:hyperlink w:anchor="_Toc223606300" w:history="1">
            <w:r w:rsidR="00EB6110" w:rsidRPr="008C6744">
              <w:rPr>
                <w:rStyle w:val="Hyperlink"/>
                <w:rFonts w:ascii="Arial" w:hAnsi="Arial" w:cs="Arial"/>
                <w:noProof/>
              </w:rPr>
              <w:t>1.1. Overview of the context</w:t>
            </w:r>
            <w:r w:rsidR="00EB6110" w:rsidRPr="008C6744">
              <w:rPr>
                <w:rFonts w:ascii="Arial" w:hAnsi="Arial" w:cs="Arial"/>
                <w:noProof/>
                <w:webHidden/>
              </w:rPr>
              <w:tab/>
            </w:r>
            <w:r w:rsidR="00EB6110" w:rsidRPr="008C6744">
              <w:rPr>
                <w:rFonts w:ascii="Arial" w:hAnsi="Arial" w:cs="Arial"/>
                <w:noProof/>
                <w:webHidden/>
              </w:rPr>
              <w:fldChar w:fldCharType="begin"/>
            </w:r>
            <w:r w:rsidR="00EB6110" w:rsidRPr="008C6744">
              <w:rPr>
                <w:rFonts w:ascii="Arial" w:hAnsi="Arial" w:cs="Arial"/>
                <w:noProof/>
                <w:webHidden/>
              </w:rPr>
              <w:instrText xml:space="preserve"> PAGEREF _Toc223606300 \h </w:instrText>
            </w:r>
            <w:r w:rsidR="00EB6110" w:rsidRPr="008C6744">
              <w:rPr>
                <w:rFonts w:ascii="Arial" w:hAnsi="Arial" w:cs="Arial"/>
                <w:noProof/>
                <w:webHidden/>
              </w:rPr>
            </w:r>
            <w:r w:rsidR="00EB6110" w:rsidRPr="008C6744">
              <w:rPr>
                <w:rFonts w:ascii="Arial" w:hAnsi="Arial" w:cs="Arial"/>
                <w:noProof/>
                <w:webHidden/>
              </w:rPr>
              <w:fldChar w:fldCharType="separate"/>
            </w:r>
            <w:r w:rsidR="00EB6110" w:rsidRPr="008C6744">
              <w:rPr>
                <w:rFonts w:ascii="Arial" w:hAnsi="Arial" w:cs="Arial"/>
                <w:noProof/>
                <w:webHidden/>
              </w:rPr>
              <w:t>4</w:t>
            </w:r>
            <w:r w:rsidR="00EB6110" w:rsidRPr="008C6744">
              <w:rPr>
                <w:rFonts w:ascii="Arial" w:hAnsi="Arial" w:cs="Arial"/>
                <w:noProof/>
                <w:webHidden/>
              </w:rPr>
              <w:fldChar w:fldCharType="end"/>
            </w:r>
          </w:hyperlink>
        </w:p>
        <w:p w14:paraId="3CD5C7DA" w14:textId="16AABC73" w:rsidR="00EB6110" w:rsidRPr="008C6744" w:rsidRDefault="00C67ED3" w:rsidP="00EB6110">
          <w:pPr>
            <w:pStyle w:val="TOC2"/>
            <w:tabs>
              <w:tab w:val="right" w:leader="dot" w:pos="9016"/>
            </w:tabs>
            <w:spacing w:line="240" w:lineRule="auto"/>
            <w:rPr>
              <w:rFonts w:ascii="Arial" w:hAnsi="Arial" w:cs="Arial"/>
              <w:noProof/>
              <w:kern w:val="2"/>
              <w:szCs w:val="24"/>
              <w14:ligatures w14:val="standardContextual"/>
            </w:rPr>
          </w:pPr>
          <w:hyperlink w:anchor="_Toc223606301" w:history="1">
            <w:r w:rsidR="00EB6110" w:rsidRPr="008C6744">
              <w:rPr>
                <w:rStyle w:val="Hyperlink"/>
                <w:rFonts w:ascii="Arial" w:hAnsi="Arial" w:cs="Arial"/>
                <w:noProof/>
              </w:rPr>
              <w:t>1.2. Macro Environment in Strategic Marketing</w:t>
            </w:r>
            <w:r w:rsidR="00EB6110" w:rsidRPr="008C6744">
              <w:rPr>
                <w:rFonts w:ascii="Arial" w:hAnsi="Arial" w:cs="Arial"/>
                <w:noProof/>
                <w:webHidden/>
              </w:rPr>
              <w:tab/>
            </w:r>
            <w:r w:rsidR="00EB6110" w:rsidRPr="008C6744">
              <w:rPr>
                <w:rFonts w:ascii="Arial" w:hAnsi="Arial" w:cs="Arial"/>
                <w:noProof/>
                <w:webHidden/>
              </w:rPr>
              <w:fldChar w:fldCharType="begin"/>
            </w:r>
            <w:r w:rsidR="00EB6110" w:rsidRPr="008C6744">
              <w:rPr>
                <w:rFonts w:ascii="Arial" w:hAnsi="Arial" w:cs="Arial"/>
                <w:noProof/>
                <w:webHidden/>
              </w:rPr>
              <w:instrText xml:space="preserve"> PAGEREF _Toc223606301 \h </w:instrText>
            </w:r>
            <w:r w:rsidR="00EB6110" w:rsidRPr="008C6744">
              <w:rPr>
                <w:rFonts w:ascii="Arial" w:hAnsi="Arial" w:cs="Arial"/>
                <w:noProof/>
                <w:webHidden/>
              </w:rPr>
            </w:r>
            <w:r w:rsidR="00EB6110" w:rsidRPr="008C6744">
              <w:rPr>
                <w:rFonts w:ascii="Arial" w:hAnsi="Arial" w:cs="Arial"/>
                <w:noProof/>
                <w:webHidden/>
              </w:rPr>
              <w:fldChar w:fldCharType="separate"/>
            </w:r>
            <w:r w:rsidR="00EB6110" w:rsidRPr="008C6744">
              <w:rPr>
                <w:rFonts w:ascii="Arial" w:hAnsi="Arial" w:cs="Arial"/>
                <w:noProof/>
                <w:webHidden/>
              </w:rPr>
              <w:t>4</w:t>
            </w:r>
            <w:r w:rsidR="00EB6110" w:rsidRPr="008C6744">
              <w:rPr>
                <w:rFonts w:ascii="Arial" w:hAnsi="Arial" w:cs="Arial"/>
                <w:noProof/>
                <w:webHidden/>
              </w:rPr>
              <w:fldChar w:fldCharType="end"/>
            </w:r>
          </w:hyperlink>
        </w:p>
        <w:p w14:paraId="7060CBC3" w14:textId="05A2C343" w:rsidR="00EB6110" w:rsidRPr="008C6744" w:rsidRDefault="00C67ED3" w:rsidP="00EB6110">
          <w:pPr>
            <w:pStyle w:val="TOC3"/>
            <w:tabs>
              <w:tab w:val="right" w:leader="dot" w:pos="9016"/>
            </w:tabs>
            <w:spacing w:line="240" w:lineRule="auto"/>
            <w:rPr>
              <w:rFonts w:ascii="Arial" w:hAnsi="Arial" w:cs="Arial"/>
              <w:noProof/>
              <w:kern w:val="2"/>
              <w:szCs w:val="24"/>
              <w14:ligatures w14:val="standardContextual"/>
            </w:rPr>
          </w:pPr>
          <w:hyperlink w:anchor="_Toc223606302" w:history="1">
            <w:r w:rsidR="00EB6110" w:rsidRPr="008C6744">
              <w:rPr>
                <w:rStyle w:val="Hyperlink"/>
                <w:rFonts w:ascii="Arial" w:hAnsi="Arial" w:cs="Arial"/>
                <w:noProof/>
              </w:rPr>
              <w:t>1.2.1. PESTEL Analysis</w:t>
            </w:r>
            <w:r w:rsidR="00EB6110" w:rsidRPr="008C6744">
              <w:rPr>
                <w:rFonts w:ascii="Arial" w:hAnsi="Arial" w:cs="Arial"/>
                <w:noProof/>
                <w:webHidden/>
              </w:rPr>
              <w:tab/>
            </w:r>
            <w:r w:rsidR="00EB6110" w:rsidRPr="008C6744">
              <w:rPr>
                <w:rFonts w:ascii="Arial" w:hAnsi="Arial" w:cs="Arial"/>
                <w:noProof/>
                <w:webHidden/>
              </w:rPr>
              <w:fldChar w:fldCharType="begin"/>
            </w:r>
            <w:r w:rsidR="00EB6110" w:rsidRPr="008C6744">
              <w:rPr>
                <w:rFonts w:ascii="Arial" w:hAnsi="Arial" w:cs="Arial"/>
                <w:noProof/>
                <w:webHidden/>
              </w:rPr>
              <w:instrText xml:space="preserve"> PAGEREF _Toc223606302 \h </w:instrText>
            </w:r>
            <w:r w:rsidR="00EB6110" w:rsidRPr="008C6744">
              <w:rPr>
                <w:rFonts w:ascii="Arial" w:hAnsi="Arial" w:cs="Arial"/>
                <w:noProof/>
                <w:webHidden/>
              </w:rPr>
            </w:r>
            <w:r w:rsidR="00EB6110" w:rsidRPr="008C6744">
              <w:rPr>
                <w:rFonts w:ascii="Arial" w:hAnsi="Arial" w:cs="Arial"/>
                <w:noProof/>
                <w:webHidden/>
              </w:rPr>
              <w:fldChar w:fldCharType="separate"/>
            </w:r>
            <w:r w:rsidR="00EB6110" w:rsidRPr="008C6744">
              <w:rPr>
                <w:rFonts w:ascii="Arial" w:hAnsi="Arial" w:cs="Arial"/>
                <w:noProof/>
                <w:webHidden/>
              </w:rPr>
              <w:t>4</w:t>
            </w:r>
            <w:r w:rsidR="00EB6110" w:rsidRPr="008C6744">
              <w:rPr>
                <w:rFonts w:ascii="Arial" w:hAnsi="Arial" w:cs="Arial"/>
                <w:noProof/>
                <w:webHidden/>
              </w:rPr>
              <w:fldChar w:fldCharType="end"/>
            </w:r>
          </w:hyperlink>
        </w:p>
        <w:p w14:paraId="4C75E250" w14:textId="6395A63F" w:rsidR="00EB6110" w:rsidRPr="008C6744" w:rsidRDefault="00C67ED3" w:rsidP="00EB6110">
          <w:pPr>
            <w:pStyle w:val="TOC2"/>
            <w:tabs>
              <w:tab w:val="right" w:leader="dot" w:pos="9016"/>
            </w:tabs>
            <w:spacing w:line="240" w:lineRule="auto"/>
            <w:rPr>
              <w:rFonts w:ascii="Arial" w:hAnsi="Arial" w:cs="Arial"/>
              <w:noProof/>
              <w:kern w:val="2"/>
              <w:szCs w:val="24"/>
              <w14:ligatures w14:val="standardContextual"/>
            </w:rPr>
          </w:pPr>
          <w:hyperlink w:anchor="_Toc223606303" w:history="1">
            <w:r w:rsidR="00EB6110" w:rsidRPr="008C6744">
              <w:rPr>
                <w:rStyle w:val="Hyperlink"/>
                <w:rFonts w:ascii="Arial" w:hAnsi="Arial" w:cs="Arial"/>
                <w:noProof/>
              </w:rPr>
              <w:t>1.3. Factor 1: Economical aspects for HSBC and Barclays</w:t>
            </w:r>
            <w:r w:rsidR="00EB6110" w:rsidRPr="008C6744">
              <w:rPr>
                <w:rFonts w:ascii="Arial" w:hAnsi="Arial" w:cs="Arial"/>
                <w:noProof/>
                <w:webHidden/>
              </w:rPr>
              <w:tab/>
            </w:r>
            <w:r w:rsidR="00EB6110" w:rsidRPr="008C6744">
              <w:rPr>
                <w:rFonts w:ascii="Arial" w:hAnsi="Arial" w:cs="Arial"/>
                <w:noProof/>
                <w:webHidden/>
              </w:rPr>
              <w:fldChar w:fldCharType="begin"/>
            </w:r>
            <w:r w:rsidR="00EB6110" w:rsidRPr="008C6744">
              <w:rPr>
                <w:rFonts w:ascii="Arial" w:hAnsi="Arial" w:cs="Arial"/>
                <w:noProof/>
                <w:webHidden/>
              </w:rPr>
              <w:instrText xml:space="preserve"> PAGEREF _Toc223606303 \h </w:instrText>
            </w:r>
            <w:r w:rsidR="00EB6110" w:rsidRPr="008C6744">
              <w:rPr>
                <w:rFonts w:ascii="Arial" w:hAnsi="Arial" w:cs="Arial"/>
                <w:noProof/>
                <w:webHidden/>
              </w:rPr>
            </w:r>
            <w:r w:rsidR="00EB6110" w:rsidRPr="008C6744">
              <w:rPr>
                <w:rFonts w:ascii="Arial" w:hAnsi="Arial" w:cs="Arial"/>
                <w:noProof/>
                <w:webHidden/>
              </w:rPr>
              <w:fldChar w:fldCharType="separate"/>
            </w:r>
            <w:r w:rsidR="00EB6110" w:rsidRPr="008C6744">
              <w:rPr>
                <w:rFonts w:ascii="Arial" w:hAnsi="Arial" w:cs="Arial"/>
                <w:noProof/>
                <w:webHidden/>
              </w:rPr>
              <w:t>6</w:t>
            </w:r>
            <w:r w:rsidR="00EB6110" w:rsidRPr="008C6744">
              <w:rPr>
                <w:rFonts w:ascii="Arial" w:hAnsi="Arial" w:cs="Arial"/>
                <w:noProof/>
                <w:webHidden/>
              </w:rPr>
              <w:fldChar w:fldCharType="end"/>
            </w:r>
          </w:hyperlink>
        </w:p>
        <w:p w14:paraId="6177F53F" w14:textId="49DD2BA0" w:rsidR="00EB6110" w:rsidRPr="008C6744" w:rsidRDefault="00C67ED3" w:rsidP="00EB6110">
          <w:pPr>
            <w:pStyle w:val="TOC2"/>
            <w:tabs>
              <w:tab w:val="right" w:leader="dot" w:pos="9016"/>
            </w:tabs>
            <w:spacing w:line="240" w:lineRule="auto"/>
            <w:rPr>
              <w:rFonts w:ascii="Arial" w:hAnsi="Arial" w:cs="Arial"/>
              <w:noProof/>
              <w:kern w:val="2"/>
              <w:szCs w:val="24"/>
              <w14:ligatures w14:val="standardContextual"/>
            </w:rPr>
          </w:pPr>
          <w:hyperlink w:anchor="_Toc223606304" w:history="1">
            <w:r w:rsidR="00EB6110" w:rsidRPr="008C6744">
              <w:rPr>
                <w:rStyle w:val="Hyperlink"/>
                <w:rFonts w:ascii="Arial" w:hAnsi="Arial" w:cs="Arial"/>
                <w:noProof/>
              </w:rPr>
              <w:t>1.4. Factor 2: Technological Factor aspects for HSBC and Barclays</w:t>
            </w:r>
            <w:r w:rsidR="00EB6110" w:rsidRPr="008C6744">
              <w:rPr>
                <w:rFonts w:ascii="Arial" w:hAnsi="Arial" w:cs="Arial"/>
                <w:noProof/>
                <w:webHidden/>
              </w:rPr>
              <w:tab/>
            </w:r>
            <w:r w:rsidR="00EB6110" w:rsidRPr="008C6744">
              <w:rPr>
                <w:rFonts w:ascii="Arial" w:hAnsi="Arial" w:cs="Arial"/>
                <w:noProof/>
                <w:webHidden/>
              </w:rPr>
              <w:fldChar w:fldCharType="begin"/>
            </w:r>
            <w:r w:rsidR="00EB6110" w:rsidRPr="008C6744">
              <w:rPr>
                <w:rFonts w:ascii="Arial" w:hAnsi="Arial" w:cs="Arial"/>
                <w:noProof/>
                <w:webHidden/>
              </w:rPr>
              <w:instrText xml:space="preserve"> PAGEREF _Toc223606304 \h </w:instrText>
            </w:r>
            <w:r w:rsidR="00EB6110" w:rsidRPr="008C6744">
              <w:rPr>
                <w:rFonts w:ascii="Arial" w:hAnsi="Arial" w:cs="Arial"/>
                <w:noProof/>
                <w:webHidden/>
              </w:rPr>
            </w:r>
            <w:r w:rsidR="00EB6110" w:rsidRPr="008C6744">
              <w:rPr>
                <w:rFonts w:ascii="Arial" w:hAnsi="Arial" w:cs="Arial"/>
                <w:noProof/>
                <w:webHidden/>
              </w:rPr>
              <w:fldChar w:fldCharType="separate"/>
            </w:r>
            <w:r w:rsidR="00EB6110" w:rsidRPr="008C6744">
              <w:rPr>
                <w:rFonts w:ascii="Arial" w:hAnsi="Arial" w:cs="Arial"/>
                <w:noProof/>
                <w:webHidden/>
              </w:rPr>
              <w:t>6</w:t>
            </w:r>
            <w:r w:rsidR="00EB6110" w:rsidRPr="008C6744">
              <w:rPr>
                <w:rFonts w:ascii="Arial" w:hAnsi="Arial" w:cs="Arial"/>
                <w:noProof/>
                <w:webHidden/>
              </w:rPr>
              <w:fldChar w:fldCharType="end"/>
            </w:r>
          </w:hyperlink>
        </w:p>
        <w:p w14:paraId="52085817" w14:textId="4D892589" w:rsidR="00EB6110" w:rsidRPr="008C6744" w:rsidRDefault="00C67ED3" w:rsidP="00EB6110">
          <w:pPr>
            <w:pStyle w:val="TOC2"/>
            <w:tabs>
              <w:tab w:val="right" w:leader="dot" w:pos="9016"/>
            </w:tabs>
            <w:spacing w:line="240" w:lineRule="auto"/>
            <w:rPr>
              <w:rFonts w:ascii="Arial" w:hAnsi="Arial" w:cs="Arial"/>
              <w:noProof/>
              <w:kern w:val="2"/>
              <w:szCs w:val="24"/>
              <w14:ligatures w14:val="standardContextual"/>
            </w:rPr>
          </w:pPr>
          <w:hyperlink w:anchor="_Toc223606305" w:history="1">
            <w:r w:rsidR="00EB6110" w:rsidRPr="008C6744">
              <w:rPr>
                <w:rStyle w:val="Hyperlink"/>
                <w:rFonts w:ascii="Arial" w:hAnsi="Arial" w:cs="Arial"/>
                <w:noProof/>
              </w:rPr>
              <w:t>1.5. Impact Assessment</w:t>
            </w:r>
            <w:r w:rsidR="00EB6110" w:rsidRPr="008C6744">
              <w:rPr>
                <w:rFonts w:ascii="Arial" w:hAnsi="Arial" w:cs="Arial"/>
                <w:noProof/>
                <w:webHidden/>
              </w:rPr>
              <w:tab/>
            </w:r>
            <w:r w:rsidR="00EB6110" w:rsidRPr="008C6744">
              <w:rPr>
                <w:rFonts w:ascii="Arial" w:hAnsi="Arial" w:cs="Arial"/>
                <w:noProof/>
                <w:webHidden/>
              </w:rPr>
              <w:fldChar w:fldCharType="begin"/>
            </w:r>
            <w:r w:rsidR="00EB6110" w:rsidRPr="008C6744">
              <w:rPr>
                <w:rFonts w:ascii="Arial" w:hAnsi="Arial" w:cs="Arial"/>
                <w:noProof/>
                <w:webHidden/>
              </w:rPr>
              <w:instrText xml:space="preserve"> PAGEREF _Toc223606305 \h </w:instrText>
            </w:r>
            <w:r w:rsidR="00EB6110" w:rsidRPr="008C6744">
              <w:rPr>
                <w:rFonts w:ascii="Arial" w:hAnsi="Arial" w:cs="Arial"/>
                <w:noProof/>
                <w:webHidden/>
              </w:rPr>
            </w:r>
            <w:r w:rsidR="00EB6110" w:rsidRPr="008C6744">
              <w:rPr>
                <w:rFonts w:ascii="Arial" w:hAnsi="Arial" w:cs="Arial"/>
                <w:noProof/>
                <w:webHidden/>
              </w:rPr>
              <w:fldChar w:fldCharType="separate"/>
            </w:r>
            <w:r w:rsidR="00EB6110" w:rsidRPr="008C6744">
              <w:rPr>
                <w:rFonts w:ascii="Arial" w:hAnsi="Arial" w:cs="Arial"/>
                <w:noProof/>
                <w:webHidden/>
              </w:rPr>
              <w:t>7</w:t>
            </w:r>
            <w:r w:rsidR="00EB6110" w:rsidRPr="008C6744">
              <w:rPr>
                <w:rFonts w:ascii="Arial" w:hAnsi="Arial" w:cs="Arial"/>
                <w:noProof/>
                <w:webHidden/>
              </w:rPr>
              <w:fldChar w:fldCharType="end"/>
            </w:r>
          </w:hyperlink>
        </w:p>
        <w:p w14:paraId="25283AE8" w14:textId="298F1AFB" w:rsidR="00EB6110" w:rsidRPr="008C6744" w:rsidRDefault="00C67ED3" w:rsidP="00EB6110">
          <w:pPr>
            <w:pStyle w:val="TOC3"/>
            <w:tabs>
              <w:tab w:val="right" w:leader="dot" w:pos="9016"/>
            </w:tabs>
            <w:spacing w:line="240" w:lineRule="auto"/>
            <w:rPr>
              <w:rFonts w:ascii="Arial" w:hAnsi="Arial" w:cs="Arial"/>
              <w:noProof/>
              <w:kern w:val="2"/>
              <w:szCs w:val="24"/>
              <w14:ligatures w14:val="standardContextual"/>
            </w:rPr>
          </w:pPr>
          <w:hyperlink w:anchor="_Toc223606306" w:history="1">
            <w:r w:rsidR="00EB6110" w:rsidRPr="008C6744">
              <w:rPr>
                <w:rStyle w:val="Hyperlink"/>
                <w:rFonts w:ascii="Arial" w:hAnsi="Arial" w:cs="Arial"/>
                <w:noProof/>
              </w:rPr>
              <w:t>1.5.1. Opportunities based on assessing the economic and technological aspects</w:t>
            </w:r>
            <w:r w:rsidR="00EB6110" w:rsidRPr="008C6744">
              <w:rPr>
                <w:rFonts w:ascii="Arial" w:hAnsi="Arial" w:cs="Arial"/>
                <w:noProof/>
                <w:webHidden/>
              </w:rPr>
              <w:tab/>
            </w:r>
            <w:r w:rsidR="00EB6110" w:rsidRPr="008C6744">
              <w:rPr>
                <w:rFonts w:ascii="Arial" w:hAnsi="Arial" w:cs="Arial"/>
                <w:noProof/>
                <w:webHidden/>
              </w:rPr>
              <w:fldChar w:fldCharType="begin"/>
            </w:r>
            <w:r w:rsidR="00EB6110" w:rsidRPr="008C6744">
              <w:rPr>
                <w:rFonts w:ascii="Arial" w:hAnsi="Arial" w:cs="Arial"/>
                <w:noProof/>
                <w:webHidden/>
              </w:rPr>
              <w:instrText xml:space="preserve"> PAGEREF _Toc223606306 \h </w:instrText>
            </w:r>
            <w:r w:rsidR="00EB6110" w:rsidRPr="008C6744">
              <w:rPr>
                <w:rFonts w:ascii="Arial" w:hAnsi="Arial" w:cs="Arial"/>
                <w:noProof/>
                <w:webHidden/>
              </w:rPr>
            </w:r>
            <w:r w:rsidR="00EB6110" w:rsidRPr="008C6744">
              <w:rPr>
                <w:rFonts w:ascii="Arial" w:hAnsi="Arial" w:cs="Arial"/>
                <w:noProof/>
                <w:webHidden/>
              </w:rPr>
              <w:fldChar w:fldCharType="separate"/>
            </w:r>
            <w:r w:rsidR="00EB6110" w:rsidRPr="008C6744">
              <w:rPr>
                <w:rFonts w:ascii="Arial" w:hAnsi="Arial" w:cs="Arial"/>
                <w:noProof/>
                <w:webHidden/>
              </w:rPr>
              <w:t>7</w:t>
            </w:r>
            <w:r w:rsidR="00EB6110" w:rsidRPr="008C6744">
              <w:rPr>
                <w:rFonts w:ascii="Arial" w:hAnsi="Arial" w:cs="Arial"/>
                <w:noProof/>
                <w:webHidden/>
              </w:rPr>
              <w:fldChar w:fldCharType="end"/>
            </w:r>
          </w:hyperlink>
        </w:p>
        <w:p w14:paraId="136893E0" w14:textId="236D0CF6" w:rsidR="00EB6110" w:rsidRPr="008C6744" w:rsidRDefault="00C67ED3" w:rsidP="00EB6110">
          <w:pPr>
            <w:pStyle w:val="TOC3"/>
            <w:tabs>
              <w:tab w:val="right" w:leader="dot" w:pos="9016"/>
            </w:tabs>
            <w:spacing w:line="240" w:lineRule="auto"/>
            <w:rPr>
              <w:rFonts w:ascii="Arial" w:hAnsi="Arial" w:cs="Arial"/>
              <w:noProof/>
              <w:kern w:val="2"/>
              <w:szCs w:val="24"/>
              <w14:ligatures w14:val="standardContextual"/>
            </w:rPr>
          </w:pPr>
          <w:hyperlink w:anchor="_Toc223606307" w:history="1">
            <w:r w:rsidR="00EB6110" w:rsidRPr="008C6744">
              <w:rPr>
                <w:rStyle w:val="Hyperlink"/>
                <w:rFonts w:ascii="Arial" w:hAnsi="Arial" w:cs="Arial"/>
                <w:noProof/>
              </w:rPr>
              <w:t>1.5.2. Threats based on assessing the economic and technological aspects</w:t>
            </w:r>
            <w:r w:rsidR="00EB6110" w:rsidRPr="008C6744">
              <w:rPr>
                <w:rFonts w:ascii="Arial" w:hAnsi="Arial" w:cs="Arial"/>
                <w:noProof/>
                <w:webHidden/>
              </w:rPr>
              <w:tab/>
            </w:r>
            <w:r w:rsidR="00EB6110" w:rsidRPr="008C6744">
              <w:rPr>
                <w:rFonts w:ascii="Arial" w:hAnsi="Arial" w:cs="Arial"/>
                <w:noProof/>
                <w:webHidden/>
              </w:rPr>
              <w:fldChar w:fldCharType="begin"/>
            </w:r>
            <w:r w:rsidR="00EB6110" w:rsidRPr="008C6744">
              <w:rPr>
                <w:rFonts w:ascii="Arial" w:hAnsi="Arial" w:cs="Arial"/>
                <w:noProof/>
                <w:webHidden/>
              </w:rPr>
              <w:instrText xml:space="preserve"> PAGEREF _Toc223606307 \h </w:instrText>
            </w:r>
            <w:r w:rsidR="00EB6110" w:rsidRPr="008C6744">
              <w:rPr>
                <w:rFonts w:ascii="Arial" w:hAnsi="Arial" w:cs="Arial"/>
                <w:noProof/>
                <w:webHidden/>
              </w:rPr>
            </w:r>
            <w:r w:rsidR="00EB6110" w:rsidRPr="008C6744">
              <w:rPr>
                <w:rFonts w:ascii="Arial" w:hAnsi="Arial" w:cs="Arial"/>
                <w:noProof/>
                <w:webHidden/>
              </w:rPr>
              <w:fldChar w:fldCharType="separate"/>
            </w:r>
            <w:r w:rsidR="00EB6110" w:rsidRPr="008C6744">
              <w:rPr>
                <w:rFonts w:ascii="Arial" w:hAnsi="Arial" w:cs="Arial"/>
                <w:noProof/>
                <w:webHidden/>
              </w:rPr>
              <w:t>7</w:t>
            </w:r>
            <w:r w:rsidR="00EB6110" w:rsidRPr="008C6744">
              <w:rPr>
                <w:rFonts w:ascii="Arial" w:hAnsi="Arial" w:cs="Arial"/>
                <w:noProof/>
                <w:webHidden/>
              </w:rPr>
              <w:fldChar w:fldCharType="end"/>
            </w:r>
          </w:hyperlink>
        </w:p>
        <w:p w14:paraId="2DFDB7B1" w14:textId="2383AD08" w:rsidR="00EB6110" w:rsidRPr="008C6744" w:rsidRDefault="00C67ED3" w:rsidP="00EB6110">
          <w:pPr>
            <w:pStyle w:val="TOC2"/>
            <w:tabs>
              <w:tab w:val="right" w:leader="dot" w:pos="9016"/>
            </w:tabs>
            <w:spacing w:line="240" w:lineRule="auto"/>
            <w:rPr>
              <w:rFonts w:ascii="Arial" w:hAnsi="Arial" w:cs="Arial"/>
              <w:noProof/>
              <w:kern w:val="2"/>
              <w:szCs w:val="24"/>
              <w14:ligatures w14:val="standardContextual"/>
            </w:rPr>
          </w:pPr>
          <w:hyperlink w:anchor="_Toc223606308" w:history="1">
            <w:r w:rsidR="00EB6110" w:rsidRPr="008C6744">
              <w:rPr>
                <w:rStyle w:val="Hyperlink"/>
                <w:rFonts w:ascii="Arial" w:hAnsi="Arial" w:cs="Arial"/>
                <w:noProof/>
              </w:rPr>
              <w:t>1.6. Analysis</w:t>
            </w:r>
            <w:r w:rsidR="00EB6110" w:rsidRPr="008C6744">
              <w:rPr>
                <w:rFonts w:ascii="Arial" w:hAnsi="Arial" w:cs="Arial"/>
                <w:noProof/>
                <w:webHidden/>
              </w:rPr>
              <w:tab/>
            </w:r>
            <w:r w:rsidR="00EB6110" w:rsidRPr="008C6744">
              <w:rPr>
                <w:rFonts w:ascii="Arial" w:hAnsi="Arial" w:cs="Arial"/>
                <w:noProof/>
                <w:webHidden/>
              </w:rPr>
              <w:fldChar w:fldCharType="begin"/>
            </w:r>
            <w:r w:rsidR="00EB6110" w:rsidRPr="008C6744">
              <w:rPr>
                <w:rFonts w:ascii="Arial" w:hAnsi="Arial" w:cs="Arial"/>
                <w:noProof/>
                <w:webHidden/>
              </w:rPr>
              <w:instrText xml:space="preserve"> PAGEREF _Toc223606308 \h </w:instrText>
            </w:r>
            <w:r w:rsidR="00EB6110" w:rsidRPr="008C6744">
              <w:rPr>
                <w:rFonts w:ascii="Arial" w:hAnsi="Arial" w:cs="Arial"/>
                <w:noProof/>
                <w:webHidden/>
              </w:rPr>
            </w:r>
            <w:r w:rsidR="00EB6110" w:rsidRPr="008C6744">
              <w:rPr>
                <w:rFonts w:ascii="Arial" w:hAnsi="Arial" w:cs="Arial"/>
                <w:noProof/>
                <w:webHidden/>
              </w:rPr>
              <w:fldChar w:fldCharType="separate"/>
            </w:r>
            <w:r w:rsidR="00EB6110" w:rsidRPr="008C6744">
              <w:rPr>
                <w:rFonts w:ascii="Arial" w:hAnsi="Arial" w:cs="Arial"/>
                <w:noProof/>
                <w:webHidden/>
              </w:rPr>
              <w:t>8</w:t>
            </w:r>
            <w:r w:rsidR="00EB6110" w:rsidRPr="008C6744">
              <w:rPr>
                <w:rFonts w:ascii="Arial" w:hAnsi="Arial" w:cs="Arial"/>
                <w:noProof/>
                <w:webHidden/>
              </w:rPr>
              <w:fldChar w:fldCharType="end"/>
            </w:r>
          </w:hyperlink>
        </w:p>
        <w:p w14:paraId="797CC76E" w14:textId="2EA97EC5" w:rsidR="00EB6110" w:rsidRPr="008C6744" w:rsidRDefault="00C67ED3" w:rsidP="00EB6110">
          <w:pPr>
            <w:pStyle w:val="TOC1"/>
            <w:tabs>
              <w:tab w:val="right" w:leader="dot" w:pos="9016"/>
            </w:tabs>
            <w:spacing w:line="240" w:lineRule="auto"/>
            <w:rPr>
              <w:rFonts w:ascii="Arial" w:hAnsi="Arial" w:cs="Arial"/>
              <w:noProof/>
              <w:kern w:val="2"/>
              <w:szCs w:val="24"/>
              <w14:ligatures w14:val="standardContextual"/>
            </w:rPr>
          </w:pPr>
          <w:hyperlink w:anchor="_Toc223606309" w:history="1">
            <w:r w:rsidR="00EB6110" w:rsidRPr="008C6744">
              <w:rPr>
                <w:rStyle w:val="Hyperlink"/>
                <w:rFonts w:ascii="Arial" w:hAnsi="Arial" w:cs="Arial"/>
                <w:noProof/>
              </w:rPr>
              <w:t>Task 2: Analysis aligned with assessing marketing environmental analysis for pioneers and followers</w:t>
            </w:r>
            <w:r w:rsidR="00EB6110" w:rsidRPr="008C6744">
              <w:rPr>
                <w:rFonts w:ascii="Arial" w:hAnsi="Arial" w:cs="Arial"/>
                <w:noProof/>
                <w:webHidden/>
              </w:rPr>
              <w:tab/>
            </w:r>
            <w:r w:rsidR="00EB6110" w:rsidRPr="008C6744">
              <w:rPr>
                <w:rFonts w:ascii="Arial" w:hAnsi="Arial" w:cs="Arial"/>
                <w:noProof/>
                <w:webHidden/>
              </w:rPr>
              <w:fldChar w:fldCharType="begin"/>
            </w:r>
            <w:r w:rsidR="00EB6110" w:rsidRPr="008C6744">
              <w:rPr>
                <w:rFonts w:ascii="Arial" w:hAnsi="Arial" w:cs="Arial"/>
                <w:noProof/>
                <w:webHidden/>
              </w:rPr>
              <w:instrText xml:space="preserve"> PAGEREF _Toc223606309 \h </w:instrText>
            </w:r>
            <w:r w:rsidR="00EB6110" w:rsidRPr="008C6744">
              <w:rPr>
                <w:rFonts w:ascii="Arial" w:hAnsi="Arial" w:cs="Arial"/>
                <w:noProof/>
                <w:webHidden/>
              </w:rPr>
            </w:r>
            <w:r w:rsidR="00EB6110" w:rsidRPr="008C6744">
              <w:rPr>
                <w:rFonts w:ascii="Arial" w:hAnsi="Arial" w:cs="Arial"/>
                <w:noProof/>
                <w:webHidden/>
              </w:rPr>
              <w:fldChar w:fldCharType="separate"/>
            </w:r>
            <w:r w:rsidR="00EB6110" w:rsidRPr="008C6744">
              <w:rPr>
                <w:rFonts w:ascii="Arial" w:hAnsi="Arial" w:cs="Arial"/>
                <w:noProof/>
                <w:webHidden/>
              </w:rPr>
              <w:t>10</w:t>
            </w:r>
            <w:r w:rsidR="00EB6110" w:rsidRPr="008C6744">
              <w:rPr>
                <w:rFonts w:ascii="Arial" w:hAnsi="Arial" w:cs="Arial"/>
                <w:noProof/>
                <w:webHidden/>
              </w:rPr>
              <w:fldChar w:fldCharType="end"/>
            </w:r>
          </w:hyperlink>
        </w:p>
        <w:p w14:paraId="42FBC7C3" w14:textId="09C36352" w:rsidR="00EB6110" w:rsidRPr="008C6744" w:rsidRDefault="00C67ED3" w:rsidP="00EB6110">
          <w:pPr>
            <w:pStyle w:val="TOC2"/>
            <w:tabs>
              <w:tab w:val="right" w:leader="dot" w:pos="9016"/>
            </w:tabs>
            <w:spacing w:line="240" w:lineRule="auto"/>
            <w:rPr>
              <w:rFonts w:ascii="Arial" w:hAnsi="Arial" w:cs="Arial"/>
              <w:noProof/>
              <w:kern w:val="2"/>
              <w:szCs w:val="24"/>
              <w14:ligatures w14:val="standardContextual"/>
            </w:rPr>
          </w:pPr>
          <w:hyperlink w:anchor="_Toc223606310" w:history="1">
            <w:r w:rsidR="00EB6110" w:rsidRPr="008C6744">
              <w:rPr>
                <w:rStyle w:val="Hyperlink"/>
                <w:rFonts w:ascii="Arial" w:hAnsi="Arial" w:cs="Arial"/>
                <w:noProof/>
              </w:rPr>
              <w:t>2.1. Strategic Response in Context</w:t>
            </w:r>
            <w:r w:rsidR="00EB6110" w:rsidRPr="008C6744">
              <w:rPr>
                <w:rFonts w:ascii="Arial" w:hAnsi="Arial" w:cs="Arial"/>
                <w:noProof/>
                <w:webHidden/>
              </w:rPr>
              <w:tab/>
            </w:r>
            <w:r w:rsidR="00EB6110" w:rsidRPr="008C6744">
              <w:rPr>
                <w:rFonts w:ascii="Arial" w:hAnsi="Arial" w:cs="Arial"/>
                <w:noProof/>
                <w:webHidden/>
              </w:rPr>
              <w:fldChar w:fldCharType="begin"/>
            </w:r>
            <w:r w:rsidR="00EB6110" w:rsidRPr="008C6744">
              <w:rPr>
                <w:rFonts w:ascii="Arial" w:hAnsi="Arial" w:cs="Arial"/>
                <w:noProof/>
                <w:webHidden/>
              </w:rPr>
              <w:instrText xml:space="preserve"> PAGEREF _Toc223606310 \h </w:instrText>
            </w:r>
            <w:r w:rsidR="00EB6110" w:rsidRPr="008C6744">
              <w:rPr>
                <w:rFonts w:ascii="Arial" w:hAnsi="Arial" w:cs="Arial"/>
                <w:noProof/>
                <w:webHidden/>
              </w:rPr>
            </w:r>
            <w:r w:rsidR="00EB6110" w:rsidRPr="008C6744">
              <w:rPr>
                <w:rFonts w:ascii="Arial" w:hAnsi="Arial" w:cs="Arial"/>
                <w:noProof/>
                <w:webHidden/>
              </w:rPr>
              <w:fldChar w:fldCharType="separate"/>
            </w:r>
            <w:r w:rsidR="00EB6110" w:rsidRPr="008C6744">
              <w:rPr>
                <w:rFonts w:ascii="Arial" w:hAnsi="Arial" w:cs="Arial"/>
                <w:noProof/>
                <w:webHidden/>
              </w:rPr>
              <w:t>10</w:t>
            </w:r>
            <w:r w:rsidR="00EB6110" w:rsidRPr="008C6744">
              <w:rPr>
                <w:rFonts w:ascii="Arial" w:hAnsi="Arial" w:cs="Arial"/>
                <w:noProof/>
                <w:webHidden/>
              </w:rPr>
              <w:fldChar w:fldCharType="end"/>
            </w:r>
          </w:hyperlink>
        </w:p>
        <w:p w14:paraId="502B66F8" w14:textId="7049E599" w:rsidR="00EB6110" w:rsidRPr="008C6744" w:rsidRDefault="00C67ED3" w:rsidP="00EB6110">
          <w:pPr>
            <w:pStyle w:val="TOC2"/>
            <w:tabs>
              <w:tab w:val="right" w:leader="dot" w:pos="9016"/>
            </w:tabs>
            <w:spacing w:line="240" w:lineRule="auto"/>
            <w:rPr>
              <w:rFonts w:ascii="Arial" w:hAnsi="Arial" w:cs="Arial"/>
              <w:noProof/>
              <w:kern w:val="2"/>
              <w:szCs w:val="24"/>
              <w14:ligatures w14:val="standardContextual"/>
            </w:rPr>
          </w:pPr>
          <w:hyperlink w:anchor="_Toc223606311" w:history="1">
            <w:r w:rsidR="00EB6110" w:rsidRPr="008C6744">
              <w:rPr>
                <w:rStyle w:val="Hyperlink"/>
                <w:rFonts w:ascii="Arial" w:hAnsi="Arial" w:cs="Arial"/>
                <w:noProof/>
              </w:rPr>
              <w:t>2.2. HSBC’s Strategic Responses</w:t>
            </w:r>
            <w:r w:rsidR="00EB6110" w:rsidRPr="008C6744">
              <w:rPr>
                <w:rFonts w:ascii="Arial" w:hAnsi="Arial" w:cs="Arial"/>
                <w:noProof/>
                <w:webHidden/>
              </w:rPr>
              <w:tab/>
            </w:r>
            <w:r w:rsidR="00EB6110" w:rsidRPr="008C6744">
              <w:rPr>
                <w:rFonts w:ascii="Arial" w:hAnsi="Arial" w:cs="Arial"/>
                <w:noProof/>
                <w:webHidden/>
              </w:rPr>
              <w:fldChar w:fldCharType="begin"/>
            </w:r>
            <w:r w:rsidR="00EB6110" w:rsidRPr="008C6744">
              <w:rPr>
                <w:rFonts w:ascii="Arial" w:hAnsi="Arial" w:cs="Arial"/>
                <w:noProof/>
                <w:webHidden/>
              </w:rPr>
              <w:instrText xml:space="preserve"> PAGEREF _Toc223606311 \h </w:instrText>
            </w:r>
            <w:r w:rsidR="00EB6110" w:rsidRPr="008C6744">
              <w:rPr>
                <w:rFonts w:ascii="Arial" w:hAnsi="Arial" w:cs="Arial"/>
                <w:noProof/>
                <w:webHidden/>
              </w:rPr>
            </w:r>
            <w:r w:rsidR="00EB6110" w:rsidRPr="008C6744">
              <w:rPr>
                <w:rFonts w:ascii="Arial" w:hAnsi="Arial" w:cs="Arial"/>
                <w:noProof/>
                <w:webHidden/>
              </w:rPr>
              <w:fldChar w:fldCharType="separate"/>
            </w:r>
            <w:r w:rsidR="00EB6110" w:rsidRPr="008C6744">
              <w:rPr>
                <w:rFonts w:ascii="Arial" w:hAnsi="Arial" w:cs="Arial"/>
                <w:noProof/>
                <w:webHidden/>
              </w:rPr>
              <w:t>10</w:t>
            </w:r>
            <w:r w:rsidR="00EB6110" w:rsidRPr="008C6744">
              <w:rPr>
                <w:rFonts w:ascii="Arial" w:hAnsi="Arial" w:cs="Arial"/>
                <w:noProof/>
                <w:webHidden/>
              </w:rPr>
              <w:fldChar w:fldCharType="end"/>
            </w:r>
          </w:hyperlink>
        </w:p>
        <w:p w14:paraId="2C1A1DD9" w14:textId="5BB60238" w:rsidR="00EB6110" w:rsidRPr="008C6744" w:rsidRDefault="00C67ED3" w:rsidP="00EB6110">
          <w:pPr>
            <w:pStyle w:val="TOC3"/>
            <w:tabs>
              <w:tab w:val="right" w:leader="dot" w:pos="9016"/>
            </w:tabs>
            <w:spacing w:line="240" w:lineRule="auto"/>
            <w:rPr>
              <w:rFonts w:ascii="Arial" w:hAnsi="Arial" w:cs="Arial"/>
              <w:noProof/>
              <w:kern w:val="2"/>
              <w:szCs w:val="24"/>
              <w14:ligatures w14:val="standardContextual"/>
            </w:rPr>
          </w:pPr>
          <w:hyperlink w:anchor="_Toc223606312" w:history="1">
            <w:r w:rsidR="00EB6110" w:rsidRPr="008C6744">
              <w:rPr>
                <w:rStyle w:val="Hyperlink"/>
                <w:rFonts w:ascii="Arial" w:hAnsi="Arial" w:cs="Arial"/>
                <w:noProof/>
              </w:rPr>
              <w:t>2.2.1. Leveraging Global Scale and Economic Connectivity</w:t>
            </w:r>
            <w:r w:rsidR="00EB6110" w:rsidRPr="008C6744">
              <w:rPr>
                <w:rFonts w:ascii="Arial" w:hAnsi="Arial" w:cs="Arial"/>
                <w:noProof/>
                <w:webHidden/>
              </w:rPr>
              <w:tab/>
            </w:r>
            <w:r w:rsidR="00EB6110" w:rsidRPr="008C6744">
              <w:rPr>
                <w:rFonts w:ascii="Arial" w:hAnsi="Arial" w:cs="Arial"/>
                <w:noProof/>
                <w:webHidden/>
              </w:rPr>
              <w:fldChar w:fldCharType="begin"/>
            </w:r>
            <w:r w:rsidR="00EB6110" w:rsidRPr="008C6744">
              <w:rPr>
                <w:rFonts w:ascii="Arial" w:hAnsi="Arial" w:cs="Arial"/>
                <w:noProof/>
                <w:webHidden/>
              </w:rPr>
              <w:instrText xml:space="preserve"> PAGEREF _Toc223606312 \h </w:instrText>
            </w:r>
            <w:r w:rsidR="00EB6110" w:rsidRPr="008C6744">
              <w:rPr>
                <w:rFonts w:ascii="Arial" w:hAnsi="Arial" w:cs="Arial"/>
                <w:noProof/>
                <w:webHidden/>
              </w:rPr>
            </w:r>
            <w:r w:rsidR="00EB6110" w:rsidRPr="008C6744">
              <w:rPr>
                <w:rFonts w:ascii="Arial" w:hAnsi="Arial" w:cs="Arial"/>
                <w:noProof/>
                <w:webHidden/>
              </w:rPr>
              <w:fldChar w:fldCharType="separate"/>
            </w:r>
            <w:r w:rsidR="00EB6110" w:rsidRPr="008C6744">
              <w:rPr>
                <w:rFonts w:ascii="Arial" w:hAnsi="Arial" w:cs="Arial"/>
                <w:noProof/>
                <w:webHidden/>
              </w:rPr>
              <w:t>10</w:t>
            </w:r>
            <w:r w:rsidR="00EB6110" w:rsidRPr="008C6744">
              <w:rPr>
                <w:rFonts w:ascii="Arial" w:hAnsi="Arial" w:cs="Arial"/>
                <w:noProof/>
                <w:webHidden/>
              </w:rPr>
              <w:fldChar w:fldCharType="end"/>
            </w:r>
          </w:hyperlink>
        </w:p>
        <w:p w14:paraId="00F7DAF0" w14:textId="79E50349" w:rsidR="00EB6110" w:rsidRPr="008C6744" w:rsidRDefault="00C67ED3" w:rsidP="00EB6110">
          <w:pPr>
            <w:pStyle w:val="TOC3"/>
            <w:tabs>
              <w:tab w:val="right" w:leader="dot" w:pos="9016"/>
            </w:tabs>
            <w:spacing w:line="240" w:lineRule="auto"/>
            <w:rPr>
              <w:rFonts w:ascii="Arial" w:hAnsi="Arial" w:cs="Arial"/>
              <w:noProof/>
              <w:kern w:val="2"/>
              <w:szCs w:val="24"/>
              <w14:ligatures w14:val="standardContextual"/>
            </w:rPr>
          </w:pPr>
          <w:hyperlink w:anchor="_Toc223606313" w:history="1">
            <w:r w:rsidR="00EB6110" w:rsidRPr="008C6744">
              <w:rPr>
                <w:rStyle w:val="Hyperlink"/>
                <w:rFonts w:ascii="Arial" w:hAnsi="Arial" w:cs="Arial"/>
                <w:noProof/>
              </w:rPr>
              <w:t>2.2.2. Implementation</w:t>
            </w:r>
            <w:r w:rsidR="00EB6110" w:rsidRPr="008C6744">
              <w:rPr>
                <w:rFonts w:ascii="Arial" w:hAnsi="Arial" w:cs="Arial"/>
                <w:noProof/>
                <w:webHidden/>
              </w:rPr>
              <w:tab/>
            </w:r>
            <w:r w:rsidR="00EB6110" w:rsidRPr="008C6744">
              <w:rPr>
                <w:rFonts w:ascii="Arial" w:hAnsi="Arial" w:cs="Arial"/>
                <w:noProof/>
                <w:webHidden/>
              </w:rPr>
              <w:fldChar w:fldCharType="begin"/>
            </w:r>
            <w:r w:rsidR="00EB6110" w:rsidRPr="008C6744">
              <w:rPr>
                <w:rFonts w:ascii="Arial" w:hAnsi="Arial" w:cs="Arial"/>
                <w:noProof/>
                <w:webHidden/>
              </w:rPr>
              <w:instrText xml:space="preserve"> PAGEREF _Toc223606313 \h </w:instrText>
            </w:r>
            <w:r w:rsidR="00EB6110" w:rsidRPr="008C6744">
              <w:rPr>
                <w:rFonts w:ascii="Arial" w:hAnsi="Arial" w:cs="Arial"/>
                <w:noProof/>
                <w:webHidden/>
              </w:rPr>
            </w:r>
            <w:r w:rsidR="00EB6110" w:rsidRPr="008C6744">
              <w:rPr>
                <w:rFonts w:ascii="Arial" w:hAnsi="Arial" w:cs="Arial"/>
                <w:noProof/>
                <w:webHidden/>
              </w:rPr>
              <w:fldChar w:fldCharType="separate"/>
            </w:r>
            <w:r w:rsidR="00EB6110" w:rsidRPr="008C6744">
              <w:rPr>
                <w:rFonts w:ascii="Arial" w:hAnsi="Arial" w:cs="Arial"/>
                <w:noProof/>
                <w:webHidden/>
              </w:rPr>
              <w:t>10</w:t>
            </w:r>
            <w:r w:rsidR="00EB6110" w:rsidRPr="008C6744">
              <w:rPr>
                <w:rFonts w:ascii="Arial" w:hAnsi="Arial" w:cs="Arial"/>
                <w:noProof/>
                <w:webHidden/>
              </w:rPr>
              <w:fldChar w:fldCharType="end"/>
            </w:r>
          </w:hyperlink>
        </w:p>
        <w:p w14:paraId="3F96D924" w14:textId="028FF7D7" w:rsidR="00EB6110" w:rsidRPr="008C6744" w:rsidRDefault="00C67ED3" w:rsidP="00EB6110">
          <w:pPr>
            <w:pStyle w:val="TOC3"/>
            <w:tabs>
              <w:tab w:val="right" w:leader="dot" w:pos="9016"/>
            </w:tabs>
            <w:spacing w:line="240" w:lineRule="auto"/>
            <w:rPr>
              <w:rFonts w:ascii="Arial" w:hAnsi="Arial" w:cs="Arial"/>
              <w:noProof/>
              <w:kern w:val="2"/>
              <w:szCs w:val="24"/>
              <w14:ligatures w14:val="standardContextual"/>
            </w:rPr>
          </w:pPr>
          <w:hyperlink w:anchor="_Toc223606314" w:history="1">
            <w:r w:rsidR="00EB6110" w:rsidRPr="008C6744">
              <w:rPr>
                <w:rStyle w:val="Hyperlink"/>
                <w:rFonts w:ascii="Arial" w:hAnsi="Arial" w:cs="Arial"/>
                <w:noProof/>
              </w:rPr>
              <w:t>2.2.3. Application of the Ansoff Matrix</w:t>
            </w:r>
            <w:r w:rsidR="00EB6110" w:rsidRPr="008C6744">
              <w:rPr>
                <w:rFonts w:ascii="Arial" w:hAnsi="Arial" w:cs="Arial"/>
                <w:noProof/>
                <w:webHidden/>
              </w:rPr>
              <w:tab/>
            </w:r>
            <w:r w:rsidR="00EB6110" w:rsidRPr="008C6744">
              <w:rPr>
                <w:rFonts w:ascii="Arial" w:hAnsi="Arial" w:cs="Arial"/>
                <w:noProof/>
                <w:webHidden/>
              </w:rPr>
              <w:fldChar w:fldCharType="begin"/>
            </w:r>
            <w:r w:rsidR="00EB6110" w:rsidRPr="008C6744">
              <w:rPr>
                <w:rFonts w:ascii="Arial" w:hAnsi="Arial" w:cs="Arial"/>
                <w:noProof/>
                <w:webHidden/>
              </w:rPr>
              <w:instrText xml:space="preserve"> PAGEREF _Toc223606314 \h </w:instrText>
            </w:r>
            <w:r w:rsidR="00EB6110" w:rsidRPr="008C6744">
              <w:rPr>
                <w:rFonts w:ascii="Arial" w:hAnsi="Arial" w:cs="Arial"/>
                <w:noProof/>
                <w:webHidden/>
              </w:rPr>
            </w:r>
            <w:r w:rsidR="00EB6110" w:rsidRPr="008C6744">
              <w:rPr>
                <w:rFonts w:ascii="Arial" w:hAnsi="Arial" w:cs="Arial"/>
                <w:noProof/>
                <w:webHidden/>
              </w:rPr>
              <w:fldChar w:fldCharType="separate"/>
            </w:r>
            <w:r w:rsidR="00EB6110" w:rsidRPr="008C6744">
              <w:rPr>
                <w:rFonts w:ascii="Arial" w:hAnsi="Arial" w:cs="Arial"/>
                <w:noProof/>
                <w:webHidden/>
              </w:rPr>
              <w:t>10</w:t>
            </w:r>
            <w:r w:rsidR="00EB6110" w:rsidRPr="008C6744">
              <w:rPr>
                <w:rFonts w:ascii="Arial" w:hAnsi="Arial" w:cs="Arial"/>
                <w:noProof/>
                <w:webHidden/>
              </w:rPr>
              <w:fldChar w:fldCharType="end"/>
            </w:r>
          </w:hyperlink>
        </w:p>
        <w:p w14:paraId="19151D83" w14:textId="3C893EFB" w:rsidR="00EB6110" w:rsidRPr="008C6744" w:rsidRDefault="00C67ED3" w:rsidP="00EB6110">
          <w:pPr>
            <w:pStyle w:val="TOC3"/>
            <w:tabs>
              <w:tab w:val="right" w:leader="dot" w:pos="9016"/>
            </w:tabs>
            <w:spacing w:line="240" w:lineRule="auto"/>
            <w:rPr>
              <w:rFonts w:ascii="Arial" w:hAnsi="Arial" w:cs="Arial"/>
              <w:noProof/>
              <w:kern w:val="2"/>
              <w:szCs w:val="24"/>
              <w14:ligatures w14:val="standardContextual"/>
            </w:rPr>
          </w:pPr>
          <w:hyperlink w:anchor="_Toc223606315" w:history="1">
            <w:r w:rsidR="00EB6110" w:rsidRPr="008C6744">
              <w:rPr>
                <w:rStyle w:val="Hyperlink"/>
                <w:rFonts w:ascii="Arial" w:hAnsi="Arial" w:cs="Arial"/>
                <w:noProof/>
              </w:rPr>
              <w:t>2.2.4. Porter’s Genetic Strategy:</w:t>
            </w:r>
            <w:r w:rsidR="00EB6110" w:rsidRPr="008C6744">
              <w:rPr>
                <w:rFonts w:ascii="Arial" w:hAnsi="Arial" w:cs="Arial"/>
                <w:noProof/>
                <w:webHidden/>
              </w:rPr>
              <w:tab/>
            </w:r>
            <w:r w:rsidR="00EB6110" w:rsidRPr="008C6744">
              <w:rPr>
                <w:rFonts w:ascii="Arial" w:hAnsi="Arial" w:cs="Arial"/>
                <w:noProof/>
                <w:webHidden/>
              </w:rPr>
              <w:fldChar w:fldCharType="begin"/>
            </w:r>
            <w:r w:rsidR="00EB6110" w:rsidRPr="008C6744">
              <w:rPr>
                <w:rFonts w:ascii="Arial" w:hAnsi="Arial" w:cs="Arial"/>
                <w:noProof/>
                <w:webHidden/>
              </w:rPr>
              <w:instrText xml:space="preserve"> PAGEREF _Toc223606315 \h </w:instrText>
            </w:r>
            <w:r w:rsidR="00EB6110" w:rsidRPr="008C6744">
              <w:rPr>
                <w:rFonts w:ascii="Arial" w:hAnsi="Arial" w:cs="Arial"/>
                <w:noProof/>
                <w:webHidden/>
              </w:rPr>
            </w:r>
            <w:r w:rsidR="00EB6110" w:rsidRPr="008C6744">
              <w:rPr>
                <w:rFonts w:ascii="Arial" w:hAnsi="Arial" w:cs="Arial"/>
                <w:noProof/>
                <w:webHidden/>
              </w:rPr>
              <w:fldChar w:fldCharType="separate"/>
            </w:r>
            <w:r w:rsidR="00EB6110" w:rsidRPr="008C6744">
              <w:rPr>
                <w:rFonts w:ascii="Arial" w:hAnsi="Arial" w:cs="Arial"/>
                <w:noProof/>
                <w:webHidden/>
              </w:rPr>
              <w:t>12</w:t>
            </w:r>
            <w:r w:rsidR="00EB6110" w:rsidRPr="008C6744">
              <w:rPr>
                <w:rFonts w:ascii="Arial" w:hAnsi="Arial" w:cs="Arial"/>
                <w:noProof/>
                <w:webHidden/>
              </w:rPr>
              <w:fldChar w:fldCharType="end"/>
            </w:r>
          </w:hyperlink>
        </w:p>
        <w:p w14:paraId="5A19EAF4" w14:textId="1843CD75" w:rsidR="00EB6110" w:rsidRPr="008C6744" w:rsidRDefault="00C67ED3" w:rsidP="00EB6110">
          <w:pPr>
            <w:pStyle w:val="TOC2"/>
            <w:tabs>
              <w:tab w:val="right" w:leader="dot" w:pos="9016"/>
            </w:tabs>
            <w:spacing w:line="240" w:lineRule="auto"/>
            <w:rPr>
              <w:rFonts w:ascii="Arial" w:hAnsi="Arial" w:cs="Arial"/>
              <w:noProof/>
              <w:kern w:val="2"/>
              <w:szCs w:val="24"/>
              <w14:ligatures w14:val="standardContextual"/>
            </w:rPr>
          </w:pPr>
          <w:hyperlink w:anchor="_Toc223606316" w:history="1">
            <w:r w:rsidR="00EB6110" w:rsidRPr="008C6744">
              <w:rPr>
                <w:rStyle w:val="Hyperlink"/>
                <w:rFonts w:ascii="Arial" w:hAnsi="Arial" w:cs="Arial"/>
                <w:noProof/>
              </w:rPr>
              <w:t>2.3. Barclays’ Strategic Responses</w:t>
            </w:r>
            <w:r w:rsidR="00EB6110" w:rsidRPr="008C6744">
              <w:rPr>
                <w:rFonts w:ascii="Arial" w:hAnsi="Arial" w:cs="Arial"/>
                <w:noProof/>
                <w:webHidden/>
              </w:rPr>
              <w:tab/>
            </w:r>
            <w:r w:rsidR="00EB6110" w:rsidRPr="008C6744">
              <w:rPr>
                <w:rFonts w:ascii="Arial" w:hAnsi="Arial" w:cs="Arial"/>
                <w:noProof/>
                <w:webHidden/>
              </w:rPr>
              <w:fldChar w:fldCharType="begin"/>
            </w:r>
            <w:r w:rsidR="00EB6110" w:rsidRPr="008C6744">
              <w:rPr>
                <w:rFonts w:ascii="Arial" w:hAnsi="Arial" w:cs="Arial"/>
                <w:noProof/>
                <w:webHidden/>
              </w:rPr>
              <w:instrText xml:space="preserve"> PAGEREF _Toc223606316 \h </w:instrText>
            </w:r>
            <w:r w:rsidR="00EB6110" w:rsidRPr="008C6744">
              <w:rPr>
                <w:rFonts w:ascii="Arial" w:hAnsi="Arial" w:cs="Arial"/>
                <w:noProof/>
                <w:webHidden/>
              </w:rPr>
            </w:r>
            <w:r w:rsidR="00EB6110" w:rsidRPr="008C6744">
              <w:rPr>
                <w:rFonts w:ascii="Arial" w:hAnsi="Arial" w:cs="Arial"/>
                <w:noProof/>
                <w:webHidden/>
              </w:rPr>
              <w:fldChar w:fldCharType="separate"/>
            </w:r>
            <w:r w:rsidR="00EB6110" w:rsidRPr="008C6744">
              <w:rPr>
                <w:rFonts w:ascii="Arial" w:hAnsi="Arial" w:cs="Arial"/>
                <w:noProof/>
                <w:webHidden/>
              </w:rPr>
              <w:t>13</w:t>
            </w:r>
            <w:r w:rsidR="00EB6110" w:rsidRPr="008C6744">
              <w:rPr>
                <w:rFonts w:ascii="Arial" w:hAnsi="Arial" w:cs="Arial"/>
                <w:noProof/>
                <w:webHidden/>
              </w:rPr>
              <w:fldChar w:fldCharType="end"/>
            </w:r>
          </w:hyperlink>
        </w:p>
        <w:p w14:paraId="2F576D9B" w14:textId="7FCCDB21" w:rsidR="00EB6110" w:rsidRPr="008C6744" w:rsidRDefault="00C67ED3" w:rsidP="00EB6110">
          <w:pPr>
            <w:pStyle w:val="TOC3"/>
            <w:tabs>
              <w:tab w:val="right" w:leader="dot" w:pos="9016"/>
            </w:tabs>
            <w:spacing w:line="240" w:lineRule="auto"/>
            <w:rPr>
              <w:rFonts w:ascii="Arial" w:hAnsi="Arial" w:cs="Arial"/>
              <w:noProof/>
              <w:kern w:val="2"/>
              <w:szCs w:val="24"/>
              <w14:ligatures w14:val="standardContextual"/>
            </w:rPr>
          </w:pPr>
          <w:hyperlink w:anchor="_Toc223606317" w:history="1">
            <w:r w:rsidR="00EB6110" w:rsidRPr="008C6744">
              <w:rPr>
                <w:rStyle w:val="Hyperlink"/>
                <w:rFonts w:ascii="Arial" w:hAnsi="Arial" w:cs="Arial"/>
                <w:noProof/>
              </w:rPr>
              <w:t>2.3.1. Operational Efficiency and Domestic Focus</w:t>
            </w:r>
            <w:r w:rsidR="00EB6110" w:rsidRPr="008C6744">
              <w:rPr>
                <w:rFonts w:ascii="Arial" w:hAnsi="Arial" w:cs="Arial"/>
                <w:noProof/>
                <w:webHidden/>
              </w:rPr>
              <w:tab/>
            </w:r>
            <w:r w:rsidR="00EB6110" w:rsidRPr="008C6744">
              <w:rPr>
                <w:rFonts w:ascii="Arial" w:hAnsi="Arial" w:cs="Arial"/>
                <w:noProof/>
                <w:webHidden/>
              </w:rPr>
              <w:fldChar w:fldCharType="begin"/>
            </w:r>
            <w:r w:rsidR="00EB6110" w:rsidRPr="008C6744">
              <w:rPr>
                <w:rFonts w:ascii="Arial" w:hAnsi="Arial" w:cs="Arial"/>
                <w:noProof/>
                <w:webHidden/>
              </w:rPr>
              <w:instrText xml:space="preserve"> PAGEREF _Toc223606317 \h </w:instrText>
            </w:r>
            <w:r w:rsidR="00EB6110" w:rsidRPr="008C6744">
              <w:rPr>
                <w:rFonts w:ascii="Arial" w:hAnsi="Arial" w:cs="Arial"/>
                <w:noProof/>
                <w:webHidden/>
              </w:rPr>
            </w:r>
            <w:r w:rsidR="00EB6110" w:rsidRPr="008C6744">
              <w:rPr>
                <w:rFonts w:ascii="Arial" w:hAnsi="Arial" w:cs="Arial"/>
                <w:noProof/>
                <w:webHidden/>
              </w:rPr>
              <w:fldChar w:fldCharType="separate"/>
            </w:r>
            <w:r w:rsidR="00EB6110" w:rsidRPr="008C6744">
              <w:rPr>
                <w:rFonts w:ascii="Arial" w:hAnsi="Arial" w:cs="Arial"/>
                <w:noProof/>
                <w:webHidden/>
              </w:rPr>
              <w:t>13</w:t>
            </w:r>
            <w:r w:rsidR="00EB6110" w:rsidRPr="008C6744">
              <w:rPr>
                <w:rFonts w:ascii="Arial" w:hAnsi="Arial" w:cs="Arial"/>
                <w:noProof/>
                <w:webHidden/>
              </w:rPr>
              <w:fldChar w:fldCharType="end"/>
            </w:r>
          </w:hyperlink>
        </w:p>
        <w:p w14:paraId="48149A6A" w14:textId="14488F58" w:rsidR="00EB6110" w:rsidRPr="008C6744" w:rsidRDefault="00C67ED3" w:rsidP="00EB6110">
          <w:pPr>
            <w:pStyle w:val="TOC3"/>
            <w:tabs>
              <w:tab w:val="right" w:leader="dot" w:pos="9016"/>
            </w:tabs>
            <w:spacing w:line="240" w:lineRule="auto"/>
            <w:rPr>
              <w:rFonts w:ascii="Arial" w:hAnsi="Arial" w:cs="Arial"/>
              <w:noProof/>
              <w:kern w:val="2"/>
              <w:szCs w:val="24"/>
              <w14:ligatures w14:val="standardContextual"/>
            </w:rPr>
          </w:pPr>
          <w:hyperlink w:anchor="_Toc223606318" w:history="1">
            <w:r w:rsidR="00EB6110" w:rsidRPr="008C6744">
              <w:rPr>
                <w:rStyle w:val="Hyperlink"/>
                <w:rFonts w:ascii="Arial" w:hAnsi="Arial" w:cs="Arial"/>
                <w:noProof/>
              </w:rPr>
              <w:t>2.3.2. Ansoff Matrix Application:</w:t>
            </w:r>
            <w:r w:rsidR="00EB6110" w:rsidRPr="008C6744">
              <w:rPr>
                <w:rFonts w:ascii="Arial" w:hAnsi="Arial" w:cs="Arial"/>
                <w:noProof/>
                <w:webHidden/>
              </w:rPr>
              <w:tab/>
            </w:r>
            <w:r w:rsidR="00EB6110" w:rsidRPr="008C6744">
              <w:rPr>
                <w:rFonts w:ascii="Arial" w:hAnsi="Arial" w:cs="Arial"/>
                <w:noProof/>
                <w:webHidden/>
              </w:rPr>
              <w:fldChar w:fldCharType="begin"/>
            </w:r>
            <w:r w:rsidR="00EB6110" w:rsidRPr="008C6744">
              <w:rPr>
                <w:rFonts w:ascii="Arial" w:hAnsi="Arial" w:cs="Arial"/>
                <w:noProof/>
                <w:webHidden/>
              </w:rPr>
              <w:instrText xml:space="preserve"> PAGEREF _Toc223606318 \h </w:instrText>
            </w:r>
            <w:r w:rsidR="00EB6110" w:rsidRPr="008C6744">
              <w:rPr>
                <w:rFonts w:ascii="Arial" w:hAnsi="Arial" w:cs="Arial"/>
                <w:noProof/>
                <w:webHidden/>
              </w:rPr>
            </w:r>
            <w:r w:rsidR="00EB6110" w:rsidRPr="008C6744">
              <w:rPr>
                <w:rFonts w:ascii="Arial" w:hAnsi="Arial" w:cs="Arial"/>
                <w:noProof/>
                <w:webHidden/>
              </w:rPr>
              <w:fldChar w:fldCharType="separate"/>
            </w:r>
            <w:r w:rsidR="00EB6110" w:rsidRPr="008C6744">
              <w:rPr>
                <w:rFonts w:ascii="Arial" w:hAnsi="Arial" w:cs="Arial"/>
                <w:noProof/>
                <w:webHidden/>
              </w:rPr>
              <w:t>13</w:t>
            </w:r>
            <w:r w:rsidR="00EB6110" w:rsidRPr="008C6744">
              <w:rPr>
                <w:rFonts w:ascii="Arial" w:hAnsi="Arial" w:cs="Arial"/>
                <w:noProof/>
                <w:webHidden/>
              </w:rPr>
              <w:fldChar w:fldCharType="end"/>
            </w:r>
          </w:hyperlink>
        </w:p>
        <w:p w14:paraId="5974BCCF" w14:textId="7D800587" w:rsidR="00EB6110" w:rsidRPr="008C6744" w:rsidRDefault="00C67ED3" w:rsidP="00EB6110">
          <w:pPr>
            <w:pStyle w:val="TOC3"/>
            <w:tabs>
              <w:tab w:val="right" w:leader="dot" w:pos="9016"/>
            </w:tabs>
            <w:spacing w:line="240" w:lineRule="auto"/>
            <w:rPr>
              <w:rFonts w:ascii="Arial" w:hAnsi="Arial" w:cs="Arial"/>
              <w:noProof/>
              <w:kern w:val="2"/>
              <w:szCs w:val="24"/>
              <w14:ligatures w14:val="standardContextual"/>
            </w:rPr>
          </w:pPr>
          <w:hyperlink w:anchor="_Toc223606319" w:history="1">
            <w:r w:rsidR="00EB6110" w:rsidRPr="008C6744">
              <w:rPr>
                <w:rStyle w:val="Hyperlink"/>
                <w:rFonts w:ascii="Arial" w:hAnsi="Arial" w:cs="Arial"/>
                <w:noProof/>
              </w:rPr>
              <w:t>2.3.3. Porter's Generic Strategy</w:t>
            </w:r>
            <w:r w:rsidR="00EB6110" w:rsidRPr="008C6744">
              <w:rPr>
                <w:rFonts w:ascii="Arial" w:hAnsi="Arial" w:cs="Arial"/>
                <w:noProof/>
                <w:webHidden/>
              </w:rPr>
              <w:tab/>
            </w:r>
            <w:r w:rsidR="00EB6110" w:rsidRPr="008C6744">
              <w:rPr>
                <w:rFonts w:ascii="Arial" w:hAnsi="Arial" w:cs="Arial"/>
                <w:noProof/>
                <w:webHidden/>
              </w:rPr>
              <w:fldChar w:fldCharType="begin"/>
            </w:r>
            <w:r w:rsidR="00EB6110" w:rsidRPr="008C6744">
              <w:rPr>
                <w:rFonts w:ascii="Arial" w:hAnsi="Arial" w:cs="Arial"/>
                <w:noProof/>
                <w:webHidden/>
              </w:rPr>
              <w:instrText xml:space="preserve"> PAGEREF _Toc223606319 \h </w:instrText>
            </w:r>
            <w:r w:rsidR="00EB6110" w:rsidRPr="008C6744">
              <w:rPr>
                <w:rFonts w:ascii="Arial" w:hAnsi="Arial" w:cs="Arial"/>
                <w:noProof/>
                <w:webHidden/>
              </w:rPr>
            </w:r>
            <w:r w:rsidR="00EB6110" w:rsidRPr="008C6744">
              <w:rPr>
                <w:rFonts w:ascii="Arial" w:hAnsi="Arial" w:cs="Arial"/>
                <w:noProof/>
                <w:webHidden/>
              </w:rPr>
              <w:fldChar w:fldCharType="separate"/>
            </w:r>
            <w:r w:rsidR="00EB6110" w:rsidRPr="008C6744">
              <w:rPr>
                <w:rFonts w:ascii="Arial" w:hAnsi="Arial" w:cs="Arial"/>
                <w:noProof/>
                <w:webHidden/>
              </w:rPr>
              <w:t>14</w:t>
            </w:r>
            <w:r w:rsidR="00EB6110" w:rsidRPr="008C6744">
              <w:rPr>
                <w:rFonts w:ascii="Arial" w:hAnsi="Arial" w:cs="Arial"/>
                <w:noProof/>
                <w:webHidden/>
              </w:rPr>
              <w:fldChar w:fldCharType="end"/>
            </w:r>
          </w:hyperlink>
        </w:p>
        <w:p w14:paraId="6E7C250B" w14:textId="2BD7ED61" w:rsidR="00EB6110" w:rsidRPr="008C6744" w:rsidRDefault="00C67ED3" w:rsidP="00EB6110">
          <w:pPr>
            <w:pStyle w:val="TOC3"/>
            <w:tabs>
              <w:tab w:val="right" w:leader="dot" w:pos="9016"/>
            </w:tabs>
            <w:spacing w:line="240" w:lineRule="auto"/>
            <w:rPr>
              <w:rFonts w:ascii="Arial" w:hAnsi="Arial" w:cs="Arial"/>
              <w:noProof/>
              <w:kern w:val="2"/>
              <w:szCs w:val="24"/>
              <w14:ligatures w14:val="standardContextual"/>
            </w:rPr>
          </w:pPr>
          <w:hyperlink w:anchor="_Toc223606320" w:history="1">
            <w:r w:rsidR="00EB6110" w:rsidRPr="008C6744">
              <w:rPr>
                <w:rStyle w:val="Hyperlink"/>
                <w:rFonts w:ascii="Arial" w:hAnsi="Arial" w:cs="Arial"/>
                <w:noProof/>
              </w:rPr>
              <w:t>2.3.4. Comparative Evaluation</w:t>
            </w:r>
            <w:r w:rsidR="00EB6110" w:rsidRPr="008C6744">
              <w:rPr>
                <w:rFonts w:ascii="Arial" w:hAnsi="Arial" w:cs="Arial"/>
                <w:noProof/>
                <w:webHidden/>
              </w:rPr>
              <w:tab/>
            </w:r>
            <w:r w:rsidR="00EB6110" w:rsidRPr="008C6744">
              <w:rPr>
                <w:rFonts w:ascii="Arial" w:hAnsi="Arial" w:cs="Arial"/>
                <w:noProof/>
                <w:webHidden/>
              </w:rPr>
              <w:fldChar w:fldCharType="begin"/>
            </w:r>
            <w:r w:rsidR="00EB6110" w:rsidRPr="008C6744">
              <w:rPr>
                <w:rFonts w:ascii="Arial" w:hAnsi="Arial" w:cs="Arial"/>
                <w:noProof/>
                <w:webHidden/>
              </w:rPr>
              <w:instrText xml:space="preserve"> PAGEREF _Toc223606320 \h </w:instrText>
            </w:r>
            <w:r w:rsidR="00EB6110" w:rsidRPr="008C6744">
              <w:rPr>
                <w:rFonts w:ascii="Arial" w:hAnsi="Arial" w:cs="Arial"/>
                <w:noProof/>
                <w:webHidden/>
              </w:rPr>
            </w:r>
            <w:r w:rsidR="00EB6110" w:rsidRPr="008C6744">
              <w:rPr>
                <w:rFonts w:ascii="Arial" w:hAnsi="Arial" w:cs="Arial"/>
                <w:noProof/>
                <w:webHidden/>
              </w:rPr>
              <w:fldChar w:fldCharType="separate"/>
            </w:r>
            <w:r w:rsidR="00EB6110" w:rsidRPr="008C6744">
              <w:rPr>
                <w:rFonts w:ascii="Arial" w:hAnsi="Arial" w:cs="Arial"/>
                <w:noProof/>
                <w:webHidden/>
              </w:rPr>
              <w:t>14</w:t>
            </w:r>
            <w:r w:rsidR="00EB6110" w:rsidRPr="008C6744">
              <w:rPr>
                <w:rFonts w:ascii="Arial" w:hAnsi="Arial" w:cs="Arial"/>
                <w:noProof/>
                <w:webHidden/>
              </w:rPr>
              <w:fldChar w:fldCharType="end"/>
            </w:r>
          </w:hyperlink>
        </w:p>
        <w:p w14:paraId="2BA5FAA7" w14:textId="2ADB639C" w:rsidR="00EB6110" w:rsidRPr="008C6744" w:rsidRDefault="00C67ED3" w:rsidP="00EB6110">
          <w:pPr>
            <w:pStyle w:val="TOC2"/>
            <w:tabs>
              <w:tab w:val="right" w:leader="dot" w:pos="9016"/>
            </w:tabs>
            <w:spacing w:line="240" w:lineRule="auto"/>
            <w:rPr>
              <w:rFonts w:ascii="Arial" w:hAnsi="Arial" w:cs="Arial"/>
              <w:noProof/>
              <w:kern w:val="2"/>
              <w:szCs w:val="24"/>
              <w14:ligatures w14:val="standardContextual"/>
            </w:rPr>
          </w:pPr>
          <w:hyperlink w:anchor="_Toc223606321" w:history="1">
            <w:r w:rsidR="00EB6110" w:rsidRPr="008C6744">
              <w:rPr>
                <w:rStyle w:val="Hyperlink"/>
                <w:rFonts w:ascii="Arial" w:hAnsi="Arial" w:cs="Arial"/>
                <w:noProof/>
              </w:rPr>
              <w:t>2.4. Sustaining Competitive Advantage</w:t>
            </w:r>
            <w:r w:rsidR="00EB6110" w:rsidRPr="008C6744">
              <w:rPr>
                <w:rFonts w:ascii="Arial" w:hAnsi="Arial" w:cs="Arial"/>
                <w:noProof/>
                <w:webHidden/>
              </w:rPr>
              <w:tab/>
            </w:r>
            <w:r w:rsidR="00EB6110" w:rsidRPr="008C6744">
              <w:rPr>
                <w:rFonts w:ascii="Arial" w:hAnsi="Arial" w:cs="Arial"/>
                <w:noProof/>
                <w:webHidden/>
              </w:rPr>
              <w:fldChar w:fldCharType="begin"/>
            </w:r>
            <w:r w:rsidR="00EB6110" w:rsidRPr="008C6744">
              <w:rPr>
                <w:rFonts w:ascii="Arial" w:hAnsi="Arial" w:cs="Arial"/>
                <w:noProof/>
                <w:webHidden/>
              </w:rPr>
              <w:instrText xml:space="preserve"> PAGEREF _Toc223606321 \h </w:instrText>
            </w:r>
            <w:r w:rsidR="00EB6110" w:rsidRPr="008C6744">
              <w:rPr>
                <w:rFonts w:ascii="Arial" w:hAnsi="Arial" w:cs="Arial"/>
                <w:noProof/>
                <w:webHidden/>
              </w:rPr>
            </w:r>
            <w:r w:rsidR="00EB6110" w:rsidRPr="008C6744">
              <w:rPr>
                <w:rFonts w:ascii="Arial" w:hAnsi="Arial" w:cs="Arial"/>
                <w:noProof/>
                <w:webHidden/>
              </w:rPr>
              <w:fldChar w:fldCharType="separate"/>
            </w:r>
            <w:r w:rsidR="00EB6110" w:rsidRPr="008C6744">
              <w:rPr>
                <w:rFonts w:ascii="Arial" w:hAnsi="Arial" w:cs="Arial"/>
                <w:noProof/>
                <w:webHidden/>
              </w:rPr>
              <w:t>15</w:t>
            </w:r>
            <w:r w:rsidR="00EB6110" w:rsidRPr="008C6744">
              <w:rPr>
                <w:rFonts w:ascii="Arial" w:hAnsi="Arial" w:cs="Arial"/>
                <w:noProof/>
                <w:webHidden/>
              </w:rPr>
              <w:fldChar w:fldCharType="end"/>
            </w:r>
          </w:hyperlink>
        </w:p>
        <w:p w14:paraId="198DA2A0" w14:textId="4E1B9B5D" w:rsidR="00EB6110" w:rsidRPr="008C6744" w:rsidRDefault="00C67ED3" w:rsidP="00EB6110">
          <w:pPr>
            <w:pStyle w:val="TOC1"/>
            <w:tabs>
              <w:tab w:val="right" w:leader="dot" w:pos="9016"/>
            </w:tabs>
            <w:spacing w:line="240" w:lineRule="auto"/>
            <w:rPr>
              <w:rFonts w:ascii="Arial" w:hAnsi="Arial" w:cs="Arial"/>
              <w:noProof/>
              <w:kern w:val="2"/>
              <w:szCs w:val="24"/>
              <w14:ligatures w14:val="standardContextual"/>
            </w:rPr>
          </w:pPr>
          <w:hyperlink w:anchor="_Toc223606322" w:history="1">
            <w:r w:rsidR="00EB6110" w:rsidRPr="008C6744">
              <w:rPr>
                <w:rStyle w:val="Hyperlink"/>
                <w:rFonts w:ascii="Arial" w:hAnsi="Arial" w:cs="Arial"/>
                <w:noProof/>
              </w:rPr>
              <w:t>Reference List</w:t>
            </w:r>
            <w:r w:rsidR="00EB6110" w:rsidRPr="008C6744">
              <w:rPr>
                <w:rFonts w:ascii="Arial" w:hAnsi="Arial" w:cs="Arial"/>
                <w:noProof/>
                <w:webHidden/>
              </w:rPr>
              <w:tab/>
            </w:r>
            <w:r w:rsidR="00EB6110" w:rsidRPr="008C6744">
              <w:rPr>
                <w:rFonts w:ascii="Arial" w:hAnsi="Arial" w:cs="Arial"/>
                <w:noProof/>
                <w:webHidden/>
              </w:rPr>
              <w:fldChar w:fldCharType="begin"/>
            </w:r>
            <w:r w:rsidR="00EB6110" w:rsidRPr="008C6744">
              <w:rPr>
                <w:rFonts w:ascii="Arial" w:hAnsi="Arial" w:cs="Arial"/>
                <w:noProof/>
                <w:webHidden/>
              </w:rPr>
              <w:instrText xml:space="preserve"> PAGEREF _Toc223606322 \h </w:instrText>
            </w:r>
            <w:r w:rsidR="00EB6110" w:rsidRPr="008C6744">
              <w:rPr>
                <w:rFonts w:ascii="Arial" w:hAnsi="Arial" w:cs="Arial"/>
                <w:noProof/>
                <w:webHidden/>
              </w:rPr>
            </w:r>
            <w:r w:rsidR="00EB6110" w:rsidRPr="008C6744">
              <w:rPr>
                <w:rFonts w:ascii="Arial" w:hAnsi="Arial" w:cs="Arial"/>
                <w:noProof/>
                <w:webHidden/>
              </w:rPr>
              <w:fldChar w:fldCharType="separate"/>
            </w:r>
            <w:r w:rsidR="00EB6110" w:rsidRPr="008C6744">
              <w:rPr>
                <w:rFonts w:ascii="Arial" w:hAnsi="Arial" w:cs="Arial"/>
                <w:noProof/>
                <w:webHidden/>
              </w:rPr>
              <w:t>16</w:t>
            </w:r>
            <w:r w:rsidR="00EB6110" w:rsidRPr="008C6744">
              <w:rPr>
                <w:rFonts w:ascii="Arial" w:hAnsi="Arial" w:cs="Arial"/>
                <w:noProof/>
                <w:webHidden/>
              </w:rPr>
              <w:fldChar w:fldCharType="end"/>
            </w:r>
          </w:hyperlink>
        </w:p>
        <w:p w14:paraId="22C62F9A" w14:textId="69A49250" w:rsidR="00135FE8" w:rsidRPr="008C6744" w:rsidRDefault="00135FE8" w:rsidP="00EB6110">
          <w:pPr>
            <w:spacing w:line="240" w:lineRule="auto"/>
            <w:rPr>
              <w:rFonts w:ascii="Arial" w:hAnsi="Arial" w:cs="Arial"/>
            </w:rPr>
          </w:pPr>
          <w:r w:rsidRPr="008C6744">
            <w:rPr>
              <w:rFonts w:ascii="Arial" w:hAnsi="Arial" w:cs="Arial"/>
            </w:rPr>
            <w:fldChar w:fldCharType="end"/>
          </w:r>
        </w:p>
      </w:sdtContent>
    </w:sdt>
    <w:p w14:paraId="6CFEBD5D" w14:textId="77777777" w:rsidR="00937E9D" w:rsidRPr="008C6744" w:rsidRDefault="00937E9D" w:rsidP="00EB6110">
      <w:pPr>
        <w:spacing w:line="240" w:lineRule="auto"/>
        <w:jc w:val="left"/>
        <w:rPr>
          <w:rFonts w:ascii="Arial" w:eastAsiaTheme="majorEastAsia" w:hAnsi="Arial" w:cs="Arial"/>
          <w:b/>
          <w:bCs/>
          <w:sz w:val="28"/>
          <w:szCs w:val="28"/>
        </w:rPr>
      </w:pPr>
      <w:r w:rsidRPr="008C6744">
        <w:rPr>
          <w:rFonts w:ascii="Arial" w:hAnsi="Arial" w:cs="Arial"/>
        </w:rPr>
        <w:br w:type="page"/>
      </w:r>
    </w:p>
    <w:p w14:paraId="281CE703" w14:textId="06B1C5D2" w:rsidR="00076C6E" w:rsidRPr="008C6744" w:rsidRDefault="00076C6E" w:rsidP="00E870D1">
      <w:pPr>
        <w:pStyle w:val="Heading1"/>
        <w:rPr>
          <w:rFonts w:ascii="Arial" w:hAnsi="Arial" w:cs="Arial"/>
        </w:rPr>
      </w:pPr>
      <w:bookmarkStart w:id="1" w:name="_Toc223606299"/>
      <w:r w:rsidRPr="008C6744">
        <w:rPr>
          <w:rFonts w:ascii="Arial" w:hAnsi="Arial" w:cs="Arial"/>
        </w:rPr>
        <w:lastRenderedPageBreak/>
        <w:t xml:space="preserve">Task 1: </w:t>
      </w:r>
      <w:r w:rsidR="00E870D1" w:rsidRPr="008C6744">
        <w:rPr>
          <w:rFonts w:ascii="Arial" w:hAnsi="Arial" w:cs="Arial"/>
        </w:rPr>
        <w:t>Marketing Environmental Analysis for Pioneers and Followers</w:t>
      </w:r>
      <w:bookmarkEnd w:id="1"/>
    </w:p>
    <w:p w14:paraId="77D71D2D" w14:textId="4A0CEB50" w:rsidR="0050382E" w:rsidRPr="008C6744" w:rsidRDefault="00937E9D" w:rsidP="00E870D1">
      <w:pPr>
        <w:pStyle w:val="Heading2"/>
        <w:rPr>
          <w:rFonts w:ascii="Arial" w:hAnsi="Arial" w:cs="Arial"/>
        </w:rPr>
      </w:pPr>
      <w:bookmarkStart w:id="2" w:name="_Toc223606300"/>
      <w:r w:rsidRPr="008C6744">
        <w:rPr>
          <w:rFonts w:ascii="Arial" w:hAnsi="Arial" w:cs="Arial"/>
        </w:rPr>
        <w:t xml:space="preserve">1.1. </w:t>
      </w:r>
      <w:r w:rsidR="002F7EF6" w:rsidRPr="008C6744">
        <w:rPr>
          <w:rFonts w:ascii="Arial" w:hAnsi="Arial" w:cs="Arial"/>
        </w:rPr>
        <w:t>Overview</w:t>
      </w:r>
      <w:r w:rsidR="00E870D1" w:rsidRPr="008C6744">
        <w:rPr>
          <w:rFonts w:ascii="Arial" w:hAnsi="Arial" w:cs="Arial"/>
        </w:rPr>
        <w:t xml:space="preserve"> of the context</w:t>
      </w:r>
      <w:bookmarkEnd w:id="2"/>
    </w:p>
    <w:p w14:paraId="0343CD2A" w14:textId="71CE675B" w:rsidR="0050382E" w:rsidRPr="008C6744" w:rsidRDefault="002F7EF6" w:rsidP="0050382E">
      <w:pPr>
        <w:rPr>
          <w:rFonts w:ascii="Arial" w:hAnsi="Arial" w:cs="Arial"/>
        </w:rPr>
      </w:pPr>
      <w:r w:rsidRPr="008C6744">
        <w:rPr>
          <w:rFonts w:ascii="Arial" w:hAnsi="Arial" w:cs="Arial"/>
        </w:rPr>
        <w:t>The marketing environment influences regulatory changes with technological advancements for any financial institution. Besides customer-centric and technology driven process, the banking institutions are often changing demographic needs with instant financial services.</w:t>
      </w:r>
      <w:r w:rsidR="00937E9D" w:rsidRPr="008C6744">
        <w:rPr>
          <w:rFonts w:ascii="Arial" w:hAnsi="Arial" w:cs="Arial"/>
        </w:rPr>
        <w:t xml:space="preserve"> </w:t>
      </w:r>
      <w:r w:rsidRPr="008C6744">
        <w:rPr>
          <w:rFonts w:ascii="Arial" w:hAnsi="Arial" w:cs="Arial"/>
        </w:rPr>
        <w:t>Barclays and HSBC have their presence in over 45 countries with over 95000 employees. Over 75% of the revenue comes from the UK retail sector.</w:t>
      </w:r>
      <w:r w:rsidR="00937E9D" w:rsidRPr="008C6744">
        <w:rPr>
          <w:rFonts w:ascii="Arial" w:hAnsi="Arial" w:cs="Arial"/>
        </w:rPr>
        <w:t xml:space="preserve"> </w:t>
      </w:r>
      <w:r w:rsidRPr="008C6744">
        <w:rPr>
          <w:rFonts w:ascii="Arial" w:hAnsi="Arial" w:cs="Arial"/>
        </w:rPr>
        <w:t>Barclays PLC have their net income of £8.193 billion in the year 2024-2025. The bank established its presenc</w:t>
      </w:r>
      <w:r w:rsidR="00B05387" w:rsidRPr="008C6744">
        <w:rPr>
          <w:rFonts w:ascii="Arial" w:hAnsi="Arial" w:cs="Arial"/>
        </w:rPr>
        <w:t>e in the year 1936 in London, the U</w:t>
      </w:r>
      <w:r w:rsidRPr="008C6744">
        <w:rPr>
          <w:rFonts w:ascii="Arial" w:hAnsi="Arial" w:cs="Arial"/>
        </w:rPr>
        <w:t>K</w:t>
      </w:r>
      <w:r w:rsidR="00B05387" w:rsidRPr="008C6744">
        <w:rPr>
          <w:rFonts w:ascii="Arial" w:hAnsi="Arial" w:cs="Arial"/>
        </w:rPr>
        <w:t xml:space="preserve"> (Bakhsh et al., 2025)</w:t>
      </w:r>
      <w:r w:rsidRPr="008C6744">
        <w:rPr>
          <w:rFonts w:ascii="Arial" w:hAnsi="Arial" w:cs="Arial"/>
        </w:rPr>
        <w:t>. It is the only and first banking industry that developed a cash vending machine in the year 1967.</w:t>
      </w:r>
      <w:r w:rsidR="00937E9D" w:rsidRPr="008C6744">
        <w:rPr>
          <w:rFonts w:ascii="Arial" w:hAnsi="Arial" w:cs="Arial"/>
        </w:rPr>
        <w:t xml:space="preserve"> </w:t>
      </w:r>
      <w:r w:rsidRPr="008C6744">
        <w:rPr>
          <w:rFonts w:ascii="Arial" w:hAnsi="Arial" w:cs="Arial"/>
        </w:rPr>
        <w:t>On the other hand, HSBC makes its presence in 59 different countries across Asia, Europe, North America and many more. Its revenue crossed over US$25 billion in the financial year 2024-2025</w:t>
      </w:r>
      <w:r w:rsidR="00B05387" w:rsidRPr="008C6744">
        <w:rPr>
          <w:rFonts w:ascii="Arial" w:hAnsi="Arial" w:cs="Arial"/>
        </w:rPr>
        <w:t xml:space="preserve"> (Gaviyau </w:t>
      </w:r>
      <w:r w:rsidR="008576DB" w:rsidRPr="008C6744">
        <w:rPr>
          <w:rFonts w:ascii="Arial" w:hAnsi="Arial" w:cs="Arial"/>
        </w:rPr>
        <w:t>and</w:t>
      </w:r>
      <w:r w:rsidR="00B05387" w:rsidRPr="008C6744">
        <w:rPr>
          <w:rFonts w:ascii="Arial" w:hAnsi="Arial" w:cs="Arial"/>
        </w:rPr>
        <w:t xml:space="preserve"> Godi, 2025)</w:t>
      </w:r>
      <w:r w:rsidRPr="008C6744">
        <w:rPr>
          <w:rFonts w:ascii="Arial" w:hAnsi="Arial" w:cs="Arial"/>
        </w:rPr>
        <w:t>. The Hong Kong and Shanghai Banking Corporation is preparing to purchase the UK-based Birmingham and Midland Bank very soon.</w:t>
      </w:r>
    </w:p>
    <w:p w14:paraId="5B228705" w14:textId="6AF6A88E" w:rsidR="0050382E" w:rsidRPr="008C6744" w:rsidRDefault="00937E9D" w:rsidP="00E870D1">
      <w:pPr>
        <w:pStyle w:val="Heading2"/>
        <w:rPr>
          <w:rFonts w:ascii="Arial" w:hAnsi="Arial" w:cs="Arial"/>
        </w:rPr>
      </w:pPr>
      <w:bookmarkStart w:id="3" w:name="_Toc223606301"/>
      <w:r w:rsidRPr="008C6744">
        <w:rPr>
          <w:rFonts w:ascii="Arial" w:hAnsi="Arial" w:cs="Arial"/>
        </w:rPr>
        <w:t xml:space="preserve">1.2. </w:t>
      </w:r>
      <w:r w:rsidR="002F7EF6" w:rsidRPr="008C6744">
        <w:rPr>
          <w:rFonts w:ascii="Arial" w:hAnsi="Arial" w:cs="Arial"/>
        </w:rPr>
        <w:t>Macro Environment in Strategic Marketing</w:t>
      </w:r>
      <w:bookmarkEnd w:id="3"/>
    </w:p>
    <w:p w14:paraId="56A29E96" w14:textId="77777777" w:rsidR="0050382E" w:rsidRPr="008C6744" w:rsidRDefault="002F7EF6" w:rsidP="0050382E">
      <w:pPr>
        <w:rPr>
          <w:rFonts w:ascii="Arial" w:hAnsi="Arial" w:cs="Arial"/>
        </w:rPr>
      </w:pPr>
      <w:r w:rsidRPr="008C6744">
        <w:rPr>
          <w:rFonts w:ascii="Arial" w:hAnsi="Arial" w:cs="Arial"/>
        </w:rPr>
        <w:t>Micromarketing concepts are widely accepted by multinational bodies to adapt to the threatening situations by creating opportunities. The PESTEL analysis model is widely evaluated to maximise business opportunities. Several strategies are accepted by the different multinational industries</w:t>
      </w:r>
      <w:r w:rsidR="00B05387" w:rsidRPr="008C6744">
        <w:rPr>
          <w:rFonts w:ascii="Arial" w:hAnsi="Arial" w:cs="Arial"/>
        </w:rPr>
        <w:t xml:space="preserve"> (Grijalvo </w:t>
      </w:r>
      <w:r w:rsidR="008576DB" w:rsidRPr="008C6744">
        <w:rPr>
          <w:rFonts w:ascii="Arial" w:hAnsi="Arial" w:cs="Arial"/>
        </w:rPr>
        <w:t>and</w:t>
      </w:r>
      <w:r w:rsidR="00B05387" w:rsidRPr="008C6744">
        <w:rPr>
          <w:rFonts w:ascii="Arial" w:hAnsi="Arial" w:cs="Arial"/>
        </w:rPr>
        <w:t xml:space="preserve"> García-Wang, </w:t>
      </w:r>
      <w:r w:rsidR="000F6DA3" w:rsidRPr="008C6744">
        <w:rPr>
          <w:rFonts w:ascii="Arial" w:hAnsi="Arial" w:cs="Arial"/>
        </w:rPr>
        <w:t>2</w:t>
      </w:r>
      <w:r w:rsidR="00B05387" w:rsidRPr="008C6744">
        <w:rPr>
          <w:rFonts w:ascii="Arial" w:hAnsi="Arial" w:cs="Arial"/>
        </w:rPr>
        <w:t>023)</w:t>
      </w:r>
      <w:r w:rsidRPr="008C6744">
        <w:rPr>
          <w:rFonts w:ascii="Arial" w:hAnsi="Arial" w:cs="Arial"/>
        </w:rPr>
        <w:t xml:space="preserve">. </w:t>
      </w:r>
      <w:r w:rsidR="00B05387" w:rsidRPr="008C6744">
        <w:rPr>
          <w:rFonts w:ascii="Arial" w:hAnsi="Arial" w:cs="Arial"/>
        </w:rPr>
        <w:t>Nevertheless,</w:t>
      </w:r>
      <w:r w:rsidRPr="008C6744">
        <w:rPr>
          <w:rFonts w:ascii="Arial" w:hAnsi="Arial" w:cs="Arial"/>
        </w:rPr>
        <w:t xml:space="preserve"> strategic marketing analyses these marketing factors for their consumer preferences and eliminates risk areas. Both economic and technological factors are considered the most important to analyse the threat and create global opportunities.</w:t>
      </w:r>
    </w:p>
    <w:p w14:paraId="37AAD42F" w14:textId="11947DF8" w:rsidR="0050382E" w:rsidRPr="008C6744" w:rsidRDefault="00937E9D" w:rsidP="00E870D1">
      <w:pPr>
        <w:pStyle w:val="Heading3"/>
        <w:rPr>
          <w:rFonts w:ascii="Arial" w:hAnsi="Arial" w:cs="Arial"/>
        </w:rPr>
      </w:pPr>
      <w:bookmarkStart w:id="4" w:name="_Toc223606302"/>
      <w:r w:rsidRPr="008C6744">
        <w:rPr>
          <w:rFonts w:ascii="Arial" w:hAnsi="Arial" w:cs="Arial"/>
        </w:rPr>
        <w:t xml:space="preserve">1.2.1. </w:t>
      </w:r>
      <w:r w:rsidR="002F7EF6" w:rsidRPr="008C6744">
        <w:rPr>
          <w:rFonts w:ascii="Arial" w:hAnsi="Arial" w:cs="Arial"/>
        </w:rPr>
        <w:t>PESTEL Analysis</w:t>
      </w:r>
      <w:bookmarkEnd w:id="4"/>
    </w:p>
    <w:p w14:paraId="2F9AD3EF" w14:textId="77777777" w:rsidR="0050382E" w:rsidRPr="008C6744" w:rsidRDefault="002F7EF6" w:rsidP="0050382E">
      <w:pPr>
        <w:rPr>
          <w:rFonts w:ascii="Arial" w:hAnsi="Arial" w:cs="Arial"/>
          <w:b/>
          <w:bCs/>
          <w:szCs w:val="24"/>
        </w:rPr>
      </w:pPr>
      <w:r w:rsidRPr="008C6744">
        <w:rPr>
          <w:rFonts w:ascii="Arial" w:hAnsi="Arial" w:cs="Arial"/>
          <w:b/>
          <w:bCs/>
          <w:szCs w:val="24"/>
        </w:rPr>
        <w:t>Political factors</w:t>
      </w:r>
      <w:r w:rsidR="00076C6E" w:rsidRPr="008C6744">
        <w:rPr>
          <w:rFonts w:ascii="Arial" w:hAnsi="Arial" w:cs="Arial"/>
          <w:b/>
          <w:bCs/>
          <w:szCs w:val="24"/>
        </w:rPr>
        <w:t xml:space="preserve">: </w:t>
      </w:r>
      <w:r w:rsidRPr="008C6744">
        <w:rPr>
          <w:rFonts w:ascii="Arial" w:hAnsi="Arial" w:cs="Arial"/>
          <w:szCs w:val="24"/>
        </w:rPr>
        <w:t>For the HSBC bank, political turmoil is the issue for economic instability.</w:t>
      </w:r>
      <w:r w:rsidRPr="008C6744">
        <w:rPr>
          <w:rFonts w:ascii="Arial" w:hAnsi="Arial" w:cs="Arial"/>
          <w:color w:val="000000"/>
          <w:szCs w:val="24"/>
          <w:bdr w:val="none" w:sz="0" w:space="0" w:color="auto" w:frame="1"/>
          <w:shd w:val="clear" w:color="auto" w:fill="FFFFFE"/>
        </w:rPr>
        <w:t xml:space="preserve"> Inflation with government actions and polices drives the extra issues for the economic platform for the bank</w:t>
      </w:r>
      <w:r w:rsidR="000F6DA3" w:rsidRPr="008C6744">
        <w:rPr>
          <w:rFonts w:ascii="Arial" w:hAnsi="Arial" w:cs="Arial"/>
          <w:color w:val="000000"/>
          <w:szCs w:val="24"/>
          <w:bdr w:val="none" w:sz="0" w:space="0" w:color="auto" w:frame="1"/>
          <w:shd w:val="clear" w:color="auto" w:fill="FFFFFE"/>
        </w:rPr>
        <w:t xml:space="preserve"> (Hortega et al., 2025)</w:t>
      </w:r>
      <w:r w:rsidRPr="008C6744">
        <w:rPr>
          <w:rFonts w:ascii="Arial" w:hAnsi="Arial" w:cs="Arial"/>
          <w:color w:val="000000"/>
          <w:szCs w:val="24"/>
          <w:bdr w:val="none" w:sz="0" w:space="0" w:color="auto" w:frame="1"/>
          <w:shd w:val="clear" w:color="auto" w:fill="FFFFFE"/>
        </w:rPr>
        <w:t>.</w:t>
      </w:r>
      <w:r w:rsidR="006F333C" w:rsidRPr="008C6744">
        <w:rPr>
          <w:rFonts w:ascii="Arial" w:hAnsi="Arial" w:cs="Arial"/>
          <w:color w:val="000000"/>
          <w:szCs w:val="24"/>
          <w:bdr w:val="none" w:sz="0" w:space="0" w:color="auto" w:frame="1"/>
          <w:shd w:val="clear" w:color="auto" w:fill="FFFFFE"/>
        </w:rPr>
        <w:t xml:space="preserve"> </w:t>
      </w:r>
      <w:r w:rsidRPr="008C6744">
        <w:rPr>
          <w:rFonts w:ascii="Arial" w:hAnsi="Arial" w:cs="Arial"/>
          <w:color w:val="000000"/>
          <w:szCs w:val="24"/>
          <w:bdr w:val="none" w:sz="0" w:space="0" w:color="auto" w:frame="1"/>
          <w:shd w:val="clear" w:color="auto" w:fill="FFFFFE"/>
        </w:rPr>
        <w:t xml:space="preserve">On the other hand, </w:t>
      </w:r>
      <w:r w:rsidR="00C15AB6" w:rsidRPr="008C6744">
        <w:rPr>
          <w:rFonts w:ascii="Arial" w:hAnsi="Arial" w:cs="Arial"/>
          <w:color w:val="000000"/>
          <w:szCs w:val="24"/>
          <w:bdr w:val="none" w:sz="0" w:space="0" w:color="auto" w:frame="1"/>
          <w:shd w:val="clear" w:color="auto" w:fill="FFFFFE"/>
        </w:rPr>
        <w:t xml:space="preserve">for Barclays </w:t>
      </w:r>
      <w:r w:rsidRPr="008C6744">
        <w:rPr>
          <w:rFonts w:ascii="Arial" w:hAnsi="Arial" w:cs="Arial"/>
          <w:color w:val="000000"/>
          <w:szCs w:val="24"/>
          <w:bdr w:val="none" w:sz="0" w:space="0" w:color="auto" w:frame="1"/>
          <w:shd w:val="clear" w:color="auto" w:fill="FFFFFE"/>
        </w:rPr>
        <w:t>the trade disputes and other fiscal policy initiatives by the local government are now challenging for funding and grant opportunities</w:t>
      </w:r>
    </w:p>
    <w:p w14:paraId="61C14EE4" w14:textId="77777777" w:rsidR="0050382E" w:rsidRPr="008C6744" w:rsidRDefault="002F7EF6" w:rsidP="0050382E">
      <w:pPr>
        <w:rPr>
          <w:rFonts w:ascii="Arial" w:hAnsi="Arial" w:cs="Arial"/>
          <w:b/>
          <w:bCs/>
          <w:szCs w:val="24"/>
        </w:rPr>
      </w:pPr>
      <w:r w:rsidRPr="008C6744">
        <w:rPr>
          <w:rFonts w:ascii="Arial" w:hAnsi="Arial" w:cs="Arial"/>
          <w:b/>
          <w:bCs/>
          <w:szCs w:val="24"/>
        </w:rPr>
        <w:lastRenderedPageBreak/>
        <w:t>Economic factors</w:t>
      </w:r>
      <w:r w:rsidR="00076C6E" w:rsidRPr="008C6744">
        <w:rPr>
          <w:rFonts w:ascii="Arial" w:hAnsi="Arial" w:cs="Arial"/>
          <w:b/>
          <w:bCs/>
          <w:szCs w:val="24"/>
        </w:rPr>
        <w:t xml:space="preserve">: </w:t>
      </w:r>
      <w:r w:rsidRPr="008C6744">
        <w:rPr>
          <w:rFonts w:ascii="Arial" w:hAnsi="Arial" w:cs="Arial"/>
          <w:szCs w:val="24"/>
        </w:rPr>
        <w:t>The inflation of the country with high interest rates on loan amounts is now a factor of economic aspects of HSBC. GDP of the mother country has been considerably taken for sustain in economic crisis</w:t>
      </w:r>
      <w:r w:rsidR="000F6DA3" w:rsidRPr="008C6744">
        <w:rPr>
          <w:rFonts w:ascii="Arial" w:hAnsi="Arial" w:cs="Arial"/>
          <w:szCs w:val="24"/>
        </w:rPr>
        <w:t xml:space="preserve"> (Jameaba, 2025)</w:t>
      </w:r>
      <w:r w:rsidRPr="008C6744">
        <w:rPr>
          <w:rFonts w:ascii="Arial" w:hAnsi="Arial" w:cs="Arial"/>
          <w:szCs w:val="24"/>
        </w:rPr>
        <w:t>.</w:t>
      </w:r>
      <w:r w:rsidR="006F333C" w:rsidRPr="008C6744">
        <w:rPr>
          <w:rFonts w:ascii="Arial" w:hAnsi="Arial" w:cs="Arial"/>
          <w:szCs w:val="24"/>
        </w:rPr>
        <w:t xml:space="preserve"> </w:t>
      </w:r>
      <w:r w:rsidRPr="008C6744">
        <w:rPr>
          <w:rFonts w:ascii="Arial" w:hAnsi="Arial" w:cs="Arial"/>
          <w:szCs w:val="24"/>
        </w:rPr>
        <w:t>The foreign exchange liquidity crisis and rising credit risk amidst deterioration of asset quality are the major issues of Barclays.</w:t>
      </w:r>
    </w:p>
    <w:p w14:paraId="4FFC5D37" w14:textId="77777777" w:rsidR="0050382E" w:rsidRPr="008C6744" w:rsidRDefault="002F7EF6" w:rsidP="0050382E">
      <w:pPr>
        <w:rPr>
          <w:rFonts w:ascii="Arial" w:hAnsi="Arial" w:cs="Arial"/>
          <w:b/>
          <w:bCs/>
          <w:szCs w:val="24"/>
        </w:rPr>
      </w:pPr>
      <w:r w:rsidRPr="008C6744">
        <w:rPr>
          <w:rFonts w:ascii="Arial" w:hAnsi="Arial" w:cs="Arial"/>
          <w:b/>
          <w:bCs/>
          <w:szCs w:val="24"/>
        </w:rPr>
        <w:t>Social factor</w:t>
      </w:r>
      <w:r w:rsidR="00076C6E" w:rsidRPr="008C6744">
        <w:rPr>
          <w:rFonts w:ascii="Arial" w:hAnsi="Arial" w:cs="Arial"/>
          <w:b/>
          <w:bCs/>
          <w:szCs w:val="24"/>
        </w:rPr>
        <w:t xml:space="preserve">: </w:t>
      </w:r>
      <w:r w:rsidRPr="008C6744">
        <w:rPr>
          <w:rFonts w:ascii="Arial" w:hAnsi="Arial" w:cs="Arial"/>
          <w:szCs w:val="24"/>
        </w:rPr>
        <w:t xml:space="preserve">Changing customer experience and expectations often does not meet the criteria of the </w:t>
      </w:r>
      <w:r w:rsidR="006F333C" w:rsidRPr="008C6744">
        <w:rPr>
          <w:rFonts w:ascii="Arial" w:hAnsi="Arial" w:cs="Arial"/>
          <w:szCs w:val="24"/>
        </w:rPr>
        <w:t>bank. People</w:t>
      </w:r>
      <w:r w:rsidRPr="008C6744">
        <w:rPr>
          <w:rFonts w:ascii="Arial" w:hAnsi="Arial" w:cs="Arial"/>
          <w:szCs w:val="24"/>
        </w:rPr>
        <w:t xml:space="preserve"> face issues with exchange rates and fees reduced purchasing power of Barclays ' customers.</w:t>
      </w:r>
    </w:p>
    <w:p w14:paraId="1F90DF66" w14:textId="77777777" w:rsidR="0050382E" w:rsidRPr="008C6744" w:rsidRDefault="002F7EF6" w:rsidP="0050382E">
      <w:pPr>
        <w:rPr>
          <w:rFonts w:ascii="Arial" w:hAnsi="Arial" w:cs="Arial"/>
          <w:b/>
          <w:bCs/>
          <w:szCs w:val="24"/>
        </w:rPr>
      </w:pPr>
      <w:r w:rsidRPr="008C6744">
        <w:rPr>
          <w:rFonts w:ascii="Arial" w:hAnsi="Arial" w:cs="Arial"/>
          <w:b/>
          <w:bCs/>
          <w:szCs w:val="24"/>
        </w:rPr>
        <w:t>Technological factor</w:t>
      </w:r>
      <w:r w:rsidR="00076C6E" w:rsidRPr="008C6744">
        <w:rPr>
          <w:rFonts w:ascii="Arial" w:hAnsi="Arial" w:cs="Arial"/>
          <w:b/>
          <w:bCs/>
          <w:szCs w:val="24"/>
        </w:rPr>
        <w:t xml:space="preserve">: </w:t>
      </w:r>
      <w:r w:rsidRPr="008C6744">
        <w:rPr>
          <w:rFonts w:ascii="Arial" w:hAnsi="Arial" w:cs="Arial"/>
          <w:szCs w:val="24"/>
        </w:rPr>
        <w:t>Changes in the expectations, habits, and interactions of customers of HSBC bank are leading to greater digitalisation and adoption of digital platforms and processes</w:t>
      </w:r>
      <w:r w:rsidR="00544770" w:rsidRPr="008C6744">
        <w:rPr>
          <w:rFonts w:ascii="Arial" w:hAnsi="Arial" w:cs="Arial"/>
          <w:szCs w:val="24"/>
        </w:rPr>
        <w:t xml:space="preserve"> (Jameaba, 2025)</w:t>
      </w:r>
      <w:r w:rsidRPr="008C6744">
        <w:rPr>
          <w:rFonts w:ascii="Arial" w:hAnsi="Arial" w:cs="Arial"/>
          <w:szCs w:val="24"/>
        </w:rPr>
        <w:t>.</w:t>
      </w:r>
      <w:r w:rsidR="006F333C" w:rsidRPr="008C6744">
        <w:rPr>
          <w:rFonts w:ascii="Arial" w:hAnsi="Arial" w:cs="Arial"/>
          <w:szCs w:val="24"/>
        </w:rPr>
        <w:t xml:space="preserve"> </w:t>
      </w:r>
      <w:r w:rsidRPr="008C6744">
        <w:rPr>
          <w:rFonts w:ascii="Arial" w:hAnsi="Arial" w:cs="Arial"/>
          <w:szCs w:val="24"/>
        </w:rPr>
        <w:t>The rapid growth of AI cannot always be applied to maintain the workflow of Barclays.</w:t>
      </w:r>
    </w:p>
    <w:p w14:paraId="13D70C6C" w14:textId="77777777" w:rsidR="0050382E" w:rsidRPr="008C6744" w:rsidRDefault="002F7EF6" w:rsidP="0050382E">
      <w:pPr>
        <w:rPr>
          <w:rFonts w:ascii="Arial" w:hAnsi="Arial" w:cs="Arial"/>
          <w:b/>
          <w:bCs/>
          <w:szCs w:val="24"/>
        </w:rPr>
      </w:pPr>
      <w:r w:rsidRPr="008C6744">
        <w:rPr>
          <w:rFonts w:ascii="Arial" w:hAnsi="Arial" w:cs="Arial"/>
          <w:b/>
          <w:bCs/>
          <w:szCs w:val="24"/>
        </w:rPr>
        <w:t>Environmental Factor</w:t>
      </w:r>
      <w:r w:rsidR="00E870D1" w:rsidRPr="008C6744">
        <w:rPr>
          <w:rFonts w:ascii="Arial" w:hAnsi="Arial" w:cs="Arial"/>
          <w:b/>
          <w:bCs/>
          <w:szCs w:val="24"/>
        </w:rPr>
        <w:t xml:space="preserve">: </w:t>
      </w:r>
      <w:r w:rsidRPr="008C6744">
        <w:rPr>
          <w:rFonts w:ascii="Arial" w:hAnsi="Arial" w:cs="Arial"/>
          <w:szCs w:val="24"/>
        </w:rPr>
        <w:t>Climate change impact with carbon footprints affects the Sustainable Financing efforts by HSBC Bank</w:t>
      </w:r>
      <w:r w:rsidR="000F6DA3" w:rsidRPr="008C6744">
        <w:rPr>
          <w:rFonts w:ascii="Arial" w:hAnsi="Arial" w:cs="Arial"/>
          <w:szCs w:val="24"/>
        </w:rPr>
        <w:t xml:space="preserve"> (Kovacevic et al., 2024)</w:t>
      </w:r>
      <w:r w:rsidRPr="008C6744">
        <w:rPr>
          <w:rFonts w:ascii="Arial" w:hAnsi="Arial" w:cs="Arial"/>
          <w:szCs w:val="24"/>
        </w:rPr>
        <w:t>.</w:t>
      </w:r>
      <w:r w:rsidR="006F333C" w:rsidRPr="008C6744">
        <w:rPr>
          <w:rFonts w:ascii="Arial" w:hAnsi="Arial" w:cs="Arial"/>
          <w:szCs w:val="24"/>
        </w:rPr>
        <w:t xml:space="preserve"> Barclay’s</w:t>
      </w:r>
      <w:r w:rsidRPr="008C6744">
        <w:rPr>
          <w:rFonts w:ascii="Arial" w:hAnsi="Arial" w:cs="Arial"/>
          <w:szCs w:val="24"/>
        </w:rPr>
        <w:t xml:space="preserve"> drives the greater expectation from multilateral and bilateral lenders for lending decisions, which sometimes do </w:t>
      </w:r>
      <w:r w:rsidR="002D5505" w:rsidRPr="008C6744">
        <w:rPr>
          <w:rFonts w:ascii="Arial" w:hAnsi="Arial" w:cs="Arial"/>
          <w:szCs w:val="24"/>
        </w:rPr>
        <w:t>not,</w:t>
      </w:r>
      <w:r w:rsidRPr="008C6744">
        <w:rPr>
          <w:rFonts w:ascii="Arial" w:hAnsi="Arial" w:cs="Arial"/>
          <w:szCs w:val="24"/>
        </w:rPr>
        <w:t xml:space="preserve"> comes in considerations.</w:t>
      </w:r>
    </w:p>
    <w:p w14:paraId="3C043FD6" w14:textId="77777777" w:rsidR="006F333C" w:rsidRPr="008C6744" w:rsidRDefault="002F7EF6" w:rsidP="0050382E">
      <w:pPr>
        <w:rPr>
          <w:rFonts w:ascii="Arial" w:hAnsi="Arial" w:cs="Arial"/>
          <w:szCs w:val="24"/>
        </w:rPr>
      </w:pPr>
      <w:r w:rsidRPr="008C6744">
        <w:rPr>
          <w:rFonts w:ascii="Arial" w:hAnsi="Arial" w:cs="Arial"/>
          <w:b/>
          <w:bCs/>
          <w:szCs w:val="24"/>
        </w:rPr>
        <w:t>Legal factors</w:t>
      </w:r>
      <w:r w:rsidR="00076C6E" w:rsidRPr="008C6744">
        <w:rPr>
          <w:rFonts w:ascii="Arial" w:hAnsi="Arial" w:cs="Arial"/>
          <w:b/>
          <w:bCs/>
          <w:szCs w:val="24"/>
        </w:rPr>
        <w:t xml:space="preserve">: </w:t>
      </w:r>
      <w:r w:rsidRPr="008C6744">
        <w:rPr>
          <w:rFonts w:ascii="Arial" w:hAnsi="Arial" w:cs="Arial"/>
          <w:szCs w:val="24"/>
        </w:rPr>
        <w:t>HSBC's foreign regulatory restrictions affect the outflows of money within the organisation</w:t>
      </w:r>
      <w:r w:rsidR="000F6DA3" w:rsidRPr="008C6744">
        <w:rPr>
          <w:rFonts w:ascii="Arial" w:hAnsi="Arial" w:cs="Arial"/>
          <w:szCs w:val="24"/>
        </w:rPr>
        <w:t xml:space="preserve"> (Kulsume, et al., 2025)</w:t>
      </w:r>
      <w:r w:rsidRPr="008C6744">
        <w:rPr>
          <w:rFonts w:ascii="Arial" w:hAnsi="Arial" w:cs="Arial"/>
          <w:szCs w:val="24"/>
        </w:rPr>
        <w:t>.</w:t>
      </w:r>
      <w:r w:rsidR="006F333C" w:rsidRPr="008C6744">
        <w:rPr>
          <w:rFonts w:ascii="Arial" w:hAnsi="Arial" w:cs="Arial"/>
          <w:szCs w:val="24"/>
        </w:rPr>
        <w:t xml:space="preserve"> On the other hand,</w:t>
      </w:r>
      <w:r w:rsidRPr="008C6744">
        <w:rPr>
          <w:rFonts w:ascii="Arial" w:hAnsi="Arial" w:cs="Arial"/>
          <w:szCs w:val="24"/>
        </w:rPr>
        <w:t xml:space="preserve"> Barclays faces the extension of debt affects the corporate and individuals. Restrictions in the import category sometimes get stuck.</w:t>
      </w:r>
    </w:p>
    <w:p w14:paraId="0A11BBDA" w14:textId="77777777" w:rsidR="002F7EF6" w:rsidRPr="008C6744" w:rsidRDefault="002F7EF6" w:rsidP="004C5C63">
      <w:pPr>
        <w:spacing w:line="276" w:lineRule="auto"/>
        <w:jc w:val="center"/>
        <w:rPr>
          <w:rFonts w:ascii="Arial" w:hAnsi="Arial" w:cs="Arial"/>
        </w:rPr>
      </w:pPr>
      <w:r w:rsidRPr="008C6744">
        <w:rPr>
          <w:rFonts w:ascii="Arial" w:hAnsi="Arial" w:cs="Arial"/>
          <w:noProof/>
          <w:lang w:val="en-US" w:eastAsia="en-US"/>
        </w:rPr>
        <w:drawing>
          <wp:inline distT="0" distB="0" distL="0" distR="0" wp14:anchorId="35CD2868" wp14:editId="0EDF3FE3">
            <wp:extent cx="5133975" cy="21240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srcRect/>
                    <a:stretch>
                      <a:fillRect/>
                    </a:stretch>
                  </pic:blipFill>
                  <pic:spPr bwMode="auto">
                    <a:xfrm>
                      <a:off x="0" y="0"/>
                      <a:ext cx="5133975" cy="2124075"/>
                    </a:xfrm>
                    <a:prstGeom prst="rect">
                      <a:avLst/>
                    </a:prstGeom>
                    <a:noFill/>
                    <a:ln w="9525">
                      <a:noFill/>
                      <a:miter lim="800000"/>
                      <a:headEnd/>
                      <a:tailEnd/>
                    </a:ln>
                  </pic:spPr>
                </pic:pic>
              </a:graphicData>
            </a:graphic>
          </wp:inline>
        </w:drawing>
      </w:r>
    </w:p>
    <w:p w14:paraId="65605C21" w14:textId="77777777" w:rsidR="004C5C63" w:rsidRPr="008C6744" w:rsidRDefault="004C5C63" w:rsidP="004C5C63">
      <w:pPr>
        <w:spacing w:line="276" w:lineRule="auto"/>
        <w:jc w:val="center"/>
        <w:rPr>
          <w:rFonts w:ascii="Arial" w:hAnsi="Arial" w:cs="Arial"/>
          <w:b/>
          <w:szCs w:val="24"/>
        </w:rPr>
      </w:pPr>
      <w:r w:rsidRPr="008C6744">
        <w:rPr>
          <w:rFonts w:ascii="Arial" w:hAnsi="Arial" w:cs="Arial"/>
          <w:b/>
          <w:szCs w:val="24"/>
        </w:rPr>
        <w:t xml:space="preserve">Figure 1: Factors Influencing Banks Performance Externally </w:t>
      </w:r>
    </w:p>
    <w:p w14:paraId="3CBB5832" w14:textId="77777777" w:rsidR="002F7EF6" w:rsidRPr="008C6744" w:rsidRDefault="004C5C63" w:rsidP="004C5C63">
      <w:pPr>
        <w:spacing w:line="276" w:lineRule="auto"/>
        <w:jc w:val="center"/>
        <w:rPr>
          <w:rFonts w:ascii="Arial" w:hAnsi="Arial" w:cs="Arial"/>
          <w:szCs w:val="24"/>
        </w:rPr>
      </w:pPr>
      <w:r w:rsidRPr="008C6744">
        <w:rPr>
          <w:rFonts w:ascii="Arial" w:hAnsi="Arial" w:cs="Arial"/>
          <w:szCs w:val="24"/>
        </w:rPr>
        <w:t xml:space="preserve">(Source: Pavlov, </w:t>
      </w:r>
      <w:r w:rsidR="002F7EF6" w:rsidRPr="008C6744">
        <w:rPr>
          <w:rFonts w:ascii="Arial" w:hAnsi="Arial" w:cs="Arial"/>
          <w:szCs w:val="24"/>
        </w:rPr>
        <w:t>2025)</w:t>
      </w:r>
    </w:p>
    <w:p w14:paraId="7A3359D1" w14:textId="77777777" w:rsidR="00076C6E" w:rsidRPr="008C6744" w:rsidRDefault="00076C6E" w:rsidP="0050382E">
      <w:pPr>
        <w:rPr>
          <w:rFonts w:ascii="Arial" w:hAnsi="Arial" w:cs="Arial"/>
          <w:b/>
          <w:bCs/>
          <w:sz w:val="28"/>
          <w:szCs w:val="28"/>
        </w:rPr>
      </w:pPr>
      <w:r w:rsidRPr="008C6744">
        <w:rPr>
          <w:rFonts w:ascii="Arial" w:hAnsi="Arial" w:cs="Arial"/>
        </w:rPr>
        <w:lastRenderedPageBreak/>
        <w:t xml:space="preserve">Based on the above analysis the context of the following discussions will look forward towards examining </w:t>
      </w:r>
      <w:r w:rsidR="003D29BC" w:rsidRPr="008C6744">
        <w:rPr>
          <w:rFonts w:ascii="Arial" w:hAnsi="Arial" w:cs="Arial"/>
        </w:rPr>
        <w:t xml:space="preserve">as well as analysing the economic factors as well as </w:t>
      </w:r>
      <w:r w:rsidR="00D636E2" w:rsidRPr="008C6744">
        <w:rPr>
          <w:rFonts w:ascii="Arial" w:hAnsi="Arial" w:cs="Arial"/>
        </w:rPr>
        <w:t xml:space="preserve">technological </w:t>
      </w:r>
      <w:r w:rsidR="002D5505" w:rsidRPr="008C6744">
        <w:rPr>
          <w:rFonts w:ascii="Arial" w:hAnsi="Arial" w:cs="Arial"/>
        </w:rPr>
        <w:t xml:space="preserve">aspects for both the core Bank i.e. HSBC Plc Holding and follower Bank Barclays Plc. </w:t>
      </w:r>
    </w:p>
    <w:p w14:paraId="1F099719" w14:textId="265E505B" w:rsidR="0050382E" w:rsidRPr="008C6744" w:rsidRDefault="00937E9D" w:rsidP="00E870D1">
      <w:pPr>
        <w:pStyle w:val="Heading2"/>
        <w:rPr>
          <w:rFonts w:ascii="Arial" w:hAnsi="Arial" w:cs="Arial"/>
        </w:rPr>
      </w:pPr>
      <w:bookmarkStart w:id="5" w:name="_Toc223606303"/>
      <w:r w:rsidRPr="008C6744">
        <w:rPr>
          <w:rFonts w:ascii="Arial" w:hAnsi="Arial" w:cs="Arial"/>
        </w:rPr>
        <w:t xml:space="preserve">1.3. Factor 1: </w:t>
      </w:r>
      <w:r w:rsidR="009A5688" w:rsidRPr="008C6744">
        <w:rPr>
          <w:rFonts w:ascii="Arial" w:hAnsi="Arial" w:cs="Arial"/>
        </w:rPr>
        <w:t xml:space="preserve">Economical </w:t>
      </w:r>
      <w:r w:rsidR="00E870D1" w:rsidRPr="008C6744">
        <w:rPr>
          <w:rFonts w:ascii="Arial" w:hAnsi="Arial" w:cs="Arial"/>
        </w:rPr>
        <w:t>aspects for HSBC and Barclays</w:t>
      </w:r>
      <w:bookmarkEnd w:id="5"/>
      <w:r w:rsidR="00E870D1" w:rsidRPr="008C6744">
        <w:rPr>
          <w:rFonts w:ascii="Arial" w:hAnsi="Arial" w:cs="Arial"/>
        </w:rPr>
        <w:t xml:space="preserve"> </w:t>
      </w:r>
    </w:p>
    <w:p w14:paraId="4DF64A69" w14:textId="77777777" w:rsidR="0050382E" w:rsidRPr="008C6744" w:rsidRDefault="000769EE" w:rsidP="0050382E">
      <w:pPr>
        <w:rPr>
          <w:rFonts w:ascii="Arial" w:hAnsi="Arial" w:cs="Arial"/>
        </w:rPr>
      </w:pPr>
      <w:r w:rsidRPr="008C6744">
        <w:rPr>
          <w:rFonts w:ascii="Arial" w:hAnsi="Arial" w:cs="Arial"/>
        </w:rPr>
        <w:t>As opined by Jameaba, (2025), the</w:t>
      </w:r>
      <w:r w:rsidR="002F7EF6" w:rsidRPr="008C6744">
        <w:rPr>
          <w:rFonts w:ascii="Arial" w:hAnsi="Arial" w:cs="Arial"/>
        </w:rPr>
        <w:t xml:space="preserve"> HSBC bank is striving for economic growth both in the rising and inflation period. Interest rates of the said bank change for the marketing strategy. Pointing out the consumer growth, the bank provides a steady rate of interest during the fluctuations period also. In the year 2024-2025, the bank allows up to 7.5% rate of interest for any consumer loan</w:t>
      </w:r>
      <w:r w:rsidR="001D192A" w:rsidRPr="008C6744">
        <w:rPr>
          <w:rFonts w:ascii="Arial" w:hAnsi="Arial" w:cs="Arial"/>
        </w:rPr>
        <w:t xml:space="preserve"> (Kovacevic, Radenkovic </w:t>
      </w:r>
      <w:r w:rsidR="008576DB" w:rsidRPr="008C6744">
        <w:rPr>
          <w:rFonts w:ascii="Arial" w:hAnsi="Arial" w:cs="Arial"/>
        </w:rPr>
        <w:t>and</w:t>
      </w:r>
      <w:r w:rsidR="001D192A" w:rsidRPr="008C6744">
        <w:rPr>
          <w:rFonts w:ascii="Arial" w:hAnsi="Arial" w:cs="Arial"/>
        </w:rPr>
        <w:t xml:space="preserve"> Nikolic, 2024)</w:t>
      </w:r>
      <w:r w:rsidR="002F7EF6" w:rsidRPr="008C6744">
        <w:rPr>
          <w:rFonts w:ascii="Arial" w:hAnsi="Arial" w:cs="Arial"/>
        </w:rPr>
        <w:t>. Compared to other financial institutions, the business spending patterns are far more modified in the HSBC bank.</w:t>
      </w:r>
    </w:p>
    <w:p w14:paraId="7C917E0D" w14:textId="77777777" w:rsidR="0050382E" w:rsidRPr="008C6744" w:rsidRDefault="002F7EF6" w:rsidP="0050382E">
      <w:pPr>
        <w:rPr>
          <w:rFonts w:ascii="Arial" w:hAnsi="Arial" w:cs="Arial"/>
        </w:rPr>
      </w:pPr>
      <w:r w:rsidRPr="008C6744">
        <w:rPr>
          <w:rFonts w:ascii="Arial" w:hAnsi="Arial" w:cs="Arial"/>
        </w:rPr>
        <w:t>Besides, Barclays allows consumers to enter the macro concepts where the global GDP growth is to be targeted. The GDP growth target is 4.83-5.63% for 2026-2027. Barclays considers building the awareness and understanding of each other’s markets within the UK and Europe nations</w:t>
      </w:r>
      <w:r w:rsidR="001D192A" w:rsidRPr="008C6744">
        <w:rPr>
          <w:rFonts w:ascii="Arial" w:hAnsi="Arial" w:cs="Arial"/>
        </w:rPr>
        <w:t xml:space="preserve"> (Kulsume, Saha </w:t>
      </w:r>
      <w:r w:rsidR="008576DB" w:rsidRPr="008C6744">
        <w:rPr>
          <w:rFonts w:ascii="Arial" w:hAnsi="Arial" w:cs="Arial"/>
        </w:rPr>
        <w:t>and</w:t>
      </w:r>
      <w:r w:rsidR="001D192A" w:rsidRPr="008C6744">
        <w:rPr>
          <w:rFonts w:ascii="Arial" w:hAnsi="Arial" w:cs="Arial"/>
        </w:rPr>
        <w:t xml:space="preserve"> Sumi, 2025)</w:t>
      </w:r>
      <w:r w:rsidRPr="008C6744">
        <w:rPr>
          <w:rFonts w:ascii="Arial" w:hAnsi="Arial" w:cs="Arial"/>
        </w:rPr>
        <w:t xml:space="preserve">. </w:t>
      </w:r>
      <w:r w:rsidR="001D192A" w:rsidRPr="008C6744">
        <w:rPr>
          <w:rFonts w:ascii="Arial" w:hAnsi="Arial" w:cs="Arial"/>
        </w:rPr>
        <w:t xml:space="preserve">According to Pavlov (2025), </w:t>
      </w:r>
      <w:r w:rsidRPr="008C6744">
        <w:rPr>
          <w:rFonts w:ascii="Arial" w:hAnsi="Arial" w:cs="Arial"/>
        </w:rPr>
        <w:t>Barclays explores that they are willing to pay an average of 12% premium for UK goods. Hence, the latest report provides recommendations to strengthen trade and investment between India and the UK, deepening and broadening our close ties, and driving growth in economies.</w:t>
      </w:r>
    </w:p>
    <w:p w14:paraId="749DA5BE" w14:textId="239D6CBA" w:rsidR="0050382E" w:rsidRPr="008C6744" w:rsidRDefault="00937E9D" w:rsidP="00E870D1">
      <w:pPr>
        <w:pStyle w:val="Heading2"/>
        <w:rPr>
          <w:rFonts w:ascii="Arial" w:hAnsi="Arial" w:cs="Arial"/>
        </w:rPr>
      </w:pPr>
      <w:bookmarkStart w:id="6" w:name="_Toc223606304"/>
      <w:r w:rsidRPr="008C6744">
        <w:rPr>
          <w:rFonts w:ascii="Arial" w:hAnsi="Arial" w:cs="Arial"/>
        </w:rPr>
        <w:t xml:space="preserve">1.4. Factor 2: </w:t>
      </w:r>
      <w:r w:rsidR="009A5688" w:rsidRPr="008C6744">
        <w:rPr>
          <w:rFonts w:ascii="Arial" w:hAnsi="Arial" w:cs="Arial"/>
        </w:rPr>
        <w:t>Technological F</w:t>
      </w:r>
      <w:r w:rsidR="002F7EF6" w:rsidRPr="008C6744">
        <w:rPr>
          <w:rFonts w:ascii="Arial" w:hAnsi="Arial" w:cs="Arial"/>
        </w:rPr>
        <w:t>actor</w:t>
      </w:r>
      <w:r w:rsidR="00E870D1" w:rsidRPr="008C6744">
        <w:rPr>
          <w:rFonts w:ascii="Arial" w:hAnsi="Arial" w:cs="Arial"/>
        </w:rPr>
        <w:t xml:space="preserve"> aspects for HSBC and Barclays</w:t>
      </w:r>
      <w:bookmarkEnd w:id="6"/>
    </w:p>
    <w:p w14:paraId="5EEC4EF3" w14:textId="77777777" w:rsidR="0050382E" w:rsidRPr="008C6744" w:rsidRDefault="002F7EF6" w:rsidP="0050382E">
      <w:pPr>
        <w:rPr>
          <w:rFonts w:ascii="Arial" w:hAnsi="Arial" w:cs="Arial"/>
        </w:rPr>
      </w:pPr>
      <w:r w:rsidRPr="008C6744">
        <w:rPr>
          <w:rFonts w:ascii="Arial" w:hAnsi="Arial" w:cs="Arial"/>
        </w:rPr>
        <w:t>Apart from economic vision, the HSBC bank allows to diversify the business by implementing AI and automation</w:t>
      </w:r>
      <w:r w:rsidR="001D192A" w:rsidRPr="008C6744">
        <w:rPr>
          <w:rFonts w:ascii="Arial" w:hAnsi="Arial" w:cs="Arial"/>
        </w:rPr>
        <w:t xml:space="preserve"> (Rodes Revueltas, 2025)</w:t>
      </w:r>
      <w:r w:rsidRPr="008C6744">
        <w:rPr>
          <w:rFonts w:ascii="Arial" w:hAnsi="Arial" w:cs="Arial"/>
        </w:rPr>
        <w:t>. Though the technology must be cost-oriented and it costs up to $400U.S., it comes with digital podiums with newly developed software from the platform ORACLE.</w:t>
      </w:r>
      <w:r w:rsidR="006F333C" w:rsidRPr="008C6744">
        <w:rPr>
          <w:rFonts w:ascii="Arial" w:hAnsi="Arial" w:cs="Arial"/>
        </w:rPr>
        <w:t xml:space="preserve"> </w:t>
      </w:r>
      <w:r w:rsidRPr="008C6744">
        <w:rPr>
          <w:rFonts w:ascii="Arial" w:hAnsi="Arial" w:cs="Arial"/>
        </w:rPr>
        <w:t>Barclays is empowering to discover and engage its customers in different and the best possible ways</w:t>
      </w:r>
      <w:r w:rsidR="001D192A" w:rsidRPr="008C6744">
        <w:rPr>
          <w:rFonts w:ascii="Arial" w:hAnsi="Arial" w:cs="Arial"/>
        </w:rPr>
        <w:t xml:space="preserve"> (Odwaro, et al., 2022)</w:t>
      </w:r>
      <w:r w:rsidRPr="008C6744">
        <w:rPr>
          <w:rFonts w:ascii="Arial" w:hAnsi="Arial" w:cs="Arial"/>
        </w:rPr>
        <w:t>. The sustained innovations and transformation innovations. Technology or business model evolving a balanced portfolio of high-rated innovations</w:t>
      </w:r>
    </w:p>
    <w:p w14:paraId="2A9DB3E5" w14:textId="4122FAA4" w:rsidR="0050382E" w:rsidRPr="008C6744" w:rsidRDefault="00937E9D" w:rsidP="00E870D1">
      <w:pPr>
        <w:pStyle w:val="Heading2"/>
        <w:rPr>
          <w:rFonts w:ascii="Arial" w:hAnsi="Arial" w:cs="Arial"/>
        </w:rPr>
      </w:pPr>
      <w:bookmarkStart w:id="7" w:name="_Toc223606305"/>
      <w:r w:rsidRPr="008C6744">
        <w:rPr>
          <w:rFonts w:ascii="Arial" w:hAnsi="Arial" w:cs="Arial"/>
        </w:rPr>
        <w:lastRenderedPageBreak/>
        <w:t xml:space="preserve">1.5. </w:t>
      </w:r>
      <w:r w:rsidR="002F7EF6" w:rsidRPr="008C6744">
        <w:rPr>
          <w:rFonts w:ascii="Arial" w:hAnsi="Arial" w:cs="Arial"/>
        </w:rPr>
        <w:t xml:space="preserve">Impact </w:t>
      </w:r>
      <w:r w:rsidRPr="008C6744">
        <w:rPr>
          <w:rFonts w:ascii="Arial" w:hAnsi="Arial" w:cs="Arial"/>
        </w:rPr>
        <w:t>Assessment</w:t>
      </w:r>
      <w:bookmarkEnd w:id="7"/>
    </w:p>
    <w:p w14:paraId="7F0B1614" w14:textId="2D237B1F" w:rsidR="0050382E" w:rsidRPr="008C6744" w:rsidRDefault="00937E9D" w:rsidP="00E870D1">
      <w:pPr>
        <w:pStyle w:val="Heading3"/>
        <w:rPr>
          <w:rFonts w:ascii="Arial" w:hAnsi="Arial" w:cs="Arial"/>
        </w:rPr>
      </w:pPr>
      <w:bookmarkStart w:id="8" w:name="_Toc223606306"/>
      <w:r w:rsidRPr="008C6744">
        <w:rPr>
          <w:rFonts w:ascii="Arial" w:hAnsi="Arial" w:cs="Arial"/>
        </w:rPr>
        <w:t xml:space="preserve">1.5.1. </w:t>
      </w:r>
      <w:r w:rsidR="002F7EF6" w:rsidRPr="008C6744">
        <w:rPr>
          <w:rFonts w:ascii="Arial" w:hAnsi="Arial" w:cs="Arial"/>
        </w:rPr>
        <w:t>Opportunities</w:t>
      </w:r>
      <w:r w:rsidR="00E870D1" w:rsidRPr="008C6744">
        <w:rPr>
          <w:rFonts w:ascii="Arial" w:hAnsi="Arial" w:cs="Arial"/>
        </w:rPr>
        <w:t xml:space="preserve"> based on assessing the economic and technological aspects</w:t>
      </w:r>
      <w:bookmarkEnd w:id="8"/>
      <w:r w:rsidR="00E870D1" w:rsidRPr="008C6744">
        <w:rPr>
          <w:rFonts w:ascii="Arial" w:hAnsi="Arial" w:cs="Arial"/>
        </w:rPr>
        <w:t xml:space="preserve"> </w:t>
      </w:r>
    </w:p>
    <w:p w14:paraId="675AFED1" w14:textId="77777777" w:rsidR="0050382E" w:rsidRPr="008C6744" w:rsidRDefault="002F7EF6" w:rsidP="0050382E">
      <w:pPr>
        <w:rPr>
          <w:rFonts w:ascii="Arial" w:hAnsi="Arial" w:cs="Arial"/>
        </w:rPr>
      </w:pPr>
      <w:r w:rsidRPr="008C6744">
        <w:rPr>
          <w:rFonts w:ascii="Arial" w:hAnsi="Arial" w:cs="Arial"/>
        </w:rPr>
        <w:t>These transformations and strategies create opportunities and threats for the HSBC banking institution across the globe</w:t>
      </w:r>
      <w:r w:rsidR="001D192A" w:rsidRPr="008C6744">
        <w:rPr>
          <w:rFonts w:ascii="Arial" w:hAnsi="Arial" w:cs="Arial"/>
        </w:rPr>
        <w:t xml:space="preserve"> (Pham et al., 2024)</w:t>
      </w:r>
      <w:r w:rsidRPr="008C6744">
        <w:rPr>
          <w:rFonts w:ascii="Arial" w:hAnsi="Arial" w:cs="Arial"/>
        </w:rPr>
        <w:t>. They have already introduced career paths in different types of wealth management, international trade and digital banking. Opportunities come across the globe with modern innovations and global service centres</w:t>
      </w:r>
      <w:r w:rsidR="001D192A" w:rsidRPr="008C6744">
        <w:rPr>
          <w:rFonts w:ascii="Arial" w:hAnsi="Arial" w:cs="Arial"/>
        </w:rPr>
        <w:t xml:space="preserve"> (Pluskota et al., 2026)</w:t>
      </w:r>
      <w:r w:rsidRPr="008C6744">
        <w:rPr>
          <w:rFonts w:ascii="Arial" w:hAnsi="Arial" w:cs="Arial"/>
        </w:rPr>
        <w:t>. Dealing with high rated net worth individuals in trade finance, the support and offerings have a significant global market.</w:t>
      </w:r>
    </w:p>
    <w:p w14:paraId="28EE7404" w14:textId="77777777" w:rsidR="0050382E" w:rsidRPr="008C6744" w:rsidRDefault="002F7EF6" w:rsidP="0050382E">
      <w:pPr>
        <w:rPr>
          <w:rFonts w:ascii="Arial" w:hAnsi="Arial" w:cs="Arial"/>
        </w:rPr>
      </w:pPr>
      <w:r w:rsidRPr="008C6744">
        <w:rPr>
          <w:rFonts w:ascii="Arial" w:hAnsi="Arial" w:cs="Arial"/>
        </w:rPr>
        <w:t>Opportunities are different for different organisations. Barclays focus on the investment patterns and partnership opportunities</w:t>
      </w:r>
      <w:r w:rsidR="001D192A" w:rsidRPr="008C6744">
        <w:rPr>
          <w:rFonts w:ascii="Arial" w:hAnsi="Arial" w:cs="Arial"/>
        </w:rPr>
        <w:t xml:space="preserve"> (Rodes Revueltas, 2025)</w:t>
      </w:r>
      <w:r w:rsidRPr="008C6744">
        <w:rPr>
          <w:rFonts w:ascii="Arial" w:hAnsi="Arial" w:cs="Arial"/>
        </w:rPr>
        <w:t>. The strategy includes the specialised role in developing business dealing with automated software's which will enable the non-disruptive technology with the transformation of banking needs.</w:t>
      </w:r>
    </w:p>
    <w:p w14:paraId="5EE579FE" w14:textId="745411A5" w:rsidR="0050382E" w:rsidRPr="008C6744" w:rsidRDefault="00937E9D" w:rsidP="00E870D1">
      <w:pPr>
        <w:pStyle w:val="Heading3"/>
        <w:rPr>
          <w:rFonts w:ascii="Arial" w:hAnsi="Arial" w:cs="Arial"/>
        </w:rPr>
      </w:pPr>
      <w:bookmarkStart w:id="9" w:name="_Toc223606307"/>
      <w:r w:rsidRPr="008C6744">
        <w:rPr>
          <w:rFonts w:ascii="Arial" w:hAnsi="Arial" w:cs="Arial"/>
        </w:rPr>
        <w:t xml:space="preserve">1.5.2. </w:t>
      </w:r>
      <w:r w:rsidR="002F7EF6" w:rsidRPr="008C6744">
        <w:rPr>
          <w:rFonts w:ascii="Arial" w:hAnsi="Arial" w:cs="Arial"/>
        </w:rPr>
        <w:t>Threats</w:t>
      </w:r>
      <w:r w:rsidR="00E870D1" w:rsidRPr="008C6744">
        <w:rPr>
          <w:rFonts w:ascii="Arial" w:hAnsi="Arial" w:cs="Arial"/>
        </w:rPr>
        <w:t xml:space="preserve"> based on assessing the economic and technological aspects</w:t>
      </w:r>
      <w:bookmarkEnd w:id="9"/>
      <w:r w:rsidR="00E870D1" w:rsidRPr="008C6744">
        <w:rPr>
          <w:rFonts w:ascii="Arial" w:hAnsi="Arial" w:cs="Arial"/>
        </w:rPr>
        <w:t xml:space="preserve"> </w:t>
      </w:r>
    </w:p>
    <w:p w14:paraId="4333FA83" w14:textId="2789A143" w:rsidR="0050382E" w:rsidRPr="008C6744" w:rsidRDefault="002F7EF6" w:rsidP="0050382E">
      <w:pPr>
        <w:rPr>
          <w:rFonts w:ascii="Arial" w:hAnsi="Arial" w:cs="Arial"/>
        </w:rPr>
      </w:pPr>
      <w:r w:rsidRPr="008C6744">
        <w:rPr>
          <w:rFonts w:ascii="Arial" w:hAnsi="Arial" w:cs="Arial"/>
        </w:rPr>
        <w:t>HSBC faces a lesser amount of growth in local distributors as the competitors pay a higher margin to local distributors. Involving such a technology bank provides less credit availability to the investor, which previously impacted profitability</w:t>
      </w:r>
      <w:r w:rsidR="001D192A" w:rsidRPr="008C6744">
        <w:rPr>
          <w:rFonts w:ascii="Arial" w:hAnsi="Arial" w:cs="Arial"/>
        </w:rPr>
        <w:t xml:space="preserve"> (Zrybnieva et al., 2025)</w:t>
      </w:r>
      <w:r w:rsidRPr="008C6744">
        <w:rPr>
          <w:rFonts w:ascii="Arial" w:hAnsi="Arial" w:cs="Arial"/>
        </w:rPr>
        <w:t>. It brings some unethical behaviour amongst banks and financial institutions.</w:t>
      </w:r>
      <w:r w:rsidR="00937E9D" w:rsidRPr="008C6744">
        <w:rPr>
          <w:rFonts w:ascii="Arial" w:hAnsi="Arial" w:cs="Arial"/>
        </w:rPr>
        <w:t xml:space="preserve"> </w:t>
      </w:r>
      <w:r w:rsidRPr="008C6744">
        <w:rPr>
          <w:rFonts w:ascii="Arial" w:hAnsi="Arial" w:cs="Arial"/>
        </w:rPr>
        <w:t xml:space="preserve">The major theta of Barclays is intense digital competition. Digital banking provides a marketing threat. It allows the Regulatory </w:t>
      </w:r>
      <w:r w:rsidR="008576DB" w:rsidRPr="008C6744">
        <w:rPr>
          <w:rFonts w:ascii="Arial" w:hAnsi="Arial" w:cs="Arial"/>
        </w:rPr>
        <w:t>and</w:t>
      </w:r>
      <w:r w:rsidRPr="008C6744">
        <w:rPr>
          <w:rFonts w:ascii="Arial" w:hAnsi="Arial" w:cs="Arial"/>
        </w:rPr>
        <w:t xml:space="preserve"> Compliance Risks, which can lead to high inflation, which allows increased in loan defaults.</w:t>
      </w:r>
    </w:p>
    <w:p w14:paraId="5C714240" w14:textId="23A27D78" w:rsidR="0050382E" w:rsidRPr="008C6744" w:rsidRDefault="00937E9D" w:rsidP="00E870D1">
      <w:pPr>
        <w:pStyle w:val="Heading2"/>
        <w:rPr>
          <w:rFonts w:ascii="Arial" w:hAnsi="Arial" w:cs="Arial"/>
        </w:rPr>
      </w:pPr>
      <w:bookmarkStart w:id="10" w:name="_Toc223606308"/>
      <w:r w:rsidRPr="008C6744">
        <w:rPr>
          <w:rFonts w:ascii="Arial" w:hAnsi="Arial" w:cs="Arial"/>
        </w:rPr>
        <w:t xml:space="preserve">1.6. </w:t>
      </w:r>
      <w:r w:rsidR="002F7EF6" w:rsidRPr="008C6744">
        <w:rPr>
          <w:rFonts w:ascii="Arial" w:hAnsi="Arial" w:cs="Arial"/>
        </w:rPr>
        <w:t>Analysis</w:t>
      </w:r>
      <w:bookmarkEnd w:id="10"/>
    </w:p>
    <w:p w14:paraId="3A8CA188" w14:textId="1A53F84D" w:rsidR="0050382E" w:rsidRPr="008C6744" w:rsidRDefault="002F7EF6" w:rsidP="0050382E">
      <w:pPr>
        <w:rPr>
          <w:rFonts w:ascii="Arial" w:hAnsi="Arial" w:cs="Arial"/>
        </w:rPr>
      </w:pPr>
      <w:r w:rsidRPr="008C6744">
        <w:rPr>
          <w:rFonts w:ascii="Arial" w:hAnsi="Arial" w:cs="Arial"/>
        </w:rPr>
        <w:t xml:space="preserve">Both economic and technological aspects are considered from the HSBC and Barclays points of view. Investments in different segment has certain percentage uplifts the </w:t>
      </w:r>
      <w:r w:rsidR="00937E9D" w:rsidRPr="008C6744">
        <w:rPr>
          <w:rFonts w:ascii="Arial" w:hAnsi="Arial" w:cs="Arial"/>
        </w:rPr>
        <w:t>standard but</w:t>
      </w:r>
      <w:r w:rsidRPr="008C6744">
        <w:rPr>
          <w:rFonts w:ascii="Arial" w:hAnsi="Arial" w:cs="Arial"/>
        </w:rPr>
        <w:t xml:space="preserve"> affect the total credit portfolio. </w:t>
      </w:r>
      <w:r w:rsidR="001D192A" w:rsidRPr="008C6744">
        <w:rPr>
          <w:rFonts w:ascii="Arial" w:hAnsi="Arial" w:cs="Arial"/>
        </w:rPr>
        <w:t>As opined by Pluskota, et al., (2026), t</w:t>
      </w:r>
      <w:r w:rsidRPr="008C6744">
        <w:rPr>
          <w:rFonts w:ascii="Arial" w:hAnsi="Arial" w:cs="Arial"/>
        </w:rPr>
        <w:t>he liquidity coverage has decreased by 123% in the previous year. The bank is navigating the changing landscape to maintain profitability and operational efficiency by diversifying its sources beyond interest income.</w:t>
      </w:r>
      <w:r w:rsidR="00937E9D" w:rsidRPr="008C6744">
        <w:rPr>
          <w:rFonts w:ascii="Arial" w:hAnsi="Arial" w:cs="Arial"/>
        </w:rPr>
        <w:t xml:space="preserve"> </w:t>
      </w:r>
      <w:r w:rsidRPr="008C6744">
        <w:rPr>
          <w:rFonts w:ascii="Arial" w:hAnsi="Arial" w:cs="Arial"/>
        </w:rPr>
        <w:t xml:space="preserve">Barclays not only depends on the global explore but mainly focuses on the partnerships and intensely </w:t>
      </w:r>
      <w:r w:rsidRPr="008C6744">
        <w:rPr>
          <w:rFonts w:ascii="Arial" w:hAnsi="Arial" w:cs="Arial"/>
        </w:rPr>
        <w:lastRenderedPageBreak/>
        <w:t>diversified business categories</w:t>
      </w:r>
      <w:r w:rsidR="001D192A" w:rsidRPr="008C6744">
        <w:rPr>
          <w:rFonts w:ascii="Arial" w:hAnsi="Arial" w:cs="Arial"/>
        </w:rPr>
        <w:t xml:space="preserve"> (Pham et al., 2024)</w:t>
      </w:r>
      <w:r w:rsidRPr="008C6744">
        <w:rPr>
          <w:rFonts w:ascii="Arial" w:hAnsi="Arial" w:cs="Arial"/>
        </w:rPr>
        <w:t>. Opportunities in local distributor rates and enhancing liquidity management practices make the bank minimise the risk management process</w:t>
      </w:r>
    </w:p>
    <w:p w14:paraId="401DBE9E" w14:textId="77777777" w:rsidR="002F7EF6" w:rsidRPr="008C6744" w:rsidRDefault="002F7EF6" w:rsidP="004C5C63">
      <w:pPr>
        <w:spacing w:line="276" w:lineRule="auto"/>
        <w:jc w:val="center"/>
        <w:rPr>
          <w:rFonts w:ascii="Arial" w:hAnsi="Arial" w:cs="Arial"/>
        </w:rPr>
      </w:pPr>
      <w:r w:rsidRPr="008C6744">
        <w:rPr>
          <w:rFonts w:ascii="Arial" w:hAnsi="Arial" w:cs="Arial"/>
          <w:noProof/>
          <w:lang w:val="en-US" w:eastAsia="en-US"/>
        </w:rPr>
        <w:drawing>
          <wp:inline distT="0" distB="0" distL="0" distR="0" wp14:anchorId="6ABC881A" wp14:editId="2EAEF08E">
            <wp:extent cx="5876925" cy="22764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srcRect/>
                    <a:stretch>
                      <a:fillRect/>
                    </a:stretch>
                  </pic:blipFill>
                  <pic:spPr bwMode="auto">
                    <a:xfrm>
                      <a:off x="0" y="0"/>
                      <a:ext cx="5876925" cy="2276475"/>
                    </a:xfrm>
                    <a:prstGeom prst="rect">
                      <a:avLst/>
                    </a:prstGeom>
                    <a:noFill/>
                    <a:ln w="9525">
                      <a:noFill/>
                      <a:miter lim="800000"/>
                      <a:headEnd/>
                      <a:tailEnd/>
                    </a:ln>
                  </pic:spPr>
                </pic:pic>
              </a:graphicData>
            </a:graphic>
          </wp:inline>
        </w:drawing>
      </w:r>
    </w:p>
    <w:p w14:paraId="50267D34" w14:textId="740A4E0C" w:rsidR="004C5C63" w:rsidRPr="008C6744" w:rsidRDefault="004C5C63" w:rsidP="004C5C63">
      <w:pPr>
        <w:spacing w:line="276" w:lineRule="auto"/>
        <w:jc w:val="center"/>
        <w:rPr>
          <w:rFonts w:ascii="Arial" w:hAnsi="Arial" w:cs="Arial"/>
          <w:b/>
          <w:szCs w:val="20"/>
        </w:rPr>
      </w:pPr>
      <w:r w:rsidRPr="008C6744">
        <w:rPr>
          <w:rFonts w:ascii="Arial" w:hAnsi="Arial" w:cs="Arial"/>
          <w:b/>
          <w:szCs w:val="20"/>
        </w:rPr>
        <w:t xml:space="preserve">Figure </w:t>
      </w:r>
      <w:r w:rsidR="00EB6110" w:rsidRPr="008C6744">
        <w:rPr>
          <w:rFonts w:ascii="Arial" w:hAnsi="Arial" w:cs="Arial"/>
          <w:b/>
          <w:szCs w:val="20"/>
        </w:rPr>
        <w:t>2</w:t>
      </w:r>
      <w:r w:rsidRPr="008C6744">
        <w:rPr>
          <w:rFonts w:ascii="Arial" w:hAnsi="Arial" w:cs="Arial"/>
          <w:b/>
          <w:szCs w:val="20"/>
        </w:rPr>
        <w:t>: Market Trend Analysis of Barclays Bank</w:t>
      </w:r>
    </w:p>
    <w:p w14:paraId="6F9E0A81" w14:textId="77777777" w:rsidR="002F7EF6" w:rsidRPr="008C6744" w:rsidRDefault="004C5C63" w:rsidP="004C5C63">
      <w:pPr>
        <w:spacing w:line="276" w:lineRule="auto"/>
        <w:jc w:val="center"/>
        <w:rPr>
          <w:rFonts w:ascii="Arial" w:hAnsi="Arial" w:cs="Arial"/>
        </w:rPr>
      </w:pPr>
      <w:r w:rsidRPr="008C6744">
        <w:rPr>
          <w:rFonts w:ascii="Arial" w:hAnsi="Arial" w:cs="Arial"/>
        </w:rPr>
        <w:t xml:space="preserve">(Source: </w:t>
      </w:r>
      <w:r w:rsidR="002F7EF6" w:rsidRPr="008C6744">
        <w:rPr>
          <w:rFonts w:ascii="Arial" w:hAnsi="Arial" w:cs="Arial"/>
        </w:rPr>
        <w:t>Kulsum</w:t>
      </w:r>
      <w:r w:rsidRPr="008C6744">
        <w:rPr>
          <w:rFonts w:ascii="Arial" w:hAnsi="Arial" w:cs="Arial"/>
        </w:rPr>
        <w:t xml:space="preserve">e, Saha </w:t>
      </w:r>
      <w:r w:rsidR="008576DB" w:rsidRPr="008C6744">
        <w:rPr>
          <w:rFonts w:ascii="Arial" w:hAnsi="Arial" w:cs="Arial"/>
        </w:rPr>
        <w:t>and</w:t>
      </w:r>
      <w:r w:rsidRPr="008C6744">
        <w:rPr>
          <w:rFonts w:ascii="Arial" w:hAnsi="Arial" w:cs="Arial"/>
        </w:rPr>
        <w:t xml:space="preserve"> Sumi, </w:t>
      </w:r>
      <w:r w:rsidR="002F7EF6" w:rsidRPr="008C6744">
        <w:rPr>
          <w:rFonts w:ascii="Arial" w:hAnsi="Arial" w:cs="Arial"/>
        </w:rPr>
        <w:t>2025)</w:t>
      </w:r>
    </w:p>
    <w:p w14:paraId="1D05F62B" w14:textId="77777777" w:rsidR="0050382E" w:rsidRPr="008C6744" w:rsidRDefault="002F7EF6" w:rsidP="0050382E">
      <w:pPr>
        <w:rPr>
          <w:rFonts w:ascii="Arial" w:hAnsi="Arial" w:cs="Arial"/>
        </w:rPr>
      </w:pPr>
      <w:r w:rsidRPr="008C6744">
        <w:rPr>
          <w:rFonts w:ascii="Arial" w:hAnsi="Arial" w:cs="Arial"/>
        </w:rPr>
        <w:t>Technological analysis is driving the efficiency for AI implementation for better banking efficiency, collaboration and reducing optimal cost. This support rapid deployment of new services for Barclays.</w:t>
      </w:r>
    </w:p>
    <w:p w14:paraId="08C19A7A" w14:textId="77777777" w:rsidR="0050382E" w:rsidRPr="008C6744" w:rsidRDefault="002F7EF6" w:rsidP="0050382E">
      <w:pPr>
        <w:rPr>
          <w:rFonts w:ascii="Arial" w:hAnsi="Arial" w:cs="Arial"/>
        </w:rPr>
      </w:pPr>
      <w:r w:rsidRPr="008C6744">
        <w:rPr>
          <w:rFonts w:ascii="Arial" w:hAnsi="Arial" w:cs="Arial"/>
        </w:rPr>
        <w:t xml:space="preserve">Huge global investments with streamline operations evolve the needs of the HSBC customers. Diversified non-interest income is one of the major aspects to be </w:t>
      </w:r>
      <w:r w:rsidR="001D192A" w:rsidRPr="008C6744">
        <w:rPr>
          <w:rFonts w:ascii="Arial" w:hAnsi="Arial" w:cs="Arial"/>
        </w:rPr>
        <w:t>a key revenue driver for HSBC By</w:t>
      </w:r>
      <w:r w:rsidRPr="008C6744">
        <w:rPr>
          <w:rFonts w:ascii="Arial" w:hAnsi="Arial" w:cs="Arial"/>
        </w:rPr>
        <w:t xml:space="preserve"> 2028. Compensation costs and high technology spending may slightly pressure efficiency ratios</w:t>
      </w:r>
      <w:r w:rsidR="001D192A" w:rsidRPr="008C6744">
        <w:rPr>
          <w:rFonts w:ascii="Arial" w:hAnsi="Arial" w:cs="Arial"/>
        </w:rPr>
        <w:t xml:space="preserve"> (Pluskota et al., 2026)</w:t>
      </w:r>
      <w:r w:rsidRPr="008C6744">
        <w:rPr>
          <w:rFonts w:ascii="Arial" w:hAnsi="Arial" w:cs="Arial"/>
        </w:rPr>
        <w:t>. As results banks may continue their growth through capital dividends and share repurchases.</w:t>
      </w:r>
    </w:p>
    <w:p w14:paraId="064FFF68" w14:textId="77777777" w:rsidR="002F7EF6" w:rsidRPr="008C6744" w:rsidRDefault="002F7EF6" w:rsidP="004C5C63">
      <w:pPr>
        <w:spacing w:line="276" w:lineRule="auto"/>
        <w:jc w:val="center"/>
        <w:rPr>
          <w:rFonts w:ascii="Arial" w:hAnsi="Arial" w:cs="Arial"/>
        </w:rPr>
      </w:pPr>
      <w:r w:rsidRPr="008C6744">
        <w:rPr>
          <w:rFonts w:ascii="Arial" w:hAnsi="Arial" w:cs="Arial"/>
          <w:noProof/>
          <w:lang w:val="en-US" w:eastAsia="en-US"/>
        </w:rPr>
        <w:drawing>
          <wp:inline distT="0" distB="0" distL="0" distR="0" wp14:anchorId="639F858F" wp14:editId="7D8D7F91">
            <wp:extent cx="6010275" cy="17811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srcRect/>
                    <a:stretch>
                      <a:fillRect/>
                    </a:stretch>
                  </pic:blipFill>
                  <pic:spPr bwMode="auto">
                    <a:xfrm>
                      <a:off x="0" y="0"/>
                      <a:ext cx="6010275" cy="1781175"/>
                    </a:xfrm>
                    <a:prstGeom prst="rect">
                      <a:avLst/>
                    </a:prstGeom>
                    <a:noFill/>
                    <a:ln w="9525">
                      <a:noFill/>
                      <a:miter lim="800000"/>
                      <a:headEnd/>
                      <a:tailEnd/>
                    </a:ln>
                  </pic:spPr>
                </pic:pic>
              </a:graphicData>
            </a:graphic>
          </wp:inline>
        </w:drawing>
      </w:r>
    </w:p>
    <w:p w14:paraId="4605FE64" w14:textId="0C945356" w:rsidR="004C5C63" w:rsidRPr="008C6744" w:rsidRDefault="004C5C63" w:rsidP="004C5C63">
      <w:pPr>
        <w:spacing w:line="276" w:lineRule="auto"/>
        <w:jc w:val="center"/>
        <w:rPr>
          <w:rFonts w:ascii="Arial" w:hAnsi="Arial" w:cs="Arial"/>
          <w:sz w:val="22"/>
          <w:szCs w:val="20"/>
          <w:highlight w:val="cyan"/>
        </w:rPr>
      </w:pPr>
      <w:r w:rsidRPr="008C6744">
        <w:rPr>
          <w:rFonts w:ascii="Arial" w:hAnsi="Arial" w:cs="Arial"/>
          <w:b/>
          <w:szCs w:val="20"/>
        </w:rPr>
        <w:t xml:space="preserve">Figure </w:t>
      </w:r>
      <w:r w:rsidR="00EB6110" w:rsidRPr="008C6744">
        <w:rPr>
          <w:rFonts w:ascii="Arial" w:hAnsi="Arial" w:cs="Arial"/>
          <w:b/>
          <w:szCs w:val="20"/>
        </w:rPr>
        <w:t>3</w:t>
      </w:r>
      <w:r w:rsidRPr="008C6744">
        <w:rPr>
          <w:rFonts w:ascii="Arial" w:hAnsi="Arial" w:cs="Arial"/>
          <w:b/>
          <w:szCs w:val="20"/>
        </w:rPr>
        <w:t>: Market Trend Analysis of HSBC Bank</w:t>
      </w:r>
    </w:p>
    <w:p w14:paraId="6EFD1259" w14:textId="77777777" w:rsidR="002F7EF6" w:rsidRPr="008C6744" w:rsidRDefault="004C5C63" w:rsidP="004C5C63">
      <w:pPr>
        <w:spacing w:line="276" w:lineRule="auto"/>
        <w:jc w:val="center"/>
        <w:rPr>
          <w:rFonts w:ascii="Arial" w:hAnsi="Arial" w:cs="Arial"/>
        </w:rPr>
      </w:pPr>
      <w:r w:rsidRPr="008C6744">
        <w:rPr>
          <w:rFonts w:ascii="Arial" w:hAnsi="Arial" w:cs="Arial"/>
        </w:rPr>
        <w:t xml:space="preserve">(Source: Kulsume, Saha </w:t>
      </w:r>
      <w:r w:rsidR="008576DB" w:rsidRPr="008C6744">
        <w:rPr>
          <w:rFonts w:ascii="Arial" w:hAnsi="Arial" w:cs="Arial"/>
        </w:rPr>
        <w:t>and</w:t>
      </w:r>
      <w:r w:rsidRPr="008C6744">
        <w:rPr>
          <w:rFonts w:ascii="Arial" w:hAnsi="Arial" w:cs="Arial"/>
        </w:rPr>
        <w:t xml:space="preserve"> Sumi, 2025)</w:t>
      </w:r>
    </w:p>
    <w:p w14:paraId="45683A09" w14:textId="77777777" w:rsidR="004C5C63" w:rsidRPr="008C6744" w:rsidRDefault="002F7EF6" w:rsidP="004C5C63">
      <w:pPr>
        <w:rPr>
          <w:rFonts w:ascii="Arial" w:hAnsi="Arial" w:cs="Arial"/>
        </w:rPr>
      </w:pPr>
      <w:r w:rsidRPr="008C6744">
        <w:rPr>
          <w:rFonts w:ascii="Arial" w:hAnsi="Arial" w:cs="Arial"/>
        </w:rPr>
        <w:lastRenderedPageBreak/>
        <w:t xml:space="preserve">Besides all opportunities and threats, there are several other factors that affect the business growth as a whole. In the economic aspects, the HSBC bank regulates the economic cycle by providing adequate technology in its hands. And on the other side, Barclays is taking advantage of exploring the global concepts of collaboration by improving </w:t>
      </w:r>
      <w:r w:rsidRPr="008C6744">
        <w:rPr>
          <w:rFonts w:ascii="Arial" w:hAnsi="Arial" w:cs="Arial"/>
          <w:caps/>
        </w:rPr>
        <w:t>ai</w:t>
      </w:r>
      <w:r w:rsidRPr="008C6744">
        <w:rPr>
          <w:rFonts w:ascii="Arial" w:hAnsi="Arial" w:cs="Arial"/>
        </w:rPr>
        <w:t xml:space="preserve"> technology and strategies for transformation to macro-level marketing.</w:t>
      </w:r>
    </w:p>
    <w:p w14:paraId="4A8735D3" w14:textId="77777777" w:rsidR="00076C6E" w:rsidRPr="008C6744" w:rsidRDefault="00076C6E" w:rsidP="004C5C63">
      <w:pPr>
        <w:pStyle w:val="Heading1"/>
        <w:rPr>
          <w:rFonts w:ascii="Arial" w:hAnsi="Arial" w:cs="Arial"/>
        </w:rPr>
      </w:pPr>
      <w:bookmarkStart w:id="11" w:name="_Toc223606309"/>
      <w:r w:rsidRPr="008C6744">
        <w:rPr>
          <w:rFonts w:ascii="Arial" w:hAnsi="Arial" w:cs="Arial"/>
        </w:rPr>
        <w:t xml:space="preserve">Task 2: </w:t>
      </w:r>
      <w:r w:rsidR="00E870D1" w:rsidRPr="008C6744">
        <w:rPr>
          <w:rFonts w:ascii="Arial" w:hAnsi="Arial" w:cs="Arial"/>
        </w:rPr>
        <w:t>Analysis aligned with assessing marketing environmental analysis for pioneers and followers</w:t>
      </w:r>
      <w:bookmarkEnd w:id="11"/>
      <w:r w:rsidR="00E870D1" w:rsidRPr="008C6744">
        <w:rPr>
          <w:rFonts w:ascii="Arial" w:hAnsi="Arial" w:cs="Arial"/>
        </w:rPr>
        <w:t xml:space="preserve"> </w:t>
      </w:r>
    </w:p>
    <w:p w14:paraId="4028AF3A" w14:textId="379ED59E" w:rsidR="007E0AF8" w:rsidRPr="008C6744" w:rsidRDefault="00937E9D" w:rsidP="00E870D1">
      <w:pPr>
        <w:pStyle w:val="Heading2"/>
        <w:rPr>
          <w:rFonts w:ascii="Arial" w:hAnsi="Arial" w:cs="Arial"/>
        </w:rPr>
      </w:pPr>
      <w:bookmarkStart w:id="12" w:name="_Toc223606310"/>
      <w:r w:rsidRPr="008C6744">
        <w:rPr>
          <w:rFonts w:ascii="Arial" w:hAnsi="Arial" w:cs="Arial"/>
        </w:rPr>
        <w:t>2.</w:t>
      </w:r>
      <w:r w:rsidR="002F7EF6" w:rsidRPr="008C6744">
        <w:rPr>
          <w:rFonts w:ascii="Arial" w:hAnsi="Arial" w:cs="Arial"/>
        </w:rPr>
        <w:t>1. Strategic Response in Context</w:t>
      </w:r>
      <w:bookmarkEnd w:id="12"/>
    </w:p>
    <w:p w14:paraId="73D71A29" w14:textId="77777777" w:rsidR="00E00A9E" w:rsidRPr="008C6744" w:rsidRDefault="002F7EF6">
      <w:pPr>
        <w:rPr>
          <w:rFonts w:ascii="Arial" w:hAnsi="Arial" w:cs="Arial"/>
        </w:rPr>
      </w:pPr>
      <w:r w:rsidRPr="008C6744">
        <w:rPr>
          <w:rFonts w:ascii="Arial" w:hAnsi="Arial" w:cs="Arial"/>
        </w:rPr>
        <w:t xml:space="preserve">Aligned as per the above analysis, both the selected organisations in the report, </w:t>
      </w:r>
      <w:r w:rsidR="005668FD" w:rsidRPr="008C6744">
        <w:rPr>
          <w:rFonts w:ascii="Arial" w:hAnsi="Arial" w:cs="Arial"/>
        </w:rPr>
        <w:t xml:space="preserve">HSBC and Barclays, faced major macro environmental changes that comprised economic fluctuations across global as well as domestic markets and fast-moving technological transformation over the entire banking platform, which found tailored their strategic responsive towards maintaining competitive advantages. </w:t>
      </w:r>
    </w:p>
    <w:p w14:paraId="1E138BC9" w14:textId="3A89BE4B" w:rsidR="00E00A9E" w:rsidRPr="008C6744" w:rsidRDefault="00937E9D" w:rsidP="00E870D1">
      <w:pPr>
        <w:pStyle w:val="Heading2"/>
        <w:rPr>
          <w:rFonts w:ascii="Arial" w:hAnsi="Arial" w:cs="Arial"/>
        </w:rPr>
      </w:pPr>
      <w:bookmarkStart w:id="13" w:name="_Toc223606311"/>
      <w:r w:rsidRPr="008C6744">
        <w:rPr>
          <w:rFonts w:ascii="Arial" w:hAnsi="Arial" w:cs="Arial"/>
        </w:rPr>
        <w:t>2.</w:t>
      </w:r>
      <w:r w:rsidR="002F7EF6" w:rsidRPr="008C6744">
        <w:rPr>
          <w:rFonts w:ascii="Arial" w:hAnsi="Arial" w:cs="Arial"/>
        </w:rPr>
        <w:t>2. HSBC’s Strategic Responses</w:t>
      </w:r>
      <w:bookmarkEnd w:id="13"/>
    </w:p>
    <w:p w14:paraId="6EE65F48" w14:textId="35F728DD" w:rsidR="00E00A9E" w:rsidRPr="008C6744" w:rsidRDefault="00937E9D" w:rsidP="00937E9D">
      <w:pPr>
        <w:pStyle w:val="Heading3"/>
        <w:rPr>
          <w:rFonts w:ascii="Arial" w:hAnsi="Arial" w:cs="Arial"/>
        </w:rPr>
      </w:pPr>
      <w:bookmarkStart w:id="14" w:name="_Toc223606312"/>
      <w:r w:rsidRPr="008C6744">
        <w:rPr>
          <w:rFonts w:ascii="Arial" w:hAnsi="Arial" w:cs="Arial"/>
        </w:rPr>
        <w:t xml:space="preserve">2.2.1. </w:t>
      </w:r>
      <w:r w:rsidR="002F7EF6" w:rsidRPr="008C6744">
        <w:rPr>
          <w:rFonts w:ascii="Arial" w:hAnsi="Arial" w:cs="Arial"/>
        </w:rPr>
        <w:t>Leveraging Global Scale and Economic Connectivity</w:t>
      </w:r>
      <w:bookmarkEnd w:id="14"/>
      <w:r w:rsidR="005668FD" w:rsidRPr="008C6744">
        <w:rPr>
          <w:rFonts w:ascii="Arial" w:hAnsi="Arial" w:cs="Arial"/>
        </w:rPr>
        <w:t xml:space="preserve">  </w:t>
      </w:r>
    </w:p>
    <w:p w14:paraId="16E22F04" w14:textId="77777777" w:rsidR="004F7963" w:rsidRPr="008C6744" w:rsidRDefault="002A1E57">
      <w:pPr>
        <w:rPr>
          <w:rFonts w:ascii="Arial" w:hAnsi="Arial" w:cs="Arial"/>
          <w:szCs w:val="24"/>
        </w:rPr>
      </w:pPr>
      <w:r w:rsidRPr="008C6744">
        <w:rPr>
          <w:rFonts w:ascii="Arial" w:hAnsi="Arial" w:cs="Arial"/>
          <w:b/>
          <w:i/>
          <w:szCs w:val="24"/>
        </w:rPr>
        <w:t>Strategic Focus:</w:t>
      </w:r>
      <w:r w:rsidRPr="008C6744">
        <w:rPr>
          <w:rFonts w:ascii="Arial" w:hAnsi="Arial" w:cs="Arial"/>
          <w:szCs w:val="24"/>
        </w:rPr>
        <w:t xml:space="preserve"> </w:t>
      </w:r>
      <w:r w:rsidR="002F7EF6" w:rsidRPr="008C6744">
        <w:rPr>
          <w:rFonts w:ascii="Arial" w:hAnsi="Arial" w:cs="Arial"/>
          <w:szCs w:val="24"/>
        </w:rPr>
        <w:t xml:space="preserve">The strategic focus for HSBC Holdings Plc is to continue to streamline as well as focus on core, high-growth business, mainly measured within the </w:t>
      </w:r>
      <w:r w:rsidR="00B27FB7" w:rsidRPr="008C6744">
        <w:rPr>
          <w:rFonts w:ascii="Arial" w:hAnsi="Arial" w:cs="Arial"/>
          <w:szCs w:val="24"/>
        </w:rPr>
        <w:t>context of wealth, commercial banking and Asia Markets, aiming towards divesting from non-core markets across the globe</w:t>
      </w:r>
      <w:r w:rsidR="001D192A" w:rsidRPr="008C6744">
        <w:rPr>
          <w:rFonts w:ascii="Arial" w:hAnsi="Arial" w:cs="Arial"/>
          <w:szCs w:val="24"/>
        </w:rPr>
        <w:t xml:space="preserve"> (Pham et al., 2024)</w:t>
      </w:r>
      <w:r w:rsidR="00B27FB7" w:rsidRPr="008C6744">
        <w:rPr>
          <w:rFonts w:ascii="Arial" w:hAnsi="Arial" w:cs="Arial"/>
          <w:szCs w:val="24"/>
        </w:rPr>
        <w:t xml:space="preserve">. </w:t>
      </w:r>
      <w:r w:rsidR="003410F1" w:rsidRPr="008C6744">
        <w:rPr>
          <w:rFonts w:ascii="Arial" w:hAnsi="Arial" w:cs="Arial"/>
          <w:szCs w:val="24"/>
        </w:rPr>
        <w:t>The scope for the selected banking giant is to explore as well as evaluate the growth opportunities mainly across the emerging markets of the globe through diversifying the context of the proceedings aligned towards accomplishing the long-term set of strategic goals and objectives</w:t>
      </w:r>
      <w:r w:rsidR="001D192A" w:rsidRPr="008C6744">
        <w:rPr>
          <w:rFonts w:ascii="Arial" w:hAnsi="Arial" w:cs="Arial"/>
          <w:szCs w:val="24"/>
        </w:rPr>
        <w:t xml:space="preserve"> (Pavlov, 2025)</w:t>
      </w:r>
      <w:r w:rsidR="003410F1" w:rsidRPr="008C6744">
        <w:rPr>
          <w:rFonts w:ascii="Arial" w:hAnsi="Arial" w:cs="Arial"/>
          <w:szCs w:val="24"/>
        </w:rPr>
        <w:t xml:space="preserve">. </w:t>
      </w:r>
    </w:p>
    <w:p w14:paraId="7E32689E" w14:textId="18DEA8EA" w:rsidR="004F7963" w:rsidRPr="008C6744" w:rsidRDefault="00937E9D" w:rsidP="00E870D1">
      <w:pPr>
        <w:pStyle w:val="Heading3"/>
        <w:rPr>
          <w:rFonts w:ascii="Arial" w:hAnsi="Arial" w:cs="Arial"/>
          <w:szCs w:val="24"/>
        </w:rPr>
      </w:pPr>
      <w:bookmarkStart w:id="15" w:name="_Toc223606313"/>
      <w:r w:rsidRPr="008C6744">
        <w:rPr>
          <w:rFonts w:ascii="Arial" w:hAnsi="Arial" w:cs="Arial"/>
          <w:szCs w:val="24"/>
        </w:rPr>
        <w:t xml:space="preserve">2.2.2. </w:t>
      </w:r>
      <w:r w:rsidR="002F7EF6" w:rsidRPr="008C6744">
        <w:rPr>
          <w:rFonts w:ascii="Arial" w:hAnsi="Arial" w:cs="Arial"/>
          <w:szCs w:val="24"/>
        </w:rPr>
        <w:t>Implementation</w:t>
      </w:r>
      <w:bookmarkEnd w:id="15"/>
      <w:r w:rsidR="003410F1" w:rsidRPr="008C6744">
        <w:rPr>
          <w:rFonts w:ascii="Arial" w:hAnsi="Arial" w:cs="Arial"/>
          <w:szCs w:val="24"/>
        </w:rPr>
        <w:t xml:space="preserve"> </w:t>
      </w:r>
    </w:p>
    <w:p w14:paraId="6EE47021" w14:textId="77777777" w:rsidR="004F7963" w:rsidRPr="008C6744" w:rsidRDefault="001D192A">
      <w:pPr>
        <w:rPr>
          <w:rFonts w:ascii="Arial" w:hAnsi="Arial" w:cs="Arial"/>
          <w:szCs w:val="24"/>
        </w:rPr>
      </w:pPr>
      <w:r w:rsidRPr="008C6744">
        <w:rPr>
          <w:rFonts w:ascii="Arial" w:hAnsi="Arial" w:cs="Arial"/>
          <w:szCs w:val="24"/>
        </w:rPr>
        <w:t>According to Odwaro, et al (2022), s</w:t>
      </w:r>
      <w:r w:rsidR="002F7EF6" w:rsidRPr="008C6744">
        <w:rPr>
          <w:rFonts w:ascii="Arial" w:hAnsi="Arial" w:cs="Arial"/>
          <w:szCs w:val="24"/>
        </w:rPr>
        <w:t>implified organisational structure will require accelerating the execution process along with focusing on the core business operations that are found to be successfully aligned with the highest growth opportunities across several kinds of geographical locations, such as the UK, Hong Kong, Wealth and Premier Banking. Along with the same point in time, sales of non-</w:t>
      </w:r>
      <w:r w:rsidR="002F7EF6" w:rsidRPr="008C6744">
        <w:rPr>
          <w:rFonts w:ascii="Arial" w:hAnsi="Arial" w:cs="Arial"/>
          <w:szCs w:val="24"/>
        </w:rPr>
        <w:lastRenderedPageBreak/>
        <w:t xml:space="preserve">core units, for example, in Singapore insurance manufacturing, will allow towards relocating capital in a more effective manner. </w:t>
      </w:r>
    </w:p>
    <w:p w14:paraId="4CAE9035" w14:textId="2AD54160" w:rsidR="004F7963" w:rsidRPr="008C6744" w:rsidRDefault="00937E9D" w:rsidP="00EB6110">
      <w:pPr>
        <w:pStyle w:val="Heading3"/>
        <w:rPr>
          <w:rFonts w:ascii="Arial" w:hAnsi="Arial" w:cs="Arial"/>
        </w:rPr>
      </w:pPr>
      <w:bookmarkStart w:id="16" w:name="_Toc223606314"/>
      <w:r w:rsidRPr="008C6744">
        <w:rPr>
          <w:rFonts w:ascii="Arial" w:hAnsi="Arial" w:cs="Arial"/>
        </w:rPr>
        <w:t>2.</w:t>
      </w:r>
      <w:r w:rsidR="00EB6110" w:rsidRPr="008C6744">
        <w:rPr>
          <w:rFonts w:ascii="Arial" w:hAnsi="Arial" w:cs="Arial"/>
        </w:rPr>
        <w:t>2.</w:t>
      </w:r>
      <w:r w:rsidRPr="008C6744">
        <w:rPr>
          <w:rFonts w:ascii="Arial" w:hAnsi="Arial" w:cs="Arial"/>
        </w:rPr>
        <w:t xml:space="preserve">3. </w:t>
      </w:r>
      <w:r w:rsidR="002F7EF6" w:rsidRPr="008C6744">
        <w:rPr>
          <w:rFonts w:ascii="Arial" w:hAnsi="Arial" w:cs="Arial"/>
        </w:rPr>
        <w:t>Application of the Ansoff Matrix</w:t>
      </w:r>
      <w:bookmarkEnd w:id="16"/>
    </w:p>
    <w:p w14:paraId="5FDF2296" w14:textId="44FD3227" w:rsidR="00642C46" w:rsidRPr="008C6744" w:rsidRDefault="002F7EF6">
      <w:pPr>
        <w:rPr>
          <w:rFonts w:ascii="Arial" w:hAnsi="Arial" w:cs="Arial"/>
          <w:szCs w:val="24"/>
        </w:rPr>
      </w:pPr>
      <w:r w:rsidRPr="008C6744">
        <w:rPr>
          <w:rFonts w:ascii="Arial" w:hAnsi="Arial" w:cs="Arial"/>
          <w:b/>
          <w:i/>
          <w:szCs w:val="24"/>
        </w:rPr>
        <w:t>Market Development:</w:t>
      </w:r>
      <w:r w:rsidR="00DD63A9" w:rsidRPr="008C6744">
        <w:rPr>
          <w:rFonts w:ascii="Arial" w:hAnsi="Arial" w:cs="Arial"/>
          <w:szCs w:val="24"/>
        </w:rPr>
        <w:t xml:space="preserve"> The market development process was found to be continuous in the ways in which the selected banking institution focused towards creating an ongoing business expansion process across key regions through leveraging global connectivity in order to attract internationally mobile clients</w:t>
      </w:r>
      <w:r w:rsidR="001D192A" w:rsidRPr="008C6744">
        <w:rPr>
          <w:rFonts w:ascii="Arial" w:hAnsi="Arial" w:cs="Arial"/>
          <w:szCs w:val="24"/>
        </w:rPr>
        <w:t xml:space="preserve"> (Kulsume, Saha </w:t>
      </w:r>
      <w:r w:rsidR="008576DB" w:rsidRPr="008C6744">
        <w:rPr>
          <w:rFonts w:ascii="Arial" w:hAnsi="Arial" w:cs="Arial"/>
          <w:szCs w:val="24"/>
        </w:rPr>
        <w:t>and</w:t>
      </w:r>
      <w:r w:rsidR="001D192A" w:rsidRPr="008C6744">
        <w:rPr>
          <w:rFonts w:ascii="Arial" w:hAnsi="Arial" w:cs="Arial"/>
          <w:szCs w:val="24"/>
        </w:rPr>
        <w:t xml:space="preserve"> Sumi, 2025)</w:t>
      </w:r>
      <w:r w:rsidR="00DD63A9" w:rsidRPr="008C6744">
        <w:rPr>
          <w:rFonts w:ascii="Arial" w:hAnsi="Arial" w:cs="Arial"/>
          <w:szCs w:val="24"/>
        </w:rPr>
        <w:t xml:space="preserve">. For example, the expansion and development process will mainly target the emerging nations of the globe, such as the BRICS nations, that have shown as well as maintained a huge potentiality measured in terms of economic aspects. Nevertheless, the scope found open over </w:t>
      </w:r>
      <w:r w:rsidR="00321C5A" w:rsidRPr="008C6744">
        <w:rPr>
          <w:rFonts w:ascii="Arial" w:hAnsi="Arial" w:cs="Arial"/>
          <w:szCs w:val="24"/>
        </w:rPr>
        <w:t xml:space="preserve">both existing and new markets for HSBC. </w:t>
      </w:r>
      <w:r w:rsidR="00DD63A9" w:rsidRPr="008C6744">
        <w:rPr>
          <w:rFonts w:ascii="Arial" w:hAnsi="Arial" w:cs="Arial"/>
          <w:szCs w:val="24"/>
        </w:rPr>
        <w:t xml:space="preserve">                  </w:t>
      </w:r>
    </w:p>
    <w:p w14:paraId="0E3EAC76" w14:textId="77777777" w:rsidR="008E78BB" w:rsidRPr="008C6744" w:rsidRDefault="002F7EF6">
      <w:pPr>
        <w:rPr>
          <w:rFonts w:ascii="Arial" w:hAnsi="Arial" w:cs="Arial"/>
          <w:szCs w:val="24"/>
        </w:rPr>
      </w:pPr>
      <w:r w:rsidRPr="008C6744">
        <w:rPr>
          <w:rFonts w:ascii="Arial" w:hAnsi="Arial" w:cs="Arial"/>
          <w:b/>
          <w:i/>
          <w:szCs w:val="24"/>
        </w:rPr>
        <w:t>Diversification:</w:t>
      </w:r>
      <w:r w:rsidR="004F7963" w:rsidRPr="008C6744">
        <w:rPr>
          <w:rFonts w:ascii="Arial" w:hAnsi="Arial" w:cs="Arial"/>
          <w:szCs w:val="24"/>
        </w:rPr>
        <w:t xml:space="preserve"> </w:t>
      </w:r>
      <w:r w:rsidR="002B0EA9" w:rsidRPr="008C6744">
        <w:rPr>
          <w:rFonts w:ascii="Arial" w:hAnsi="Arial" w:cs="Arial"/>
          <w:szCs w:val="24"/>
        </w:rPr>
        <w:t>The diversification will begin with the withdrawal from the border regions where the profitability aspects are found to be limited in certain ways</w:t>
      </w:r>
      <w:r w:rsidR="001D192A" w:rsidRPr="008C6744">
        <w:rPr>
          <w:rFonts w:ascii="Arial" w:hAnsi="Arial" w:cs="Arial"/>
          <w:szCs w:val="24"/>
        </w:rPr>
        <w:t xml:space="preserve"> (Kovacevic, Radenkovic </w:t>
      </w:r>
      <w:r w:rsidR="008576DB" w:rsidRPr="008C6744">
        <w:rPr>
          <w:rFonts w:ascii="Arial" w:hAnsi="Arial" w:cs="Arial"/>
          <w:szCs w:val="24"/>
        </w:rPr>
        <w:t>and</w:t>
      </w:r>
      <w:r w:rsidR="001D192A" w:rsidRPr="008C6744">
        <w:rPr>
          <w:rFonts w:ascii="Arial" w:hAnsi="Arial" w:cs="Arial"/>
          <w:szCs w:val="24"/>
        </w:rPr>
        <w:t xml:space="preserve"> Nikolic, 2024)</w:t>
      </w:r>
      <w:r w:rsidR="002B0EA9" w:rsidRPr="008C6744">
        <w:rPr>
          <w:rFonts w:ascii="Arial" w:hAnsi="Arial" w:cs="Arial"/>
          <w:szCs w:val="24"/>
        </w:rPr>
        <w:t xml:space="preserve">. Therefore, the management of the selected financial </w:t>
      </w:r>
      <w:r w:rsidR="00517C00" w:rsidRPr="008C6744">
        <w:rPr>
          <w:rFonts w:ascii="Arial" w:hAnsi="Arial" w:cs="Arial"/>
          <w:szCs w:val="24"/>
        </w:rPr>
        <w:t xml:space="preserve">institution </w:t>
      </w:r>
      <w:r w:rsidR="00EA47ED" w:rsidRPr="008C6744">
        <w:rPr>
          <w:rFonts w:ascii="Arial" w:hAnsi="Arial" w:cs="Arial"/>
          <w:szCs w:val="24"/>
        </w:rPr>
        <w:t xml:space="preserve">must focus towards structuring or adding </w:t>
      </w:r>
      <w:r w:rsidRPr="008C6744">
        <w:rPr>
          <w:rFonts w:ascii="Arial" w:hAnsi="Arial" w:cs="Arial"/>
          <w:szCs w:val="24"/>
        </w:rPr>
        <w:t>efforts on fast-growth economic corridors such as India and China.</w:t>
      </w:r>
    </w:p>
    <w:p w14:paraId="156AE7C9" w14:textId="77777777" w:rsidR="00F1602B" w:rsidRPr="008C6744" w:rsidRDefault="00F1602B" w:rsidP="002A1E57">
      <w:pPr>
        <w:spacing w:line="276" w:lineRule="auto"/>
        <w:jc w:val="center"/>
        <w:rPr>
          <w:rFonts w:ascii="Arial" w:hAnsi="Arial" w:cs="Arial"/>
        </w:rPr>
      </w:pPr>
      <w:r w:rsidRPr="008C6744">
        <w:rPr>
          <w:rFonts w:ascii="Arial" w:hAnsi="Arial" w:cs="Arial"/>
          <w:noProof/>
          <w:lang w:val="en-US" w:eastAsia="en-US"/>
        </w:rPr>
        <w:drawing>
          <wp:inline distT="0" distB="0" distL="0" distR="0" wp14:anchorId="495683FD" wp14:editId="080881C5">
            <wp:extent cx="5734050" cy="3190875"/>
            <wp:effectExtent l="19050" t="1905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srcRect/>
                    <a:stretch>
                      <a:fillRect/>
                    </a:stretch>
                  </pic:blipFill>
                  <pic:spPr bwMode="auto">
                    <a:xfrm>
                      <a:off x="0" y="0"/>
                      <a:ext cx="5734050" cy="3190875"/>
                    </a:xfrm>
                    <a:prstGeom prst="rect">
                      <a:avLst/>
                    </a:prstGeom>
                    <a:noFill/>
                    <a:ln w="9525">
                      <a:solidFill>
                        <a:schemeClr val="bg1">
                          <a:lumMod val="75000"/>
                        </a:schemeClr>
                      </a:solidFill>
                      <a:miter lim="800000"/>
                      <a:headEnd/>
                      <a:tailEnd/>
                    </a:ln>
                  </pic:spPr>
                </pic:pic>
              </a:graphicData>
            </a:graphic>
          </wp:inline>
        </w:drawing>
      </w:r>
    </w:p>
    <w:p w14:paraId="414AD759" w14:textId="0CD34045" w:rsidR="002A1E57" w:rsidRPr="008C6744" w:rsidRDefault="002A1E57" w:rsidP="002A1E57">
      <w:pPr>
        <w:spacing w:line="276" w:lineRule="auto"/>
        <w:jc w:val="center"/>
        <w:rPr>
          <w:rFonts w:ascii="Arial" w:hAnsi="Arial" w:cs="Arial"/>
          <w:b/>
          <w:szCs w:val="20"/>
        </w:rPr>
      </w:pPr>
      <w:r w:rsidRPr="008C6744">
        <w:rPr>
          <w:rFonts w:ascii="Arial" w:hAnsi="Arial" w:cs="Arial"/>
          <w:b/>
          <w:szCs w:val="20"/>
        </w:rPr>
        <w:t xml:space="preserve">Figure </w:t>
      </w:r>
      <w:r w:rsidR="00EB6110" w:rsidRPr="008C6744">
        <w:rPr>
          <w:rFonts w:ascii="Arial" w:hAnsi="Arial" w:cs="Arial"/>
          <w:b/>
          <w:szCs w:val="20"/>
        </w:rPr>
        <w:t>4</w:t>
      </w:r>
      <w:r w:rsidRPr="008C6744">
        <w:rPr>
          <w:rFonts w:ascii="Arial" w:hAnsi="Arial" w:cs="Arial"/>
          <w:b/>
          <w:szCs w:val="20"/>
        </w:rPr>
        <w:t>: Ansoff Matrix Framework</w:t>
      </w:r>
    </w:p>
    <w:p w14:paraId="6F343630" w14:textId="1BEEE1F0" w:rsidR="002A1E57" w:rsidRPr="008C6744" w:rsidRDefault="002A1E57" w:rsidP="002A1E57">
      <w:pPr>
        <w:spacing w:line="276" w:lineRule="auto"/>
        <w:jc w:val="center"/>
        <w:rPr>
          <w:rFonts w:ascii="Arial" w:hAnsi="Arial" w:cs="Arial"/>
        </w:rPr>
      </w:pPr>
      <w:r w:rsidRPr="008C6744">
        <w:rPr>
          <w:rFonts w:ascii="Arial" w:hAnsi="Arial" w:cs="Arial"/>
        </w:rPr>
        <w:t xml:space="preserve">(Source: </w:t>
      </w:r>
      <w:r w:rsidR="00937E9D" w:rsidRPr="008C6744">
        <w:rPr>
          <w:rFonts w:ascii="Arial" w:hAnsi="Arial" w:cs="Arial"/>
        </w:rPr>
        <w:t>Self-Created</w:t>
      </w:r>
      <w:r w:rsidRPr="008C6744">
        <w:rPr>
          <w:rFonts w:ascii="Arial" w:hAnsi="Arial" w:cs="Arial"/>
        </w:rPr>
        <w:t>)</w:t>
      </w:r>
    </w:p>
    <w:p w14:paraId="5E59F48D" w14:textId="7EAC34A5" w:rsidR="00EB6110" w:rsidRPr="008C6744" w:rsidRDefault="002F7EF6" w:rsidP="00EB6110">
      <w:pPr>
        <w:rPr>
          <w:rFonts w:ascii="Arial" w:hAnsi="Arial" w:cs="Arial"/>
        </w:rPr>
      </w:pPr>
      <w:r w:rsidRPr="008C6744">
        <w:rPr>
          <w:rFonts w:ascii="Arial" w:hAnsi="Arial" w:cs="Arial"/>
          <w:b/>
          <w:i/>
          <w:szCs w:val="20"/>
        </w:rPr>
        <w:lastRenderedPageBreak/>
        <w:t>Assessment:</w:t>
      </w:r>
      <w:r w:rsidRPr="008C6744">
        <w:rPr>
          <w:rFonts w:ascii="Arial" w:hAnsi="Arial" w:cs="Arial"/>
          <w:szCs w:val="20"/>
        </w:rPr>
        <w:t xml:space="preserve"> </w:t>
      </w:r>
      <w:r w:rsidRPr="008C6744">
        <w:rPr>
          <w:rFonts w:ascii="Arial" w:hAnsi="Arial" w:cs="Arial"/>
          <w:sz w:val="22"/>
          <w:szCs w:val="20"/>
        </w:rPr>
        <w:t>T</w:t>
      </w:r>
      <w:r w:rsidRPr="008C6744">
        <w:rPr>
          <w:rFonts w:ascii="Arial" w:hAnsi="Arial" w:cs="Arial"/>
        </w:rPr>
        <w:t xml:space="preserve">he </w:t>
      </w:r>
      <w:r w:rsidR="00EB6110" w:rsidRPr="008C6744">
        <w:rPr>
          <w:rFonts w:ascii="Arial" w:hAnsi="Arial" w:cs="Arial"/>
        </w:rPr>
        <w:t>above-mentioned</w:t>
      </w:r>
      <w:r w:rsidRPr="008C6744">
        <w:rPr>
          <w:rFonts w:ascii="Arial" w:hAnsi="Arial" w:cs="Arial"/>
        </w:rPr>
        <w:t xml:space="preserve"> strategy supports growth through specifying the ongoing as well as current strategies through creating and determining the right point of execution aligned with market focus and diversification</w:t>
      </w:r>
      <w:r w:rsidR="001D192A" w:rsidRPr="008C6744">
        <w:rPr>
          <w:rFonts w:ascii="Arial" w:hAnsi="Arial" w:cs="Arial"/>
        </w:rPr>
        <w:t xml:space="preserve"> (Jameaba, 2025)</w:t>
      </w:r>
      <w:r w:rsidRPr="008C6744">
        <w:rPr>
          <w:rFonts w:ascii="Arial" w:hAnsi="Arial" w:cs="Arial"/>
        </w:rPr>
        <w:t xml:space="preserve">. For example, mitigating economic threats by reallocating resources towards creating aspects with overlapping markets, HSBC will maintain a defined competitive edge.  </w:t>
      </w:r>
    </w:p>
    <w:p w14:paraId="16333D30" w14:textId="7FBF0619" w:rsidR="00DA5121" w:rsidRPr="008C6744" w:rsidRDefault="002F7EF6" w:rsidP="00EB6110">
      <w:pPr>
        <w:rPr>
          <w:rFonts w:ascii="Arial" w:hAnsi="Arial" w:cs="Arial"/>
          <w:b/>
          <w:bCs/>
          <w:i/>
          <w:iCs/>
        </w:rPr>
      </w:pPr>
      <w:r w:rsidRPr="008C6744">
        <w:rPr>
          <w:rFonts w:ascii="Arial" w:hAnsi="Arial" w:cs="Arial"/>
          <w:b/>
          <w:bCs/>
          <w:i/>
          <w:iCs/>
        </w:rPr>
        <w:t>Digital and Innovation-Led Transformation</w:t>
      </w:r>
    </w:p>
    <w:p w14:paraId="46BF1A6D" w14:textId="77777777" w:rsidR="002454E7" w:rsidRPr="008C6744" w:rsidRDefault="002F7EF6">
      <w:pPr>
        <w:rPr>
          <w:rFonts w:ascii="Arial" w:hAnsi="Arial" w:cs="Arial"/>
        </w:rPr>
      </w:pPr>
      <w:r w:rsidRPr="008C6744">
        <w:rPr>
          <w:rFonts w:ascii="Arial" w:hAnsi="Arial" w:cs="Arial"/>
        </w:rPr>
        <w:t>Strategic Focus: HSBC, under the mentioned circumstances, will have the options as well as the potentiality towards significantly invest in digital innovation such as AI, embedded banking solutions, tokenised transactions, and global merchant platforms.</w:t>
      </w:r>
    </w:p>
    <w:p w14:paraId="2C65A615" w14:textId="77777777" w:rsidR="00B34280" w:rsidRPr="008C6744" w:rsidRDefault="002F7EF6" w:rsidP="00EB6110">
      <w:pPr>
        <w:rPr>
          <w:rFonts w:ascii="Arial" w:hAnsi="Arial" w:cs="Arial"/>
          <w:b/>
          <w:bCs/>
          <w:i/>
          <w:iCs/>
        </w:rPr>
      </w:pPr>
      <w:r w:rsidRPr="008C6744">
        <w:rPr>
          <w:rFonts w:ascii="Arial" w:hAnsi="Arial" w:cs="Arial"/>
          <w:b/>
          <w:bCs/>
          <w:i/>
          <w:iCs/>
        </w:rPr>
        <w:t>Implementation:</w:t>
      </w:r>
    </w:p>
    <w:p w14:paraId="52A14F57" w14:textId="77777777" w:rsidR="00C14395" w:rsidRPr="008C6744" w:rsidRDefault="001D192A">
      <w:pPr>
        <w:rPr>
          <w:rFonts w:ascii="Arial" w:hAnsi="Arial" w:cs="Arial"/>
        </w:rPr>
      </w:pPr>
      <w:r w:rsidRPr="008C6744">
        <w:rPr>
          <w:rFonts w:ascii="Arial" w:hAnsi="Arial" w:cs="Arial"/>
        </w:rPr>
        <w:t>According to Hortega et al., (2025), f</w:t>
      </w:r>
      <w:r w:rsidR="002F7EF6" w:rsidRPr="008C6744">
        <w:rPr>
          <w:rFonts w:ascii="Arial" w:hAnsi="Arial" w:cs="Arial"/>
        </w:rPr>
        <w:t>ocusing on creating the right implementation process will evolve the ongoing proceedings, where the effectiveness of platform innovation, such as Omni Collect and blockchain-enabled cross-border services, along with digital asset platforms such as tokenised deposits and digital bonds, will create as one of the considerable amount of impact. On the other hand, digital application enhancements through specifying personalised AI banking tools will open up new opportunities towards strengthen customer engagement strategies</w:t>
      </w:r>
      <w:r w:rsidR="008B3821" w:rsidRPr="008C6744">
        <w:rPr>
          <w:rFonts w:ascii="Arial" w:hAnsi="Arial" w:cs="Arial"/>
        </w:rPr>
        <w:t xml:space="preserve"> in the best possible manner. </w:t>
      </w:r>
    </w:p>
    <w:p w14:paraId="116DA309" w14:textId="475E86D9" w:rsidR="00EB6592" w:rsidRPr="008C6744" w:rsidRDefault="00EB6110" w:rsidP="00EB6110">
      <w:pPr>
        <w:pStyle w:val="Heading3"/>
        <w:rPr>
          <w:rFonts w:ascii="Arial" w:hAnsi="Arial" w:cs="Arial"/>
        </w:rPr>
      </w:pPr>
      <w:bookmarkStart w:id="17" w:name="_Toc223606315"/>
      <w:r w:rsidRPr="008C6744">
        <w:rPr>
          <w:rFonts w:ascii="Arial" w:hAnsi="Arial" w:cs="Arial"/>
        </w:rPr>
        <w:t xml:space="preserve">2.2.4. </w:t>
      </w:r>
      <w:r w:rsidR="002F7EF6" w:rsidRPr="008C6744">
        <w:rPr>
          <w:rFonts w:ascii="Arial" w:hAnsi="Arial" w:cs="Arial"/>
        </w:rPr>
        <w:t>Porter’s Genetic Strategy:</w:t>
      </w:r>
      <w:bookmarkEnd w:id="17"/>
      <w:r w:rsidR="002F7EF6" w:rsidRPr="008C6744">
        <w:rPr>
          <w:rFonts w:ascii="Arial" w:hAnsi="Arial" w:cs="Arial"/>
        </w:rPr>
        <w:t xml:space="preserve"> </w:t>
      </w:r>
    </w:p>
    <w:p w14:paraId="36144F5C" w14:textId="77777777" w:rsidR="00AE753C" w:rsidRPr="008C6744" w:rsidRDefault="00EB6592">
      <w:pPr>
        <w:rPr>
          <w:rFonts w:ascii="Arial" w:hAnsi="Arial" w:cs="Arial"/>
          <w:szCs w:val="24"/>
        </w:rPr>
      </w:pPr>
      <w:r w:rsidRPr="008C6744">
        <w:rPr>
          <w:rFonts w:ascii="Arial" w:hAnsi="Arial" w:cs="Arial"/>
          <w:b/>
          <w:i/>
          <w:szCs w:val="24"/>
        </w:rPr>
        <w:t>Differentiation Focus:</w:t>
      </w:r>
      <w:r w:rsidRPr="008C6744">
        <w:rPr>
          <w:rFonts w:ascii="Arial" w:hAnsi="Arial" w:cs="Arial"/>
          <w:szCs w:val="24"/>
        </w:rPr>
        <w:t xml:space="preserve"> </w:t>
      </w:r>
      <w:r w:rsidR="002F7EF6" w:rsidRPr="008C6744">
        <w:rPr>
          <w:rFonts w:ascii="Arial" w:hAnsi="Arial" w:cs="Arial"/>
          <w:szCs w:val="24"/>
        </w:rPr>
        <w:t xml:space="preserve">Out of the various quarters of the selected theory, the suitable quarter will be the differentiation quarter </w:t>
      </w:r>
      <w:r w:rsidR="005C2B15" w:rsidRPr="008C6744">
        <w:rPr>
          <w:rFonts w:ascii="Arial" w:hAnsi="Arial" w:cs="Arial"/>
          <w:szCs w:val="24"/>
        </w:rPr>
        <w:t xml:space="preserve">or aspects where the mentioned financial institution successfully positioned </w:t>
      </w:r>
      <w:r w:rsidR="00EE5AAB" w:rsidRPr="008C6744">
        <w:rPr>
          <w:rFonts w:ascii="Arial" w:hAnsi="Arial" w:cs="Arial"/>
          <w:szCs w:val="24"/>
        </w:rPr>
        <w:t>itself through advanced digital services that are highly emphasised over global connectivity and cross-border capability</w:t>
      </w:r>
      <w:r w:rsidR="001D192A" w:rsidRPr="008C6744">
        <w:rPr>
          <w:rFonts w:ascii="Arial" w:hAnsi="Arial" w:cs="Arial"/>
          <w:szCs w:val="24"/>
        </w:rPr>
        <w:t xml:space="preserve"> (Hasan, Hoque </w:t>
      </w:r>
      <w:r w:rsidR="008576DB" w:rsidRPr="008C6744">
        <w:rPr>
          <w:rFonts w:ascii="Arial" w:hAnsi="Arial" w:cs="Arial"/>
          <w:szCs w:val="24"/>
        </w:rPr>
        <w:t>and</w:t>
      </w:r>
      <w:r w:rsidR="001D192A" w:rsidRPr="008C6744">
        <w:rPr>
          <w:rFonts w:ascii="Arial" w:hAnsi="Arial" w:cs="Arial"/>
          <w:szCs w:val="24"/>
        </w:rPr>
        <w:t xml:space="preserve"> Le, 2023)</w:t>
      </w:r>
      <w:r w:rsidR="00EE5AAB" w:rsidRPr="008C6744">
        <w:rPr>
          <w:rFonts w:ascii="Arial" w:hAnsi="Arial" w:cs="Arial"/>
          <w:szCs w:val="24"/>
        </w:rPr>
        <w:t xml:space="preserve">. The context found appealing </w:t>
      </w:r>
      <w:r w:rsidR="002F7EF6" w:rsidRPr="008C6744">
        <w:rPr>
          <w:rFonts w:ascii="Arial" w:hAnsi="Arial" w:cs="Arial"/>
          <w:szCs w:val="24"/>
        </w:rPr>
        <w:t xml:space="preserve">towards assessing the multinational customers over domestic banking rivals. </w:t>
      </w:r>
    </w:p>
    <w:p w14:paraId="44355403" w14:textId="77777777" w:rsidR="00B026FE" w:rsidRPr="008C6744" w:rsidRDefault="002F7EF6">
      <w:pPr>
        <w:rPr>
          <w:rFonts w:ascii="Arial" w:hAnsi="Arial" w:cs="Arial"/>
          <w:szCs w:val="24"/>
        </w:rPr>
      </w:pPr>
      <w:r w:rsidRPr="008C6744">
        <w:rPr>
          <w:rFonts w:ascii="Arial" w:hAnsi="Arial" w:cs="Arial"/>
          <w:b/>
          <w:i/>
          <w:szCs w:val="24"/>
        </w:rPr>
        <w:t>Assessment:</w:t>
      </w:r>
      <w:r w:rsidRPr="008C6744">
        <w:rPr>
          <w:rFonts w:ascii="Arial" w:hAnsi="Arial" w:cs="Arial"/>
          <w:szCs w:val="24"/>
        </w:rPr>
        <w:t xml:space="preserve"> HSBC’s with its differentiation strategy will ensure as well as</w:t>
      </w:r>
      <w:r w:rsidR="00FE2B9D" w:rsidRPr="008C6744">
        <w:rPr>
          <w:rFonts w:ascii="Arial" w:hAnsi="Arial" w:cs="Arial"/>
          <w:szCs w:val="24"/>
        </w:rPr>
        <w:t xml:space="preserve"> specify the ongoing attributers aligned with the digital services that will create the required emphasis on global connectivity and cross border capability found appealing across multinational customer over domestic banking rivals considering the fact </w:t>
      </w:r>
      <w:r w:rsidRPr="008C6744">
        <w:rPr>
          <w:rFonts w:ascii="Arial" w:hAnsi="Arial" w:cs="Arial"/>
          <w:szCs w:val="24"/>
        </w:rPr>
        <w:t>of the raising level in competition</w:t>
      </w:r>
      <w:r w:rsidR="001D192A" w:rsidRPr="008C6744">
        <w:rPr>
          <w:rFonts w:ascii="Arial" w:hAnsi="Arial" w:cs="Arial"/>
          <w:szCs w:val="24"/>
        </w:rPr>
        <w:t xml:space="preserve"> (Grijalvo </w:t>
      </w:r>
      <w:r w:rsidR="008576DB" w:rsidRPr="008C6744">
        <w:rPr>
          <w:rFonts w:ascii="Arial" w:hAnsi="Arial" w:cs="Arial"/>
          <w:szCs w:val="24"/>
        </w:rPr>
        <w:t>and</w:t>
      </w:r>
      <w:r w:rsidR="001D192A" w:rsidRPr="008C6744">
        <w:rPr>
          <w:rFonts w:ascii="Arial" w:hAnsi="Arial" w:cs="Arial"/>
          <w:szCs w:val="24"/>
        </w:rPr>
        <w:t xml:space="preserve"> García-Wang, 2023)</w:t>
      </w:r>
      <w:r w:rsidRPr="008C6744">
        <w:rPr>
          <w:rFonts w:ascii="Arial" w:hAnsi="Arial" w:cs="Arial"/>
          <w:szCs w:val="24"/>
        </w:rPr>
        <w:t xml:space="preserve">. Along with the same point in time, the differentiation strategy will secure the necessary competitive edge </w:t>
      </w:r>
      <w:r w:rsidRPr="008C6744">
        <w:rPr>
          <w:rFonts w:ascii="Arial" w:hAnsi="Arial" w:cs="Arial"/>
          <w:szCs w:val="24"/>
        </w:rPr>
        <w:lastRenderedPageBreak/>
        <w:t xml:space="preserve">through offering that competitors cannot replicate at the same scale, thereby enhancing both customer retention and revenue potential.  </w:t>
      </w:r>
    </w:p>
    <w:p w14:paraId="4CE4DDE4" w14:textId="031CFC2A" w:rsidR="00B026FE" w:rsidRPr="008C6744" w:rsidRDefault="00EB6110" w:rsidP="00E870D1">
      <w:pPr>
        <w:pStyle w:val="Heading2"/>
        <w:rPr>
          <w:rFonts w:ascii="Arial" w:hAnsi="Arial" w:cs="Arial"/>
        </w:rPr>
      </w:pPr>
      <w:bookmarkStart w:id="18" w:name="_Toc223606316"/>
      <w:r w:rsidRPr="008C6744">
        <w:rPr>
          <w:rFonts w:ascii="Arial" w:hAnsi="Arial" w:cs="Arial"/>
        </w:rPr>
        <w:t>2.</w:t>
      </w:r>
      <w:r w:rsidR="002F7EF6" w:rsidRPr="008C6744">
        <w:rPr>
          <w:rFonts w:ascii="Arial" w:hAnsi="Arial" w:cs="Arial"/>
        </w:rPr>
        <w:t>3. Barclays’ Strategic Responses</w:t>
      </w:r>
      <w:bookmarkEnd w:id="18"/>
    </w:p>
    <w:p w14:paraId="032155C3" w14:textId="242EF4AD" w:rsidR="00B026FE" w:rsidRPr="008C6744" w:rsidRDefault="00EB6110" w:rsidP="00C15AB6">
      <w:pPr>
        <w:pStyle w:val="Heading3"/>
        <w:rPr>
          <w:rFonts w:ascii="Arial" w:hAnsi="Arial" w:cs="Arial"/>
        </w:rPr>
      </w:pPr>
      <w:bookmarkStart w:id="19" w:name="_Toc223606317"/>
      <w:r w:rsidRPr="008C6744">
        <w:rPr>
          <w:rFonts w:ascii="Arial" w:hAnsi="Arial" w:cs="Arial"/>
        </w:rPr>
        <w:t xml:space="preserve">2.3.1. </w:t>
      </w:r>
      <w:r w:rsidR="002F7EF6" w:rsidRPr="008C6744">
        <w:rPr>
          <w:rFonts w:ascii="Arial" w:hAnsi="Arial" w:cs="Arial"/>
        </w:rPr>
        <w:t>Operational Efficiency and Domestic Focus</w:t>
      </w:r>
      <w:bookmarkEnd w:id="19"/>
    </w:p>
    <w:p w14:paraId="30E3DCD4" w14:textId="77777777" w:rsidR="0023177B" w:rsidRPr="008C6744" w:rsidRDefault="002F7EF6">
      <w:pPr>
        <w:rPr>
          <w:rFonts w:ascii="Arial" w:hAnsi="Arial" w:cs="Arial"/>
        </w:rPr>
      </w:pPr>
      <w:r w:rsidRPr="008C6744">
        <w:rPr>
          <w:rFonts w:ascii="Arial" w:hAnsi="Arial" w:cs="Arial"/>
          <w:b/>
          <w:i/>
          <w:szCs w:val="20"/>
        </w:rPr>
        <w:t>Strategic Focus:</w:t>
      </w:r>
      <w:r w:rsidRPr="008C6744">
        <w:rPr>
          <w:rFonts w:ascii="Arial" w:hAnsi="Arial" w:cs="Arial"/>
          <w:szCs w:val="20"/>
        </w:rPr>
        <w:t xml:space="preserve"> </w:t>
      </w:r>
      <w:r w:rsidRPr="008C6744">
        <w:rPr>
          <w:rFonts w:ascii="Arial" w:hAnsi="Arial" w:cs="Arial"/>
        </w:rPr>
        <w:t xml:space="preserve">The strategic focus aligned with specifying the business aspects of </w:t>
      </w:r>
      <w:r w:rsidR="008E7483" w:rsidRPr="008C6744">
        <w:rPr>
          <w:rFonts w:ascii="Arial" w:hAnsi="Arial" w:cs="Arial"/>
        </w:rPr>
        <w:t xml:space="preserve">Barclays, found in executing a disciplined </w:t>
      </w:r>
      <w:r w:rsidR="00EF2E43" w:rsidRPr="008C6744">
        <w:rPr>
          <w:rFonts w:ascii="Arial" w:hAnsi="Arial" w:cs="Arial"/>
        </w:rPr>
        <w:t>transformation plan through creating and speci</w:t>
      </w:r>
      <w:r w:rsidRPr="008C6744">
        <w:rPr>
          <w:rFonts w:ascii="Arial" w:hAnsi="Arial" w:cs="Arial"/>
        </w:rPr>
        <w:t xml:space="preserve">fying operational efficiency, along with assessing risk-weighted asset rebalancing toward higher-return UK businesses, and shareholder returns. </w:t>
      </w:r>
    </w:p>
    <w:p w14:paraId="309B7355" w14:textId="77777777" w:rsidR="0023177B" w:rsidRPr="008C6744" w:rsidRDefault="002F7EF6" w:rsidP="00EB6110">
      <w:pPr>
        <w:rPr>
          <w:rFonts w:ascii="Arial" w:hAnsi="Arial" w:cs="Arial"/>
          <w:b/>
          <w:bCs/>
          <w:i/>
          <w:iCs/>
        </w:rPr>
      </w:pPr>
      <w:r w:rsidRPr="008C6744">
        <w:rPr>
          <w:rFonts w:ascii="Arial" w:hAnsi="Arial" w:cs="Arial"/>
          <w:b/>
          <w:bCs/>
          <w:i/>
          <w:iCs/>
        </w:rPr>
        <w:t>Implementation</w:t>
      </w:r>
    </w:p>
    <w:p w14:paraId="56A444D7" w14:textId="77777777" w:rsidR="007A44FB" w:rsidRPr="008C6744" w:rsidRDefault="002F7EF6">
      <w:pPr>
        <w:rPr>
          <w:rFonts w:ascii="Arial" w:hAnsi="Arial" w:cs="Arial"/>
        </w:rPr>
      </w:pPr>
      <w:r w:rsidRPr="008C6744">
        <w:rPr>
          <w:rFonts w:ascii="Arial" w:hAnsi="Arial" w:cs="Arial"/>
        </w:rPr>
        <w:t xml:space="preserve">The implementation process will begin by creating and specifying RWA for higher return businesses, as well as enhancing Net Interest Income (NII) stability. Alongside specifically addressing cost discipline in order to improve cost to income ratio, as well as retention of the shareholders' trust, measured at the highest potential level. </w:t>
      </w:r>
    </w:p>
    <w:p w14:paraId="76F1D873" w14:textId="452A7831" w:rsidR="00EB6592" w:rsidRPr="008C6744" w:rsidRDefault="00EB6110" w:rsidP="00EB6110">
      <w:pPr>
        <w:pStyle w:val="Heading3"/>
        <w:rPr>
          <w:rFonts w:ascii="Arial" w:hAnsi="Arial" w:cs="Arial"/>
        </w:rPr>
      </w:pPr>
      <w:bookmarkStart w:id="20" w:name="_Toc223606318"/>
      <w:r w:rsidRPr="008C6744">
        <w:rPr>
          <w:rFonts w:ascii="Arial" w:hAnsi="Arial" w:cs="Arial"/>
        </w:rPr>
        <w:t xml:space="preserve">2.3.2. </w:t>
      </w:r>
      <w:r w:rsidR="002F7EF6" w:rsidRPr="008C6744">
        <w:rPr>
          <w:rFonts w:ascii="Arial" w:hAnsi="Arial" w:cs="Arial"/>
        </w:rPr>
        <w:t>Ansoff Matrix Application:</w:t>
      </w:r>
      <w:bookmarkEnd w:id="20"/>
      <w:r w:rsidR="002F7EF6" w:rsidRPr="008C6744">
        <w:rPr>
          <w:rFonts w:ascii="Arial" w:hAnsi="Arial" w:cs="Arial"/>
        </w:rPr>
        <w:t xml:space="preserve"> </w:t>
      </w:r>
    </w:p>
    <w:p w14:paraId="3709A6A5" w14:textId="77777777" w:rsidR="00466038" w:rsidRPr="008C6744" w:rsidRDefault="00EB6592">
      <w:pPr>
        <w:rPr>
          <w:rFonts w:ascii="Arial" w:hAnsi="Arial" w:cs="Arial"/>
        </w:rPr>
      </w:pPr>
      <w:r w:rsidRPr="008C6744">
        <w:rPr>
          <w:rFonts w:ascii="Arial" w:hAnsi="Arial" w:cs="Arial"/>
          <w:b/>
          <w:i/>
          <w:szCs w:val="20"/>
        </w:rPr>
        <w:t>Market Penetration</w:t>
      </w:r>
      <w:r w:rsidRPr="008C6744">
        <w:rPr>
          <w:rFonts w:ascii="Arial" w:hAnsi="Arial" w:cs="Arial"/>
          <w:b/>
          <w:i/>
          <w:sz w:val="28"/>
        </w:rPr>
        <w:t>:</w:t>
      </w:r>
      <w:r w:rsidRPr="008C6744">
        <w:rPr>
          <w:rFonts w:ascii="Arial" w:hAnsi="Arial" w:cs="Arial"/>
          <w:sz w:val="28"/>
        </w:rPr>
        <w:t xml:space="preserve"> </w:t>
      </w:r>
      <w:r w:rsidR="002F7EF6" w:rsidRPr="008C6744">
        <w:rPr>
          <w:rFonts w:ascii="Arial" w:hAnsi="Arial" w:cs="Arial"/>
        </w:rPr>
        <w:t>The application of the selected theoretical framework will look forward through creating as well as determine the right point of execution aligned with assessing the current market positioning for Barclays</w:t>
      </w:r>
      <w:r w:rsidR="001D192A" w:rsidRPr="008C6744">
        <w:rPr>
          <w:rFonts w:ascii="Arial" w:hAnsi="Arial" w:cs="Arial"/>
        </w:rPr>
        <w:t xml:space="preserve"> (Gaviyau </w:t>
      </w:r>
      <w:r w:rsidR="008576DB" w:rsidRPr="008C6744">
        <w:rPr>
          <w:rFonts w:ascii="Arial" w:hAnsi="Arial" w:cs="Arial"/>
        </w:rPr>
        <w:t>and</w:t>
      </w:r>
      <w:r w:rsidR="001D192A" w:rsidRPr="008C6744">
        <w:rPr>
          <w:rFonts w:ascii="Arial" w:hAnsi="Arial" w:cs="Arial"/>
        </w:rPr>
        <w:t xml:space="preserve"> Godi, 2025)</w:t>
      </w:r>
      <w:r w:rsidR="002F7EF6" w:rsidRPr="008C6744">
        <w:rPr>
          <w:rFonts w:ascii="Arial" w:hAnsi="Arial" w:cs="Arial"/>
        </w:rPr>
        <w:t>. Barclays is intensifying towards penetrating in existing markets through enhancing both product and service delivery within the UK financial ecosystem, as well as deepening existing client relationships, measured at the highest potential level</w:t>
      </w:r>
      <w:r w:rsidR="001D192A" w:rsidRPr="008C6744">
        <w:rPr>
          <w:rFonts w:ascii="Arial" w:hAnsi="Arial" w:cs="Arial"/>
        </w:rPr>
        <w:t xml:space="preserve"> (Hortega, et al., 2025)</w:t>
      </w:r>
      <w:r w:rsidR="002F7EF6" w:rsidRPr="008C6744">
        <w:rPr>
          <w:rFonts w:ascii="Arial" w:hAnsi="Arial" w:cs="Arial"/>
        </w:rPr>
        <w:t xml:space="preserve">.            </w:t>
      </w:r>
    </w:p>
    <w:p w14:paraId="084ACCF4" w14:textId="77777777" w:rsidR="00466038" w:rsidRPr="008C6744" w:rsidRDefault="002F7EF6">
      <w:pPr>
        <w:rPr>
          <w:rFonts w:ascii="Arial" w:hAnsi="Arial" w:cs="Arial"/>
        </w:rPr>
      </w:pPr>
      <w:r w:rsidRPr="008C6744">
        <w:rPr>
          <w:rFonts w:ascii="Arial" w:hAnsi="Arial" w:cs="Arial"/>
          <w:b/>
          <w:i/>
          <w:szCs w:val="20"/>
        </w:rPr>
        <w:t>Assessment</w:t>
      </w:r>
      <w:r w:rsidRPr="008C6744">
        <w:rPr>
          <w:rFonts w:ascii="Arial" w:hAnsi="Arial" w:cs="Arial"/>
          <w:b/>
          <w:i/>
          <w:sz w:val="28"/>
        </w:rPr>
        <w:t>:</w:t>
      </w:r>
      <w:r w:rsidRPr="008C6744">
        <w:rPr>
          <w:rFonts w:ascii="Arial" w:hAnsi="Arial" w:cs="Arial"/>
          <w:sz w:val="28"/>
        </w:rPr>
        <w:t xml:space="preserve"> </w:t>
      </w:r>
      <w:r w:rsidRPr="008C6744">
        <w:rPr>
          <w:rFonts w:ascii="Arial" w:hAnsi="Arial" w:cs="Arial"/>
        </w:rPr>
        <w:t>Barclays, with its consolidation in its domestic market, strongly explored and redefined its business mix, where Barclays' business strategy will clearly emphasise the efficiency level, as well as fostering sustained profitability within established markets aligned with its followers' profile.</w:t>
      </w:r>
    </w:p>
    <w:p w14:paraId="38A56B48" w14:textId="77777777" w:rsidR="00466038" w:rsidRPr="008C6744" w:rsidRDefault="002F7EF6" w:rsidP="00EB6110">
      <w:pPr>
        <w:rPr>
          <w:rFonts w:ascii="Arial" w:hAnsi="Arial" w:cs="Arial"/>
          <w:b/>
          <w:bCs/>
          <w:i/>
          <w:iCs/>
        </w:rPr>
      </w:pPr>
      <w:r w:rsidRPr="008C6744">
        <w:rPr>
          <w:rFonts w:ascii="Arial" w:hAnsi="Arial" w:cs="Arial"/>
          <w:b/>
          <w:bCs/>
          <w:i/>
          <w:iCs/>
        </w:rPr>
        <w:t>Digital Innovation and FinTech Integration</w:t>
      </w:r>
    </w:p>
    <w:p w14:paraId="3D117D4D" w14:textId="77777777" w:rsidR="00237025" w:rsidRPr="008C6744" w:rsidRDefault="002F7EF6">
      <w:pPr>
        <w:rPr>
          <w:rFonts w:ascii="Arial" w:hAnsi="Arial" w:cs="Arial"/>
        </w:rPr>
      </w:pPr>
      <w:r w:rsidRPr="008C6744">
        <w:rPr>
          <w:rFonts w:ascii="Arial" w:hAnsi="Arial" w:cs="Arial"/>
          <w:b/>
          <w:i/>
          <w:szCs w:val="20"/>
        </w:rPr>
        <w:t>Strategic Focus:</w:t>
      </w:r>
      <w:r w:rsidRPr="008C6744">
        <w:rPr>
          <w:rFonts w:ascii="Arial" w:hAnsi="Arial" w:cs="Arial"/>
          <w:szCs w:val="20"/>
        </w:rPr>
        <w:t xml:space="preserve"> </w:t>
      </w:r>
      <w:r w:rsidRPr="008C6744">
        <w:rPr>
          <w:rFonts w:ascii="Arial" w:hAnsi="Arial" w:cs="Arial"/>
        </w:rPr>
        <w:t xml:space="preserve">The strategic focus for Barclays successfully reinforced the company's digital transformation, as well as partnerships with fintech and cutting-edge technology and solutions. </w:t>
      </w:r>
    </w:p>
    <w:p w14:paraId="6300CC23" w14:textId="77777777" w:rsidR="00C15AB6" w:rsidRPr="008C6744" w:rsidRDefault="00C15AB6" w:rsidP="00EB6110">
      <w:pPr>
        <w:rPr>
          <w:rFonts w:ascii="Arial" w:hAnsi="Arial" w:cs="Arial"/>
          <w:b/>
          <w:bCs/>
          <w:i/>
          <w:iCs/>
        </w:rPr>
      </w:pPr>
      <w:r w:rsidRPr="008C6744">
        <w:rPr>
          <w:rFonts w:ascii="Arial" w:hAnsi="Arial" w:cs="Arial"/>
          <w:b/>
          <w:bCs/>
          <w:i/>
          <w:iCs/>
        </w:rPr>
        <w:lastRenderedPageBreak/>
        <w:t>Implementation</w:t>
      </w:r>
    </w:p>
    <w:p w14:paraId="30A43A66" w14:textId="77777777" w:rsidR="00486FEE" w:rsidRPr="008C6744" w:rsidRDefault="002F7EF6">
      <w:pPr>
        <w:rPr>
          <w:rFonts w:ascii="Arial" w:hAnsi="Arial" w:cs="Arial"/>
        </w:rPr>
      </w:pPr>
      <w:r w:rsidRPr="008C6744">
        <w:rPr>
          <w:rFonts w:ascii="Arial" w:hAnsi="Arial" w:cs="Arial"/>
        </w:rPr>
        <w:t>The implementation process continued over the ways that required towards ensuring the process, as well as required updates to mobile and AI-driven banking features through enhancing and fostering the customer experience, over real-time analytics, and third-party integrations</w:t>
      </w:r>
      <w:r w:rsidR="001D192A" w:rsidRPr="008C6744">
        <w:rPr>
          <w:rFonts w:ascii="Arial" w:hAnsi="Arial" w:cs="Arial"/>
        </w:rPr>
        <w:t xml:space="preserve"> (Bakhsh et al., 2025)</w:t>
      </w:r>
      <w:r w:rsidRPr="008C6744">
        <w:rPr>
          <w:rFonts w:ascii="Arial" w:hAnsi="Arial" w:cs="Arial"/>
        </w:rPr>
        <w:t>. Finally, specifying the ongoing attributes will look forward through focusing on digital financial infrastructure and blockchain for institutional clients</w:t>
      </w:r>
      <w:r w:rsidR="001D192A" w:rsidRPr="008C6744">
        <w:rPr>
          <w:rFonts w:ascii="Arial" w:hAnsi="Arial" w:cs="Arial"/>
        </w:rPr>
        <w:t xml:space="preserve"> (Grijalvo </w:t>
      </w:r>
      <w:r w:rsidR="008576DB" w:rsidRPr="008C6744">
        <w:rPr>
          <w:rFonts w:ascii="Arial" w:hAnsi="Arial" w:cs="Arial"/>
        </w:rPr>
        <w:t>and</w:t>
      </w:r>
      <w:r w:rsidR="001D192A" w:rsidRPr="008C6744">
        <w:rPr>
          <w:rFonts w:ascii="Arial" w:hAnsi="Arial" w:cs="Arial"/>
        </w:rPr>
        <w:t xml:space="preserve"> García-Wang, 2023)</w:t>
      </w:r>
      <w:r w:rsidRPr="008C6744">
        <w:rPr>
          <w:rFonts w:ascii="Arial" w:hAnsi="Arial" w:cs="Arial"/>
        </w:rPr>
        <w:t>.</w:t>
      </w:r>
    </w:p>
    <w:p w14:paraId="2761332C" w14:textId="35571CF9" w:rsidR="00EB6592" w:rsidRPr="008C6744" w:rsidRDefault="00EB6110" w:rsidP="00EB6110">
      <w:pPr>
        <w:pStyle w:val="Heading3"/>
        <w:rPr>
          <w:rFonts w:ascii="Arial" w:hAnsi="Arial" w:cs="Arial"/>
        </w:rPr>
      </w:pPr>
      <w:bookmarkStart w:id="21" w:name="_Toc223606319"/>
      <w:r w:rsidRPr="008C6744">
        <w:rPr>
          <w:rFonts w:ascii="Arial" w:hAnsi="Arial" w:cs="Arial"/>
        </w:rPr>
        <w:t xml:space="preserve">2.3.3. </w:t>
      </w:r>
      <w:r w:rsidR="002F7EF6" w:rsidRPr="008C6744">
        <w:rPr>
          <w:rFonts w:ascii="Arial" w:hAnsi="Arial" w:cs="Arial"/>
        </w:rPr>
        <w:t>Porter's Generic Strategy</w:t>
      </w:r>
      <w:bookmarkEnd w:id="21"/>
    </w:p>
    <w:p w14:paraId="56F4E9D6" w14:textId="77777777" w:rsidR="002A1E57" w:rsidRPr="008C6744" w:rsidRDefault="00EB6592">
      <w:pPr>
        <w:rPr>
          <w:rFonts w:ascii="Arial" w:hAnsi="Arial" w:cs="Arial"/>
        </w:rPr>
      </w:pPr>
      <w:r w:rsidRPr="008C6744">
        <w:rPr>
          <w:rFonts w:ascii="Arial" w:hAnsi="Arial" w:cs="Arial"/>
          <w:b/>
          <w:i/>
          <w:szCs w:val="20"/>
        </w:rPr>
        <w:t>Differentiation:</w:t>
      </w:r>
      <w:r w:rsidRPr="008C6744">
        <w:rPr>
          <w:rFonts w:ascii="Arial" w:hAnsi="Arial" w:cs="Arial"/>
          <w:sz w:val="28"/>
        </w:rPr>
        <w:t xml:space="preserve"> </w:t>
      </w:r>
      <w:r w:rsidR="002F7EF6" w:rsidRPr="008C6744">
        <w:rPr>
          <w:rFonts w:ascii="Arial" w:hAnsi="Arial" w:cs="Arial"/>
        </w:rPr>
        <w:t>The application through creating the right point execution will align with assessing the implementation of Porter's Generic Strategic where creating differentiation through innovation will be specified as one of the key as well as considerable impact</w:t>
      </w:r>
      <w:r w:rsidR="001D192A" w:rsidRPr="008C6744">
        <w:rPr>
          <w:rFonts w:ascii="Arial" w:hAnsi="Arial" w:cs="Arial"/>
        </w:rPr>
        <w:t xml:space="preserve"> (Gaviyau </w:t>
      </w:r>
      <w:r w:rsidR="008576DB" w:rsidRPr="008C6744">
        <w:rPr>
          <w:rFonts w:ascii="Arial" w:hAnsi="Arial" w:cs="Arial"/>
        </w:rPr>
        <w:t>and</w:t>
      </w:r>
      <w:r w:rsidR="001D192A" w:rsidRPr="008C6744">
        <w:rPr>
          <w:rFonts w:ascii="Arial" w:hAnsi="Arial" w:cs="Arial"/>
        </w:rPr>
        <w:t xml:space="preserve"> Godi, 2025)</w:t>
      </w:r>
      <w:r w:rsidR="002F7EF6" w:rsidRPr="008C6744">
        <w:rPr>
          <w:rFonts w:ascii="Arial" w:hAnsi="Arial" w:cs="Arial"/>
        </w:rPr>
        <w:t xml:space="preserve">. </w:t>
      </w:r>
      <w:r w:rsidR="00D8793E" w:rsidRPr="008C6744">
        <w:rPr>
          <w:rFonts w:ascii="Arial" w:hAnsi="Arial" w:cs="Arial"/>
        </w:rPr>
        <w:t xml:space="preserve">For example, Barclays will focus on creating digital experience excellence aligned with increasing customer loyalty over its domestic market </w:t>
      </w:r>
      <w:r w:rsidR="002F7EF6" w:rsidRPr="008C6744">
        <w:rPr>
          <w:rFonts w:ascii="Arial" w:hAnsi="Arial" w:cs="Arial"/>
        </w:rPr>
        <w:t>and differentiating its strategies from competitors, including its rival banks.</w:t>
      </w:r>
    </w:p>
    <w:p w14:paraId="4CA81629" w14:textId="18D893EE" w:rsidR="009E4620" w:rsidRPr="008C6744" w:rsidRDefault="002F7EF6">
      <w:pPr>
        <w:rPr>
          <w:rFonts w:ascii="Arial" w:hAnsi="Arial" w:cs="Arial"/>
        </w:rPr>
      </w:pPr>
      <w:r w:rsidRPr="008C6744">
        <w:rPr>
          <w:rFonts w:ascii="Arial" w:hAnsi="Arial" w:cs="Arial"/>
          <w:b/>
          <w:i/>
          <w:szCs w:val="20"/>
        </w:rPr>
        <w:t>Assessment:</w:t>
      </w:r>
      <w:r w:rsidRPr="008C6744">
        <w:rPr>
          <w:rFonts w:ascii="Arial" w:hAnsi="Arial" w:cs="Arial"/>
          <w:szCs w:val="20"/>
        </w:rPr>
        <w:t xml:space="preserve"> </w:t>
      </w:r>
      <w:r w:rsidRPr="008C6744">
        <w:rPr>
          <w:rFonts w:ascii="Arial" w:hAnsi="Arial" w:cs="Arial"/>
        </w:rPr>
        <w:t xml:space="preserve">Barclays, under the ways, may not rival HSBC's global technological scale, considering the fact that its technological-driven differentiation strategy within the key segments bolsters its core competitive edge </w:t>
      </w:r>
      <w:r w:rsidR="00D53A42" w:rsidRPr="008C6744">
        <w:rPr>
          <w:rFonts w:ascii="Arial" w:hAnsi="Arial" w:cs="Arial"/>
        </w:rPr>
        <w:t>over its core operating markets, as well as allowing offset threats from fintech disruption.</w:t>
      </w:r>
    </w:p>
    <w:p w14:paraId="6766FF0E" w14:textId="18D893EE" w:rsidR="007274F9" w:rsidRPr="008C6744" w:rsidRDefault="00EB6110" w:rsidP="00EB6110">
      <w:pPr>
        <w:pStyle w:val="Heading3"/>
        <w:rPr>
          <w:rFonts w:ascii="Arial" w:hAnsi="Arial" w:cs="Arial"/>
        </w:rPr>
      </w:pPr>
      <w:bookmarkStart w:id="22" w:name="_Toc223606320"/>
      <w:r w:rsidRPr="008C6744">
        <w:rPr>
          <w:rFonts w:ascii="Arial" w:hAnsi="Arial" w:cs="Arial"/>
        </w:rPr>
        <w:t xml:space="preserve">2.3.4. </w:t>
      </w:r>
      <w:r w:rsidR="002F7EF6" w:rsidRPr="008C6744">
        <w:rPr>
          <w:rFonts w:ascii="Arial" w:hAnsi="Arial" w:cs="Arial"/>
        </w:rPr>
        <w:t>Comparative Evaluation</w:t>
      </w:r>
      <w:bookmarkEnd w:id="22"/>
    </w:p>
    <w:p w14:paraId="331B6CC6" w14:textId="3EEBCAE7" w:rsidR="007274F9" w:rsidRPr="008C6744" w:rsidRDefault="008C6744">
      <w:pPr>
        <w:rPr>
          <w:rFonts w:ascii="Arial" w:hAnsi="Arial" w:cs="Arial"/>
        </w:rPr>
      </w:pPr>
      <w:r w:rsidRPr="008C6744">
        <w:rPr>
          <w:rFonts w:ascii="Arial" w:hAnsi="Arial" w:cs="Arial"/>
          <w:noProof/>
          <w:lang w:val="en-US" w:eastAsia="en-US"/>
        </w:rPr>
        <w:drawing>
          <wp:inline distT="0" distB="0" distL="0" distR="0" wp14:anchorId="76D3E824" wp14:editId="7FC484DE">
            <wp:extent cx="5731510" cy="2697480"/>
            <wp:effectExtent l="0" t="0" r="0" b="0"/>
            <wp:docPr id="14112255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1225502" name=""/>
                    <pic:cNvPicPr/>
                  </pic:nvPicPr>
                  <pic:blipFill>
                    <a:blip r:embed="rId14"/>
                    <a:stretch>
                      <a:fillRect/>
                    </a:stretch>
                  </pic:blipFill>
                  <pic:spPr>
                    <a:xfrm>
                      <a:off x="0" y="0"/>
                      <a:ext cx="5731510" cy="2697480"/>
                    </a:xfrm>
                    <a:prstGeom prst="rect">
                      <a:avLst/>
                    </a:prstGeom>
                  </pic:spPr>
                </pic:pic>
              </a:graphicData>
            </a:graphic>
          </wp:inline>
        </w:drawing>
      </w:r>
    </w:p>
    <w:p w14:paraId="3E28ADB0" w14:textId="60122FCC" w:rsidR="004733B7" w:rsidRPr="008C6744" w:rsidRDefault="00EB6110" w:rsidP="00C15AB6">
      <w:pPr>
        <w:pStyle w:val="Heading2"/>
        <w:rPr>
          <w:rFonts w:ascii="Arial" w:hAnsi="Arial" w:cs="Arial"/>
        </w:rPr>
      </w:pPr>
      <w:bookmarkStart w:id="23" w:name="_Toc223606321"/>
      <w:r w:rsidRPr="008C6744">
        <w:rPr>
          <w:rFonts w:ascii="Arial" w:hAnsi="Arial" w:cs="Arial"/>
        </w:rPr>
        <w:lastRenderedPageBreak/>
        <w:t>2.4</w:t>
      </w:r>
      <w:r w:rsidR="002F7EF6" w:rsidRPr="008C6744">
        <w:rPr>
          <w:rFonts w:ascii="Arial" w:hAnsi="Arial" w:cs="Arial"/>
        </w:rPr>
        <w:t>. Sustaining Competitive Advantage</w:t>
      </w:r>
      <w:bookmarkEnd w:id="23"/>
    </w:p>
    <w:p w14:paraId="399C16E6" w14:textId="77777777" w:rsidR="004733B7" w:rsidRPr="008C6744" w:rsidRDefault="002F7EF6">
      <w:pPr>
        <w:rPr>
          <w:rFonts w:ascii="Arial" w:hAnsi="Arial" w:cs="Arial"/>
        </w:rPr>
      </w:pPr>
      <w:r w:rsidRPr="008C6744">
        <w:rPr>
          <w:rFonts w:ascii="Arial" w:hAnsi="Arial" w:cs="Arial"/>
        </w:rPr>
        <w:t>Ensuring the right sustainability aspects will look forward through assessing the ongoing attributes of global advantages, allowing HSBC to capture cross-border demand and diversify economic risks</w:t>
      </w:r>
      <w:r w:rsidR="001D192A" w:rsidRPr="008C6744">
        <w:rPr>
          <w:rFonts w:ascii="Arial" w:hAnsi="Arial" w:cs="Arial"/>
        </w:rPr>
        <w:t xml:space="preserve"> (Hasan, Hoque </w:t>
      </w:r>
      <w:r w:rsidR="008576DB" w:rsidRPr="008C6744">
        <w:rPr>
          <w:rFonts w:ascii="Arial" w:hAnsi="Arial" w:cs="Arial"/>
        </w:rPr>
        <w:t>and</w:t>
      </w:r>
      <w:r w:rsidR="001D192A" w:rsidRPr="008C6744">
        <w:rPr>
          <w:rFonts w:ascii="Arial" w:hAnsi="Arial" w:cs="Arial"/>
        </w:rPr>
        <w:t xml:space="preserve"> Le, 2023)</w:t>
      </w:r>
      <w:r w:rsidRPr="008C6744">
        <w:rPr>
          <w:rFonts w:ascii="Arial" w:hAnsi="Arial" w:cs="Arial"/>
        </w:rPr>
        <w:t xml:space="preserve">. On the other hand, the brand must focus towards accelerating investment in next-gen digital services through supporting differentiated customer value at scale.   </w:t>
      </w:r>
    </w:p>
    <w:p w14:paraId="342746DA" w14:textId="77777777" w:rsidR="0069425B" w:rsidRPr="008C6744" w:rsidRDefault="002F7EF6">
      <w:pPr>
        <w:rPr>
          <w:rFonts w:ascii="Arial" w:hAnsi="Arial" w:cs="Arial"/>
        </w:rPr>
      </w:pPr>
      <w:r w:rsidRPr="008C6744">
        <w:rPr>
          <w:rFonts w:ascii="Arial" w:hAnsi="Arial" w:cs="Arial"/>
        </w:rPr>
        <w:t xml:space="preserve">Coming within the context of Barclays Plc, focusing on operational and financial discipline will allow the mentioned company towards protecting profitability against economic volatility. On the other hand, specifying the targeting insights will explore digital innovation aiming towards strengthening domestic brand positioning as well as enhancing customer loyalty measured at the highest potential level.   </w:t>
      </w:r>
    </w:p>
    <w:p w14:paraId="61D5F61B" w14:textId="77777777" w:rsidR="0069425B" w:rsidRPr="008C6744" w:rsidRDefault="0069425B">
      <w:pPr>
        <w:spacing w:line="276" w:lineRule="auto"/>
        <w:jc w:val="left"/>
        <w:rPr>
          <w:rFonts w:ascii="Arial" w:hAnsi="Arial" w:cs="Arial"/>
        </w:rPr>
      </w:pPr>
      <w:r w:rsidRPr="008C6744">
        <w:rPr>
          <w:rFonts w:ascii="Arial" w:hAnsi="Arial" w:cs="Arial"/>
        </w:rPr>
        <w:br w:type="page"/>
      </w:r>
    </w:p>
    <w:p w14:paraId="684F4CA3" w14:textId="77777777" w:rsidR="0069425B" w:rsidRPr="008C6744" w:rsidRDefault="0069425B" w:rsidP="0069425B">
      <w:pPr>
        <w:pStyle w:val="Heading1"/>
        <w:rPr>
          <w:rFonts w:ascii="Arial" w:hAnsi="Arial" w:cs="Arial"/>
          <w:sz w:val="24"/>
          <w:szCs w:val="22"/>
        </w:rPr>
      </w:pPr>
      <w:bookmarkStart w:id="24" w:name="_Toc223606322"/>
      <w:r w:rsidRPr="008C6744">
        <w:rPr>
          <w:rFonts w:ascii="Arial" w:hAnsi="Arial" w:cs="Arial"/>
        </w:rPr>
        <w:lastRenderedPageBreak/>
        <w:t>Reference List</w:t>
      </w:r>
      <w:bookmarkEnd w:id="24"/>
      <w:r w:rsidR="002F7EF6" w:rsidRPr="008C6744">
        <w:rPr>
          <w:rFonts w:ascii="Arial" w:hAnsi="Arial" w:cs="Arial"/>
        </w:rPr>
        <w:t xml:space="preserve">     </w:t>
      </w:r>
      <w:r w:rsidRPr="008C6744">
        <w:rPr>
          <w:rFonts w:ascii="Arial" w:hAnsi="Arial" w:cs="Arial"/>
          <w:sz w:val="24"/>
          <w:szCs w:val="24"/>
        </w:rPr>
        <w:t xml:space="preserve">   </w:t>
      </w:r>
    </w:p>
    <w:p w14:paraId="453BF975" w14:textId="77777777" w:rsidR="0069425B" w:rsidRPr="008C6744" w:rsidRDefault="0069425B" w:rsidP="00BC6BAA">
      <w:pPr>
        <w:jc w:val="left"/>
        <w:rPr>
          <w:rFonts w:ascii="Arial" w:hAnsi="Arial" w:cs="Arial"/>
          <w:szCs w:val="24"/>
        </w:rPr>
      </w:pPr>
      <w:r w:rsidRPr="008C6744">
        <w:rPr>
          <w:rFonts w:ascii="Arial" w:hAnsi="Arial" w:cs="Arial"/>
          <w:szCs w:val="24"/>
        </w:rPr>
        <w:t xml:space="preserve">Bakhsh, M. S., Sharif, M. A., Nematizadeh, S., </w:t>
      </w:r>
      <w:r w:rsidR="008576DB" w:rsidRPr="008C6744">
        <w:rPr>
          <w:rFonts w:ascii="Arial" w:hAnsi="Arial" w:cs="Arial"/>
          <w:szCs w:val="24"/>
        </w:rPr>
        <w:t>and</w:t>
      </w:r>
      <w:r w:rsidRPr="008C6744">
        <w:rPr>
          <w:rFonts w:ascii="Arial" w:hAnsi="Arial" w:cs="Arial"/>
          <w:szCs w:val="24"/>
        </w:rPr>
        <w:t>Haranaki, M. K. (2025). Identification and Explanation of the Relationship between Credit Risk Management Constructs and Strategic Knowledge Management Approach in the Banking Industry. </w:t>
      </w:r>
      <w:r w:rsidRPr="008C6744">
        <w:rPr>
          <w:rFonts w:ascii="Arial" w:hAnsi="Arial" w:cs="Arial"/>
          <w:i/>
          <w:iCs/>
          <w:szCs w:val="24"/>
        </w:rPr>
        <w:t>Agricultural Marketing and Commercialization</w:t>
      </w:r>
      <w:r w:rsidRPr="008C6744">
        <w:rPr>
          <w:rFonts w:ascii="Arial" w:hAnsi="Arial" w:cs="Arial"/>
          <w:szCs w:val="24"/>
        </w:rPr>
        <w:t>, </w:t>
      </w:r>
      <w:r w:rsidRPr="008C6744">
        <w:rPr>
          <w:rFonts w:ascii="Arial" w:hAnsi="Arial" w:cs="Arial"/>
          <w:i/>
          <w:iCs/>
          <w:szCs w:val="24"/>
        </w:rPr>
        <w:t>9</w:t>
      </w:r>
      <w:r w:rsidRPr="008C6744">
        <w:rPr>
          <w:rFonts w:ascii="Arial" w:hAnsi="Arial" w:cs="Arial"/>
          <w:szCs w:val="24"/>
        </w:rPr>
        <w:t>(1).</w:t>
      </w:r>
      <w:hyperlink r:id="rId15" w:history="1">
        <w:r w:rsidRPr="008C6744">
          <w:rPr>
            <w:rStyle w:val="Hyperlink"/>
            <w:rFonts w:ascii="Arial" w:hAnsi="Arial" w:cs="Arial"/>
            <w:szCs w:val="24"/>
          </w:rPr>
          <w:t>https://oiccpress.com/amc/article/view/8549/18758</w:t>
        </w:r>
      </w:hyperlink>
    </w:p>
    <w:p w14:paraId="28DDDB17" w14:textId="77777777" w:rsidR="0069425B" w:rsidRPr="008C6744" w:rsidRDefault="0069425B" w:rsidP="00BC6BAA">
      <w:pPr>
        <w:jc w:val="left"/>
        <w:rPr>
          <w:rFonts w:ascii="Arial" w:hAnsi="Arial" w:cs="Arial"/>
          <w:szCs w:val="24"/>
        </w:rPr>
      </w:pPr>
      <w:r w:rsidRPr="008C6744">
        <w:rPr>
          <w:rFonts w:ascii="Arial" w:hAnsi="Arial" w:cs="Arial"/>
          <w:szCs w:val="24"/>
        </w:rPr>
        <w:t xml:space="preserve">Gaviyau, W., </w:t>
      </w:r>
      <w:r w:rsidR="008576DB" w:rsidRPr="008C6744">
        <w:rPr>
          <w:rFonts w:ascii="Arial" w:hAnsi="Arial" w:cs="Arial"/>
          <w:szCs w:val="24"/>
        </w:rPr>
        <w:t>and</w:t>
      </w:r>
      <w:r w:rsidRPr="008C6744">
        <w:rPr>
          <w:rFonts w:ascii="Arial" w:hAnsi="Arial" w:cs="Arial"/>
          <w:szCs w:val="24"/>
        </w:rPr>
        <w:t xml:space="preserve"> Godi, J. (2025). Banking sector transformation: Disruptions, challenges and opportunities. </w:t>
      </w:r>
      <w:r w:rsidRPr="008C6744">
        <w:rPr>
          <w:rFonts w:ascii="Arial" w:hAnsi="Arial" w:cs="Arial"/>
          <w:i/>
          <w:iCs/>
          <w:szCs w:val="24"/>
        </w:rPr>
        <w:t>FinTech</w:t>
      </w:r>
      <w:r w:rsidRPr="008C6744">
        <w:rPr>
          <w:rFonts w:ascii="Arial" w:hAnsi="Arial" w:cs="Arial"/>
          <w:szCs w:val="24"/>
        </w:rPr>
        <w:t>, </w:t>
      </w:r>
      <w:r w:rsidRPr="008C6744">
        <w:rPr>
          <w:rFonts w:ascii="Arial" w:hAnsi="Arial" w:cs="Arial"/>
          <w:i/>
          <w:iCs/>
          <w:szCs w:val="24"/>
        </w:rPr>
        <w:t>4</w:t>
      </w:r>
      <w:r w:rsidRPr="008C6744">
        <w:rPr>
          <w:rFonts w:ascii="Arial" w:hAnsi="Arial" w:cs="Arial"/>
          <w:szCs w:val="24"/>
        </w:rPr>
        <w:t>(3), 48.</w:t>
      </w:r>
      <w:hyperlink r:id="rId16" w:history="1">
        <w:r w:rsidRPr="008C6744">
          <w:rPr>
            <w:rStyle w:val="Hyperlink"/>
            <w:rFonts w:ascii="Arial" w:hAnsi="Arial" w:cs="Arial"/>
            <w:szCs w:val="24"/>
          </w:rPr>
          <w:t>https://www.mdpi.com/2674-1032/4/3/48</w:t>
        </w:r>
      </w:hyperlink>
    </w:p>
    <w:p w14:paraId="622AD62C" w14:textId="77777777" w:rsidR="0069425B" w:rsidRPr="008C6744" w:rsidRDefault="0069425B" w:rsidP="00BC6BAA">
      <w:pPr>
        <w:jc w:val="left"/>
        <w:rPr>
          <w:rFonts w:ascii="Arial" w:hAnsi="Arial" w:cs="Arial"/>
          <w:szCs w:val="24"/>
        </w:rPr>
      </w:pPr>
      <w:r w:rsidRPr="008C6744">
        <w:rPr>
          <w:rFonts w:ascii="Arial" w:hAnsi="Arial" w:cs="Arial"/>
          <w:szCs w:val="24"/>
        </w:rPr>
        <w:t xml:space="preserve">Grijalvo, M., </w:t>
      </w:r>
      <w:r w:rsidR="008576DB" w:rsidRPr="008C6744">
        <w:rPr>
          <w:rFonts w:ascii="Arial" w:hAnsi="Arial" w:cs="Arial"/>
          <w:szCs w:val="24"/>
        </w:rPr>
        <w:t>and</w:t>
      </w:r>
      <w:r w:rsidRPr="008C6744">
        <w:rPr>
          <w:rFonts w:ascii="Arial" w:hAnsi="Arial" w:cs="Arial"/>
          <w:szCs w:val="24"/>
        </w:rPr>
        <w:t xml:space="preserve"> García-Wang, C. (2023). Sustainable business model for climate finance. Key drivers for the commercial banking sector. </w:t>
      </w:r>
      <w:r w:rsidRPr="008C6744">
        <w:rPr>
          <w:rFonts w:ascii="Arial" w:hAnsi="Arial" w:cs="Arial"/>
          <w:i/>
          <w:iCs/>
          <w:szCs w:val="24"/>
        </w:rPr>
        <w:t>Journal of Business Research</w:t>
      </w:r>
      <w:r w:rsidRPr="008C6744">
        <w:rPr>
          <w:rFonts w:ascii="Arial" w:hAnsi="Arial" w:cs="Arial"/>
          <w:szCs w:val="24"/>
        </w:rPr>
        <w:t>, </w:t>
      </w:r>
      <w:r w:rsidRPr="008C6744">
        <w:rPr>
          <w:rFonts w:ascii="Arial" w:hAnsi="Arial" w:cs="Arial"/>
          <w:i/>
          <w:iCs/>
          <w:szCs w:val="24"/>
        </w:rPr>
        <w:t>155</w:t>
      </w:r>
      <w:r w:rsidRPr="008C6744">
        <w:rPr>
          <w:rFonts w:ascii="Arial" w:hAnsi="Arial" w:cs="Arial"/>
          <w:szCs w:val="24"/>
        </w:rPr>
        <w:t xml:space="preserve">, 113446. </w:t>
      </w:r>
      <w:hyperlink r:id="rId17" w:history="1">
        <w:r w:rsidRPr="008C6744">
          <w:rPr>
            <w:rStyle w:val="Hyperlink"/>
            <w:rFonts w:ascii="Arial" w:hAnsi="Arial" w:cs="Arial"/>
            <w:szCs w:val="24"/>
          </w:rPr>
          <w:t>https://www.sciencedirect.com/science/article/pii/S0148296322009110</w:t>
        </w:r>
      </w:hyperlink>
    </w:p>
    <w:p w14:paraId="20674781" w14:textId="77777777" w:rsidR="0069425B" w:rsidRPr="008C6744" w:rsidRDefault="0069425B" w:rsidP="00BC6BAA">
      <w:pPr>
        <w:jc w:val="left"/>
        <w:rPr>
          <w:rFonts w:ascii="Arial" w:hAnsi="Arial" w:cs="Arial"/>
          <w:szCs w:val="24"/>
        </w:rPr>
      </w:pPr>
      <w:r w:rsidRPr="008C6744">
        <w:rPr>
          <w:rFonts w:ascii="Arial" w:hAnsi="Arial" w:cs="Arial"/>
          <w:szCs w:val="24"/>
        </w:rPr>
        <w:t xml:space="preserve">Hasan, M., Hoque, A., </w:t>
      </w:r>
      <w:r w:rsidR="008576DB" w:rsidRPr="008C6744">
        <w:rPr>
          <w:rFonts w:ascii="Arial" w:hAnsi="Arial" w:cs="Arial"/>
          <w:szCs w:val="24"/>
        </w:rPr>
        <w:t>and</w:t>
      </w:r>
      <w:r w:rsidRPr="008C6744">
        <w:rPr>
          <w:rFonts w:ascii="Arial" w:hAnsi="Arial" w:cs="Arial"/>
          <w:szCs w:val="24"/>
        </w:rPr>
        <w:t xml:space="preserve"> Le, T. (2023)Big data-driven banking operations: Opportunities, challenges, and data security perspectives. </w:t>
      </w:r>
      <w:r w:rsidRPr="008C6744">
        <w:rPr>
          <w:rFonts w:ascii="Arial" w:hAnsi="Arial" w:cs="Arial"/>
          <w:i/>
          <w:iCs/>
          <w:szCs w:val="24"/>
        </w:rPr>
        <w:t>FinTech</w:t>
      </w:r>
      <w:r w:rsidRPr="008C6744">
        <w:rPr>
          <w:rFonts w:ascii="Arial" w:hAnsi="Arial" w:cs="Arial"/>
          <w:szCs w:val="24"/>
        </w:rPr>
        <w:t>, </w:t>
      </w:r>
      <w:r w:rsidRPr="008C6744">
        <w:rPr>
          <w:rFonts w:ascii="Arial" w:hAnsi="Arial" w:cs="Arial"/>
          <w:i/>
          <w:iCs/>
          <w:szCs w:val="24"/>
        </w:rPr>
        <w:t>2</w:t>
      </w:r>
      <w:r w:rsidRPr="008C6744">
        <w:rPr>
          <w:rFonts w:ascii="Arial" w:hAnsi="Arial" w:cs="Arial"/>
          <w:szCs w:val="24"/>
        </w:rPr>
        <w:t>(3), 484-509.</w:t>
      </w:r>
      <w:hyperlink r:id="rId18" w:history="1">
        <w:r w:rsidRPr="008C6744">
          <w:rPr>
            <w:rStyle w:val="Hyperlink"/>
            <w:rFonts w:ascii="Arial" w:hAnsi="Arial" w:cs="Arial"/>
            <w:szCs w:val="24"/>
          </w:rPr>
          <w:t>https://www.mdpi.com/2674-1032/2/3/28</w:t>
        </w:r>
      </w:hyperlink>
    </w:p>
    <w:p w14:paraId="352EDA75" w14:textId="77777777" w:rsidR="0069425B" w:rsidRPr="008C6744" w:rsidRDefault="0069425B" w:rsidP="00BC6BAA">
      <w:pPr>
        <w:jc w:val="left"/>
        <w:rPr>
          <w:rFonts w:ascii="Arial" w:hAnsi="Arial" w:cs="Arial"/>
          <w:szCs w:val="24"/>
          <w:lang w:val="it-IT"/>
        </w:rPr>
      </w:pPr>
      <w:r w:rsidRPr="008C6744">
        <w:rPr>
          <w:rFonts w:ascii="Arial" w:hAnsi="Arial" w:cs="Arial"/>
          <w:szCs w:val="24"/>
        </w:rPr>
        <w:t xml:space="preserve">Hortega, A., Menezes, D., Serra, F. A. R., Ebrahimpour, M., </w:t>
      </w:r>
      <w:r w:rsidR="008576DB" w:rsidRPr="008C6744">
        <w:rPr>
          <w:rFonts w:ascii="Arial" w:hAnsi="Arial" w:cs="Arial"/>
          <w:szCs w:val="24"/>
        </w:rPr>
        <w:t>and</w:t>
      </w:r>
      <w:r w:rsidRPr="008C6744">
        <w:rPr>
          <w:rFonts w:ascii="Arial" w:hAnsi="Arial" w:cs="Arial"/>
          <w:szCs w:val="24"/>
        </w:rPr>
        <w:t xml:space="preserve"> Kramer, B. (2025). Revisiting the Intellectual Legacy of H. Igor Ansoff: A Critical Analysis of His Contributions and Their Impact on the Evolution of Strategic Management. </w:t>
      </w:r>
      <w:r w:rsidRPr="008C6744">
        <w:rPr>
          <w:rFonts w:ascii="Arial" w:hAnsi="Arial" w:cs="Arial"/>
          <w:i/>
          <w:iCs/>
          <w:szCs w:val="24"/>
          <w:lang w:val="it-IT"/>
        </w:rPr>
        <w:t>Strategic Change</w:t>
      </w:r>
      <w:r w:rsidRPr="008C6744">
        <w:rPr>
          <w:rFonts w:ascii="Arial" w:hAnsi="Arial" w:cs="Arial"/>
          <w:szCs w:val="24"/>
          <w:lang w:val="it-IT"/>
        </w:rPr>
        <w:t>.</w:t>
      </w:r>
      <w:hyperlink r:id="rId19" w:history="1">
        <w:r w:rsidRPr="008C6744">
          <w:rPr>
            <w:rStyle w:val="Hyperlink"/>
            <w:rFonts w:ascii="Arial" w:hAnsi="Arial" w:cs="Arial"/>
            <w:szCs w:val="24"/>
            <w:lang w:val="it-IT"/>
          </w:rPr>
          <w:t>https://onlinelibrary.wiley.com/doi/epdf/10.1002/jsc.70027</w:t>
        </w:r>
      </w:hyperlink>
    </w:p>
    <w:p w14:paraId="617F95FD" w14:textId="77777777" w:rsidR="0069425B" w:rsidRPr="008C6744" w:rsidRDefault="0069425B" w:rsidP="00BC6BAA">
      <w:pPr>
        <w:jc w:val="left"/>
        <w:rPr>
          <w:rFonts w:ascii="Arial" w:hAnsi="Arial" w:cs="Arial"/>
          <w:szCs w:val="24"/>
        </w:rPr>
      </w:pPr>
      <w:r w:rsidRPr="008C6744">
        <w:rPr>
          <w:rFonts w:ascii="Arial" w:hAnsi="Arial" w:cs="Arial"/>
          <w:szCs w:val="24"/>
          <w:lang w:val="it-IT"/>
        </w:rPr>
        <w:t xml:space="preserve">Jameaba, M. S. (2025). </w:t>
      </w:r>
      <w:r w:rsidRPr="008C6744">
        <w:rPr>
          <w:rFonts w:ascii="Arial" w:hAnsi="Arial" w:cs="Arial"/>
          <w:szCs w:val="24"/>
        </w:rPr>
        <w:t>Blockchain Technology, Artificial Intelligence and Financial Stability: Opportunities and Challenges for Financial Institutions. </w:t>
      </w:r>
      <w:r w:rsidRPr="008C6744">
        <w:rPr>
          <w:rFonts w:ascii="Arial" w:hAnsi="Arial" w:cs="Arial"/>
          <w:i/>
          <w:iCs/>
          <w:szCs w:val="24"/>
        </w:rPr>
        <w:t>Artificial Intelligence and Financial Stability: Opportunities and Challenges for Financial Institutions (December 27, 2025)</w:t>
      </w:r>
      <w:r w:rsidRPr="008C6744">
        <w:rPr>
          <w:rFonts w:ascii="Arial" w:hAnsi="Arial" w:cs="Arial"/>
          <w:szCs w:val="24"/>
        </w:rPr>
        <w:t>.</w:t>
      </w:r>
      <w:hyperlink r:id="rId20" w:history="1">
        <w:r w:rsidRPr="008C6744">
          <w:rPr>
            <w:rStyle w:val="Hyperlink"/>
            <w:rFonts w:ascii="Arial" w:hAnsi="Arial" w:cs="Arial"/>
            <w:szCs w:val="24"/>
          </w:rPr>
          <w:t>https://papers.ssrn.com/sol3/papers.cfm?abstract_id=5973614</w:t>
        </w:r>
      </w:hyperlink>
    </w:p>
    <w:p w14:paraId="76AA02CB" w14:textId="77777777" w:rsidR="0069425B" w:rsidRPr="008C6744" w:rsidRDefault="0069425B" w:rsidP="00BC6BAA">
      <w:pPr>
        <w:jc w:val="left"/>
        <w:rPr>
          <w:rFonts w:ascii="Arial" w:hAnsi="Arial" w:cs="Arial"/>
          <w:szCs w:val="24"/>
        </w:rPr>
      </w:pPr>
      <w:r w:rsidRPr="008C6744">
        <w:rPr>
          <w:rFonts w:ascii="Arial" w:hAnsi="Arial" w:cs="Arial"/>
          <w:color w:val="222222"/>
          <w:szCs w:val="24"/>
          <w:shd w:val="clear" w:color="auto" w:fill="FFFFFF"/>
        </w:rPr>
        <w:t xml:space="preserve">Kovacevic, A., Radenkovic, S. D., </w:t>
      </w:r>
      <w:r w:rsidR="008576DB" w:rsidRPr="008C6744">
        <w:rPr>
          <w:rFonts w:ascii="Arial" w:hAnsi="Arial" w:cs="Arial"/>
          <w:color w:val="222222"/>
          <w:szCs w:val="24"/>
          <w:shd w:val="clear" w:color="auto" w:fill="FFFFFF"/>
        </w:rPr>
        <w:t>and</w:t>
      </w:r>
      <w:r w:rsidRPr="008C6744">
        <w:rPr>
          <w:rFonts w:ascii="Arial" w:hAnsi="Arial" w:cs="Arial"/>
          <w:color w:val="222222"/>
          <w:szCs w:val="24"/>
          <w:shd w:val="clear" w:color="auto" w:fill="FFFFFF"/>
        </w:rPr>
        <w:t xml:space="preserve"> Nikolic, D. (2024). Artificial intelligence and cybersecurity in banking sector: opportunities and risks. </w:t>
      </w:r>
      <w:r w:rsidRPr="008C6744">
        <w:rPr>
          <w:rFonts w:ascii="Arial" w:hAnsi="Arial" w:cs="Arial"/>
          <w:i/>
          <w:iCs/>
          <w:color w:val="222222"/>
          <w:szCs w:val="24"/>
          <w:shd w:val="clear" w:color="auto" w:fill="FFFFFF"/>
        </w:rPr>
        <w:t>arXiv preprint arXiv:2412.04495</w:t>
      </w:r>
      <w:r w:rsidRPr="008C6744">
        <w:rPr>
          <w:rFonts w:ascii="Arial" w:hAnsi="Arial" w:cs="Arial"/>
          <w:color w:val="222222"/>
          <w:szCs w:val="24"/>
          <w:shd w:val="clear" w:color="auto" w:fill="FFFFFF"/>
        </w:rPr>
        <w:t>.</w:t>
      </w:r>
      <w:r w:rsidRPr="008C6744">
        <w:rPr>
          <w:rFonts w:ascii="Arial" w:hAnsi="Arial" w:cs="Arial"/>
          <w:szCs w:val="24"/>
        </w:rPr>
        <w:t>.</w:t>
      </w:r>
      <w:hyperlink r:id="rId21" w:history="1">
        <w:r w:rsidRPr="008C6744">
          <w:rPr>
            <w:rStyle w:val="Hyperlink"/>
            <w:rFonts w:ascii="Arial" w:hAnsi="Arial" w:cs="Arial"/>
            <w:szCs w:val="24"/>
          </w:rPr>
          <w:t>https://arxiv.org/abs/2412.04495</w:t>
        </w:r>
      </w:hyperlink>
    </w:p>
    <w:p w14:paraId="733A178F" w14:textId="77777777" w:rsidR="0069425B" w:rsidRPr="008C6744" w:rsidRDefault="0069425B" w:rsidP="00BC6BAA">
      <w:pPr>
        <w:jc w:val="left"/>
        <w:rPr>
          <w:rFonts w:ascii="Arial" w:hAnsi="Arial" w:cs="Arial"/>
          <w:szCs w:val="24"/>
        </w:rPr>
      </w:pPr>
      <w:r w:rsidRPr="008C6744">
        <w:rPr>
          <w:rFonts w:ascii="Arial" w:hAnsi="Arial" w:cs="Arial"/>
          <w:szCs w:val="24"/>
        </w:rPr>
        <w:t xml:space="preserve">Kulsume, U., Saha, S., </w:t>
      </w:r>
      <w:r w:rsidR="008576DB" w:rsidRPr="008C6744">
        <w:rPr>
          <w:rFonts w:ascii="Arial" w:hAnsi="Arial" w:cs="Arial"/>
          <w:szCs w:val="24"/>
        </w:rPr>
        <w:t>and</w:t>
      </w:r>
      <w:r w:rsidRPr="008C6744">
        <w:rPr>
          <w:rFonts w:ascii="Arial" w:hAnsi="Arial" w:cs="Arial"/>
          <w:szCs w:val="24"/>
        </w:rPr>
        <w:t xml:space="preserve"> Sumi, N. A. (2025).Interest rate fluctuations and financial performance and stability of banks: evidence from the United Kingdom’s big four </w:t>
      </w:r>
      <w:r w:rsidRPr="008C6744">
        <w:rPr>
          <w:rFonts w:ascii="Arial" w:hAnsi="Arial" w:cs="Arial"/>
          <w:szCs w:val="24"/>
        </w:rPr>
        <w:lastRenderedPageBreak/>
        <w:t>(Barclays, HSBC, Lloyds, and NatWest). </w:t>
      </w:r>
      <w:r w:rsidRPr="008C6744">
        <w:rPr>
          <w:rFonts w:ascii="Arial" w:hAnsi="Arial" w:cs="Arial"/>
          <w:i/>
          <w:iCs/>
          <w:szCs w:val="24"/>
        </w:rPr>
        <w:t>Journal of Ekonomi</w:t>
      </w:r>
      <w:r w:rsidRPr="008C6744">
        <w:rPr>
          <w:rFonts w:ascii="Arial" w:hAnsi="Arial" w:cs="Arial"/>
          <w:szCs w:val="24"/>
        </w:rPr>
        <w:t>, </w:t>
      </w:r>
      <w:r w:rsidRPr="008C6744">
        <w:rPr>
          <w:rFonts w:ascii="Arial" w:hAnsi="Arial" w:cs="Arial"/>
          <w:i/>
          <w:iCs/>
          <w:szCs w:val="24"/>
        </w:rPr>
        <w:t>7</w:t>
      </w:r>
      <w:r w:rsidRPr="008C6744">
        <w:rPr>
          <w:rFonts w:ascii="Arial" w:hAnsi="Arial" w:cs="Arial"/>
          <w:szCs w:val="24"/>
        </w:rPr>
        <w:t>(2), 141-153.</w:t>
      </w:r>
      <w:hyperlink r:id="rId22" w:history="1">
        <w:r w:rsidRPr="008C6744">
          <w:rPr>
            <w:rStyle w:val="Hyperlink"/>
            <w:rFonts w:ascii="Arial" w:hAnsi="Arial" w:cs="Arial"/>
            <w:szCs w:val="24"/>
          </w:rPr>
          <w:t>https://dergipark.org.tr/en/download/article-file/5028540</w:t>
        </w:r>
      </w:hyperlink>
    </w:p>
    <w:p w14:paraId="16A6C5DC" w14:textId="77777777" w:rsidR="0069425B" w:rsidRPr="008C6744" w:rsidRDefault="0069425B" w:rsidP="00BC6BAA">
      <w:pPr>
        <w:jc w:val="left"/>
        <w:rPr>
          <w:rFonts w:ascii="Arial" w:hAnsi="Arial" w:cs="Arial"/>
          <w:color w:val="222222"/>
          <w:szCs w:val="24"/>
          <w:shd w:val="clear" w:color="auto" w:fill="FFFFFF"/>
        </w:rPr>
      </w:pPr>
      <w:r w:rsidRPr="008C6744">
        <w:rPr>
          <w:rFonts w:ascii="Arial" w:hAnsi="Arial" w:cs="Arial"/>
          <w:color w:val="222222"/>
          <w:szCs w:val="24"/>
          <w:shd w:val="clear" w:color="auto" w:fill="FFFFFF"/>
        </w:rPr>
        <w:t xml:space="preserve">Odwaro, N. C., Abongo, B., </w:t>
      </w:r>
      <w:r w:rsidR="008576DB" w:rsidRPr="008C6744">
        <w:rPr>
          <w:rFonts w:ascii="Arial" w:hAnsi="Arial" w:cs="Arial"/>
          <w:color w:val="222222"/>
          <w:szCs w:val="24"/>
          <w:shd w:val="clear" w:color="auto" w:fill="FFFFFF"/>
        </w:rPr>
        <w:t>and</w:t>
      </w:r>
      <w:r w:rsidRPr="008C6744">
        <w:rPr>
          <w:rFonts w:ascii="Arial" w:hAnsi="Arial" w:cs="Arial"/>
          <w:color w:val="222222"/>
          <w:szCs w:val="24"/>
          <w:shd w:val="clear" w:color="auto" w:fill="FFFFFF"/>
        </w:rPr>
        <w:t xml:space="preserve"> Mise, J. K. (2022). Moderating Effect of Dynamic Capabilities on the Relationship Between Porter’s Generic Strategies and Performance of Commercial Banks. </w:t>
      </w:r>
      <w:r w:rsidRPr="008C6744">
        <w:rPr>
          <w:rFonts w:ascii="Arial" w:hAnsi="Arial" w:cs="Arial"/>
          <w:i/>
          <w:iCs/>
          <w:color w:val="222222"/>
          <w:szCs w:val="24"/>
          <w:shd w:val="clear" w:color="auto" w:fill="FFFFFF"/>
        </w:rPr>
        <w:t>European Journal of Business and Management Research</w:t>
      </w:r>
      <w:r w:rsidRPr="008C6744">
        <w:rPr>
          <w:rFonts w:ascii="Arial" w:hAnsi="Arial" w:cs="Arial"/>
          <w:color w:val="222222"/>
          <w:szCs w:val="24"/>
          <w:shd w:val="clear" w:color="auto" w:fill="FFFFFF"/>
        </w:rPr>
        <w:t>, </w:t>
      </w:r>
      <w:r w:rsidRPr="008C6744">
        <w:rPr>
          <w:rFonts w:ascii="Arial" w:hAnsi="Arial" w:cs="Arial"/>
          <w:i/>
          <w:iCs/>
          <w:color w:val="222222"/>
          <w:szCs w:val="24"/>
          <w:shd w:val="clear" w:color="auto" w:fill="FFFFFF"/>
        </w:rPr>
        <w:t>7</w:t>
      </w:r>
      <w:r w:rsidRPr="008C6744">
        <w:rPr>
          <w:rFonts w:ascii="Arial" w:hAnsi="Arial" w:cs="Arial"/>
          <w:color w:val="222222"/>
          <w:szCs w:val="24"/>
          <w:shd w:val="clear" w:color="auto" w:fill="FFFFFF"/>
        </w:rPr>
        <w:t>(4), 217-224.</w:t>
      </w:r>
      <w:r w:rsidRPr="008C6744">
        <w:rPr>
          <w:rFonts w:ascii="Arial" w:hAnsi="Arial" w:cs="Arial"/>
          <w:szCs w:val="24"/>
        </w:rPr>
        <w:t xml:space="preserve"> </w:t>
      </w:r>
      <w:hyperlink r:id="rId23" w:history="1">
        <w:r w:rsidRPr="008C6744">
          <w:rPr>
            <w:rStyle w:val="Hyperlink"/>
            <w:rFonts w:ascii="Arial" w:hAnsi="Arial" w:cs="Arial"/>
            <w:szCs w:val="24"/>
            <w:shd w:val="clear" w:color="auto" w:fill="FFFFFF"/>
          </w:rPr>
          <w:t>https://eu-opensci.org/index.php/ejbmr/article/view/51465/7534</w:t>
        </w:r>
      </w:hyperlink>
    </w:p>
    <w:p w14:paraId="1701349C" w14:textId="77777777" w:rsidR="0069425B" w:rsidRPr="008C6744" w:rsidRDefault="0069425B" w:rsidP="00BC6BAA">
      <w:pPr>
        <w:jc w:val="left"/>
        <w:rPr>
          <w:rFonts w:ascii="Arial" w:hAnsi="Arial" w:cs="Arial"/>
          <w:szCs w:val="24"/>
        </w:rPr>
      </w:pPr>
      <w:r w:rsidRPr="008C6744">
        <w:rPr>
          <w:rFonts w:ascii="Arial" w:hAnsi="Arial" w:cs="Arial"/>
          <w:szCs w:val="24"/>
        </w:rPr>
        <w:t>Pavlov, K. (2025). Economic advantages of strategic development of a banking institution in conditions of competition. </w:t>
      </w:r>
      <w:r w:rsidRPr="008C6744">
        <w:rPr>
          <w:rFonts w:ascii="Arial" w:hAnsi="Arial" w:cs="Arial"/>
          <w:i/>
          <w:iCs/>
          <w:szCs w:val="24"/>
        </w:rPr>
        <w:t>Economic journal of Lesya Ukrainka Volyn National University.</w:t>
      </w:r>
      <w:r w:rsidRPr="008C6744">
        <w:rPr>
          <w:rFonts w:ascii="Arial" w:hAnsi="Arial" w:cs="Arial"/>
          <w:szCs w:val="24"/>
        </w:rPr>
        <w:t>, (41).</w:t>
      </w:r>
      <w:hyperlink r:id="rId24" w:history="1">
        <w:r w:rsidRPr="008C6744">
          <w:rPr>
            <w:rStyle w:val="Hyperlink"/>
            <w:rFonts w:ascii="Arial" w:hAnsi="Arial" w:cs="Arial"/>
            <w:szCs w:val="24"/>
          </w:rPr>
          <w:t>https://evnuir.vnu.edu.ua/bitstream/123456789/29370/1/25.pdf</w:t>
        </w:r>
      </w:hyperlink>
    </w:p>
    <w:p w14:paraId="244BF42E" w14:textId="77777777" w:rsidR="0069425B" w:rsidRPr="008C6744" w:rsidRDefault="0069425B" w:rsidP="00BC6BAA">
      <w:pPr>
        <w:jc w:val="left"/>
        <w:rPr>
          <w:rFonts w:ascii="Arial" w:hAnsi="Arial" w:cs="Arial"/>
          <w:szCs w:val="24"/>
        </w:rPr>
      </w:pPr>
      <w:r w:rsidRPr="008C6744">
        <w:rPr>
          <w:rFonts w:ascii="Arial" w:hAnsi="Arial" w:cs="Arial"/>
          <w:color w:val="222222"/>
          <w:szCs w:val="24"/>
          <w:shd w:val="clear" w:color="auto" w:fill="FFFFFF"/>
        </w:rPr>
        <w:t xml:space="preserve">Pham, H. N., Thai, N. T., Heffernan, T. W., </w:t>
      </w:r>
      <w:r w:rsidR="008576DB" w:rsidRPr="008C6744">
        <w:rPr>
          <w:rFonts w:ascii="Arial" w:hAnsi="Arial" w:cs="Arial"/>
          <w:color w:val="222222"/>
          <w:szCs w:val="24"/>
          <w:shd w:val="clear" w:color="auto" w:fill="FFFFFF"/>
        </w:rPr>
        <w:t>and</w:t>
      </w:r>
      <w:r w:rsidRPr="008C6744">
        <w:rPr>
          <w:rFonts w:ascii="Arial" w:hAnsi="Arial" w:cs="Arial"/>
          <w:color w:val="222222"/>
          <w:szCs w:val="24"/>
          <w:shd w:val="clear" w:color="auto" w:fill="FFFFFF"/>
        </w:rPr>
        <w:t xml:space="preserve"> Reynolds, N. (2024). Environmental policies and the promotion of pro-environmental consumer behavior: A systematic literature review. </w:t>
      </w:r>
      <w:r w:rsidRPr="008C6744">
        <w:rPr>
          <w:rFonts w:ascii="Arial" w:hAnsi="Arial" w:cs="Arial"/>
          <w:i/>
          <w:iCs/>
          <w:color w:val="222222"/>
          <w:szCs w:val="24"/>
          <w:shd w:val="clear" w:color="auto" w:fill="FFFFFF"/>
        </w:rPr>
        <w:t>Journal of Macromarketing</w:t>
      </w:r>
      <w:r w:rsidRPr="008C6744">
        <w:rPr>
          <w:rFonts w:ascii="Arial" w:hAnsi="Arial" w:cs="Arial"/>
          <w:color w:val="222222"/>
          <w:szCs w:val="24"/>
          <w:shd w:val="clear" w:color="auto" w:fill="FFFFFF"/>
        </w:rPr>
        <w:t>, </w:t>
      </w:r>
      <w:r w:rsidRPr="008C6744">
        <w:rPr>
          <w:rFonts w:ascii="Arial" w:hAnsi="Arial" w:cs="Arial"/>
          <w:i/>
          <w:iCs/>
          <w:color w:val="222222"/>
          <w:szCs w:val="24"/>
          <w:shd w:val="clear" w:color="auto" w:fill="FFFFFF"/>
        </w:rPr>
        <w:t>44</w:t>
      </w:r>
      <w:r w:rsidRPr="008C6744">
        <w:rPr>
          <w:rFonts w:ascii="Arial" w:hAnsi="Arial" w:cs="Arial"/>
          <w:color w:val="222222"/>
          <w:szCs w:val="24"/>
          <w:shd w:val="clear" w:color="auto" w:fill="FFFFFF"/>
        </w:rPr>
        <w:t>(1), 30-58.</w:t>
      </w:r>
      <w:r w:rsidRPr="008C6744">
        <w:rPr>
          <w:rFonts w:ascii="Arial" w:hAnsi="Arial" w:cs="Arial"/>
          <w:szCs w:val="24"/>
        </w:rPr>
        <w:t xml:space="preserve">. </w:t>
      </w:r>
      <w:hyperlink r:id="rId25" w:history="1">
        <w:r w:rsidRPr="008C6744">
          <w:rPr>
            <w:rStyle w:val="Hyperlink"/>
            <w:rFonts w:ascii="Arial" w:hAnsi="Arial" w:cs="Arial"/>
            <w:szCs w:val="24"/>
          </w:rPr>
          <w:t>https://journals.sagepub.com/doi/epub/10.1177/02761467231201507</w:t>
        </w:r>
      </w:hyperlink>
    </w:p>
    <w:p w14:paraId="10E34256" w14:textId="77777777" w:rsidR="0069425B" w:rsidRPr="008C6744" w:rsidRDefault="0069425B" w:rsidP="00BC6BAA">
      <w:pPr>
        <w:jc w:val="left"/>
        <w:rPr>
          <w:rFonts w:ascii="Arial" w:hAnsi="Arial" w:cs="Arial"/>
          <w:szCs w:val="24"/>
        </w:rPr>
      </w:pPr>
      <w:r w:rsidRPr="008C6744">
        <w:rPr>
          <w:rFonts w:ascii="Arial" w:hAnsi="Arial" w:cs="Arial"/>
          <w:szCs w:val="24"/>
        </w:rPr>
        <w:t xml:space="preserve">Pluskota, P., Słupińska, K., Wawrzyniak, A., </w:t>
      </w:r>
      <w:r w:rsidR="008576DB" w:rsidRPr="008C6744">
        <w:rPr>
          <w:rFonts w:ascii="Arial" w:hAnsi="Arial" w:cs="Arial"/>
          <w:szCs w:val="24"/>
        </w:rPr>
        <w:t>and</w:t>
      </w:r>
      <w:r w:rsidRPr="008C6744">
        <w:rPr>
          <w:rFonts w:ascii="Arial" w:hAnsi="Arial" w:cs="Arial"/>
          <w:szCs w:val="24"/>
        </w:rPr>
        <w:t>Wąsikowska, B. (2026).The Application of Artificial Intelligence (AI) in the Implementation of ESG-Oriented Sustainable Development Strategies in the Banking Sector: A Case Study. </w:t>
      </w:r>
      <w:r w:rsidRPr="008C6744">
        <w:rPr>
          <w:rFonts w:ascii="Arial" w:hAnsi="Arial" w:cs="Arial"/>
          <w:i/>
          <w:iCs/>
          <w:szCs w:val="24"/>
        </w:rPr>
        <w:t>Sustainability</w:t>
      </w:r>
      <w:r w:rsidRPr="008C6744">
        <w:rPr>
          <w:rFonts w:ascii="Arial" w:hAnsi="Arial" w:cs="Arial"/>
          <w:szCs w:val="24"/>
        </w:rPr>
        <w:t>, </w:t>
      </w:r>
      <w:r w:rsidRPr="008C6744">
        <w:rPr>
          <w:rFonts w:ascii="Arial" w:hAnsi="Arial" w:cs="Arial"/>
          <w:i/>
          <w:iCs/>
          <w:szCs w:val="24"/>
        </w:rPr>
        <w:t>18</w:t>
      </w:r>
      <w:r w:rsidRPr="008C6744">
        <w:rPr>
          <w:rFonts w:ascii="Arial" w:hAnsi="Arial" w:cs="Arial"/>
          <w:szCs w:val="24"/>
        </w:rPr>
        <w:t>(2), 732.</w:t>
      </w:r>
      <w:hyperlink r:id="rId26" w:history="1">
        <w:r w:rsidRPr="008C6744">
          <w:rPr>
            <w:rStyle w:val="Hyperlink"/>
            <w:rFonts w:ascii="Arial" w:hAnsi="Arial" w:cs="Arial"/>
            <w:szCs w:val="24"/>
          </w:rPr>
          <w:t>https://www.mdpi.com/2071-1050/18/2/732</w:t>
        </w:r>
      </w:hyperlink>
    </w:p>
    <w:p w14:paraId="79748480" w14:textId="77777777" w:rsidR="0069425B" w:rsidRPr="008C6744" w:rsidRDefault="0069425B" w:rsidP="00BC6BAA">
      <w:pPr>
        <w:jc w:val="left"/>
        <w:rPr>
          <w:rFonts w:ascii="Arial" w:hAnsi="Arial" w:cs="Arial"/>
          <w:szCs w:val="24"/>
        </w:rPr>
      </w:pPr>
      <w:r w:rsidRPr="008C6744">
        <w:rPr>
          <w:rFonts w:ascii="Arial" w:hAnsi="Arial" w:cs="Arial"/>
          <w:szCs w:val="24"/>
        </w:rPr>
        <w:t xml:space="preserve">Rodes Revueltas, B. (2025). Investment Banking Industry Analysis in Singapore: Growth, Performance </w:t>
      </w:r>
      <w:r w:rsidR="008576DB" w:rsidRPr="008C6744">
        <w:rPr>
          <w:rFonts w:ascii="Arial" w:hAnsi="Arial" w:cs="Arial"/>
          <w:szCs w:val="24"/>
        </w:rPr>
        <w:t>and</w:t>
      </w:r>
      <w:r w:rsidRPr="008C6744">
        <w:rPr>
          <w:rFonts w:ascii="Arial" w:hAnsi="Arial" w:cs="Arial"/>
          <w:szCs w:val="24"/>
        </w:rPr>
        <w:t xml:space="preserve"> Sustainability.</w:t>
      </w:r>
      <w:hyperlink r:id="rId27" w:history="1">
        <w:r w:rsidRPr="008C6744">
          <w:rPr>
            <w:rStyle w:val="Hyperlink"/>
            <w:rFonts w:ascii="Arial" w:hAnsi="Arial" w:cs="Arial"/>
            <w:szCs w:val="24"/>
          </w:rPr>
          <w:t>https://www.theseus.fi/bitstream/handle/10024/887942/Rodes%20Revueltas_Borja.pdf?sequence=2</w:t>
        </w:r>
        <w:r w:rsidR="008576DB" w:rsidRPr="008C6744">
          <w:rPr>
            <w:rStyle w:val="Hyperlink"/>
            <w:rFonts w:ascii="Arial" w:hAnsi="Arial" w:cs="Arial"/>
            <w:szCs w:val="24"/>
          </w:rPr>
          <w:t>and</w:t>
        </w:r>
        <w:r w:rsidRPr="008C6744">
          <w:rPr>
            <w:rStyle w:val="Hyperlink"/>
            <w:rFonts w:ascii="Arial" w:hAnsi="Arial" w:cs="Arial"/>
            <w:szCs w:val="24"/>
          </w:rPr>
          <w:t>isAllowed=y</w:t>
        </w:r>
      </w:hyperlink>
    </w:p>
    <w:p w14:paraId="060C2999" w14:textId="77777777" w:rsidR="0069425B" w:rsidRPr="008C6744" w:rsidRDefault="0069425B" w:rsidP="00BC6BAA">
      <w:pPr>
        <w:jc w:val="left"/>
        <w:rPr>
          <w:rFonts w:ascii="Arial" w:hAnsi="Arial" w:cs="Arial"/>
          <w:szCs w:val="24"/>
        </w:rPr>
      </w:pPr>
      <w:r w:rsidRPr="008C6744">
        <w:rPr>
          <w:rFonts w:ascii="Arial" w:hAnsi="Arial" w:cs="Arial"/>
          <w:szCs w:val="24"/>
        </w:rPr>
        <w:t xml:space="preserve">Zrybnieva, I., Burdyak, O., Venherova, O., Nosachenko, O., </w:t>
      </w:r>
      <w:r w:rsidR="008576DB" w:rsidRPr="008C6744">
        <w:rPr>
          <w:rFonts w:ascii="Arial" w:hAnsi="Arial" w:cs="Arial"/>
          <w:szCs w:val="24"/>
        </w:rPr>
        <w:t>and</w:t>
      </w:r>
      <w:r w:rsidRPr="008C6744">
        <w:rPr>
          <w:rFonts w:ascii="Arial" w:hAnsi="Arial" w:cs="Arial"/>
          <w:szCs w:val="24"/>
        </w:rPr>
        <w:t xml:space="preserve">Serhiienko, O. (2025).Sustainable Marketing within the Environmental Responsibility Context: Research and Communication Strategies for Businesses Growth. </w:t>
      </w:r>
      <w:hyperlink r:id="rId28" w:history="1">
        <w:r w:rsidRPr="008C6744">
          <w:rPr>
            <w:rStyle w:val="Hyperlink"/>
            <w:rFonts w:ascii="Arial" w:hAnsi="Arial" w:cs="Arial"/>
            <w:szCs w:val="24"/>
          </w:rPr>
          <w:t>https://elar.tsatu.edu.ua/server/api/core/bitstreams/7e325a9f-c425-4a80-94d7-80a812d62db9/content</w:t>
        </w:r>
      </w:hyperlink>
    </w:p>
    <w:sectPr w:rsidR="0069425B" w:rsidRPr="008C6744" w:rsidSect="009E4620">
      <w:foot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58CDA0" w14:textId="77777777" w:rsidR="00C67ED3" w:rsidRDefault="00C67ED3" w:rsidP="00135FE8">
      <w:pPr>
        <w:spacing w:after="0" w:line="240" w:lineRule="auto"/>
      </w:pPr>
      <w:r>
        <w:separator/>
      </w:r>
    </w:p>
  </w:endnote>
  <w:endnote w:type="continuationSeparator" w:id="0">
    <w:p w14:paraId="0B10D2C6" w14:textId="77777777" w:rsidR="00C67ED3" w:rsidRDefault="00C67ED3" w:rsidP="00135F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4548126"/>
      <w:docPartObj>
        <w:docPartGallery w:val="Page Numbers (Bottom of Page)"/>
        <w:docPartUnique/>
      </w:docPartObj>
    </w:sdtPr>
    <w:sdtEndPr>
      <w:rPr>
        <w:color w:val="7F7F7F" w:themeColor="background1" w:themeShade="7F"/>
        <w:spacing w:val="60"/>
      </w:rPr>
    </w:sdtEndPr>
    <w:sdtContent>
      <w:p w14:paraId="3D2AE7E2" w14:textId="1F81433A" w:rsidR="002F7EF6" w:rsidRDefault="008576DB">
        <w:pPr>
          <w:pStyle w:val="Footer"/>
          <w:pBdr>
            <w:top w:val="single" w:sz="4" w:space="1" w:color="D9D9D9" w:themeColor="background1" w:themeShade="D9"/>
          </w:pBdr>
          <w:jc w:val="right"/>
        </w:pPr>
        <w:r>
          <w:fldChar w:fldCharType="begin"/>
        </w:r>
        <w:r>
          <w:instrText xml:space="preserve"> PAGE   \* MERGEFORMAT </w:instrText>
        </w:r>
        <w:r>
          <w:fldChar w:fldCharType="separate"/>
        </w:r>
        <w:r w:rsidR="00824C9D">
          <w:rPr>
            <w:noProof/>
          </w:rPr>
          <w:t>1</w:t>
        </w:r>
        <w:r>
          <w:rPr>
            <w:noProof/>
          </w:rPr>
          <w:fldChar w:fldCharType="end"/>
        </w:r>
        <w:r w:rsidR="002F7EF6">
          <w:t xml:space="preserve"> | </w:t>
        </w:r>
        <w:r w:rsidR="002F7EF6">
          <w:rPr>
            <w:color w:val="7F7F7F" w:themeColor="background1" w:themeShade="7F"/>
            <w:spacing w:val="60"/>
          </w:rPr>
          <w:t>Page</w:t>
        </w:r>
      </w:p>
    </w:sdtContent>
  </w:sdt>
  <w:p w14:paraId="320E953B" w14:textId="77777777" w:rsidR="002F7EF6" w:rsidRDefault="002F7EF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274F4A" w14:textId="77777777" w:rsidR="00C67ED3" w:rsidRDefault="00C67ED3" w:rsidP="00135FE8">
      <w:pPr>
        <w:spacing w:after="0" w:line="240" w:lineRule="auto"/>
      </w:pPr>
      <w:r>
        <w:separator/>
      </w:r>
    </w:p>
  </w:footnote>
  <w:footnote w:type="continuationSeparator" w:id="0">
    <w:p w14:paraId="2EA5B02E" w14:textId="77777777" w:rsidR="00C67ED3" w:rsidRDefault="00C67ED3" w:rsidP="00135FE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48758A"/>
    <w:rsid w:val="000479A7"/>
    <w:rsid w:val="00053923"/>
    <w:rsid w:val="000769EE"/>
    <w:rsid w:val="00076C6E"/>
    <w:rsid w:val="000825E5"/>
    <w:rsid w:val="000947DB"/>
    <w:rsid w:val="000F6DA3"/>
    <w:rsid w:val="0013509A"/>
    <w:rsid w:val="00135FE8"/>
    <w:rsid w:val="00170E7D"/>
    <w:rsid w:val="001D192A"/>
    <w:rsid w:val="001F0B3F"/>
    <w:rsid w:val="002020ED"/>
    <w:rsid w:val="0023177B"/>
    <w:rsid w:val="00234EC4"/>
    <w:rsid w:val="00237025"/>
    <w:rsid w:val="002454E7"/>
    <w:rsid w:val="002A1E57"/>
    <w:rsid w:val="002B0EA9"/>
    <w:rsid w:val="002B5829"/>
    <w:rsid w:val="002C1A66"/>
    <w:rsid w:val="002D5505"/>
    <w:rsid w:val="002F7EF6"/>
    <w:rsid w:val="00321C5A"/>
    <w:rsid w:val="003410F1"/>
    <w:rsid w:val="0036023E"/>
    <w:rsid w:val="003C5029"/>
    <w:rsid w:val="003D29BC"/>
    <w:rsid w:val="00466038"/>
    <w:rsid w:val="004733B7"/>
    <w:rsid w:val="00483FDD"/>
    <w:rsid w:val="00486FEE"/>
    <w:rsid w:val="0048758A"/>
    <w:rsid w:val="004C5C63"/>
    <w:rsid w:val="004F7963"/>
    <w:rsid w:val="0050382E"/>
    <w:rsid w:val="00517C00"/>
    <w:rsid w:val="00544770"/>
    <w:rsid w:val="005668FD"/>
    <w:rsid w:val="00585403"/>
    <w:rsid w:val="005A7457"/>
    <w:rsid w:val="005C2B15"/>
    <w:rsid w:val="00640F3F"/>
    <w:rsid w:val="00642C46"/>
    <w:rsid w:val="006652A9"/>
    <w:rsid w:val="006707CB"/>
    <w:rsid w:val="0069404D"/>
    <w:rsid w:val="0069425B"/>
    <w:rsid w:val="006F333C"/>
    <w:rsid w:val="006F72DF"/>
    <w:rsid w:val="007274F9"/>
    <w:rsid w:val="0076097F"/>
    <w:rsid w:val="007A44FB"/>
    <w:rsid w:val="007D4939"/>
    <w:rsid w:val="007E0AF8"/>
    <w:rsid w:val="007E315C"/>
    <w:rsid w:val="00800A5A"/>
    <w:rsid w:val="00803EAA"/>
    <w:rsid w:val="00824C9D"/>
    <w:rsid w:val="008576DB"/>
    <w:rsid w:val="00882C23"/>
    <w:rsid w:val="008B3821"/>
    <w:rsid w:val="008C6744"/>
    <w:rsid w:val="008D68C8"/>
    <w:rsid w:val="008E7483"/>
    <w:rsid w:val="008E78BB"/>
    <w:rsid w:val="00937E9D"/>
    <w:rsid w:val="009526CF"/>
    <w:rsid w:val="00985322"/>
    <w:rsid w:val="00994369"/>
    <w:rsid w:val="009A5688"/>
    <w:rsid w:val="009E4620"/>
    <w:rsid w:val="00A3589E"/>
    <w:rsid w:val="00AE753C"/>
    <w:rsid w:val="00B026FE"/>
    <w:rsid w:val="00B05387"/>
    <w:rsid w:val="00B27FB7"/>
    <w:rsid w:val="00B34280"/>
    <w:rsid w:val="00BB1EF5"/>
    <w:rsid w:val="00BC6BAA"/>
    <w:rsid w:val="00C14395"/>
    <w:rsid w:val="00C15AB6"/>
    <w:rsid w:val="00C67ED3"/>
    <w:rsid w:val="00CD6DB5"/>
    <w:rsid w:val="00D22B49"/>
    <w:rsid w:val="00D53A42"/>
    <w:rsid w:val="00D636E2"/>
    <w:rsid w:val="00D8793E"/>
    <w:rsid w:val="00DA5121"/>
    <w:rsid w:val="00DD63A9"/>
    <w:rsid w:val="00E00A9E"/>
    <w:rsid w:val="00E41214"/>
    <w:rsid w:val="00E870D1"/>
    <w:rsid w:val="00EA47ED"/>
    <w:rsid w:val="00EB6110"/>
    <w:rsid w:val="00EB6592"/>
    <w:rsid w:val="00EE5AAB"/>
    <w:rsid w:val="00EF2E43"/>
    <w:rsid w:val="00F1602B"/>
    <w:rsid w:val="00F16E1C"/>
    <w:rsid w:val="00F8674A"/>
    <w:rsid w:val="00FB79DB"/>
    <w:rsid w:val="00FC2344"/>
    <w:rsid w:val="00FE2B9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8217AB"/>
  <w15:docId w15:val="{63AAA826-AF37-41CE-847E-A4A8E28312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E0AF8"/>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E870D1"/>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E870D1"/>
    <w:pPr>
      <w:keepNext/>
      <w:keepLines/>
      <w:spacing w:before="200" w:after="0"/>
      <w:outlineLvl w:val="1"/>
    </w:pPr>
    <w:rPr>
      <w:rFonts w:eastAsiaTheme="majorEastAsia" w:cstheme="majorBidi"/>
      <w:b/>
      <w:bCs/>
      <w:sz w:val="26"/>
      <w:szCs w:val="26"/>
    </w:rPr>
  </w:style>
  <w:style w:type="paragraph" w:styleId="Heading3">
    <w:name w:val="heading 3"/>
    <w:basedOn w:val="Normal"/>
    <w:next w:val="Normal"/>
    <w:link w:val="Heading3Char"/>
    <w:uiPriority w:val="9"/>
    <w:unhideWhenUsed/>
    <w:qFormat/>
    <w:rsid w:val="00E870D1"/>
    <w:pPr>
      <w:keepNext/>
      <w:keepLines/>
      <w:spacing w:before="200" w:after="0"/>
      <w:outlineLvl w:val="2"/>
    </w:pPr>
    <w:rPr>
      <w:rFonts w:eastAsiaTheme="majorEastAsia" w:cstheme="majorBidi"/>
      <w:b/>
      <w:bCs/>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274F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1Char">
    <w:name w:val="Heading 1 Char"/>
    <w:basedOn w:val="DefaultParagraphFont"/>
    <w:link w:val="Heading1"/>
    <w:uiPriority w:val="9"/>
    <w:rsid w:val="00E870D1"/>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E870D1"/>
    <w:rPr>
      <w:rFonts w:ascii="Times New Roman" w:eastAsiaTheme="majorEastAsia" w:hAnsi="Times New Roman" w:cstheme="majorBidi"/>
      <w:b/>
      <w:bCs/>
      <w:sz w:val="26"/>
      <w:szCs w:val="26"/>
    </w:rPr>
  </w:style>
  <w:style w:type="character" w:customStyle="1" w:styleId="Heading3Char">
    <w:name w:val="Heading 3 Char"/>
    <w:basedOn w:val="DefaultParagraphFont"/>
    <w:link w:val="Heading3"/>
    <w:uiPriority w:val="9"/>
    <w:rsid w:val="00E870D1"/>
    <w:rPr>
      <w:rFonts w:ascii="Times New Roman" w:eastAsiaTheme="majorEastAsia" w:hAnsi="Times New Roman" w:cstheme="majorBidi"/>
      <w:b/>
      <w:bCs/>
      <w:i/>
      <w:sz w:val="24"/>
    </w:rPr>
  </w:style>
  <w:style w:type="table" w:customStyle="1" w:styleId="LightGrid1">
    <w:name w:val="Light Grid1"/>
    <w:basedOn w:val="TableNormal"/>
    <w:uiPriority w:val="62"/>
    <w:rsid w:val="00C15AB6"/>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styleId="Header">
    <w:name w:val="header"/>
    <w:basedOn w:val="Normal"/>
    <w:link w:val="HeaderChar"/>
    <w:uiPriority w:val="99"/>
    <w:semiHidden/>
    <w:unhideWhenUsed/>
    <w:rsid w:val="00135FE8"/>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135FE8"/>
    <w:rPr>
      <w:rFonts w:ascii="Times New Roman" w:hAnsi="Times New Roman"/>
      <w:sz w:val="24"/>
    </w:rPr>
  </w:style>
  <w:style w:type="paragraph" w:styleId="Footer">
    <w:name w:val="footer"/>
    <w:basedOn w:val="Normal"/>
    <w:link w:val="FooterChar"/>
    <w:uiPriority w:val="99"/>
    <w:unhideWhenUsed/>
    <w:rsid w:val="00135F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5FE8"/>
    <w:rPr>
      <w:rFonts w:ascii="Times New Roman" w:hAnsi="Times New Roman"/>
      <w:sz w:val="24"/>
    </w:rPr>
  </w:style>
  <w:style w:type="paragraph" w:styleId="TOCHeading">
    <w:name w:val="TOC Heading"/>
    <w:basedOn w:val="Heading1"/>
    <w:next w:val="Normal"/>
    <w:uiPriority w:val="39"/>
    <w:semiHidden/>
    <w:unhideWhenUsed/>
    <w:qFormat/>
    <w:rsid w:val="00135FE8"/>
    <w:pPr>
      <w:spacing w:line="276" w:lineRule="auto"/>
      <w:jc w:val="left"/>
      <w:outlineLvl w:val="9"/>
    </w:pPr>
    <w:rPr>
      <w:rFonts w:asciiTheme="majorHAnsi" w:hAnsiTheme="majorHAnsi"/>
      <w:color w:val="365F91" w:themeColor="accent1" w:themeShade="BF"/>
      <w:lang w:val="en-US" w:eastAsia="en-US"/>
    </w:rPr>
  </w:style>
  <w:style w:type="paragraph" w:styleId="TOC1">
    <w:name w:val="toc 1"/>
    <w:basedOn w:val="Normal"/>
    <w:next w:val="Normal"/>
    <w:autoRedefine/>
    <w:uiPriority w:val="39"/>
    <w:unhideWhenUsed/>
    <w:rsid w:val="00135FE8"/>
    <w:pPr>
      <w:spacing w:after="100"/>
    </w:pPr>
  </w:style>
  <w:style w:type="paragraph" w:styleId="TOC2">
    <w:name w:val="toc 2"/>
    <w:basedOn w:val="Normal"/>
    <w:next w:val="Normal"/>
    <w:autoRedefine/>
    <w:uiPriority w:val="39"/>
    <w:unhideWhenUsed/>
    <w:rsid w:val="00135FE8"/>
    <w:pPr>
      <w:spacing w:after="100"/>
      <w:ind w:left="240"/>
    </w:pPr>
  </w:style>
  <w:style w:type="paragraph" w:styleId="TOC3">
    <w:name w:val="toc 3"/>
    <w:basedOn w:val="Normal"/>
    <w:next w:val="Normal"/>
    <w:autoRedefine/>
    <w:uiPriority w:val="39"/>
    <w:unhideWhenUsed/>
    <w:rsid w:val="00135FE8"/>
    <w:pPr>
      <w:spacing w:after="100"/>
      <w:ind w:left="480"/>
    </w:pPr>
  </w:style>
  <w:style w:type="character" w:styleId="Hyperlink">
    <w:name w:val="Hyperlink"/>
    <w:basedOn w:val="DefaultParagraphFont"/>
    <w:uiPriority w:val="99"/>
    <w:unhideWhenUsed/>
    <w:rsid w:val="00135FE8"/>
    <w:rPr>
      <w:color w:val="0000FF" w:themeColor="hyperlink"/>
      <w:u w:val="single"/>
    </w:rPr>
  </w:style>
  <w:style w:type="paragraph" w:styleId="BalloonText">
    <w:name w:val="Balloon Text"/>
    <w:basedOn w:val="Normal"/>
    <w:link w:val="BalloonTextChar"/>
    <w:uiPriority w:val="99"/>
    <w:semiHidden/>
    <w:unhideWhenUsed/>
    <w:rsid w:val="00135F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35FE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6441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s://www.mdpi.com/2674-1032/2/3/28" TargetMode="External"/><Relationship Id="rId26" Type="http://schemas.openxmlformats.org/officeDocument/2006/relationships/hyperlink" Target="https://www.mdpi.com/2071-1050/18/2/732" TargetMode="External"/><Relationship Id="rId3" Type="http://schemas.openxmlformats.org/officeDocument/2006/relationships/settings" Target="settings.xml"/><Relationship Id="rId21" Type="http://schemas.openxmlformats.org/officeDocument/2006/relationships/hyperlink" Target="https://arxiv.org/abs/2412.04495"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www.sciencedirect.com/science/article/pii/S0148296322009110" TargetMode="External"/><Relationship Id="rId25" Type="http://schemas.openxmlformats.org/officeDocument/2006/relationships/hyperlink" Target="https://journals.sagepub.com/doi/epub/10.1177/02761467231201507" TargetMode="External"/><Relationship Id="rId2" Type="http://schemas.openxmlformats.org/officeDocument/2006/relationships/styles" Target="styles.xml"/><Relationship Id="rId16" Type="http://schemas.openxmlformats.org/officeDocument/2006/relationships/hyperlink" Target="https://www.mdpi.com/2674-1032/4/3/48" TargetMode="External"/><Relationship Id="rId20" Type="http://schemas.openxmlformats.org/officeDocument/2006/relationships/hyperlink" Target="https://papers.ssrn.com/sol3/papers.cfm?abstract_id=5973614"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evnuir.vnu.edu.ua/bitstream/123456789/29370/1/25.pdf" TargetMode="External"/><Relationship Id="rId5" Type="http://schemas.openxmlformats.org/officeDocument/2006/relationships/footnotes" Target="footnotes.xml"/><Relationship Id="rId15" Type="http://schemas.openxmlformats.org/officeDocument/2006/relationships/hyperlink" Target="https://oiccpress.com/amc/article/view/8549/18758" TargetMode="External"/><Relationship Id="rId23" Type="http://schemas.openxmlformats.org/officeDocument/2006/relationships/hyperlink" Target="https://eu-opensci.org/index.php/ejbmr/article/view/51465/7534" TargetMode="External"/><Relationship Id="rId28" Type="http://schemas.openxmlformats.org/officeDocument/2006/relationships/hyperlink" Target="https://elar.tsatu.edu.ua/server/api/core/bitstreams/7e325a9f-c425-4a80-94d7-80a812d62db9/content" TargetMode="External"/><Relationship Id="rId10" Type="http://schemas.openxmlformats.org/officeDocument/2006/relationships/image" Target="media/image4.png"/><Relationship Id="rId19" Type="http://schemas.openxmlformats.org/officeDocument/2006/relationships/hyperlink" Target="https://onlinelibrary.wiley.com/doi/epdf/10.1002/jsc.70027"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 Id="rId22" Type="http://schemas.openxmlformats.org/officeDocument/2006/relationships/hyperlink" Target="https://dergipark.org.tr/en/download/article-file/5028540" TargetMode="External"/><Relationship Id="rId27" Type="http://schemas.openxmlformats.org/officeDocument/2006/relationships/hyperlink" Target="https://www.theseus.fi/bitstream/handle/10024/887942/Rodes%20Revueltas_Borja.pdf?sequence=2&amp;isAllowed=y"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824553-F8DF-4654-8A20-C8E9D5CF35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295</TotalTime>
  <Pages>15</Pages>
  <Words>3990</Words>
  <Characters>22748</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HG DAS</dc:creator>
  <cp:lastModifiedBy>DELL</cp:lastModifiedBy>
  <cp:revision>140</cp:revision>
  <dcterms:created xsi:type="dcterms:W3CDTF">2026-03-03T12:03:00Z</dcterms:created>
  <dcterms:modified xsi:type="dcterms:W3CDTF">2026-03-18T16:00:00Z</dcterms:modified>
</cp:coreProperties>
</file>