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81169" w14:textId="0510CE53" w:rsidR="001D6D0E" w:rsidRPr="005C76F0" w:rsidRDefault="001D6D0E" w:rsidP="001D6D0E">
      <w:pPr>
        <w:spacing w:after="100"/>
        <w:jc w:val="center"/>
      </w:pPr>
      <w:r w:rsidRPr="005C76F0">
        <w:rPr>
          <w:noProof/>
        </w:rPr>
        <w:drawing>
          <wp:inline distT="0" distB="0" distL="0" distR="0" wp14:anchorId="6ED2F40C" wp14:editId="0C4AF3FD">
            <wp:extent cx="3895090" cy="1292897"/>
            <wp:effectExtent l="0" t="0" r="0" b="2540"/>
            <wp:docPr id="732456961" name="Picture 1" descr="Enter The 2024 Young Chef Young Waiter Compet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ter The 2024 Young Chef Young Waiter Competi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27730" cy="1303731"/>
                    </a:xfrm>
                    <a:prstGeom prst="rect">
                      <a:avLst/>
                    </a:prstGeom>
                    <a:noFill/>
                    <a:ln>
                      <a:noFill/>
                    </a:ln>
                  </pic:spPr>
                </pic:pic>
              </a:graphicData>
            </a:graphic>
          </wp:inline>
        </w:drawing>
      </w:r>
    </w:p>
    <w:p w14:paraId="049B804C" w14:textId="77777777" w:rsidR="001D6D0E" w:rsidRPr="005C76F0" w:rsidRDefault="001D6D0E" w:rsidP="001D6D0E">
      <w:pPr>
        <w:spacing w:after="100"/>
        <w:jc w:val="center"/>
        <w:rPr>
          <w:rFonts w:ascii="Arial" w:eastAsia="Arial" w:hAnsi="Arial"/>
          <w:b/>
          <w:color w:val="5C646C"/>
          <w:sz w:val="2"/>
          <w:szCs w:val="2"/>
        </w:rPr>
      </w:pPr>
    </w:p>
    <w:p w14:paraId="6FC6D033" w14:textId="77777777" w:rsidR="001D6D0E" w:rsidRPr="005C76F0" w:rsidRDefault="001D6D0E" w:rsidP="001D6D0E">
      <w:pPr>
        <w:spacing w:after="100"/>
        <w:jc w:val="center"/>
        <w:rPr>
          <w:rFonts w:ascii="Arial" w:eastAsia="Arial" w:hAnsi="Arial"/>
          <w:b/>
          <w:color w:val="5C646C"/>
          <w:sz w:val="2"/>
          <w:szCs w:val="2"/>
        </w:rPr>
      </w:pPr>
    </w:p>
    <w:p w14:paraId="52F0C322" w14:textId="5C958972" w:rsidR="001D6D0E" w:rsidRPr="005C76F0" w:rsidRDefault="001D6D0E" w:rsidP="001D6D0E">
      <w:pPr>
        <w:spacing w:after="100"/>
        <w:jc w:val="center"/>
        <w:rPr>
          <w:rFonts w:ascii="Arial" w:eastAsia="Arial" w:hAnsi="Arial"/>
          <w:b/>
          <w:color w:val="5C646C"/>
          <w:sz w:val="28"/>
          <w:szCs w:val="36"/>
        </w:rPr>
      </w:pPr>
      <w:r w:rsidRPr="005C76F0">
        <w:rPr>
          <w:rFonts w:ascii="Arial" w:eastAsia="Arial" w:hAnsi="Arial"/>
          <w:b/>
          <w:color w:val="5C646C"/>
          <w:sz w:val="28"/>
          <w:szCs w:val="36"/>
        </w:rPr>
        <w:t>LEVEL 7 – ASSESSMENT</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3"/>
      </w:tblGrid>
      <w:tr w:rsidR="001D6D0E" w:rsidRPr="005C76F0" w14:paraId="77628483" w14:textId="77777777" w:rsidTr="005C76F0">
        <w:trPr>
          <w:jc w:val="center"/>
        </w:trPr>
        <w:tc>
          <w:tcPr>
            <w:tcW w:w="9493" w:type="dxa"/>
            <w:shd w:val="clear" w:color="auto" w:fill="E3B23C"/>
            <w:tcMar>
              <w:top w:w="0" w:type="dxa"/>
              <w:left w:w="0" w:type="dxa"/>
              <w:bottom w:w="0" w:type="dxa"/>
              <w:right w:w="0" w:type="dxa"/>
            </w:tcMar>
          </w:tcPr>
          <w:p w14:paraId="797ACEF5" w14:textId="77777777" w:rsidR="001D6D0E" w:rsidRPr="005C76F0" w:rsidRDefault="001D6D0E" w:rsidP="00EF71BC">
            <w:r w:rsidRPr="005C76F0">
              <w:t xml:space="preserve"> </w:t>
            </w:r>
          </w:p>
        </w:tc>
      </w:tr>
      <w:tr w:rsidR="001D6D0E" w:rsidRPr="005C76F0" w14:paraId="77CF57DF" w14:textId="77777777" w:rsidTr="005C76F0">
        <w:trPr>
          <w:jc w:val="center"/>
        </w:trPr>
        <w:tc>
          <w:tcPr>
            <w:tcW w:w="9493" w:type="dxa"/>
            <w:shd w:val="clear" w:color="auto" w:fill="15324B"/>
            <w:tcMar>
              <w:top w:w="260" w:type="dxa"/>
              <w:left w:w="240" w:type="dxa"/>
              <w:bottom w:w="250" w:type="dxa"/>
              <w:right w:w="240" w:type="dxa"/>
            </w:tcMar>
          </w:tcPr>
          <w:p w14:paraId="19828B01" w14:textId="77777777" w:rsidR="001D6D0E" w:rsidRPr="005C76F0" w:rsidRDefault="001D6D0E" w:rsidP="00EF71BC">
            <w:pPr>
              <w:spacing w:after="120"/>
              <w:jc w:val="center"/>
            </w:pPr>
            <w:r w:rsidRPr="005C76F0">
              <w:rPr>
                <w:rFonts w:ascii="Arial" w:eastAsia="Arial" w:hAnsi="Arial"/>
                <w:b/>
                <w:color w:val="FFFFFF"/>
                <w:sz w:val="44"/>
              </w:rPr>
              <w:t>MARKETING ENVIRONMENT ANALYSIS</w:t>
            </w:r>
          </w:p>
          <w:p w14:paraId="401B711E" w14:textId="77777777" w:rsidR="001D6D0E" w:rsidRPr="005C76F0" w:rsidRDefault="001D6D0E" w:rsidP="00EF71BC">
            <w:pPr>
              <w:jc w:val="center"/>
            </w:pPr>
            <w:r w:rsidRPr="005C76F0">
              <w:rPr>
                <w:rFonts w:ascii="Arial" w:eastAsia="Arial" w:hAnsi="Arial"/>
                <w:color w:val="E3B23C"/>
                <w:sz w:val="26"/>
              </w:rPr>
              <w:t>BHP’s Transition Towards a Lower-Carbon Business Model</w:t>
            </w:r>
          </w:p>
        </w:tc>
      </w:tr>
    </w:tbl>
    <w:p w14:paraId="686B0D41" w14:textId="77777777" w:rsidR="001D6D0E" w:rsidRPr="005C76F0" w:rsidRDefault="001D6D0E" w:rsidP="001D6D0E">
      <w:pPr>
        <w:spacing w:after="80"/>
      </w:pPr>
    </w:p>
    <w:p w14:paraId="6DE87191" w14:textId="77777777" w:rsidR="001D6D0E" w:rsidRPr="005C76F0" w:rsidRDefault="001D6D0E" w:rsidP="001D6D0E">
      <w:pPr>
        <w:spacing w:after="40"/>
        <w:jc w:val="center"/>
      </w:pPr>
      <w:r w:rsidRPr="005C76F0">
        <w:rPr>
          <w:rFonts w:ascii="Arial" w:eastAsia="Arial" w:hAnsi="Arial"/>
          <w:b/>
          <w:color w:val="15324B"/>
          <w:sz w:val="26"/>
        </w:rPr>
        <w:t>MASTER OF BUSINESS ADMINISTRATION</w:t>
      </w:r>
    </w:p>
    <w:p w14:paraId="0959CAA7" w14:textId="4A2A5D7C" w:rsidR="001D6D0E" w:rsidRPr="005C76F0" w:rsidRDefault="001D6D0E" w:rsidP="001D6D0E">
      <w:pPr>
        <w:spacing w:after="200"/>
        <w:jc w:val="center"/>
      </w:pPr>
      <w:r w:rsidRPr="005C76F0">
        <w:rPr>
          <w:rFonts w:ascii="Arial" w:eastAsia="Arial" w:hAnsi="Arial"/>
          <w:b/>
          <w:color w:val="5C646C"/>
          <w:sz w:val="22"/>
        </w:rPr>
        <w:t>Marketing Management | LCMB7024</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6516"/>
      </w:tblGrid>
      <w:tr w:rsidR="001D6D0E" w:rsidRPr="005C76F0" w14:paraId="642C6CB1" w14:textId="77777777" w:rsidTr="005C76F0">
        <w:trPr>
          <w:jc w:val="center"/>
        </w:trPr>
        <w:tc>
          <w:tcPr>
            <w:tcW w:w="2835" w:type="dxa"/>
            <w:shd w:val="clear" w:color="auto" w:fill="F3F6F8"/>
            <w:tcMar>
              <w:top w:w="95" w:type="dxa"/>
              <w:left w:w="120" w:type="dxa"/>
              <w:bottom w:w="95" w:type="dxa"/>
              <w:right w:w="120" w:type="dxa"/>
            </w:tcMar>
            <w:vAlign w:val="center"/>
          </w:tcPr>
          <w:p w14:paraId="3D4E4B9C" w14:textId="77777777" w:rsidR="001D6D0E" w:rsidRPr="005C76F0" w:rsidRDefault="001D6D0E" w:rsidP="001D6D0E">
            <w:pPr>
              <w:rPr>
                <w:rFonts w:ascii="Arial" w:eastAsia="Arial" w:hAnsi="Arial"/>
                <w:b/>
                <w:color w:val="15324B"/>
                <w:sz w:val="2"/>
                <w:szCs w:val="2"/>
              </w:rPr>
            </w:pPr>
          </w:p>
          <w:p w14:paraId="5BEB251E" w14:textId="035DB751" w:rsidR="001D6D0E" w:rsidRPr="005C76F0" w:rsidRDefault="001D6D0E" w:rsidP="001D6D0E">
            <w:pPr>
              <w:rPr>
                <w:sz w:val="22"/>
                <w:szCs w:val="32"/>
              </w:rPr>
            </w:pPr>
            <w:r w:rsidRPr="005C76F0">
              <w:rPr>
                <w:rFonts w:ascii="Arial" w:eastAsia="Arial" w:hAnsi="Arial"/>
                <w:b/>
                <w:color w:val="15324B"/>
                <w:sz w:val="22"/>
                <w:szCs w:val="32"/>
              </w:rPr>
              <w:t>Module:</w:t>
            </w:r>
          </w:p>
        </w:tc>
        <w:tc>
          <w:tcPr>
            <w:tcW w:w="6516" w:type="dxa"/>
            <w:shd w:val="clear" w:color="auto" w:fill="F3F6F8"/>
            <w:tcMar>
              <w:top w:w="95" w:type="dxa"/>
              <w:left w:w="150" w:type="dxa"/>
              <w:bottom w:w="95" w:type="dxa"/>
              <w:right w:w="150" w:type="dxa"/>
            </w:tcMar>
            <w:vAlign w:val="center"/>
          </w:tcPr>
          <w:p w14:paraId="14EF36A7" w14:textId="77777777" w:rsidR="005C76F0" w:rsidRPr="005C76F0" w:rsidRDefault="005C76F0" w:rsidP="001D6D0E">
            <w:pPr>
              <w:rPr>
                <w:rFonts w:ascii="Arial" w:eastAsia="Arial" w:hAnsi="Arial"/>
                <w:color w:val="2D2D2D"/>
                <w:sz w:val="2"/>
                <w:szCs w:val="2"/>
              </w:rPr>
            </w:pPr>
          </w:p>
          <w:p w14:paraId="66FBC7CA" w14:textId="15771862" w:rsidR="001D6D0E" w:rsidRPr="005C76F0" w:rsidRDefault="001D6D0E" w:rsidP="001D6D0E">
            <w:pPr>
              <w:rPr>
                <w:sz w:val="22"/>
                <w:szCs w:val="32"/>
              </w:rPr>
            </w:pPr>
            <w:r w:rsidRPr="005C76F0">
              <w:rPr>
                <w:rFonts w:ascii="Arial" w:eastAsia="Arial" w:hAnsi="Arial"/>
                <w:color w:val="2D2D2D"/>
                <w:sz w:val="22"/>
                <w:szCs w:val="32"/>
              </w:rPr>
              <w:t>Marketing Management</w:t>
            </w:r>
          </w:p>
        </w:tc>
      </w:tr>
      <w:tr w:rsidR="001D6D0E" w:rsidRPr="005C76F0" w14:paraId="23D92D68" w14:textId="77777777" w:rsidTr="005C76F0">
        <w:trPr>
          <w:jc w:val="center"/>
        </w:trPr>
        <w:tc>
          <w:tcPr>
            <w:tcW w:w="2835" w:type="dxa"/>
            <w:shd w:val="clear" w:color="auto" w:fill="DCE5EB"/>
            <w:tcMar>
              <w:top w:w="95" w:type="dxa"/>
              <w:left w:w="120" w:type="dxa"/>
              <w:bottom w:w="95" w:type="dxa"/>
              <w:right w:w="120" w:type="dxa"/>
            </w:tcMar>
            <w:vAlign w:val="center"/>
          </w:tcPr>
          <w:p w14:paraId="3A08A76E" w14:textId="77777777" w:rsidR="001D6D0E" w:rsidRPr="005C76F0" w:rsidRDefault="001D6D0E" w:rsidP="001D6D0E">
            <w:pPr>
              <w:rPr>
                <w:rFonts w:ascii="Arial" w:eastAsia="Arial" w:hAnsi="Arial"/>
                <w:b/>
                <w:color w:val="15324B"/>
                <w:sz w:val="2"/>
                <w:szCs w:val="2"/>
              </w:rPr>
            </w:pPr>
          </w:p>
          <w:p w14:paraId="1752BA1D" w14:textId="7FB76773" w:rsidR="001D6D0E" w:rsidRPr="005C76F0" w:rsidRDefault="001D6D0E" w:rsidP="001D6D0E">
            <w:pPr>
              <w:rPr>
                <w:sz w:val="22"/>
                <w:szCs w:val="32"/>
              </w:rPr>
            </w:pPr>
            <w:r w:rsidRPr="005C76F0">
              <w:rPr>
                <w:rFonts w:ascii="Arial" w:eastAsia="Arial" w:hAnsi="Arial"/>
                <w:b/>
                <w:color w:val="15324B"/>
                <w:sz w:val="22"/>
                <w:szCs w:val="32"/>
              </w:rPr>
              <w:t>Module Code:</w:t>
            </w:r>
          </w:p>
        </w:tc>
        <w:tc>
          <w:tcPr>
            <w:tcW w:w="6516" w:type="dxa"/>
            <w:shd w:val="clear" w:color="auto" w:fill="FFFFFF"/>
            <w:tcMar>
              <w:top w:w="95" w:type="dxa"/>
              <w:left w:w="150" w:type="dxa"/>
              <w:bottom w:w="95" w:type="dxa"/>
              <w:right w:w="150" w:type="dxa"/>
            </w:tcMar>
            <w:vAlign w:val="center"/>
          </w:tcPr>
          <w:p w14:paraId="69B2CB57" w14:textId="77777777" w:rsidR="005C76F0" w:rsidRPr="005C76F0" w:rsidRDefault="005C76F0" w:rsidP="001D6D0E">
            <w:pPr>
              <w:rPr>
                <w:rFonts w:ascii="Arial" w:eastAsia="Arial" w:hAnsi="Arial"/>
                <w:color w:val="2D2D2D"/>
                <w:sz w:val="2"/>
                <w:szCs w:val="2"/>
              </w:rPr>
            </w:pPr>
          </w:p>
          <w:p w14:paraId="5BBAAF05" w14:textId="38107059" w:rsidR="001D6D0E" w:rsidRPr="005C76F0" w:rsidRDefault="001D6D0E" w:rsidP="001D6D0E">
            <w:pPr>
              <w:rPr>
                <w:sz w:val="22"/>
                <w:szCs w:val="32"/>
              </w:rPr>
            </w:pPr>
            <w:r w:rsidRPr="005C76F0">
              <w:rPr>
                <w:rFonts w:ascii="Arial" w:eastAsia="Arial" w:hAnsi="Arial"/>
                <w:color w:val="2D2D2D"/>
                <w:sz w:val="22"/>
                <w:szCs w:val="32"/>
              </w:rPr>
              <w:t>LCMB7024</w:t>
            </w:r>
          </w:p>
        </w:tc>
      </w:tr>
      <w:tr w:rsidR="001D6D0E" w:rsidRPr="005C76F0" w14:paraId="03C17CEA" w14:textId="77777777" w:rsidTr="005C76F0">
        <w:trPr>
          <w:jc w:val="center"/>
        </w:trPr>
        <w:tc>
          <w:tcPr>
            <w:tcW w:w="2835" w:type="dxa"/>
            <w:shd w:val="clear" w:color="auto" w:fill="F3F6F8"/>
            <w:tcMar>
              <w:top w:w="95" w:type="dxa"/>
              <w:left w:w="120" w:type="dxa"/>
              <w:bottom w:w="95" w:type="dxa"/>
              <w:right w:w="120" w:type="dxa"/>
            </w:tcMar>
            <w:vAlign w:val="center"/>
          </w:tcPr>
          <w:p w14:paraId="5BD55229" w14:textId="77777777" w:rsidR="001D6D0E" w:rsidRPr="005C76F0" w:rsidRDefault="001D6D0E" w:rsidP="001D6D0E">
            <w:pPr>
              <w:rPr>
                <w:rFonts w:ascii="Arial" w:eastAsia="Arial" w:hAnsi="Arial"/>
                <w:b/>
                <w:color w:val="15324B"/>
                <w:sz w:val="2"/>
                <w:szCs w:val="2"/>
              </w:rPr>
            </w:pPr>
          </w:p>
          <w:p w14:paraId="5DAFB969" w14:textId="790BFC27" w:rsidR="001D6D0E" w:rsidRPr="005C76F0" w:rsidRDefault="001D6D0E" w:rsidP="001D6D0E">
            <w:pPr>
              <w:rPr>
                <w:sz w:val="22"/>
                <w:szCs w:val="32"/>
              </w:rPr>
            </w:pPr>
            <w:r w:rsidRPr="005C76F0">
              <w:rPr>
                <w:rFonts w:ascii="Arial" w:eastAsia="Arial" w:hAnsi="Arial"/>
                <w:b/>
                <w:color w:val="15324B"/>
                <w:sz w:val="22"/>
                <w:szCs w:val="32"/>
              </w:rPr>
              <w:t>Lecturers:</w:t>
            </w:r>
          </w:p>
        </w:tc>
        <w:tc>
          <w:tcPr>
            <w:tcW w:w="6516" w:type="dxa"/>
            <w:shd w:val="clear" w:color="auto" w:fill="F3F6F8"/>
            <w:tcMar>
              <w:top w:w="95" w:type="dxa"/>
              <w:left w:w="150" w:type="dxa"/>
              <w:bottom w:w="95" w:type="dxa"/>
              <w:right w:w="150" w:type="dxa"/>
            </w:tcMar>
            <w:vAlign w:val="center"/>
          </w:tcPr>
          <w:p w14:paraId="3F240DD1" w14:textId="77777777" w:rsidR="005C76F0" w:rsidRPr="005C76F0" w:rsidRDefault="005C76F0" w:rsidP="001D6D0E">
            <w:pPr>
              <w:rPr>
                <w:rFonts w:ascii="Arial" w:eastAsia="Arial" w:hAnsi="Arial"/>
                <w:color w:val="2D2D2D"/>
                <w:sz w:val="2"/>
                <w:szCs w:val="2"/>
              </w:rPr>
            </w:pPr>
          </w:p>
          <w:p w14:paraId="3968C7B0" w14:textId="0B2FAD9D" w:rsidR="001D6D0E" w:rsidRPr="005C76F0" w:rsidRDefault="001D6D0E" w:rsidP="001D6D0E">
            <w:pPr>
              <w:rPr>
                <w:sz w:val="22"/>
                <w:szCs w:val="32"/>
              </w:rPr>
            </w:pPr>
            <w:r w:rsidRPr="005C76F0">
              <w:rPr>
                <w:rFonts w:ascii="Arial" w:eastAsia="Arial" w:hAnsi="Arial"/>
                <w:color w:val="2D2D2D"/>
                <w:sz w:val="22"/>
                <w:szCs w:val="32"/>
              </w:rPr>
              <w:t>Laila Maazouz, London</w:t>
            </w:r>
            <w:r w:rsidRPr="005C76F0">
              <w:rPr>
                <w:sz w:val="22"/>
                <w:szCs w:val="32"/>
              </w:rPr>
              <w:br/>
            </w:r>
            <w:r w:rsidRPr="005C76F0">
              <w:rPr>
                <w:rFonts w:ascii="Arial" w:eastAsia="Arial" w:hAnsi="Arial"/>
                <w:color w:val="2D2D2D"/>
                <w:sz w:val="22"/>
                <w:szCs w:val="32"/>
              </w:rPr>
              <w:t xml:space="preserve">Taonga Kaonga </w:t>
            </w:r>
            <w:proofErr w:type="spellStart"/>
            <w:r w:rsidRPr="005C76F0">
              <w:rPr>
                <w:rFonts w:ascii="Arial" w:eastAsia="Arial" w:hAnsi="Arial"/>
                <w:color w:val="2D2D2D"/>
                <w:sz w:val="22"/>
                <w:szCs w:val="32"/>
              </w:rPr>
              <w:t>Sobere-Snithers</w:t>
            </w:r>
            <w:proofErr w:type="spellEnd"/>
            <w:r w:rsidRPr="005C76F0">
              <w:rPr>
                <w:rFonts w:ascii="Arial" w:eastAsia="Arial" w:hAnsi="Arial"/>
                <w:color w:val="2D2D2D"/>
                <w:sz w:val="22"/>
                <w:szCs w:val="32"/>
              </w:rPr>
              <w:t>, Birmingham</w:t>
            </w:r>
          </w:p>
        </w:tc>
      </w:tr>
      <w:tr w:rsidR="001D6D0E" w:rsidRPr="005C76F0" w14:paraId="02686633" w14:textId="77777777" w:rsidTr="005C76F0">
        <w:trPr>
          <w:jc w:val="center"/>
        </w:trPr>
        <w:tc>
          <w:tcPr>
            <w:tcW w:w="2835" w:type="dxa"/>
            <w:shd w:val="clear" w:color="auto" w:fill="DCE5EB"/>
            <w:tcMar>
              <w:top w:w="95" w:type="dxa"/>
              <w:left w:w="120" w:type="dxa"/>
              <w:bottom w:w="95" w:type="dxa"/>
              <w:right w:w="120" w:type="dxa"/>
            </w:tcMar>
            <w:vAlign w:val="center"/>
          </w:tcPr>
          <w:p w14:paraId="0C84FB09" w14:textId="77777777" w:rsidR="001D6D0E" w:rsidRPr="005C76F0" w:rsidRDefault="001D6D0E" w:rsidP="001D6D0E">
            <w:pPr>
              <w:rPr>
                <w:rFonts w:ascii="Arial" w:eastAsia="Arial" w:hAnsi="Arial"/>
                <w:b/>
                <w:color w:val="15324B"/>
                <w:sz w:val="2"/>
                <w:szCs w:val="2"/>
              </w:rPr>
            </w:pPr>
          </w:p>
          <w:p w14:paraId="30E1C58C" w14:textId="06C8D807" w:rsidR="001D6D0E" w:rsidRPr="005C76F0" w:rsidRDefault="001D6D0E" w:rsidP="001D6D0E">
            <w:pPr>
              <w:rPr>
                <w:sz w:val="22"/>
                <w:szCs w:val="32"/>
              </w:rPr>
            </w:pPr>
            <w:r w:rsidRPr="005C76F0">
              <w:rPr>
                <w:rFonts w:ascii="Arial" w:eastAsia="Arial" w:hAnsi="Arial"/>
                <w:b/>
                <w:color w:val="15324B"/>
                <w:sz w:val="22"/>
                <w:szCs w:val="32"/>
              </w:rPr>
              <w:t>Student Name:</w:t>
            </w:r>
          </w:p>
        </w:tc>
        <w:tc>
          <w:tcPr>
            <w:tcW w:w="6516" w:type="dxa"/>
            <w:shd w:val="clear" w:color="auto" w:fill="FFFFFF"/>
            <w:tcMar>
              <w:top w:w="95" w:type="dxa"/>
              <w:left w:w="150" w:type="dxa"/>
              <w:bottom w:w="95" w:type="dxa"/>
              <w:right w:w="150" w:type="dxa"/>
            </w:tcMar>
            <w:vAlign w:val="center"/>
          </w:tcPr>
          <w:p w14:paraId="60644999" w14:textId="05AB1D65" w:rsidR="001D6D0E" w:rsidRPr="002C11CA" w:rsidRDefault="005777B4" w:rsidP="001D6D0E">
            <w:pPr>
              <w:rPr>
                <w:rFonts w:asciiTheme="minorBidi" w:hAnsiTheme="minorBidi"/>
                <w:sz w:val="22"/>
                <w:szCs w:val="32"/>
              </w:rPr>
            </w:pPr>
            <w:r w:rsidRPr="002C11CA">
              <w:rPr>
                <w:rFonts w:asciiTheme="minorBidi" w:hAnsiTheme="minorBidi"/>
                <w:sz w:val="22"/>
                <w:szCs w:val="32"/>
              </w:rPr>
              <w:t xml:space="preserve">Mayur </w:t>
            </w:r>
            <w:proofErr w:type="spellStart"/>
            <w:r w:rsidRPr="002C11CA">
              <w:rPr>
                <w:rFonts w:asciiTheme="minorBidi" w:hAnsiTheme="minorBidi"/>
                <w:sz w:val="22"/>
                <w:szCs w:val="32"/>
              </w:rPr>
              <w:t>Jivabhai</w:t>
            </w:r>
            <w:proofErr w:type="spellEnd"/>
            <w:r w:rsidRPr="002C11CA">
              <w:rPr>
                <w:rFonts w:asciiTheme="minorBidi" w:hAnsiTheme="minorBidi"/>
                <w:sz w:val="22"/>
                <w:szCs w:val="32"/>
              </w:rPr>
              <w:t xml:space="preserve"> </w:t>
            </w:r>
            <w:proofErr w:type="spellStart"/>
            <w:r w:rsidRPr="002C11CA">
              <w:rPr>
                <w:rFonts w:asciiTheme="minorBidi" w:hAnsiTheme="minorBidi"/>
                <w:sz w:val="22"/>
                <w:szCs w:val="32"/>
              </w:rPr>
              <w:t>Sundavadra</w:t>
            </w:r>
            <w:proofErr w:type="spellEnd"/>
          </w:p>
        </w:tc>
      </w:tr>
      <w:tr w:rsidR="001D6D0E" w:rsidRPr="005C76F0" w14:paraId="597AF677" w14:textId="77777777" w:rsidTr="005C76F0">
        <w:trPr>
          <w:jc w:val="center"/>
        </w:trPr>
        <w:tc>
          <w:tcPr>
            <w:tcW w:w="2835" w:type="dxa"/>
            <w:shd w:val="clear" w:color="auto" w:fill="F3F6F8"/>
            <w:tcMar>
              <w:top w:w="95" w:type="dxa"/>
              <w:left w:w="120" w:type="dxa"/>
              <w:bottom w:w="95" w:type="dxa"/>
              <w:right w:w="120" w:type="dxa"/>
            </w:tcMar>
            <w:vAlign w:val="center"/>
          </w:tcPr>
          <w:p w14:paraId="4DA10A97" w14:textId="77777777" w:rsidR="001D6D0E" w:rsidRPr="005C76F0" w:rsidRDefault="001D6D0E" w:rsidP="001D6D0E">
            <w:pPr>
              <w:rPr>
                <w:rFonts w:ascii="Arial" w:eastAsia="Arial" w:hAnsi="Arial"/>
                <w:b/>
                <w:color w:val="15324B"/>
                <w:sz w:val="2"/>
                <w:szCs w:val="2"/>
              </w:rPr>
            </w:pPr>
          </w:p>
          <w:p w14:paraId="7A25706A" w14:textId="433C9910" w:rsidR="001D6D0E" w:rsidRPr="005C76F0" w:rsidRDefault="001D6D0E" w:rsidP="001D6D0E">
            <w:pPr>
              <w:rPr>
                <w:sz w:val="22"/>
                <w:szCs w:val="32"/>
              </w:rPr>
            </w:pPr>
            <w:r w:rsidRPr="005C76F0">
              <w:rPr>
                <w:rFonts w:ascii="Arial" w:eastAsia="Arial" w:hAnsi="Arial"/>
                <w:b/>
                <w:color w:val="15324B"/>
                <w:sz w:val="22"/>
                <w:szCs w:val="32"/>
              </w:rPr>
              <w:t>Student Id:</w:t>
            </w:r>
          </w:p>
        </w:tc>
        <w:tc>
          <w:tcPr>
            <w:tcW w:w="6516" w:type="dxa"/>
            <w:shd w:val="clear" w:color="auto" w:fill="F3F6F8"/>
            <w:tcMar>
              <w:top w:w="95" w:type="dxa"/>
              <w:left w:w="150" w:type="dxa"/>
              <w:bottom w:w="95" w:type="dxa"/>
              <w:right w:w="150" w:type="dxa"/>
            </w:tcMar>
            <w:vAlign w:val="center"/>
          </w:tcPr>
          <w:p w14:paraId="0174A962" w14:textId="77777777" w:rsidR="001D6D0E" w:rsidRPr="002C11CA" w:rsidRDefault="001D6D0E" w:rsidP="001D6D0E">
            <w:pPr>
              <w:rPr>
                <w:rFonts w:asciiTheme="minorBidi" w:eastAsia="Arial" w:hAnsiTheme="minorBidi"/>
                <w:color w:val="2D2D2D"/>
                <w:sz w:val="2"/>
                <w:szCs w:val="2"/>
              </w:rPr>
            </w:pPr>
          </w:p>
          <w:p w14:paraId="09569411" w14:textId="6979CD6C" w:rsidR="005C76F0" w:rsidRPr="002C11CA" w:rsidRDefault="005777B4" w:rsidP="001D6D0E">
            <w:pPr>
              <w:rPr>
                <w:rFonts w:asciiTheme="minorBidi" w:hAnsiTheme="minorBidi"/>
                <w:sz w:val="22"/>
                <w:szCs w:val="32"/>
              </w:rPr>
            </w:pPr>
            <w:r w:rsidRPr="002C11CA">
              <w:rPr>
                <w:rFonts w:asciiTheme="minorBidi" w:hAnsiTheme="minorBidi"/>
                <w:sz w:val="22"/>
                <w:szCs w:val="32"/>
              </w:rPr>
              <w:t>2538588</w:t>
            </w:r>
          </w:p>
        </w:tc>
      </w:tr>
      <w:tr w:rsidR="001D6D0E" w:rsidRPr="005C76F0" w14:paraId="429CA22D" w14:textId="77777777" w:rsidTr="005C76F0">
        <w:trPr>
          <w:jc w:val="center"/>
        </w:trPr>
        <w:tc>
          <w:tcPr>
            <w:tcW w:w="2835" w:type="dxa"/>
            <w:shd w:val="clear" w:color="auto" w:fill="DCE5EB"/>
            <w:tcMar>
              <w:top w:w="95" w:type="dxa"/>
              <w:left w:w="120" w:type="dxa"/>
              <w:bottom w:w="95" w:type="dxa"/>
              <w:right w:w="120" w:type="dxa"/>
            </w:tcMar>
            <w:vAlign w:val="center"/>
          </w:tcPr>
          <w:p w14:paraId="09DF9FFE" w14:textId="77777777" w:rsidR="001D6D0E" w:rsidRPr="005C76F0" w:rsidRDefault="001D6D0E" w:rsidP="001D6D0E">
            <w:pPr>
              <w:rPr>
                <w:rFonts w:ascii="Arial" w:eastAsia="Arial" w:hAnsi="Arial"/>
                <w:b/>
                <w:color w:val="15324B"/>
                <w:sz w:val="2"/>
                <w:szCs w:val="2"/>
              </w:rPr>
            </w:pPr>
          </w:p>
          <w:p w14:paraId="5D4E061A" w14:textId="611A264F" w:rsidR="001D6D0E" w:rsidRPr="005C76F0" w:rsidRDefault="001D6D0E" w:rsidP="001D6D0E">
            <w:pPr>
              <w:rPr>
                <w:sz w:val="22"/>
                <w:szCs w:val="32"/>
              </w:rPr>
            </w:pPr>
            <w:r w:rsidRPr="005C76F0">
              <w:rPr>
                <w:rFonts w:ascii="Arial" w:eastAsia="Arial" w:hAnsi="Arial"/>
                <w:b/>
                <w:color w:val="15324B"/>
                <w:sz w:val="22"/>
                <w:szCs w:val="32"/>
              </w:rPr>
              <w:t>Word Count:</w:t>
            </w:r>
          </w:p>
        </w:tc>
        <w:tc>
          <w:tcPr>
            <w:tcW w:w="6516" w:type="dxa"/>
            <w:shd w:val="clear" w:color="auto" w:fill="FFFFFF"/>
            <w:tcMar>
              <w:top w:w="95" w:type="dxa"/>
              <w:left w:w="150" w:type="dxa"/>
              <w:bottom w:w="95" w:type="dxa"/>
              <w:right w:w="150" w:type="dxa"/>
            </w:tcMar>
            <w:vAlign w:val="center"/>
          </w:tcPr>
          <w:p w14:paraId="60E47B02" w14:textId="77777777" w:rsidR="005C76F0" w:rsidRPr="005C76F0" w:rsidRDefault="005C76F0" w:rsidP="001D6D0E">
            <w:pPr>
              <w:rPr>
                <w:rFonts w:ascii="Arial" w:eastAsia="Arial" w:hAnsi="Arial"/>
                <w:color w:val="2D2D2D"/>
                <w:sz w:val="2"/>
                <w:szCs w:val="2"/>
              </w:rPr>
            </w:pPr>
          </w:p>
          <w:p w14:paraId="154CE93E" w14:textId="5AD447B0" w:rsidR="001D6D0E" w:rsidRPr="005C76F0" w:rsidRDefault="001D6D0E" w:rsidP="001D6D0E">
            <w:pPr>
              <w:rPr>
                <w:sz w:val="22"/>
                <w:szCs w:val="32"/>
              </w:rPr>
            </w:pPr>
            <w:r w:rsidRPr="005C76F0">
              <w:rPr>
                <w:rFonts w:ascii="Arial" w:eastAsia="Arial" w:hAnsi="Arial"/>
                <w:color w:val="2D2D2D"/>
                <w:sz w:val="22"/>
                <w:szCs w:val="32"/>
              </w:rPr>
              <w:t>2,</w:t>
            </w:r>
            <w:r w:rsidR="00D40704">
              <w:rPr>
                <w:rFonts w:ascii="Arial" w:eastAsia="Arial" w:hAnsi="Arial"/>
                <w:color w:val="2D2D2D"/>
                <w:sz w:val="22"/>
                <w:szCs w:val="32"/>
              </w:rPr>
              <w:t>69</w:t>
            </w:r>
            <w:r w:rsidR="005C76F0">
              <w:rPr>
                <w:rFonts w:ascii="Arial" w:eastAsia="Arial" w:hAnsi="Arial"/>
                <w:color w:val="2D2D2D"/>
                <w:sz w:val="22"/>
                <w:szCs w:val="32"/>
              </w:rPr>
              <w:t>5</w:t>
            </w:r>
            <w:r w:rsidRPr="005C76F0">
              <w:rPr>
                <w:rFonts w:ascii="Arial" w:eastAsia="Arial" w:hAnsi="Arial"/>
                <w:color w:val="2D2D2D"/>
                <w:sz w:val="22"/>
                <w:szCs w:val="32"/>
              </w:rPr>
              <w:t xml:space="preserve"> words</w:t>
            </w:r>
            <w:r w:rsidR="00507421">
              <w:rPr>
                <w:rFonts w:ascii="Arial" w:eastAsia="Arial" w:hAnsi="Arial"/>
                <w:color w:val="2D2D2D"/>
                <w:sz w:val="22"/>
                <w:szCs w:val="32"/>
              </w:rPr>
              <w:t xml:space="preserve"> excluding Title Page, Table of contents, Tables and References.</w:t>
            </w:r>
          </w:p>
        </w:tc>
      </w:tr>
      <w:tr w:rsidR="001D6D0E" w:rsidRPr="005C76F0" w14:paraId="374CF85F" w14:textId="77777777" w:rsidTr="005C76F0">
        <w:trPr>
          <w:jc w:val="center"/>
        </w:trPr>
        <w:tc>
          <w:tcPr>
            <w:tcW w:w="2835" w:type="dxa"/>
            <w:shd w:val="clear" w:color="auto" w:fill="F3F6F8"/>
            <w:tcMar>
              <w:top w:w="95" w:type="dxa"/>
              <w:left w:w="120" w:type="dxa"/>
              <w:bottom w:w="95" w:type="dxa"/>
              <w:right w:w="120" w:type="dxa"/>
            </w:tcMar>
            <w:vAlign w:val="center"/>
          </w:tcPr>
          <w:p w14:paraId="01C7EB4D" w14:textId="77777777" w:rsidR="001D6D0E" w:rsidRPr="005C76F0" w:rsidRDefault="001D6D0E" w:rsidP="001D6D0E">
            <w:pPr>
              <w:rPr>
                <w:rFonts w:ascii="Arial" w:eastAsia="Arial" w:hAnsi="Arial"/>
                <w:b/>
                <w:color w:val="15324B"/>
                <w:sz w:val="2"/>
                <w:szCs w:val="2"/>
              </w:rPr>
            </w:pPr>
          </w:p>
          <w:p w14:paraId="0E066A19" w14:textId="6D9AA789" w:rsidR="001D6D0E" w:rsidRPr="005C76F0" w:rsidRDefault="001D6D0E" w:rsidP="001D6D0E">
            <w:pPr>
              <w:rPr>
                <w:sz w:val="22"/>
                <w:szCs w:val="32"/>
              </w:rPr>
            </w:pPr>
            <w:r w:rsidRPr="005C76F0">
              <w:rPr>
                <w:rFonts w:ascii="Arial" w:eastAsia="Arial" w:hAnsi="Arial"/>
                <w:b/>
                <w:color w:val="15324B"/>
                <w:sz w:val="22"/>
                <w:szCs w:val="32"/>
              </w:rPr>
              <w:t>Submission Date:</w:t>
            </w:r>
          </w:p>
        </w:tc>
        <w:tc>
          <w:tcPr>
            <w:tcW w:w="6516" w:type="dxa"/>
            <w:shd w:val="clear" w:color="auto" w:fill="F3F6F8"/>
            <w:tcMar>
              <w:top w:w="95" w:type="dxa"/>
              <w:left w:w="150" w:type="dxa"/>
              <w:bottom w:w="95" w:type="dxa"/>
              <w:right w:w="150" w:type="dxa"/>
            </w:tcMar>
            <w:vAlign w:val="center"/>
          </w:tcPr>
          <w:p w14:paraId="69CC6CD4" w14:textId="77777777" w:rsidR="005C76F0" w:rsidRPr="005C76F0" w:rsidRDefault="005C76F0" w:rsidP="001D6D0E">
            <w:pPr>
              <w:rPr>
                <w:rFonts w:ascii="Arial" w:eastAsia="Arial" w:hAnsi="Arial"/>
                <w:color w:val="2D2D2D"/>
                <w:sz w:val="2"/>
                <w:szCs w:val="2"/>
              </w:rPr>
            </w:pPr>
          </w:p>
          <w:p w14:paraId="2720FB14" w14:textId="384FD5DE" w:rsidR="001D6D0E" w:rsidRPr="005C76F0" w:rsidRDefault="001D6D0E" w:rsidP="001D6D0E">
            <w:pPr>
              <w:rPr>
                <w:sz w:val="22"/>
                <w:szCs w:val="32"/>
              </w:rPr>
            </w:pPr>
            <w:r w:rsidRPr="005C76F0">
              <w:rPr>
                <w:rFonts w:ascii="Arial" w:eastAsia="Arial" w:hAnsi="Arial"/>
                <w:color w:val="2D2D2D"/>
                <w:sz w:val="22"/>
                <w:szCs w:val="32"/>
              </w:rPr>
              <w:t>Friday, 26 June 2026</w:t>
            </w:r>
          </w:p>
        </w:tc>
      </w:tr>
    </w:tbl>
    <w:p w14:paraId="2FEBD568" w14:textId="77777777" w:rsidR="001D6D0E" w:rsidRPr="005C76F0" w:rsidRDefault="001D6D0E" w:rsidP="00AD4FB6">
      <w:pPr>
        <w:pStyle w:val="Heading1"/>
      </w:pPr>
    </w:p>
    <w:p w14:paraId="39B3ACAE" w14:textId="77777777" w:rsidR="001D6D0E" w:rsidRPr="005C76F0" w:rsidRDefault="001D6D0E" w:rsidP="00AD4FB6">
      <w:pPr>
        <w:pStyle w:val="Heading1"/>
      </w:pPr>
    </w:p>
    <w:sdt>
      <w:sdtPr>
        <w:rPr>
          <w:rFonts w:asciiTheme="minorHAnsi" w:eastAsiaTheme="minorEastAsia" w:hAnsiTheme="minorHAnsi" w:cstheme="minorBidi"/>
          <w:color w:val="auto"/>
          <w:kern w:val="2"/>
          <w:sz w:val="24"/>
          <w:szCs w:val="24"/>
          <w:lang w:val="en-GB" w:eastAsia="zh-CN"/>
          <w14:ligatures w14:val="standardContextual"/>
        </w:rPr>
        <w:id w:val="-34197241"/>
        <w:docPartObj>
          <w:docPartGallery w:val="Table of Contents"/>
          <w:docPartUnique/>
        </w:docPartObj>
      </w:sdtPr>
      <w:sdtEndPr>
        <w:rPr>
          <w:b/>
          <w:bCs/>
        </w:rPr>
      </w:sdtEndPr>
      <w:sdtContent>
        <w:p w14:paraId="5077D6EB" w14:textId="08C17400" w:rsidR="001D6D0E" w:rsidRPr="005C76F0" w:rsidRDefault="001D6D0E" w:rsidP="001D6D0E">
          <w:pPr>
            <w:pStyle w:val="TOCHeading"/>
            <w:spacing w:line="360" w:lineRule="auto"/>
            <w:jc w:val="both"/>
            <w:rPr>
              <w:rFonts w:asciiTheme="minorBidi" w:hAnsiTheme="minorBidi" w:cstheme="minorBidi"/>
              <w:b/>
              <w:bCs/>
              <w:color w:val="auto"/>
              <w:lang w:val="en-GB"/>
            </w:rPr>
          </w:pPr>
          <w:r w:rsidRPr="005C76F0">
            <w:rPr>
              <w:rFonts w:asciiTheme="minorBidi" w:hAnsiTheme="minorBidi" w:cstheme="minorBidi"/>
              <w:b/>
              <w:bCs/>
              <w:color w:val="auto"/>
              <w:lang w:val="en-GB"/>
            </w:rPr>
            <w:t>Table of Contents</w:t>
          </w:r>
        </w:p>
        <w:p w14:paraId="0D860FA3" w14:textId="77777777" w:rsidR="001D6D0E" w:rsidRPr="005C76F0" w:rsidRDefault="001D6D0E" w:rsidP="001D6D0E">
          <w:pPr>
            <w:pStyle w:val="TOC1"/>
            <w:rPr>
              <w:noProof w:val="0"/>
              <w:sz w:val="2"/>
              <w:szCs w:val="2"/>
            </w:rPr>
          </w:pPr>
        </w:p>
        <w:p w14:paraId="42CF117C" w14:textId="314F4CBC" w:rsidR="001D6D0E" w:rsidRPr="005C76F0" w:rsidRDefault="001D6D0E" w:rsidP="001D6D0E">
          <w:pPr>
            <w:pStyle w:val="TOC1"/>
          </w:pPr>
          <w:r w:rsidRPr="005C76F0">
            <w:rPr>
              <w:noProof w:val="0"/>
              <w:sz w:val="2"/>
              <w:szCs w:val="2"/>
            </w:rPr>
            <w:t>“</w:t>
          </w:r>
          <w:r w:rsidRPr="005C76F0">
            <w:rPr>
              <w:noProof w:val="0"/>
              <w:sz w:val="24"/>
              <w:szCs w:val="24"/>
            </w:rPr>
            <w:fldChar w:fldCharType="begin"/>
          </w:r>
          <w:r w:rsidRPr="005C76F0">
            <w:rPr>
              <w:noProof w:val="0"/>
              <w:sz w:val="24"/>
              <w:szCs w:val="24"/>
            </w:rPr>
            <w:instrText xml:space="preserve"> TOC \o "1-3" \h \z \u </w:instrText>
          </w:r>
          <w:r w:rsidRPr="005C76F0">
            <w:rPr>
              <w:noProof w:val="0"/>
              <w:sz w:val="24"/>
              <w:szCs w:val="24"/>
            </w:rPr>
            <w:fldChar w:fldCharType="separate"/>
          </w:r>
          <w:hyperlink w:anchor="_Toc233230349" w:history="1">
            <w:r w:rsidRPr="005C76F0">
              <w:rPr>
                <w:rStyle w:val="Hyperlink"/>
                <w:b/>
                <w:bCs/>
              </w:rPr>
              <w:t>Introduction:</w:t>
            </w:r>
            <w:r w:rsidRPr="005C76F0">
              <w:rPr>
                <w:webHidden/>
              </w:rPr>
              <w:tab/>
            </w:r>
            <w:r w:rsidRPr="00D904EE">
              <w:rPr>
                <w:b/>
                <w:bCs/>
                <w:webHidden/>
              </w:rPr>
              <w:fldChar w:fldCharType="begin"/>
            </w:r>
            <w:r w:rsidRPr="00D904EE">
              <w:rPr>
                <w:b/>
                <w:bCs/>
                <w:webHidden/>
              </w:rPr>
              <w:instrText xml:space="preserve"> PAGEREF _Toc233230349 \h </w:instrText>
            </w:r>
            <w:r w:rsidRPr="00D904EE">
              <w:rPr>
                <w:b/>
                <w:bCs/>
                <w:webHidden/>
              </w:rPr>
            </w:r>
            <w:r w:rsidRPr="00D904EE">
              <w:rPr>
                <w:b/>
                <w:bCs/>
                <w:webHidden/>
              </w:rPr>
              <w:fldChar w:fldCharType="separate"/>
            </w:r>
            <w:r w:rsidR="00B84C08">
              <w:rPr>
                <w:b/>
                <w:bCs/>
                <w:webHidden/>
              </w:rPr>
              <w:t>3</w:t>
            </w:r>
            <w:r w:rsidRPr="00D904EE">
              <w:rPr>
                <w:b/>
                <w:bCs/>
                <w:webHidden/>
              </w:rPr>
              <w:fldChar w:fldCharType="end"/>
            </w:r>
          </w:hyperlink>
        </w:p>
        <w:p w14:paraId="1CDEAA20" w14:textId="754759C8" w:rsidR="001D6D0E" w:rsidRPr="005C76F0" w:rsidRDefault="001D6D0E" w:rsidP="001D6D0E">
          <w:pPr>
            <w:pStyle w:val="TOC1"/>
          </w:pPr>
          <w:r>
            <w:fldChar w:fldCharType="begin"/>
          </w:r>
          <w:r>
            <w:instrText>HYPERLINK \l "_Toc233230350"</w:instrText>
          </w:r>
          <w:r>
            <w:fldChar w:fldCharType="separate"/>
          </w:r>
          <w:r w:rsidRPr="005C76F0">
            <w:rPr>
              <w:rStyle w:val="Hyperlink"/>
              <w:b/>
              <w:bCs/>
            </w:rPr>
            <w:t>1.</w:t>
          </w:r>
          <w:r w:rsidRPr="005C76F0">
            <w:tab/>
          </w:r>
          <w:r w:rsidRPr="005C76F0">
            <w:rPr>
              <w:rStyle w:val="Hyperlink"/>
              <w:b/>
              <w:bCs/>
            </w:rPr>
            <w:t>Task 1 – Marketing Environment Analysis:</w:t>
          </w:r>
          <w:r w:rsidRPr="005C76F0">
            <w:rPr>
              <w:webHidden/>
            </w:rPr>
            <w:tab/>
          </w:r>
          <w:r w:rsidRPr="00D904EE">
            <w:rPr>
              <w:b/>
              <w:bCs/>
              <w:webHidden/>
            </w:rPr>
            <w:fldChar w:fldCharType="begin"/>
          </w:r>
          <w:r w:rsidRPr="00D904EE">
            <w:rPr>
              <w:b/>
              <w:bCs/>
              <w:webHidden/>
            </w:rPr>
            <w:instrText xml:space="preserve"> PAGEREF _Toc233230350 \h </w:instrText>
          </w:r>
          <w:r w:rsidRPr="00D904EE">
            <w:rPr>
              <w:b/>
              <w:bCs/>
              <w:webHidden/>
            </w:rPr>
          </w:r>
          <w:r w:rsidRPr="00D904EE">
            <w:rPr>
              <w:b/>
              <w:bCs/>
              <w:webHidden/>
            </w:rPr>
            <w:fldChar w:fldCharType="separate"/>
          </w:r>
          <w:r w:rsidR="00B84C08">
            <w:rPr>
              <w:b/>
              <w:bCs/>
              <w:webHidden/>
            </w:rPr>
            <w:t>4</w:t>
          </w:r>
          <w:r w:rsidRPr="00D904EE">
            <w:rPr>
              <w:b/>
              <w:bCs/>
              <w:webHidden/>
            </w:rPr>
            <w:fldChar w:fldCharType="end"/>
          </w:r>
          <w:r>
            <w:fldChar w:fldCharType="end"/>
          </w:r>
        </w:p>
        <w:p w14:paraId="25314C91" w14:textId="67F21B02" w:rsidR="001D6D0E" w:rsidRPr="005C76F0" w:rsidRDefault="001D6D0E" w:rsidP="001D6D0E">
          <w:pPr>
            <w:pStyle w:val="TOC2"/>
            <w:tabs>
              <w:tab w:val="left" w:pos="960"/>
              <w:tab w:val="right" w:leader="dot" w:pos="9016"/>
            </w:tabs>
            <w:spacing w:line="360" w:lineRule="auto"/>
            <w:jc w:val="both"/>
            <w:rPr>
              <w:rFonts w:asciiTheme="minorBidi" w:hAnsiTheme="minorBidi"/>
              <w:noProof/>
              <w:sz w:val="26"/>
              <w:szCs w:val="26"/>
            </w:rPr>
          </w:pPr>
          <w:r>
            <w:rPr>
              <w:noProof/>
            </w:rPr>
            <w:fldChar w:fldCharType="begin"/>
          </w:r>
          <w:r>
            <w:rPr>
              <w:noProof/>
            </w:rPr>
            <w:instrText>HYPERLINK \l "_Toc233230351"</w:instrText>
          </w:r>
          <w:r w:rsidR="00B84C08">
            <w:rPr>
              <w:noProof/>
            </w:rPr>
          </w:r>
          <w:r>
            <w:rPr>
              <w:noProof/>
            </w:rPr>
            <w:fldChar w:fldCharType="separate"/>
          </w:r>
          <w:r w:rsidRPr="005C76F0">
            <w:rPr>
              <w:rStyle w:val="Hyperlink"/>
              <w:rFonts w:asciiTheme="minorBidi" w:hAnsiTheme="minorBidi"/>
              <w:noProof/>
              <w:sz w:val="26"/>
              <w:szCs w:val="26"/>
            </w:rPr>
            <w:t>1.1.</w:t>
          </w:r>
          <w:r w:rsidRPr="005C76F0">
            <w:rPr>
              <w:rFonts w:asciiTheme="minorBidi" w:hAnsiTheme="minorBidi"/>
              <w:noProof/>
              <w:sz w:val="26"/>
              <w:szCs w:val="26"/>
            </w:rPr>
            <w:tab/>
          </w:r>
          <w:r w:rsidRPr="005C76F0">
            <w:rPr>
              <w:rStyle w:val="Hyperlink"/>
              <w:rFonts w:asciiTheme="minorBidi" w:hAnsiTheme="minorBidi"/>
              <w:noProof/>
              <w:sz w:val="26"/>
              <w:szCs w:val="26"/>
            </w:rPr>
            <w:t>BHP’s Market Context and PESTLE Position</w:t>
          </w:r>
          <w:r w:rsidRPr="005C76F0">
            <w:rPr>
              <w:rFonts w:asciiTheme="minorBidi" w:hAnsiTheme="minorBidi"/>
              <w:noProof/>
              <w:webHidden/>
              <w:sz w:val="26"/>
              <w:szCs w:val="26"/>
            </w:rPr>
            <w:tab/>
          </w:r>
          <w:r w:rsidRPr="005C76F0">
            <w:rPr>
              <w:rFonts w:asciiTheme="minorBidi" w:hAnsiTheme="minorBidi"/>
              <w:noProof/>
              <w:webHidden/>
              <w:sz w:val="26"/>
              <w:szCs w:val="26"/>
            </w:rPr>
            <w:fldChar w:fldCharType="begin"/>
          </w:r>
          <w:r w:rsidRPr="005C76F0">
            <w:rPr>
              <w:rFonts w:asciiTheme="minorBidi" w:hAnsiTheme="minorBidi"/>
              <w:noProof/>
              <w:webHidden/>
              <w:sz w:val="26"/>
              <w:szCs w:val="26"/>
            </w:rPr>
            <w:instrText xml:space="preserve"> PAGEREF _Toc233230351 \h </w:instrText>
          </w:r>
          <w:r w:rsidRPr="005C76F0">
            <w:rPr>
              <w:rFonts w:asciiTheme="minorBidi" w:hAnsiTheme="minorBidi"/>
              <w:noProof/>
              <w:webHidden/>
              <w:sz w:val="26"/>
              <w:szCs w:val="26"/>
            </w:rPr>
          </w:r>
          <w:r w:rsidRPr="005C76F0">
            <w:rPr>
              <w:rFonts w:asciiTheme="minorBidi" w:hAnsiTheme="minorBidi"/>
              <w:noProof/>
              <w:webHidden/>
              <w:sz w:val="26"/>
              <w:szCs w:val="26"/>
            </w:rPr>
            <w:fldChar w:fldCharType="separate"/>
          </w:r>
          <w:r w:rsidR="00B84C08">
            <w:rPr>
              <w:rFonts w:asciiTheme="minorBidi" w:hAnsiTheme="minorBidi"/>
              <w:noProof/>
              <w:webHidden/>
              <w:sz w:val="26"/>
              <w:szCs w:val="26"/>
            </w:rPr>
            <w:t>4</w:t>
          </w:r>
          <w:r w:rsidRPr="005C76F0">
            <w:rPr>
              <w:rFonts w:asciiTheme="minorBidi" w:hAnsiTheme="minorBidi"/>
              <w:noProof/>
              <w:webHidden/>
              <w:sz w:val="26"/>
              <w:szCs w:val="26"/>
            </w:rPr>
            <w:fldChar w:fldCharType="end"/>
          </w:r>
          <w:r>
            <w:rPr>
              <w:noProof/>
            </w:rPr>
            <w:fldChar w:fldCharType="end"/>
          </w:r>
        </w:p>
        <w:p w14:paraId="6F532054" w14:textId="57343E74" w:rsidR="001D6D0E" w:rsidRPr="005C76F0" w:rsidRDefault="001D6D0E" w:rsidP="001D6D0E">
          <w:pPr>
            <w:pStyle w:val="TOC2"/>
            <w:tabs>
              <w:tab w:val="left" w:pos="960"/>
              <w:tab w:val="right" w:leader="dot" w:pos="9016"/>
            </w:tabs>
            <w:spacing w:line="360" w:lineRule="auto"/>
            <w:jc w:val="both"/>
            <w:rPr>
              <w:rFonts w:asciiTheme="minorBidi" w:hAnsiTheme="minorBidi"/>
              <w:noProof/>
              <w:sz w:val="26"/>
              <w:szCs w:val="26"/>
            </w:rPr>
          </w:pPr>
          <w:r>
            <w:rPr>
              <w:noProof/>
            </w:rPr>
            <w:fldChar w:fldCharType="begin"/>
          </w:r>
          <w:r>
            <w:rPr>
              <w:noProof/>
            </w:rPr>
            <w:instrText>HYPERLINK \l "_Toc233230352"</w:instrText>
          </w:r>
          <w:r w:rsidR="00B84C08">
            <w:rPr>
              <w:noProof/>
            </w:rPr>
          </w:r>
          <w:r>
            <w:rPr>
              <w:noProof/>
            </w:rPr>
            <w:fldChar w:fldCharType="separate"/>
          </w:r>
          <w:r w:rsidRPr="005C76F0">
            <w:rPr>
              <w:rStyle w:val="Hyperlink"/>
              <w:rFonts w:asciiTheme="minorBidi" w:hAnsiTheme="minorBidi"/>
              <w:noProof/>
              <w:sz w:val="26"/>
              <w:szCs w:val="26"/>
            </w:rPr>
            <w:t>1.2.</w:t>
          </w:r>
          <w:r w:rsidRPr="005C76F0">
            <w:rPr>
              <w:rFonts w:asciiTheme="minorBidi" w:hAnsiTheme="minorBidi"/>
              <w:noProof/>
              <w:sz w:val="26"/>
              <w:szCs w:val="26"/>
            </w:rPr>
            <w:tab/>
          </w:r>
          <w:r w:rsidRPr="005C76F0">
            <w:rPr>
              <w:rStyle w:val="Hyperlink"/>
              <w:rFonts w:asciiTheme="minorBidi" w:hAnsiTheme="minorBidi"/>
              <w:noProof/>
              <w:sz w:val="26"/>
              <w:szCs w:val="26"/>
            </w:rPr>
            <w:t>Natural Environment Actor and Physical Risk:</w:t>
          </w:r>
          <w:r w:rsidRPr="005C76F0">
            <w:rPr>
              <w:rFonts w:asciiTheme="minorBidi" w:hAnsiTheme="minorBidi"/>
              <w:noProof/>
              <w:webHidden/>
              <w:sz w:val="26"/>
              <w:szCs w:val="26"/>
            </w:rPr>
            <w:tab/>
          </w:r>
          <w:r w:rsidRPr="005C76F0">
            <w:rPr>
              <w:rFonts w:asciiTheme="minorBidi" w:hAnsiTheme="minorBidi"/>
              <w:noProof/>
              <w:webHidden/>
              <w:sz w:val="26"/>
              <w:szCs w:val="26"/>
            </w:rPr>
            <w:fldChar w:fldCharType="begin"/>
          </w:r>
          <w:r w:rsidRPr="005C76F0">
            <w:rPr>
              <w:rFonts w:asciiTheme="minorBidi" w:hAnsiTheme="minorBidi"/>
              <w:noProof/>
              <w:webHidden/>
              <w:sz w:val="26"/>
              <w:szCs w:val="26"/>
            </w:rPr>
            <w:instrText xml:space="preserve"> PAGEREF _Toc233230352 \h </w:instrText>
          </w:r>
          <w:r w:rsidRPr="005C76F0">
            <w:rPr>
              <w:rFonts w:asciiTheme="minorBidi" w:hAnsiTheme="minorBidi"/>
              <w:noProof/>
              <w:webHidden/>
              <w:sz w:val="26"/>
              <w:szCs w:val="26"/>
            </w:rPr>
          </w:r>
          <w:r w:rsidRPr="005C76F0">
            <w:rPr>
              <w:rFonts w:asciiTheme="minorBidi" w:hAnsiTheme="minorBidi"/>
              <w:noProof/>
              <w:webHidden/>
              <w:sz w:val="26"/>
              <w:szCs w:val="26"/>
            </w:rPr>
            <w:fldChar w:fldCharType="separate"/>
          </w:r>
          <w:r w:rsidR="00B84C08">
            <w:rPr>
              <w:rFonts w:asciiTheme="minorBidi" w:hAnsiTheme="minorBidi"/>
              <w:noProof/>
              <w:webHidden/>
              <w:sz w:val="26"/>
              <w:szCs w:val="26"/>
            </w:rPr>
            <w:t>7</w:t>
          </w:r>
          <w:r w:rsidRPr="005C76F0">
            <w:rPr>
              <w:rFonts w:asciiTheme="minorBidi" w:hAnsiTheme="minorBidi"/>
              <w:noProof/>
              <w:webHidden/>
              <w:sz w:val="26"/>
              <w:szCs w:val="26"/>
            </w:rPr>
            <w:fldChar w:fldCharType="end"/>
          </w:r>
          <w:r>
            <w:rPr>
              <w:noProof/>
            </w:rPr>
            <w:fldChar w:fldCharType="end"/>
          </w:r>
        </w:p>
        <w:p w14:paraId="630C258F" w14:textId="07D46A8A" w:rsidR="001D6D0E" w:rsidRPr="005C76F0" w:rsidRDefault="001D6D0E" w:rsidP="001D6D0E">
          <w:pPr>
            <w:pStyle w:val="TOC2"/>
            <w:tabs>
              <w:tab w:val="left" w:pos="960"/>
              <w:tab w:val="right" w:leader="dot" w:pos="9016"/>
            </w:tabs>
            <w:spacing w:line="360" w:lineRule="auto"/>
            <w:jc w:val="both"/>
            <w:rPr>
              <w:rFonts w:asciiTheme="minorBidi" w:hAnsiTheme="minorBidi"/>
              <w:noProof/>
              <w:sz w:val="26"/>
              <w:szCs w:val="26"/>
            </w:rPr>
          </w:pPr>
          <w:r>
            <w:rPr>
              <w:noProof/>
            </w:rPr>
            <w:fldChar w:fldCharType="begin"/>
          </w:r>
          <w:r>
            <w:rPr>
              <w:noProof/>
            </w:rPr>
            <w:instrText>HYPERLINK \l "_Toc233230353"</w:instrText>
          </w:r>
          <w:r w:rsidR="00B84C08">
            <w:rPr>
              <w:noProof/>
            </w:rPr>
          </w:r>
          <w:r>
            <w:rPr>
              <w:noProof/>
            </w:rPr>
            <w:fldChar w:fldCharType="separate"/>
          </w:r>
          <w:r w:rsidRPr="005C76F0">
            <w:rPr>
              <w:rStyle w:val="Hyperlink"/>
              <w:rFonts w:asciiTheme="minorBidi" w:hAnsiTheme="minorBidi"/>
              <w:noProof/>
              <w:sz w:val="26"/>
              <w:szCs w:val="26"/>
            </w:rPr>
            <w:t>1.3.</w:t>
          </w:r>
          <w:r w:rsidRPr="005C76F0">
            <w:rPr>
              <w:rFonts w:asciiTheme="minorBidi" w:hAnsiTheme="minorBidi"/>
              <w:noProof/>
              <w:sz w:val="26"/>
              <w:szCs w:val="26"/>
            </w:rPr>
            <w:tab/>
          </w:r>
          <w:r w:rsidRPr="005C76F0">
            <w:rPr>
              <w:rStyle w:val="Hyperlink"/>
              <w:rFonts w:asciiTheme="minorBidi" w:hAnsiTheme="minorBidi"/>
              <w:noProof/>
              <w:sz w:val="26"/>
              <w:szCs w:val="26"/>
            </w:rPr>
            <w:t>Political-Regulatory Actor and Market Access:</w:t>
          </w:r>
          <w:r w:rsidRPr="005C76F0">
            <w:rPr>
              <w:rFonts w:asciiTheme="minorBidi" w:hAnsiTheme="minorBidi"/>
              <w:noProof/>
              <w:webHidden/>
              <w:sz w:val="26"/>
              <w:szCs w:val="26"/>
            </w:rPr>
            <w:tab/>
          </w:r>
          <w:r w:rsidRPr="005C76F0">
            <w:rPr>
              <w:rFonts w:asciiTheme="minorBidi" w:hAnsiTheme="minorBidi"/>
              <w:noProof/>
              <w:webHidden/>
              <w:sz w:val="26"/>
              <w:szCs w:val="26"/>
            </w:rPr>
            <w:fldChar w:fldCharType="begin"/>
          </w:r>
          <w:r w:rsidRPr="005C76F0">
            <w:rPr>
              <w:rFonts w:asciiTheme="minorBidi" w:hAnsiTheme="minorBidi"/>
              <w:noProof/>
              <w:webHidden/>
              <w:sz w:val="26"/>
              <w:szCs w:val="26"/>
            </w:rPr>
            <w:instrText xml:space="preserve"> PAGEREF _Toc233230353 \h </w:instrText>
          </w:r>
          <w:r w:rsidRPr="005C76F0">
            <w:rPr>
              <w:rFonts w:asciiTheme="minorBidi" w:hAnsiTheme="minorBidi"/>
              <w:noProof/>
              <w:webHidden/>
              <w:sz w:val="26"/>
              <w:szCs w:val="26"/>
            </w:rPr>
          </w:r>
          <w:r w:rsidRPr="005C76F0">
            <w:rPr>
              <w:rFonts w:asciiTheme="minorBidi" w:hAnsiTheme="minorBidi"/>
              <w:noProof/>
              <w:webHidden/>
              <w:sz w:val="26"/>
              <w:szCs w:val="26"/>
            </w:rPr>
            <w:fldChar w:fldCharType="separate"/>
          </w:r>
          <w:r w:rsidR="00B84C08">
            <w:rPr>
              <w:rFonts w:asciiTheme="minorBidi" w:hAnsiTheme="minorBidi"/>
              <w:noProof/>
              <w:webHidden/>
              <w:sz w:val="26"/>
              <w:szCs w:val="26"/>
            </w:rPr>
            <w:t>8</w:t>
          </w:r>
          <w:r w:rsidRPr="005C76F0">
            <w:rPr>
              <w:rFonts w:asciiTheme="minorBidi" w:hAnsiTheme="minorBidi"/>
              <w:noProof/>
              <w:webHidden/>
              <w:sz w:val="26"/>
              <w:szCs w:val="26"/>
            </w:rPr>
            <w:fldChar w:fldCharType="end"/>
          </w:r>
          <w:r>
            <w:rPr>
              <w:noProof/>
            </w:rPr>
            <w:fldChar w:fldCharType="end"/>
          </w:r>
        </w:p>
        <w:p w14:paraId="6409C047" w14:textId="5409BDCB" w:rsidR="001D6D0E" w:rsidRPr="005C76F0" w:rsidRDefault="001D6D0E" w:rsidP="001D6D0E">
          <w:pPr>
            <w:pStyle w:val="TOC2"/>
            <w:tabs>
              <w:tab w:val="left" w:pos="960"/>
              <w:tab w:val="right" w:leader="dot" w:pos="9016"/>
            </w:tabs>
            <w:spacing w:line="360" w:lineRule="auto"/>
            <w:jc w:val="both"/>
            <w:rPr>
              <w:rFonts w:asciiTheme="minorBidi" w:hAnsiTheme="minorBidi"/>
              <w:noProof/>
              <w:sz w:val="26"/>
              <w:szCs w:val="26"/>
            </w:rPr>
          </w:pPr>
          <w:r>
            <w:rPr>
              <w:noProof/>
            </w:rPr>
            <w:fldChar w:fldCharType="begin"/>
          </w:r>
          <w:r>
            <w:rPr>
              <w:noProof/>
            </w:rPr>
            <w:instrText>HYPERLINK \l "_Toc233230354"</w:instrText>
          </w:r>
          <w:r w:rsidR="00B84C08">
            <w:rPr>
              <w:noProof/>
            </w:rPr>
          </w:r>
          <w:r>
            <w:rPr>
              <w:noProof/>
            </w:rPr>
            <w:fldChar w:fldCharType="separate"/>
          </w:r>
          <w:r w:rsidRPr="005C76F0">
            <w:rPr>
              <w:rStyle w:val="Hyperlink"/>
              <w:rFonts w:asciiTheme="minorBidi" w:hAnsiTheme="minorBidi"/>
              <w:noProof/>
              <w:sz w:val="26"/>
              <w:szCs w:val="26"/>
            </w:rPr>
            <w:t>1.4.</w:t>
          </w:r>
          <w:r w:rsidRPr="005C76F0">
            <w:rPr>
              <w:rFonts w:asciiTheme="minorBidi" w:hAnsiTheme="minorBidi"/>
              <w:noProof/>
              <w:sz w:val="26"/>
              <w:szCs w:val="26"/>
            </w:rPr>
            <w:tab/>
          </w:r>
          <w:r w:rsidRPr="005C76F0">
            <w:rPr>
              <w:rStyle w:val="Hyperlink"/>
              <w:rFonts w:asciiTheme="minorBidi" w:hAnsiTheme="minorBidi"/>
              <w:noProof/>
              <w:sz w:val="26"/>
              <w:szCs w:val="26"/>
            </w:rPr>
            <w:t>Competitive and Strategic Synthesis:</w:t>
          </w:r>
          <w:r w:rsidRPr="005C76F0">
            <w:rPr>
              <w:rFonts w:asciiTheme="minorBidi" w:hAnsiTheme="minorBidi"/>
              <w:noProof/>
              <w:webHidden/>
              <w:sz w:val="26"/>
              <w:szCs w:val="26"/>
            </w:rPr>
            <w:tab/>
          </w:r>
          <w:r w:rsidRPr="005C76F0">
            <w:rPr>
              <w:rFonts w:asciiTheme="minorBidi" w:hAnsiTheme="minorBidi"/>
              <w:noProof/>
              <w:webHidden/>
              <w:sz w:val="26"/>
              <w:szCs w:val="26"/>
            </w:rPr>
            <w:fldChar w:fldCharType="begin"/>
          </w:r>
          <w:r w:rsidRPr="005C76F0">
            <w:rPr>
              <w:rFonts w:asciiTheme="minorBidi" w:hAnsiTheme="minorBidi"/>
              <w:noProof/>
              <w:webHidden/>
              <w:sz w:val="26"/>
              <w:szCs w:val="26"/>
            </w:rPr>
            <w:instrText xml:space="preserve"> PAGEREF _Toc233230354 \h </w:instrText>
          </w:r>
          <w:r w:rsidRPr="005C76F0">
            <w:rPr>
              <w:rFonts w:asciiTheme="minorBidi" w:hAnsiTheme="minorBidi"/>
              <w:noProof/>
              <w:webHidden/>
              <w:sz w:val="26"/>
              <w:szCs w:val="26"/>
            </w:rPr>
          </w:r>
          <w:r w:rsidRPr="005C76F0">
            <w:rPr>
              <w:rFonts w:asciiTheme="minorBidi" w:hAnsiTheme="minorBidi"/>
              <w:noProof/>
              <w:webHidden/>
              <w:sz w:val="26"/>
              <w:szCs w:val="26"/>
            </w:rPr>
            <w:fldChar w:fldCharType="separate"/>
          </w:r>
          <w:r w:rsidR="00B84C08">
            <w:rPr>
              <w:rFonts w:asciiTheme="minorBidi" w:hAnsiTheme="minorBidi"/>
              <w:noProof/>
              <w:webHidden/>
              <w:sz w:val="26"/>
              <w:szCs w:val="26"/>
            </w:rPr>
            <w:t>8</w:t>
          </w:r>
          <w:r w:rsidRPr="005C76F0">
            <w:rPr>
              <w:rFonts w:asciiTheme="minorBidi" w:hAnsiTheme="minorBidi"/>
              <w:noProof/>
              <w:webHidden/>
              <w:sz w:val="26"/>
              <w:szCs w:val="26"/>
            </w:rPr>
            <w:fldChar w:fldCharType="end"/>
          </w:r>
          <w:r>
            <w:rPr>
              <w:noProof/>
            </w:rPr>
            <w:fldChar w:fldCharType="end"/>
          </w:r>
        </w:p>
        <w:p w14:paraId="6522621F" w14:textId="44E9C467" w:rsidR="001D6D0E" w:rsidRPr="005C76F0" w:rsidRDefault="001D6D0E" w:rsidP="001D6D0E">
          <w:pPr>
            <w:pStyle w:val="TOC1"/>
          </w:pPr>
          <w:r>
            <w:fldChar w:fldCharType="begin"/>
          </w:r>
          <w:r>
            <w:instrText>HYPERLINK \l "_Toc233230355"</w:instrText>
          </w:r>
          <w:r>
            <w:fldChar w:fldCharType="separate"/>
          </w:r>
          <w:r w:rsidRPr="005C76F0">
            <w:rPr>
              <w:rStyle w:val="Hyperlink"/>
              <w:b/>
              <w:bCs/>
            </w:rPr>
            <w:t>2.</w:t>
          </w:r>
          <w:r w:rsidRPr="005C76F0">
            <w:tab/>
          </w:r>
          <w:r w:rsidRPr="005C76F0">
            <w:rPr>
              <w:rStyle w:val="Hyperlink"/>
              <w:b/>
              <w:bCs/>
            </w:rPr>
            <w:t>Task 2 – Strategic Growth and Competitive Positioning:</w:t>
          </w:r>
          <w:r w:rsidRPr="005C76F0">
            <w:rPr>
              <w:webHidden/>
            </w:rPr>
            <w:tab/>
          </w:r>
          <w:r w:rsidRPr="00D904EE">
            <w:rPr>
              <w:b/>
              <w:bCs/>
              <w:webHidden/>
            </w:rPr>
            <w:fldChar w:fldCharType="begin"/>
          </w:r>
          <w:r w:rsidRPr="00D904EE">
            <w:rPr>
              <w:b/>
              <w:bCs/>
              <w:webHidden/>
            </w:rPr>
            <w:instrText xml:space="preserve"> PAGEREF _Toc233230355 \h </w:instrText>
          </w:r>
          <w:r w:rsidRPr="00D904EE">
            <w:rPr>
              <w:b/>
              <w:bCs/>
              <w:webHidden/>
            </w:rPr>
          </w:r>
          <w:r w:rsidRPr="00D904EE">
            <w:rPr>
              <w:b/>
              <w:bCs/>
              <w:webHidden/>
            </w:rPr>
            <w:fldChar w:fldCharType="separate"/>
          </w:r>
          <w:r w:rsidR="00B84C08">
            <w:rPr>
              <w:b/>
              <w:bCs/>
              <w:webHidden/>
            </w:rPr>
            <w:t>11</w:t>
          </w:r>
          <w:r w:rsidRPr="00D904EE">
            <w:rPr>
              <w:b/>
              <w:bCs/>
              <w:webHidden/>
            </w:rPr>
            <w:fldChar w:fldCharType="end"/>
          </w:r>
          <w:r>
            <w:fldChar w:fldCharType="end"/>
          </w:r>
        </w:p>
        <w:p w14:paraId="731B228A" w14:textId="62D7D07C" w:rsidR="001D6D0E" w:rsidRPr="005C76F0" w:rsidRDefault="001D6D0E" w:rsidP="001D6D0E">
          <w:pPr>
            <w:pStyle w:val="TOC2"/>
            <w:tabs>
              <w:tab w:val="left" w:pos="960"/>
              <w:tab w:val="right" w:leader="dot" w:pos="9016"/>
            </w:tabs>
            <w:spacing w:line="360" w:lineRule="auto"/>
            <w:jc w:val="both"/>
            <w:rPr>
              <w:rFonts w:asciiTheme="minorBidi" w:hAnsiTheme="minorBidi"/>
              <w:noProof/>
              <w:sz w:val="26"/>
              <w:szCs w:val="26"/>
            </w:rPr>
          </w:pPr>
          <w:r>
            <w:rPr>
              <w:noProof/>
            </w:rPr>
            <w:fldChar w:fldCharType="begin"/>
          </w:r>
          <w:r>
            <w:rPr>
              <w:noProof/>
            </w:rPr>
            <w:instrText>HYPERLINK \l "_Toc233230356"</w:instrText>
          </w:r>
          <w:r w:rsidR="00B84C08">
            <w:rPr>
              <w:noProof/>
            </w:rPr>
          </w:r>
          <w:r>
            <w:rPr>
              <w:noProof/>
            </w:rPr>
            <w:fldChar w:fldCharType="separate"/>
          </w:r>
          <w:r w:rsidRPr="005C76F0">
            <w:rPr>
              <w:rStyle w:val="Hyperlink"/>
              <w:rFonts w:asciiTheme="minorBidi" w:hAnsiTheme="minorBidi"/>
              <w:noProof/>
              <w:sz w:val="26"/>
              <w:szCs w:val="26"/>
            </w:rPr>
            <w:t>2.1.</w:t>
          </w:r>
          <w:r w:rsidRPr="005C76F0">
            <w:rPr>
              <w:rFonts w:asciiTheme="minorBidi" w:hAnsiTheme="minorBidi"/>
              <w:noProof/>
              <w:sz w:val="26"/>
              <w:szCs w:val="26"/>
            </w:rPr>
            <w:tab/>
          </w:r>
          <w:r w:rsidRPr="005C76F0">
            <w:rPr>
              <w:rStyle w:val="Hyperlink"/>
              <w:rFonts w:asciiTheme="minorBidi" w:hAnsiTheme="minorBidi"/>
              <w:noProof/>
              <w:sz w:val="26"/>
              <w:szCs w:val="26"/>
            </w:rPr>
            <w:t>Ansoff Product Development Strategy:</w:t>
          </w:r>
          <w:r w:rsidRPr="005C76F0">
            <w:rPr>
              <w:rFonts w:asciiTheme="minorBidi" w:hAnsiTheme="minorBidi"/>
              <w:noProof/>
              <w:webHidden/>
              <w:sz w:val="26"/>
              <w:szCs w:val="26"/>
            </w:rPr>
            <w:tab/>
          </w:r>
          <w:r w:rsidRPr="005C76F0">
            <w:rPr>
              <w:rFonts w:asciiTheme="minorBidi" w:hAnsiTheme="minorBidi"/>
              <w:noProof/>
              <w:webHidden/>
              <w:sz w:val="26"/>
              <w:szCs w:val="26"/>
            </w:rPr>
            <w:fldChar w:fldCharType="begin"/>
          </w:r>
          <w:r w:rsidRPr="005C76F0">
            <w:rPr>
              <w:rFonts w:asciiTheme="minorBidi" w:hAnsiTheme="minorBidi"/>
              <w:noProof/>
              <w:webHidden/>
              <w:sz w:val="26"/>
              <w:szCs w:val="26"/>
            </w:rPr>
            <w:instrText xml:space="preserve"> PAGEREF _Toc233230356 \h </w:instrText>
          </w:r>
          <w:r w:rsidRPr="005C76F0">
            <w:rPr>
              <w:rFonts w:asciiTheme="minorBidi" w:hAnsiTheme="minorBidi"/>
              <w:noProof/>
              <w:webHidden/>
              <w:sz w:val="26"/>
              <w:szCs w:val="26"/>
            </w:rPr>
          </w:r>
          <w:r w:rsidRPr="005C76F0">
            <w:rPr>
              <w:rFonts w:asciiTheme="minorBidi" w:hAnsiTheme="minorBidi"/>
              <w:noProof/>
              <w:webHidden/>
              <w:sz w:val="26"/>
              <w:szCs w:val="26"/>
            </w:rPr>
            <w:fldChar w:fldCharType="separate"/>
          </w:r>
          <w:r w:rsidR="00B84C08">
            <w:rPr>
              <w:rFonts w:asciiTheme="minorBidi" w:hAnsiTheme="minorBidi"/>
              <w:noProof/>
              <w:webHidden/>
              <w:sz w:val="26"/>
              <w:szCs w:val="26"/>
            </w:rPr>
            <w:t>12</w:t>
          </w:r>
          <w:r w:rsidRPr="005C76F0">
            <w:rPr>
              <w:rFonts w:asciiTheme="minorBidi" w:hAnsiTheme="minorBidi"/>
              <w:noProof/>
              <w:webHidden/>
              <w:sz w:val="26"/>
              <w:szCs w:val="26"/>
            </w:rPr>
            <w:fldChar w:fldCharType="end"/>
          </w:r>
          <w:r>
            <w:rPr>
              <w:noProof/>
            </w:rPr>
            <w:fldChar w:fldCharType="end"/>
          </w:r>
        </w:p>
        <w:p w14:paraId="7308FBD2" w14:textId="73D1DC67" w:rsidR="001D6D0E" w:rsidRPr="005C76F0" w:rsidRDefault="001D6D0E" w:rsidP="001D6D0E">
          <w:pPr>
            <w:pStyle w:val="TOC2"/>
            <w:tabs>
              <w:tab w:val="left" w:pos="960"/>
              <w:tab w:val="right" w:leader="dot" w:pos="9016"/>
            </w:tabs>
            <w:spacing w:line="360" w:lineRule="auto"/>
            <w:jc w:val="both"/>
            <w:rPr>
              <w:rFonts w:asciiTheme="minorBidi" w:hAnsiTheme="minorBidi"/>
              <w:noProof/>
              <w:sz w:val="26"/>
              <w:szCs w:val="26"/>
            </w:rPr>
          </w:pPr>
          <w:hyperlink w:anchor="_Toc233230357" w:history="1">
            <w:r w:rsidRPr="005C76F0">
              <w:rPr>
                <w:rStyle w:val="Hyperlink"/>
                <w:rFonts w:asciiTheme="minorBidi" w:hAnsiTheme="minorBidi"/>
                <w:noProof/>
                <w:sz w:val="26"/>
                <w:szCs w:val="26"/>
              </w:rPr>
              <w:t>2.2.</w:t>
            </w:r>
            <w:r w:rsidRPr="005C76F0">
              <w:rPr>
                <w:rFonts w:asciiTheme="minorBidi" w:hAnsiTheme="minorBidi"/>
                <w:noProof/>
                <w:sz w:val="26"/>
                <w:szCs w:val="26"/>
              </w:rPr>
              <w:tab/>
            </w:r>
            <w:r w:rsidRPr="005C76F0">
              <w:rPr>
                <w:rStyle w:val="Hyperlink"/>
                <w:rFonts w:asciiTheme="minorBidi" w:hAnsiTheme="minorBidi"/>
                <w:noProof/>
                <w:sz w:val="26"/>
                <w:szCs w:val="26"/>
              </w:rPr>
              <w:t>Selective Market Development:</w:t>
            </w:r>
            <w:r w:rsidRPr="005C76F0">
              <w:rPr>
                <w:rFonts w:asciiTheme="minorBidi" w:hAnsiTheme="minorBidi"/>
                <w:noProof/>
                <w:webHidden/>
                <w:sz w:val="26"/>
                <w:szCs w:val="26"/>
              </w:rPr>
              <w:tab/>
            </w:r>
            <w:r w:rsidRPr="005C76F0">
              <w:rPr>
                <w:rFonts w:asciiTheme="minorBidi" w:hAnsiTheme="minorBidi"/>
                <w:noProof/>
                <w:webHidden/>
                <w:sz w:val="26"/>
                <w:szCs w:val="26"/>
              </w:rPr>
              <w:fldChar w:fldCharType="begin"/>
            </w:r>
            <w:r w:rsidRPr="005C76F0">
              <w:rPr>
                <w:rFonts w:asciiTheme="minorBidi" w:hAnsiTheme="minorBidi"/>
                <w:noProof/>
                <w:webHidden/>
                <w:sz w:val="26"/>
                <w:szCs w:val="26"/>
              </w:rPr>
              <w:instrText xml:space="preserve"> PAGEREF _Toc233230357 \h </w:instrText>
            </w:r>
            <w:r w:rsidRPr="005C76F0">
              <w:rPr>
                <w:rFonts w:asciiTheme="minorBidi" w:hAnsiTheme="minorBidi"/>
                <w:noProof/>
                <w:webHidden/>
                <w:sz w:val="26"/>
                <w:szCs w:val="26"/>
              </w:rPr>
            </w:r>
            <w:r w:rsidRPr="005C76F0">
              <w:rPr>
                <w:rFonts w:asciiTheme="minorBidi" w:hAnsiTheme="minorBidi"/>
                <w:noProof/>
                <w:webHidden/>
                <w:sz w:val="26"/>
                <w:szCs w:val="26"/>
              </w:rPr>
              <w:fldChar w:fldCharType="separate"/>
            </w:r>
            <w:r w:rsidR="00B84C08">
              <w:rPr>
                <w:rFonts w:asciiTheme="minorBidi" w:hAnsiTheme="minorBidi"/>
                <w:noProof/>
                <w:webHidden/>
                <w:sz w:val="26"/>
                <w:szCs w:val="26"/>
              </w:rPr>
              <w:t>14</w:t>
            </w:r>
            <w:r w:rsidRPr="005C76F0">
              <w:rPr>
                <w:rFonts w:asciiTheme="minorBidi" w:hAnsiTheme="minorBidi"/>
                <w:noProof/>
                <w:webHidden/>
                <w:sz w:val="26"/>
                <w:szCs w:val="26"/>
              </w:rPr>
              <w:fldChar w:fldCharType="end"/>
            </w:r>
          </w:hyperlink>
        </w:p>
        <w:p w14:paraId="3AB19283" w14:textId="4B323E32" w:rsidR="001D6D0E" w:rsidRPr="005C76F0" w:rsidRDefault="001D6D0E" w:rsidP="001D6D0E">
          <w:pPr>
            <w:pStyle w:val="TOC2"/>
            <w:tabs>
              <w:tab w:val="left" w:pos="960"/>
              <w:tab w:val="right" w:leader="dot" w:pos="9016"/>
            </w:tabs>
            <w:spacing w:line="360" w:lineRule="auto"/>
            <w:jc w:val="both"/>
            <w:rPr>
              <w:rFonts w:asciiTheme="minorBidi" w:hAnsiTheme="minorBidi"/>
              <w:noProof/>
              <w:sz w:val="26"/>
              <w:szCs w:val="26"/>
            </w:rPr>
          </w:pPr>
          <w:hyperlink w:anchor="_Toc233230358" w:history="1">
            <w:r w:rsidRPr="005C76F0">
              <w:rPr>
                <w:rStyle w:val="Hyperlink"/>
                <w:rFonts w:asciiTheme="minorBidi" w:hAnsiTheme="minorBidi"/>
                <w:noProof/>
                <w:sz w:val="26"/>
                <w:szCs w:val="26"/>
              </w:rPr>
              <w:t>2.3.</w:t>
            </w:r>
            <w:r w:rsidRPr="005C76F0">
              <w:rPr>
                <w:rFonts w:asciiTheme="minorBidi" w:hAnsiTheme="minorBidi"/>
                <w:noProof/>
                <w:sz w:val="26"/>
                <w:szCs w:val="26"/>
              </w:rPr>
              <w:tab/>
            </w:r>
            <w:r w:rsidRPr="005C76F0">
              <w:rPr>
                <w:rStyle w:val="Hyperlink"/>
                <w:rFonts w:asciiTheme="minorBidi" w:hAnsiTheme="minorBidi"/>
                <w:noProof/>
                <w:sz w:val="26"/>
                <w:szCs w:val="26"/>
              </w:rPr>
              <w:t>Porter’s Broad Differentiation Strategy:</w:t>
            </w:r>
            <w:r w:rsidRPr="005C76F0">
              <w:rPr>
                <w:rFonts w:asciiTheme="minorBidi" w:hAnsiTheme="minorBidi"/>
                <w:noProof/>
                <w:webHidden/>
                <w:sz w:val="26"/>
                <w:szCs w:val="26"/>
              </w:rPr>
              <w:tab/>
            </w:r>
            <w:r w:rsidRPr="005C76F0">
              <w:rPr>
                <w:rFonts w:asciiTheme="minorBidi" w:hAnsiTheme="minorBidi"/>
                <w:noProof/>
                <w:webHidden/>
                <w:sz w:val="26"/>
                <w:szCs w:val="26"/>
              </w:rPr>
              <w:fldChar w:fldCharType="begin"/>
            </w:r>
            <w:r w:rsidRPr="005C76F0">
              <w:rPr>
                <w:rFonts w:asciiTheme="minorBidi" w:hAnsiTheme="minorBidi"/>
                <w:noProof/>
                <w:webHidden/>
                <w:sz w:val="26"/>
                <w:szCs w:val="26"/>
              </w:rPr>
              <w:instrText xml:space="preserve"> PAGEREF _Toc233230358 \h </w:instrText>
            </w:r>
            <w:r w:rsidRPr="005C76F0">
              <w:rPr>
                <w:rFonts w:asciiTheme="minorBidi" w:hAnsiTheme="minorBidi"/>
                <w:noProof/>
                <w:webHidden/>
                <w:sz w:val="26"/>
                <w:szCs w:val="26"/>
              </w:rPr>
            </w:r>
            <w:r w:rsidRPr="005C76F0">
              <w:rPr>
                <w:rFonts w:asciiTheme="minorBidi" w:hAnsiTheme="minorBidi"/>
                <w:noProof/>
                <w:webHidden/>
                <w:sz w:val="26"/>
                <w:szCs w:val="26"/>
              </w:rPr>
              <w:fldChar w:fldCharType="separate"/>
            </w:r>
            <w:r w:rsidR="00B84C08">
              <w:rPr>
                <w:rFonts w:asciiTheme="minorBidi" w:hAnsiTheme="minorBidi"/>
                <w:noProof/>
                <w:webHidden/>
                <w:sz w:val="26"/>
                <w:szCs w:val="26"/>
              </w:rPr>
              <w:t>14</w:t>
            </w:r>
            <w:r w:rsidRPr="005C76F0">
              <w:rPr>
                <w:rFonts w:asciiTheme="minorBidi" w:hAnsiTheme="minorBidi"/>
                <w:noProof/>
                <w:webHidden/>
                <w:sz w:val="26"/>
                <w:szCs w:val="26"/>
              </w:rPr>
              <w:fldChar w:fldCharType="end"/>
            </w:r>
          </w:hyperlink>
        </w:p>
        <w:p w14:paraId="494E82BB" w14:textId="5BBCFC70" w:rsidR="001D6D0E" w:rsidRPr="005C76F0" w:rsidRDefault="001D6D0E" w:rsidP="001D6D0E">
          <w:pPr>
            <w:pStyle w:val="TOC2"/>
            <w:tabs>
              <w:tab w:val="left" w:pos="960"/>
              <w:tab w:val="right" w:leader="dot" w:pos="9016"/>
            </w:tabs>
            <w:spacing w:line="360" w:lineRule="auto"/>
            <w:jc w:val="both"/>
            <w:rPr>
              <w:rFonts w:asciiTheme="minorBidi" w:hAnsiTheme="minorBidi"/>
              <w:noProof/>
              <w:sz w:val="26"/>
              <w:szCs w:val="26"/>
            </w:rPr>
          </w:pPr>
          <w:hyperlink w:anchor="_Toc233230359" w:history="1">
            <w:r w:rsidRPr="005C76F0">
              <w:rPr>
                <w:rStyle w:val="Hyperlink"/>
                <w:rFonts w:asciiTheme="minorBidi" w:hAnsiTheme="minorBidi"/>
                <w:noProof/>
                <w:sz w:val="26"/>
                <w:szCs w:val="26"/>
              </w:rPr>
              <w:t>2.4.</w:t>
            </w:r>
            <w:r w:rsidRPr="005C76F0">
              <w:rPr>
                <w:rFonts w:asciiTheme="minorBidi" w:hAnsiTheme="minorBidi"/>
                <w:noProof/>
                <w:sz w:val="26"/>
                <w:szCs w:val="26"/>
              </w:rPr>
              <w:tab/>
            </w:r>
            <w:r w:rsidRPr="005C76F0">
              <w:rPr>
                <w:rStyle w:val="Hyperlink"/>
                <w:rFonts w:asciiTheme="minorBidi" w:hAnsiTheme="minorBidi"/>
                <w:noProof/>
                <w:sz w:val="26"/>
                <w:szCs w:val="26"/>
              </w:rPr>
              <w:t>Implementation, Metrics and Risk Control:</w:t>
            </w:r>
            <w:r w:rsidRPr="005C76F0">
              <w:rPr>
                <w:rFonts w:asciiTheme="minorBidi" w:hAnsiTheme="minorBidi"/>
                <w:noProof/>
                <w:webHidden/>
                <w:sz w:val="26"/>
                <w:szCs w:val="26"/>
              </w:rPr>
              <w:tab/>
            </w:r>
            <w:r w:rsidRPr="005C76F0">
              <w:rPr>
                <w:rFonts w:asciiTheme="minorBidi" w:hAnsiTheme="minorBidi"/>
                <w:noProof/>
                <w:webHidden/>
                <w:sz w:val="26"/>
                <w:szCs w:val="26"/>
              </w:rPr>
              <w:fldChar w:fldCharType="begin"/>
            </w:r>
            <w:r w:rsidRPr="005C76F0">
              <w:rPr>
                <w:rFonts w:asciiTheme="minorBidi" w:hAnsiTheme="minorBidi"/>
                <w:noProof/>
                <w:webHidden/>
                <w:sz w:val="26"/>
                <w:szCs w:val="26"/>
              </w:rPr>
              <w:instrText xml:space="preserve"> PAGEREF _Toc233230359 \h </w:instrText>
            </w:r>
            <w:r w:rsidRPr="005C76F0">
              <w:rPr>
                <w:rFonts w:asciiTheme="minorBidi" w:hAnsiTheme="minorBidi"/>
                <w:noProof/>
                <w:webHidden/>
                <w:sz w:val="26"/>
                <w:szCs w:val="26"/>
              </w:rPr>
            </w:r>
            <w:r w:rsidRPr="005C76F0">
              <w:rPr>
                <w:rFonts w:asciiTheme="minorBidi" w:hAnsiTheme="minorBidi"/>
                <w:noProof/>
                <w:webHidden/>
                <w:sz w:val="26"/>
                <w:szCs w:val="26"/>
              </w:rPr>
              <w:fldChar w:fldCharType="separate"/>
            </w:r>
            <w:r w:rsidR="00B84C08">
              <w:rPr>
                <w:rFonts w:asciiTheme="minorBidi" w:hAnsiTheme="minorBidi"/>
                <w:noProof/>
                <w:webHidden/>
                <w:sz w:val="26"/>
                <w:szCs w:val="26"/>
              </w:rPr>
              <w:t>16</w:t>
            </w:r>
            <w:r w:rsidRPr="005C76F0">
              <w:rPr>
                <w:rFonts w:asciiTheme="minorBidi" w:hAnsiTheme="minorBidi"/>
                <w:noProof/>
                <w:webHidden/>
                <w:sz w:val="26"/>
                <w:szCs w:val="26"/>
              </w:rPr>
              <w:fldChar w:fldCharType="end"/>
            </w:r>
          </w:hyperlink>
        </w:p>
        <w:p w14:paraId="63FA2349" w14:textId="3134AA6F" w:rsidR="001D6D0E" w:rsidRPr="005C76F0" w:rsidRDefault="001D6D0E" w:rsidP="001D6D0E">
          <w:pPr>
            <w:pStyle w:val="TOC1"/>
            <w:rPr>
              <w:b/>
              <w:bCs/>
              <w:sz w:val="32"/>
              <w:szCs w:val="32"/>
            </w:rPr>
          </w:pPr>
          <w:hyperlink w:anchor="_Toc233230360" w:history="1">
            <w:r w:rsidRPr="005C76F0">
              <w:rPr>
                <w:rStyle w:val="Hyperlink"/>
                <w:b/>
                <w:bCs/>
              </w:rPr>
              <w:t>3.</w:t>
            </w:r>
            <w:r w:rsidRPr="005C76F0">
              <w:rPr>
                <w:b/>
                <w:bCs/>
                <w:sz w:val="32"/>
                <w:szCs w:val="32"/>
              </w:rPr>
              <w:tab/>
            </w:r>
            <w:r w:rsidRPr="005C76F0">
              <w:rPr>
                <w:rStyle w:val="Hyperlink"/>
                <w:b/>
                <w:bCs/>
              </w:rPr>
              <w:t>Task 3: Critical Reflection on AI Usage:</w:t>
            </w:r>
            <w:r w:rsidRPr="005C76F0">
              <w:rPr>
                <w:b/>
                <w:bCs/>
                <w:webHidden/>
                <w:sz w:val="32"/>
                <w:szCs w:val="32"/>
              </w:rPr>
              <w:tab/>
            </w:r>
            <w:r w:rsidRPr="00D904EE">
              <w:rPr>
                <w:b/>
                <w:bCs/>
                <w:webHidden/>
              </w:rPr>
              <w:fldChar w:fldCharType="begin"/>
            </w:r>
            <w:r w:rsidRPr="00D904EE">
              <w:rPr>
                <w:b/>
                <w:bCs/>
                <w:webHidden/>
              </w:rPr>
              <w:instrText xml:space="preserve"> PAGEREF _Toc233230360 \h </w:instrText>
            </w:r>
            <w:r w:rsidRPr="00D904EE">
              <w:rPr>
                <w:b/>
                <w:bCs/>
                <w:webHidden/>
              </w:rPr>
            </w:r>
            <w:r w:rsidRPr="00D904EE">
              <w:rPr>
                <w:b/>
                <w:bCs/>
                <w:webHidden/>
              </w:rPr>
              <w:fldChar w:fldCharType="separate"/>
            </w:r>
            <w:r w:rsidR="00B84C08">
              <w:rPr>
                <w:b/>
                <w:bCs/>
                <w:webHidden/>
              </w:rPr>
              <w:t>18</w:t>
            </w:r>
            <w:r w:rsidRPr="00D904EE">
              <w:rPr>
                <w:b/>
                <w:bCs/>
                <w:webHidden/>
              </w:rPr>
              <w:fldChar w:fldCharType="end"/>
            </w:r>
          </w:hyperlink>
        </w:p>
        <w:p w14:paraId="0E28A22E" w14:textId="30542126" w:rsidR="001D6D0E" w:rsidRPr="005C76F0" w:rsidRDefault="001D6D0E" w:rsidP="001D6D0E">
          <w:pPr>
            <w:pStyle w:val="TOC2"/>
            <w:tabs>
              <w:tab w:val="left" w:pos="960"/>
              <w:tab w:val="right" w:leader="dot" w:pos="9016"/>
            </w:tabs>
            <w:spacing w:line="360" w:lineRule="auto"/>
            <w:jc w:val="both"/>
            <w:rPr>
              <w:rFonts w:asciiTheme="minorBidi" w:hAnsiTheme="minorBidi"/>
              <w:noProof/>
              <w:sz w:val="26"/>
              <w:szCs w:val="26"/>
            </w:rPr>
          </w:pPr>
          <w:hyperlink w:anchor="_Toc233230361" w:history="1">
            <w:r w:rsidRPr="005C76F0">
              <w:rPr>
                <w:rStyle w:val="Hyperlink"/>
                <w:rFonts w:asciiTheme="minorBidi" w:hAnsiTheme="minorBidi"/>
                <w:noProof/>
                <w:sz w:val="26"/>
                <w:szCs w:val="26"/>
              </w:rPr>
              <w:t>3.1.</w:t>
            </w:r>
            <w:r w:rsidRPr="005C76F0">
              <w:rPr>
                <w:rFonts w:asciiTheme="minorBidi" w:hAnsiTheme="minorBidi"/>
                <w:noProof/>
                <w:sz w:val="26"/>
                <w:szCs w:val="26"/>
              </w:rPr>
              <w:tab/>
            </w:r>
            <w:r w:rsidRPr="005C76F0">
              <w:rPr>
                <w:rStyle w:val="Hyperlink"/>
                <w:rFonts w:asciiTheme="minorBidi" w:hAnsiTheme="minorBidi"/>
                <w:noProof/>
                <w:sz w:val="26"/>
                <w:szCs w:val="26"/>
              </w:rPr>
              <w:t>Tool Disclosure and Contribution Boundary:</w:t>
            </w:r>
            <w:r w:rsidRPr="005C76F0">
              <w:rPr>
                <w:rFonts w:asciiTheme="minorBidi" w:hAnsiTheme="minorBidi"/>
                <w:noProof/>
                <w:webHidden/>
                <w:sz w:val="26"/>
                <w:szCs w:val="26"/>
              </w:rPr>
              <w:tab/>
            </w:r>
            <w:r w:rsidRPr="005C76F0">
              <w:rPr>
                <w:rFonts w:asciiTheme="minorBidi" w:hAnsiTheme="minorBidi"/>
                <w:noProof/>
                <w:webHidden/>
                <w:sz w:val="26"/>
                <w:szCs w:val="26"/>
              </w:rPr>
              <w:fldChar w:fldCharType="begin"/>
            </w:r>
            <w:r w:rsidRPr="005C76F0">
              <w:rPr>
                <w:rFonts w:asciiTheme="minorBidi" w:hAnsiTheme="minorBidi"/>
                <w:noProof/>
                <w:webHidden/>
                <w:sz w:val="26"/>
                <w:szCs w:val="26"/>
              </w:rPr>
              <w:instrText xml:space="preserve"> PAGEREF _Toc233230361 \h </w:instrText>
            </w:r>
            <w:r w:rsidRPr="005C76F0">
              <w:rPr>
                <w:rFonts w:asciiTheme="minorBidi" w:hAnsiTheme="minorBidi"/>
                <w:noProof/>
                <w:webHidden/>
                <w:sz w:val="26"/>
                <w:szCs w:val="26"/>
              </w:rPr>
            </w:r>
            <w:r w:rsidRPr="005C76F0">
              <w:rPr>
                <w:rFonts w:asciiTheme="minorBidi" w:hAnsiTheme="minorBidi"/>
                <w:noProof/>
                <w:webHidden/>
                <w:sz w:val="26"/>
                <w:szCs w:val="26"/>
              </w:rPr>
              <w:fldChar w:fldCharType="separate"/>
            </w:r>
            <w:r w:rsidR="00B84C08">
              <w:rPr>
                <w:rFonts w:asciiTheme="minorBidi" w:hAnsiTheme="minorBidi"/>
                <w:noProof/>
                <w:webHidden/>
                <w:sz w:val="26"/>
                <w:szCs w:val="26"/>
              </w:rPr>
              <w:t>18</w:t>
            </w:r>
            <w:r w:rsidRPr="005C76F0">
              <w:rPr>
                <w:rFonts w:asciiTheme="minorBidi" w:hAnsiTheme="minorBidi"/>
                <w:noProof/>
                <w:webHidden/>
                <w:sz w:val="26"/>
                <w:szCs w:val="26"/>
              </w:rPr>
              <w:fldChar w:fldCharType="end"/>
            </w:r>
          </w:hyperlink>
        </w:p>
        <w:p w14:paraId="47E27F73" w14:textId="375A188A" w:rsidR="001D6D0E" w:rsidRPr="005C76F0" w:rsidRDefault="001D6D0E" w:rsidP="001D6D0E">
          <w:pPr>
            <w:pStyle w:val="TOC2"/>
            <w:tabs>
              <w:tab w:val="left" w:pos="960"/>
              <w:tab w:val="right" w:leader="dot" w:pos="9016"/>
            </w:tabs>
            <w:spacing w:line="360" w:lineRule="auto"/>
            <w:jc w:val="both"/>
            <w:rPr>
              <w:rFonts w:asciiTheme="minorBidi" w:hAnsiTheme="minorBidi"/>
              <w:noProof/>
              <w:sz w:val="26"/>
              <w:szCs w:val="26"/>
            </w:rPr>
          </w:pPr>
          <w:hyperlink w:anchor="_Toc233230362" w:history="1">
            <w:r w:rsidRPr="005C76F0">
              <w:rPr>
                <w:rStyle w:val="Hyperlink"/>
                <w:rFonts w:asciiTheme="minorBidi" w:hAnsiTheme="minorBidi"/>
                <w:noProof/>
                <w:sz w:val="26"/>
                <w:szCs w:val="26"/>
              </w:rPr>
              <w:t>3.2.</w:t>
            </w:r>
            <w:r w:rsidRPr="005C76F0">
              <w:rPr>
                <w:rFonts w:asciiTheme="minorBidi" w:hAnsiTheme="minorBidi"/>
                <w:noProof/>
                <w:sz w:val="26"/>
                <w:szCs w:val="26"/>
              </w:rPr>
              <w:tab/>
            </w:r>
            <w:r w:rsidRPr="005C76F0">
              <w:rPr>
                <w:rStyle w:val="Hyperlink"/>
                <w:rFonts w:asciiTheme="minorBidi" w:hAnsiTheme="minorBidi"/>
                <w:noProof/>
                <w:sz w:val="26"/>
                <w:szCs w:val="26"/>
              </w:rPr>
              <w:t>Verification, Hallucinations and Corrections:</w:t>
            </w:r>
            <w:r w:rsidRPr="005C76F0">
              <w:rPr>
                <w:rFonts w:asciiTheme="minorBidi" w:hAnsiTheme="minorBidi"/>
                <w:noProof/>
                <w:webHidden/>
                <w:sz w:val="26"/>
                <w:szCs w:val="26"/>
              </w:rPr>
              <w:tab/>
            </w:r>
            <w:r w:rsidRPr="005C76F0">
              <w:rPr>
                <w:rFonts w:asciiTheme="minorBidi" w:hAnsiTheme="minorBidi"/>
                <w:noProof/>
                <w:webHidden/>
                <w:sz w:val="26"/>
                <w:szCs w:val="26"/>
              </w:rPr>
              <w:fldChar w:fldCharType="begin"/>
            </w:r>
            <w:r w:rsidRPr="005C76F0">
              <w:rPr>
                <w:rFonts w:asciiTheme="minorBidi" w:hAnsiTheme="minorBidi"/>
                <w:noProof/>
                <w:webHidden/>
                <w:sz w:val="26"/>
                <w:szCs w:val="26"/>
              </w:rPr>
              <w:instrText xml:space="preserve"> PAGEREF _Toc233230362 \h </w:instrText>
            </w:r>
            <w:r w:rsidRPr="005C76F0">
              <w:rPr>
                <w:rFonts w:asciiTheme="minorBidi" w:hAnsiTheme="minorBidi"/>
                <w:noProof/>
                <w:webHidden/>
                <w:sz w:val="26"/>
                <w:szCs w:val="26"/>
              </w:rPr>
            </w:r>
            <w:r w:rsidRPr="005C76F0">
              <w:rPr>
                <w:rFonts w:asciiTheme="minorBidi" w:hAnsiTheme="minorBidi"/>
                <w:noProof/>
                <w:webHidden/>
                <w:sz w:val="26"/>
                <w:szCs w:val="26"/>
              </w:rPr>
              <w:fldChar w:fldCharType="separate"/>
            </w:r>
            <w:r w:rsidR="00B84C08">
              <w:rPr>
                <w:rFonts w:asciiTheme="minorBidi" w:hAnsiTheme="minorBidi"/>
                <w:noProof/>
                <w:webHidden/>
                <w:sz w:val="26"/>
                <w:szCs w:val="26"/>
              </w:rPr>
              <w:t>18</w:t>
            </w:r>
            <w:r w:rsidRPr="005C76F0">
              <w:rPr>
                <w:rFonts w:asciiTheme="minorBidi" w:hAnsiTheme="minorBidi"/>
                <w:noProof/>
                <w:webHidden/>
                <w:sz w:val="26"/>
                <w:szCs w:val="26"/>
              </w:rPr>
              <w:fldChar w:fldCharType="end"/>
            </w:r>
          </w:hyperlink>
        </w:p>
        <w:p w14:paraId="57403638" w14:textId="4DE85D53" w:rsidR="001D6D0E" w:rsidRPr="005C76F0" w:rsidRDefault="001D6D0E" w:rsidP="001D6D0E">
          <w:pPr>
            <w:pStyle w:val="TOC2"/>
            <w:tabs>
              <w:tab w:val="left" w:pos="960"/>
              <w:tab w:val="right" w:leader="dot" w:pos="9016"/>
            </w:tabs>
            <w:spacing w:line="360" w:lineRule="auto"/>
            <w:jc w:val="both"/>
            <w:rPr>
              <w:rFonts w:asciiTheme="minorBidi" w:hAnsiTheme="minorBidi"/>
              <w:noProof/>
              <w:sz w:val="26"/>
              <w:szCs w:val="26"/>
            </w:rPr>
          </w:pPr>
          <w:hyperlink w:anchor="_Toc233230363" w:history="1">
            <w:r w:rsidRPr="005C76F0">
              <w:rPr>
                <w:rStyle w:val="Hyperlink"/>
                <w:rFonts w:asciiTheme="minorBidi" w:hAnsiTheme="minorBidi"/>
                <w:noProof/>
                <w:sz w:val="26"/>
                <w:szCs w:val="26"/>
              </w:rPr>
              <w:t>3.3.</w:t>
            </w:r>
            <w:r w:rsidRPr="005C76F0">
              <w:rPr>
                <w:rFonts w:asciiTheme="minorBidi" w:hAnsiTheme="minorBidi"/>
                <w:noProof/>
                <w:sz w:val="26"/>
                <w:szCs w:val="26"/>
              </w:rPr>
              <w:tab/>
            </w:r>
            <w:r w:rsidRPr="005C76F0">
              <w:rPr>
                <w:rStyle w:val="Hyperlink"/>
                <w:rFonts w:asciiTheme="minorBidi" w:hAnsiTheme="minorBidi"/>
                <w:noProof/>
                <w:sz w:val="26"/>
                <w:szCs w:val="26"/>
              </w:rPr>
              <w:t>Ethical and Professional Reflection:</w:t>
            </w:r>
            <w:r w:rsidRPr="005C76F0">
              <w:rPr>
                <w:rFonts w:asciiTheme="minorBidi" w:hAnsiTheme="minorBidi"/>
                <w:noProof/>
                <w:webHidden/>
                <w:sz w:val="26"/>
                <w:szCs w:val="26"/>
              </w:rPr>
              <w:tab/>
            </w:r>
            <w:r w:rsidRPr="005C76F0">
              <w:rPr>
                <w:rFonts w:asciiTheme="minorBidi" w:hAnsiTheme="minorBidi"/>
                <w:noProof/>
                <w:webHidden/>
                <w:sz w:val="26"/>
                <w:szCs w:val="26"/>
              </w:rPr>
              <w:fldChar w:fldCharType="begin"/>
            </w:r>
            <w:r w:rsidRPr="005C76F0">
              <w:rPr>
                <w:rFonts w:asciiTheme="minorBidi" w:hAnsiTheme="minorBidi"/>
                <w:noProof/>
                <w:webHidden/>
                <w:sz w:val="26"/>
                <w:szCs w:val="26"/>
              </w:rPr>
              <w:instrText xml:space="preserve"> PAGEREF _Toc233230363 \h </w:instrText>
            </w:r>
            <w:r w:rsidRPr="005C76F0">
              <w:rPr>
                <w:rFonts w:asciiTheme="minorBidi" w:hAnsiTheme="minorBidi"/>
                <w:noProof/>
                <w:webHidden/>
                <w:sz w:val="26"/>
                <w:szCs w:val="26"/>
              </w:rPr>
            </w:r>
            <w:r w:rsidRPr="005C76F0">
              <w:rPr>
                <w:rFonts w:asciiTheme="minorBidi" w:hAnsiTheme="minorBidi"/>
                <w:noProof/>
                <w:webHidden/>
                <w:sz w:val="26"/>
                <w:szCs w:val="26"/>
              </w:rPr>
              <w:fldChar w:fldCharType="separate"/>
            </w:r>
            <w:r w:rsidR="00B84C08">
              <w:rPr>
                <w:rFonts w:asciiTheme="minorBidi" w:hAnsiTheme="minorBidi"/>
                <w:noProof/>
                <w:webHidden/>
                <w:sz w:val="26"/>
                <w:szCs w:val="26"/>
              </w:rPr>
              <w:t>19</w:t>
            </w:r>
            <w:r w:rsidRPr="005C76F0">
              <w:rPr>
                <w:rFonts w:asciiTheme="minorBidi" w:hAnsiTheme="minorBidi"/>
                <w:noProof/>
                <w:webHidden/>
                <w:sz w:val="26"/>
                <w:szCs w:val="26"/>
              </w:rPr>
              <w:fldChar w:fldCharType="end"/>
            </w:r>
          </w:hyperlink>
        </w:p>
        <w:p w14:paraId="556CDB35" w14:textId="30023991" w:rsidR="001D6D0E" w:rsidRPr="005C76F0" w:rsidRDefault="001D6D0E" w:rsidP="001D6D0E">
          <w:pPr>
            <w:pStyle w:val="TOC1"/>
            <w:rPr>
              <w:b/>
              <w:bCs/>
              <w:sz w:val="32"/>
              <w:szCs w:val="32"/>
            </w:rPr>
          </w:pPr>
          <w:hyperlink w:anchor="_Toc233230364" w:history="1">
            <w:r w:rsidRPr="005C76F0">
              <w:rPr>
                <w:rStyle w:val="Hyperlink"/>
                <w:b/>
                <w:bCs/>
              </w:rPr>
              <w:t>Conclusion:</w:t>
            </w:r>
            <w:r w:rsidRPr="005C76F0">
              <w:rPr>
                <w:b/>
                <w:bCs/>
                <w:webHidden/>
                <w:sz w:val="32"/>
                <w:szCs w:val="32"/>
              </w:rPr>
              <w:tab/>
            </w:r>
            <w:r w:rsidRPr="00D904EE">
              <w:rPr>
                <w:b/>
                <w:bCs/>
                <w:webHidden/>
              </w:rPr>
              <w:fldChar w:fldCharType="begin"/>
            </w:r>
            <w:r w:rsidRPr="00D904EE">
              <w:rPr>
                <w:b/>
                <w:bCs/>
                <w:webHidden/>
              </w:rPr>
              <w:instrText xml:space="preserve"> PAGEREF _Toc233230364 \h </w:instrText>
            </w:r>
            <w:r w:rsidRPr="00D904EE">
              <w:rPr>
                <w:b/>
                <w:bCs/>
                <w:webHidden/>
              </w:rPr>
            </w:r>
            <w:r w:rsidRPr="00D904EE">
              <w:rPr>
                <w:b/>
                <w:bCs/>
                <w:webHidden/>
              </w:rPr>
              <w:fldChar w:fldCharType="separate"/>
            </w:r>
            <w:r w:rsidR="00B84C08">
              <w:rPr>
                <w:b/>
                <w:bCs/>
                <w:webHidden/>
              </w:rPr>
              <w:t>19</w:t>
            </w:r>
            <w:r w:rsidRPr="00D904EE">
              <w:rPr>
                <w:b/>
                <w:bCs/>
                <w:webHidden/>
              </w:rPr>
              <w:fldChar w:fldCharType="end"/>
            </w:r>
          </w:hyperlink>
        </w:p>
        <w:p w14:paraId="4C226A6D" w14:textId="22FB1AA1" w:rsidR="001D6D0E" w:rsidRPr="005C76F0" w:rsidRDefault="001D6D0E" w:rsidP="001D6D0E">
          <w:pPr>
            <w:pStyle w:val="TOC1"/>
            <w:rPr>
              <w:b/>
              <w:bCs/>
              <w:sz w:val="32"/>
              <w:szCs w:val="32"/>
            </w:rPr>
          </w:pPr>
          <w:hyperlink w:anchor="_Toc233230365" w:history="1">
            <w:r w:rsidRPr="005C76F0">
              <w:rPr>
                <w:rStyle w:val="Hyperlink"/>
                <w:b/>
                <w:bCs/>
              </w:rPr>
              <w:t>References:</w:t>
            </w:r>
            <w:r w:rsidRPr="005C76F0">
              <w:rPr>
                <w:b/>
                <w:bCs/>
                <w:webHidden/>
                <w:sz w:val="32"/>
                <w:szCs w:val="32"/>
              </w:rPr>
              <w:tab/>
            </w:r>
            <w:r w:rsidRPr="00D904EE">
              <w:rPr>
                <w:b/>
                <w:bCs/>
                <w:webHidden/>
              </w:rPr>
              <w:fldChar w:fldCharType="begin"/>
            </w:r>
            <w:r w:rsidRPr="00D904EE">
              <w:rPr>
                <w:b/>
                <w:bCs/>
                <w:webHidden/>
              </w:rPr>
              <w:instrText xml:space="preserve"> PAGEREF _Toc233230365 \h </w:instrText>
            </w:r>
            <w:r w:rsidRPr="00D904EE">
              <w:rPr>
                <w:b/>
                <w:bCs/>
                <w:webHidden/>
              </w:rPr>
            </w:r>
            <w:r w:rsidRPr="00D904EE">
              <w:rPr>
                <w:b/>
                <w:bCs/>
                <w:webHidden/>
              </w:rPr>
              <w:fldChar w:fldCharType="separate"/>
            </w:r>
            <w:r w:rsidR="00B84C08">
              <w:rPr>
                <w:b/>
                <w:bCs/>
                <w:webHidden/>
              </w:rPr>
              <w:t>21</w:t>
            </w:r>
            <w:r w:rsidRPr="00D904EE">
              <w:rPr>
                <w:b/>
                <w:bCs/>
                <w:webHidden/>
              </w:rPr>
              <w:fldChar w:fldCharType="end"/>
            </w:r>
          </w:hyperlink>
        </w:p>
        <w:p w14:paraId="5F59C032" w14:textId="03B464EA" w:rsidR="001D6D0E" w:rsidRPr="005C76F0" w:rsidRDefault="001D6D0E" w:rsidP="001D6D0E">
          <w:pPr>
            <w:pStyle w:val="TOC1"/>
            <w:rPr>
              <w:b/>
              <w:bCs/>
              <w:sz w:val="32"/>
              <w:szCs w:val="32"/>
            </w:rPr>
          </w:pPr>
          <w:hyperlink w:anchor="_Toc233230366" w:history="1">
            <w:r w:rsidRPr="005C76F0">
              <w:rPr>
                <w:rStyle w:val="Hyperlink"/>
                <w:b/>
                <w:bCs/>
              </w:rPr>
              <w:t>AI Use Acknowledgement:</w:t>
            </w:r>
            <w:r w:rsidRPr="005C76F0">
              <w:rPr>
                <w:b/>
                <w:bCs/>
                <w:webHidden/>
                <w:sz w:val="32"/>
                <w:szCs w:val="32"/>
              </w:rPr>
              <w:tab/>
            </w:r>
            <w:r w:rsidRPr="00D904EE">
              <w:rPr>
                <w:b/>
                <w:bCs/>
                <w:webHidden/>
              </w:rPr>
              <w:fldChar w:fldCharType="begin"/>
            </w:r>
            <w:r w:rsidRPr="00D904EE">
              <w:rPr>
                <w:b/>
                <w:bCs/>
                <w:webHidden/>
              </w:rPr>
              <w:instrText xml:space="preserve"> PAGEREF _Toc233230366 \h </w:instrText>
            </w:r>
            <w:r w:rsidRPr="00D904EE">
              <w:rPr>
                <w:b/>
                <w:bCs/>
                <w:webHidden/>
              </w:rPr>
            </w:r>
            <w:r w:rsidRPr="00D904EE">
              <w:rPr>
                <w:b/>
                <w:bCs/>
                <w:webHidden/>
              </w:rPr>
              <w:fldChar w:fldCharType="separate"/>
            </w:r>
            <w:r w:rsidR="00B84C08">
              <w:rPr>
                <w:b/>
                <w:bCs/>
                <w:webHidden/>
              </w:rPr>
              <w:t>25</w:t>
            </w:r>
            <w:r w:rsidRPr="00D904EE">
              <w:rPr>
                <w:b/>
                <w:bCs/>
                <w:webHidden/>
              </w:rPr>
              <w:fldChar w:fldCharType="end"/>
            </w:r>
          </w:hyperlink>
          <w:r w:rsidRPr="005C76F0">
            <w:rPr>
              <w:rStyle w:val="Hyperlink"/>
              <w:sz w:val="2"/>
              <w:szCs w:val="2"/>
              <w:u w:val="none"/>
            </w:rPr>
            <w:t>"</w:t>
          </w:r>
        </w:p>
        <w:p w14:paraId="0865D5A2" w14:textId="3E4DA09E" w:rsidR="001D6D0E" w:rsidRPr="005C76F0" w:rsidRDefault="001D6D0E" w:rsidP="001D6D0E">
          <w:pPr>
            <w:spacing w:line="360" w:lineRule="auto"/>
            <w:jc w:val="both"/>
          </w:pPr>
          <w:r w:rsidRPr="005C76F0">
            <w:rPr>
              <w:rFonts w:asciiTheme="minorBidi" w:hAnsiTheme="minorBidi"/>
              <w:b/>
              <w:bCs/>
            </w:rPr>
            <w:fldChar w:fldCharType="end"/>
          </w:r>
        </w:p>
      </w:sdtContent>
    </w:sdt>
    <w:p w14:paraId="065AF5D0" w14:textId="77777777" w:rsidR="001D6D0E" w:rsidRDefault="001D6D0E" w:rsidP="00AD4FB6">
      <w:pPr>
        <w:pStyle w:val="Heading1"/>
      </w:pPr>
    </w:p>
    <w:p w14:paraId="5C4A2410" w14:textId="77777777" w:rsidR="00D904EE" w:rsidRPr="00D904EE" w:rsidRDefault="00D904EE" w:rsidP="00D904EE"/>
    <w:p w14:paraId="27DEF551" w14:textId="77777777" w:rsidR="001D6D0E" w:rsidRPr="005C76F0" w:rsidRDefault="001D6D0E" w:rsidP="001D6D0E"/>
    <w:p w14:paraId="57A6420E" w14:textId="77777777" w:rsidR="001D6D0E" w:rsidRPr="005C76F0" w:rsidRDefault="001D6D0E" w:rsidP="001D6D0E"/>
    <w:p w14:paraId="510062D1" w14:textId="77777777" w:rsidR="001D6D0E" w:rsidRPr="005C76F0" w:rsidRDefault="001D6D0E" w:rsidP="001D6D0E"/>
    <w:p w14:paraId="5B65EB75" w14:textId="3CF461DB" w:rsidR="00AD4FB6" w:rsidRPr="005C76F0" w:rsidRDefault="00AD4FB6" w:rsidP="00AD4FB6">
      <w:pPr>
        <w:pStyle w:val="Heading1"/>
      </w:pPr>
      <w:bookmarkStart w:id="0" w:name="_Toc233230349"/>
      <w:r w:rsidRPr="005C76F0">
        <w:lastRenderedPageBreak/>
        <w:t>Introduction:</w:t>
      </w:r>
      <w:bookmarkEnd w:id="0"/>
    </w:p>
    <w:p w14:paraId="17254398" w14:textId="77777777" w:rsidR="00CA2CF1" w:rsidRDefault="00AD4FB6" w:rsidP="00784C8B">
      <w:pPr>
        <w:spacing w:line="360" w:lineRule="auto"/>
        <w:jc w:val="both"/>
        <w:rPr>
          <w:rFonts w:asciiTheme="minorBidi" w:hAnsiTheme="minorBidi"/>
        </w:rPr>
      </w:pPr>
      <w:r w:rsidRPr="00784C8B">
        <w:rPr>
          <w:rFonts w:asciiTheme="minorBidi" w:hAnsiTheme="minorBidi"/>
        </w:rPr>
        <w:t>The decarbonisation of metals and mining has moved from corporate responsibility to a central marketing challenge because customers, regulators, investors and communities increasingly judge product performance and verified environmental impact</w:t>
      </w:r>
      <w:r w:rsidR="00784C8B" w:rsidRPr="00784C8B">
        <w:rPr>
          <w:rFonts w:asciiTheme="minorBidi" w:hAnsiTheme="minorBidi"/>
        </w:rPr>
        <w:t xml:space="preserve"> (Busch et al., 2024; Verma and Diwan, 2025)</w:t>
      </w:r>
      <w:r w:rsidRPr="00784C8B">
        <w:rPr>
          <w:rFonts w:asciiTheme="minorBidi" w:hAnsiTheme="minorBidi"/>
        </w:rPr>
        <w:t xml:space="preserve">. </w:t>
      </w:r>
      <w:r w:rsidR="00784C8B" w:rsidRPr="00784C8B">
        <w:rPr>
          <w:rFonts w:asciiTheme="minorBidi" w:hAnsiTheme="minorBidi"/>
        </w:rPr>
        <w:t>As s</w:t>
      </w:r>
      <w:r w:rsidRPr="00784C8B">
        <w:rPr>
          <w:rFonts w:asciiTheme="minorBidi" w:hAnsiTheme="minorBidi"/>
        </w:rPr>
        <w:t>teel generated about 4.1 billion tonnes of carbon dioxide equivalent in 2024, representing 7 to 8</w:t>
      </w:r>
      <w:r w:rsidR="00784C8B" w:rsidRPr="00784C8B">
        <w:rPr>
          <w:rFonts w:asciiTheme="minorBidi" w:hAnsiTheme="minorBidi"/>
        </w:rPr>
        <w:t>%</w:t>
      </w:r>
      <w:r w:rsidRPr="00784C8B">
        <w:rPr>
          <w:rFonts w:asciiTheme="minorBidi" w:hAnsiTheme="minorBidi"/>
        </w:rPr>
        <w:t xml:space="preserve"> of global anthropogenic emissions, while each tonne averaged 2.18 tonnes of emissions across its value chain (World Steel Association, 2025). </w:t>
      </w:r>
    </w:p>
    <w:p w14:paraId="21D94A1D" w14:textId="626A3AFE" w:rsidR="00CA2CF1" w:rsidRPr="00CA2CF1" w:rsidRDefault="00CA2CF1" w:rsidP="00CA2CF1">
      <w:pPr>
        <w:spacing w:line="360" w:lineRule="auto"/>
        <w:jc w:val="center"/>
        <w:rPr>
          <w:rFonts w:asciiTheme="minorBidi" w:hAnsiTheme="minorBidi"/>
          <w:i/>
          <w:iCs/>
        </w:rPr>
      </w:pPr>
      <w:r>
        <w:rPr>
          <w:noProof/>
        </w:rPr>
        <w:drawing>
          <wp:inline distT="0" distB="0" distL="0" distR="0" wp14:anchorId="5C4D1458" wp14:editId="6B2B870C">
            <wp:extent cx="5731510" cy="4199890"/>
            <wp:effectExtent l="0" t="0" r="2540" b="0"/>
            <wp:docPr id="1102756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756851" name=""/>
                    <pic:cNvPicPr/>
                  </pic:nvPicPr>
                  <pic:blipFill>
                    <a:blip r:embed="rId9"/>
                    <a:stretch>
                      <a:fillRect/>
                    </a:stretch>
                  </pic:blipFill>
                  <pic:spPr>
                    <a:xfrm>
                      <a:off x="0" y="0"/>
                      <a:ext cx="5731510" cy="4199890"/>
                    </a:xfrm>
                    <a:prstGeom prst="rect">
                      <a:avLst/>
                    </a:prstGeom>
                  </pic:spPr>
                </pic:pic>
              </a:graphicData>
            </a:graphic>
          </wp:inline>
        </w:drawing>
      </w:r>
      <w:r w:rsidRPr="00872513">
        <w:rPr>
          <w:rFonts w:asciiTheme="minorBidi" w:hAnsiTheme="minorBidi"/>
          <w:b/>
          <w:bCs/>
          <w:i/>
          <w:iCs/>
          <w:sz w:val="22"/>
          <w:szCs w:val="22"/>
        </w:rPr>
        <w:t xml:space="preserve">Figure 1: </w:t>
      </w:r>
      <w:r w:rsidRPr="00872513">
        <w:rPr>
          <w:rFonts w:asciiTheme="minorBidi" w:hAnsiTheme="minorBidi"/>
          <w:i/>
          <w:iCs/>
          <w:sz w:val="22"/>
          <w:szCs w:val="22"/>
        </w:rPr>
        <w:t>Emissions from the steel industry 2024 (World Steel Association, 2025)</w:t>
      </w:r>
    </w:p>
    <w:p w14:paraId="7006DE56" w14:textId="0B9EED0C" w:rsidR="00AD4FB6" w:rsidRPr="00784C8B" w:rsidRDefault="00AD4FB6" w:rsidP="00784C8B">
      <w:pPr>
        <w:spacing w:line="360" w:lineRule="auto"/>
        <w:jc w:val="both"/>
        <w:rPr>
          <w:rFonts w:asciiTheme="minorBidi" w:hAnsiTheme="minorBidi"/>
        </w:rPr>
      </w:pPr>
      <w:r w:rsidRPr="00784C8B">
        <w:rPr>
          <w:rFonts w:asciiTheme="minorBidi" w:hAnsiTheme="minorBidi"/>
        </w:rPr>
        <w:t xml:space="preserve">Against this background, BHP must market essential iron ore and copper without overstating progress in a technically uncertain transition. </w:t>
      </w:r>
      <w:r w:rsidR="00784C8B" w:rsidRPr="00784C8B">
        <w:rPr>
          <w:rFonts w:asciiTheme="minorBidi" w:hAnsiTheme="minorBidi"/>
        </w:rPr>
        <w:t>Therefore, t</w:t>
      </w:r>
      <w:r w:rsidRPr="00784C8B">
        <w:rPr>
          <w:rFonts w:asciiTheme="minorBidi" w:hAnsiTheme="minorBidi"/>
        </w:rPr>
        <w:t>his report critically evaluates the natural and political-regulatory actors shaping BHP’s lower-carbon offer through PESTLE, Porter’s Five Forces and SWOT analysis</w:t>
      </w:r>
      <w:r w:rsidR="00784C8B" w:rsidRPr="00784C8B">
        <w:rPr>
          <w:rFonts w:asciiTheme="minorBidi" w:hAnsiTheme="minorBidi"/>
        </w:rPr>
        <w:t xml:space="preserve"> in Task 1</w:t>
      </w:r>
      <w:r w:rsidRPr="00784C8B">
        <w:rPr>
          <w:rFonts w:asciiTheme="minorBidi" w:hAnsiTheme="minorBidi"/>
        </w:rPr>
        <w:t xml:space="preserve">. </w:t>
      </w:r>
      <w:r w:rsidR="00784C8B" w:rsidRPr="00784C8B">
        <w:rPr>
          <w:rFonts w:asciiTheme="minorBidi" w:hAnsiTheme="minorBidi"/>
        </w:rPr>
        <w:t xml:space="preserve">Building on these findings, Task 2 recommends an Ansoff product-development strategy supported by Porter’s broad differentiation strategy, customer co-innovation and verifiable product-level carbon data. Finally, Task 3 critically reflects on the use of </w:t>
      </w:r>
      <w:r w:rsidR="00784C8B" w:rsidRPr="00784C8B">
        <w:rPr>
          <w:rFonts w:asciiTheme="minorBidi" w:hAnsiTheme="minorBidi"/>
        </w:rPr>
        <w:lastRenderedPageBreak/>
        <w:t>generative artificial intelligence to structure the research, test arguments and improve presentation while maintaining human judgement, independent source verification, academic integrity and professional accountability.</w:t>
      </w:r>
    </w:p>
    <w:p w14:paraId="725FA9F1" w14:textId="77777777" w:rsidR="00AD4FB6" w:rsidRPr="005C76F0" w:rsidRDefault="00AD4FB6" w:rsidP="00AD4FB6">
      <w:pPr>
        <w:spacing w:line="360" w:lineRule="auto"/>
        <w:jc w:val="both"/>
        <w:rPr>
          <w:rFonts w:asciiTheme="minorBidi" w:hAnsiTheme="minorBidi"/>
          <w:sz w:val="20"/>
          <w:szCs w:val="20"/>
        </w:rPr>
      </w:pPr>
    </w:p>
    <w:p w14:paraId="528C8C97" w14:textId="6C5865F2" w:rsidR="00AD4FB6" w:rsidRPr="005C76F0" w:rsidRDefault="00AD4FB6" w:rsidP="00AD4FB6">
      <w:pPr>
        <w:pStyle w:val="Heading1"/>
        <w:numPr>
          <w:ilvl w:val="0"/>
          <w:numId w:val="2"/>
        </w:numPr>
      </w:pPr>
      <w:bookmarkStart w:id="1" w:name="_Toc233230350"/>
      <w:r w:rsidRPr="005C76F0">
        <w:t>Task 1 – Marketing Environment Analysis:</w:t>
      </w:r>
      <w:bookmarkEnd w:id="1"/>
    </w:p>
    <w:p w14:paraId="74FA66BA" w14:textId="2A94E0A8" w:rsidR="00AD4FB6" w:rsidRPr="005C76F0" w:rsidRDefault="00AD4FB6" w:rsidP="009D21CA">
      <w:pPr>
        <w:spacing w:line="360" w:lineRule="auto"/>
        <w:jc w:val="both"/>
        <w:rPr>
          <w:rFonts w:asciiTheme="minorBidi" w:hAnsiTheme="minorBidi"/>
        </w:rPr>
      </w:pPr>
      <w:r w:rsidRPr="005C76F0">
        <w:rPr>
          <w:rFonts w:asciiTheme="minorBidi" w:hAnsiTheme="minorBidi"/>
        </w:rPr>
        <w:t>BHP is analysed as a business-to-business marketer whose proposition depends on reliable supply, technical quality, cost and legitimacy. External actors influence which products customers prefer, which environmental claims stakeholders trust and which projects receive permission to operate</w:t>
      </w:r>
      <w:r w:rsidR="009D21CA">
        <w:rPr>
          <w:rFonts w:asciiTheme="minorBidi" w:hAnsiTheme="minorBidi"/>
        </w:rPr>
        <w:t xml:space="preserve"> as </w:t>
      </w:r>
      <w:r w:rsidRPr="005C76F0">
        <w:rPr>
          <w:rFonts w:asciiTheme="minorBidi" w:hAnsiTheme="minorBidi"/>
        </w:rPr>
        <w:t xml:space="preserve">Kotler et al. (2024) distinguish macroenvironmental forces from market actors, while Porter (1980) explains how industry structure shapes profitability. The </w:t>
      </w:r>
      <w:r w:rsidR="009D21CA" w:rsidRPr="009D21CA">
        <w:rPr>
          <w:rFonts w:asciiTheme="minorBidi" w:hAnsiTheme="minorBidi"/>
        </w:rPr>
        <w:t xml:space="preserve">following assessment prioritises the natural and political-regulatory environments, then synthesises their implications through PESTLE, Five Forces and SWOT (Kotler et al., 2024; Porter, 1980). </w:t>
      </w:r>
      <w:r w:rsidR="009D21CA">
        <w:rPr>
          <w:rFonts w:asciiTheme="minorBidi" w:hAnsiTheme="minorBidi"/>
        </w:rPr>
        <w:t>In addition, e</w:t>
      </w:r>
      <w:r w:rsidR="009D21CA" w:rsidRPr="009D21CA">
        <w:rPr>
          <w:rFonts w:asciiTheme="minorBidi" w:hAnsiTheme="minorBidi"/>
        </w:rPr>
        <w:t>nvironmental performance is treated as both a constraint and a potential differentiator, without assuming that sustainability automatically produces commodity price premiums (Busch et al., 2024; Verma and Diwan, 2025).</w:t>
      </w:r>
    </w:p>
    <w:p w14:paraId="00C8D1F1" w14:textId="77777777" w:rsidR="00AD4FB6" w:rsidRPr="005C76F0" w:rsidRDefault="00AD4FB6" w:rsidP="00AD4FB6">
      <w:pPr>
        <w:spacing w:line="360" w:lineRule="auto"/>
        <w:jc w:val="both"/>
        <w:rPr>
          <w:rFonts w:asciiTheme="minorBidi" w:hAnsiTheme="minorBidi"/>
          <w:b/>
          <w:bCs/>
          <w:sz w:val="16"/>
          <w:szCs w:val="16"/>
        </w:rPr>
      </w:pPr>
    </w:p>
    <w:p w14:paraId="4543E0A9" w14:textId="707DA506" w:rsidR="00AD4FB6" w:rsidRPr="005C76F0" w:rsidRDefault="00AD4FB6" w:rsidP="00AD4FB6">
      <w:pPr>
        <w:pStyle w:val="ListParagraph"/>
        <w:numPr>
          <w:ilvl w:val="1"/>
          <w:numId w:val="2"/>
        </w:numPr>
        <w:spacing w:line="360" w:lineRule="auto"/>
        <w:jc w:val="both"/>
        <w:rPr>
          <w:rFonts w:asciiTheme="minorBidi" w:hAnsiTheme="minorBidi"/>
          <w:b/>
          <w:bCs/>
        </w:rPr>
      </w:pPr>
      <w:bookmarkStart w:id="2" w:name="_Toc233230351"/>
      <w:r w:rsidRPr="005C76F0">
        <w:rPr>
          <w:rStyle w:val="Heading2Char"/>
        </w:rPr>
        <w:t>BHP’s Market Context and PESTLE Position</w:t>
      </w:r>
      <w:bookmarkEnd w:id="2"/>
      <w:r w:rsidRPr="005C76F0">
        <w:rPr>
          <w:rFonts w:asciiTheme="minorBidi" w:hAnsiTheme="minorBidi"/>
          <w:b/>
          <w:bCs/>
        </w:rPr>
        <w:t>:</w:t>
      </w:r>
    </w:p>
    <w:p w14:paraId="39C1A445" w14:textId="77777777" w:rsidR="00872513" w:rsidRDefault="00AD4FB6" w:rsidP="00AD4FB6">
      <w:pPr>
        <w:spacing w:line="360" w:lineRule="auto"/>
        <w:jc w:val="both"/>
        <w:rPr>
          <w:rFonts w:asciiTheme="minorBidi" w:hAnsiTheme="minorBidi"/>
        </w:rPr>
      </w:pPr>
      <w:r w:rsidRPr="005C76F0">
        <w:rPr>
          <w:rFonts w:asciiTheme="minorBidi" w:hAnsiTheme="minorBidi"/>
        </w:rPr>
        <w:t>BHP enters the transition from a position of scale, yet its portfolio creates conflicting marketing signals. In FY2025 it produced 2.02 million tonnes of copper, 28</w:t>
      </w:r>
      <w:r w:rsidR="00E011B2">
        <w:rPr>
          <w:rFonts w:asciiTheme="minorBidi" w:hAnsiTheme="minorBidi"/>
        </w:rPr>
        <w:t>%</w:t>
      </w:r>
      <w:r w:rsidRPr="005C76F0">
        <w:rPr>
          <w:rFonts w:asciiTheme="minorBidi" w:hAnsiTheme="minorBidi"/>
        </w:rPr>
        <w:t xml:space="preserve"> above FY2022, alongside 257 million tonnes of attributable Western Australia Iron Ore output and revenue of US$51.3 billion (BHP, 2025a). Copper supports electrification, while iron ore supplies a steel sector with high downstream emissions. </w:t>
      </w:r>
      <w:r w:rsidR="00E011B2">
        <w:rPr>
          <w:rFonts w:asciiTheme="minorBidi" w:hAnsiTheme="minorBidi"/>
        </w:rPr>
        <w:t xml:space="preserve">Additionally, </w:t>
      </w:r>
      <w:r w:rsidRPr="005C76F0">
        <w:rPr>
          <w:rFonts w:asciiTheme="minorBidi" w:hAnsiTheme="minorBidi"/>
        </w:rPr>
        <w:t>BHP reported 8.7 million tonnes of operational Scope 1 and 2 emissions, 36</w:t>
      </w:r>
      <w:r w:rsidR="00E011B2">
        <w:rPr>
          <w:rFonts w:asciiTheme="minorBidi" w:hAnsiTheme="minorBidi"/>
        </w:rPr>
        <w:t>%</w:t>
      </w:r>
      <w:r w:rsidRPr="005C76F0">
        <w:rPr>
          <w:rFonts w:asciiTheme="minorBidi" w:hAnsiTheme="minorBidi"/>
        </w:rPr>
        <w:t xml:space="preserve"> below its adjusted FY2020 baseline, but Scope 3 emissions remained 378.2 million tonnes (BHP, 2025a). </w:t>
      </w:r>
    </w:p>
    <w:p w14:paraId="01ACE527" w14:textId="6F5EA8F0" w:rsidR="00872513" w:rsidRPr="00872513" w:rsidRDefault="00872513" w:rsidP="00872513">
      <w:pPr>
        <w:spacing w:line="360" w:lineRule="auto"/>
        <w:jc w:val="center"/>
        <w:rPr>
          <w:rFonts w:asciiTheme="minorBidi" w:hAnsiTheme="minorBidi"/>
          <w:i/>
          <w:iCs/>
          <w:sz w:val="22"/>
          <w:szCs w:val="22"/>
        </w:rPr>
      </w:pPr>
      <w:r>
        <w:rPr>
          <w:noProof/>
        </w:rPr>
        <w:lastRenderedPageBreak/>
        <w:drawing>
          <wp:inline distT="0" distB="0" distL="0" distR="0" wp14:anchorId="067B89E6" wp14:editId="52ACB28A">
            <wp:extent cx="5657850" cy="2370706"/>
            <wp:effectExtent l="19050" t="19050" r="19050" b="10795"/>
            <wp:docPr id="85152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52378" name=""/>
                    <pic:cNvPicPr/>
                  </pic:nvPicPr>
                  <pic:blipFill>
                    <a:blip r:embed="rId10"/>
                    <a:stretch>
                      <a:fillRect/>
                    </a:stretch>
                  </pic:blipFill>
                  <pic:spPr>
                    <a:xfrm>
                      <a:off x="0" y="0"/>
                      <a:ext cx="5665655" cy="2373976"/>
                    </a:xfrm>
                    <a:prstGeom prst="rect">
                      <a:avLst/>
                    </a:prstGeom>
                    <a:ln>
                      <a:solidFill>
                        <a:schemeClr val="tx1"/>
                      </a:solidFill>
                    </a:ln>
                  </pic:spPr>
                </pic:pic>
              </a:graphicData>
            </a:graphic>
          </wp:inline>
        </w:drawing>
      </w:r>
      <w:r w:rsidRPr="00872513">
        <w:rPr>
          <w:rFonts w:asciiTheme="minorBidi" w:hAnsiTheme="minorBidi"/>
          <w:b/>
          <w:bCs/>
          <w:i/>
          <w:iCs/>
          <w:sz w:val="22"/>
          <w:szCs w:val="22"/>
        </w:rPr>
        <w:t xml:space="preserve">Figure </w:t>
      </w:r>
      <w:r>
        <w:rPr>
          <w:rFonts w:asciiTheme="minorBidi" w:hAnsiTheme="minorBidi"/>
          <w:b/>
          <w:bCs/>
          <w:i/>
          <w:iCs/>
          <w:sz w:val="22"/>
          <w:szCs w:val="22"/>
        </w:rPr>
        <w:t>2</w:t>
      </w:r>
      <w:r w:rsidRPr="00872513">
        <w:rPr>
          <w:rFonts w:asciiTheme="minorBidi" w:hAnsiTheme="minorBidi"/>
          <w:b/>
          <w:bCs/>
          <w:i/>
          <w:iCs/>
          <w:sz w:val="22"/>
          <w:szCs w:val="22"/>
        </w:rPr>
        <w:t xml:space="preserve">: </w:t>
      </w:r>
      <w:r w:rsidRPr="00872513">
        <w:rPr>
          <w:rFonts w:asciiTheme="minorBidi" w:hAnsiTheme="minorBidi"/>
          <w:i/>
          <w:iCs/>
          <w:sz w:val="22"/>
          <w:szCs w:val="22"/>
        </w:rPr>
        <w:t>Operational GHG emissions (Scopes 1 and 2 emissions from our operated assets)</w:t>
      </w:r>
      <w:r>
        <w:rPr>
          <w:rFonts w:asciiTheme="minorBidi" w:hAnsiTheme="minorBidi"/>
          <w:i/>
          <w:iCs/>
          <w:sz w:val="22"/>
          <w:szCs w:val="22"/>
        </w:rPr>
        <w:t xml:space="preserve"> and </w:t>
      </w:r>
      <w:r w:rsidRPr="00872513">
        <w:rPr>
          <w:rFonts w:asciiTheme="minorBidi" w:hAnsiTheme="minorBidi"/>
          <w:i/>
          <w:iCs/>
          <w:sz w:val="22"/>
          <w:szCs w:val="22"/>
        </w:rPr>
        <w:t>Value chain GHG emissions (Scope 3 emissions) (BHP, 2025a)</w:t>
      </w:r>
    </w:p>
    <w:p w14:paraId="5EE1E448" w14:textId="77777777" w:rsidR="00872513" w:rsidRPr="00872513" w:rsidRDefault="00872513" w:rsidP="00AD4FB6">
      <w:pPr>
        <w:spacing w:line="360" w:lineRule="auto"/>
        <w:jc w:val="both"/>
        <w:rPr>
          <w:rFonts w:asciiTheme="minorBidi" w:hAnsiTheme="minorBidi"/>
          <w:sz w:val="2"/>
          <w:szCs w:val="2"/>
        </w:rPr>
      </w:pPr>
    </w:p>
    <w:p w14:paraId="580E8D3B" w14:textId="7DB68A3B" w:rsidR="00AD4FB6" w:rsidRPr="005C76F0" w:rsidRDefault="00E011B2" w:rsidP="00AD4FB6">
      <w:pPr>
        <w:spacing w:line="360" w:lineRule="auto"/>
        <w:jc w:val="both"/>
        <w:rPr>
          <w:rFonts w:asciiTheme="minorBidi" w:hAnsiTheme="minorBidi"/>
        </w:rPr>
      </w:pPr>
      <w:r>
        <w:rPr>
          <w:rFonts w:asciiTheme="minorBidi" w:hAnsiTheme="minorBidi"/>
        </w:rPr>
        <w:t>Moreover, p</w:t>
      </w:r>
      <w:r w:rsidR="00AD4FB6" w:rsidRPr="005C76F0">
        <w:rPr>
          <w:rFonts w:asciiTheme="minorBidi" w:hAnsiTheme="minorBidi"/>
        </w:rPr>
        <w:t>art of the reduction reflected the suspension of Western Australia Nickel rather than process redesign. Its FY2030 operational target is at least 30</w:t>
      </w:r>
      <w:r>
        <w:rPr>
          <w:rFonts w:asciiTheme="minorBidi" w:hAnsiTheme="minorBidi"/>
        </w:rPr>
        <w:t>%</w:t>
      </w:r>
      <w:r w:rsidR="00AD4FB6" w:rsidRPr="005C76F0">
        <w:rPr>
          <w:rFonts w:asciiTheme="minorBidi" w:hAnsiTheme="minorBidi"/>
        </w:rPr>
        <w:t xml:space="preserve"> below FY2020, although value-chain progress depends on customers and technologies beyond BHP’s control (BHP, 2024). PESTLE therefore reveals economic and technological opportunity alongside social, legal and environmental exposure. </w:t>
      </w:r>
      <w:r>
        <w:rPr>
          <w:rFonts w:asciiTheme="minorBidi" w:hAnsiTheme="minorBidi"/>
        </w:rPr>
        <w:t>Thus, m</w:t>
      </w:r>
      <w:r w:rsidR="00AD4FB6" w:rsidRPr="005C76F0">
        <w:rPr>
          <w:rFonts w:asciiTheme="minorBidi" w:hAnsiTheme="minorBidi"/>
        </w:rPr>
        <w:t>arketing must communicate measurable progress without equating transition-mineral exposure with decarbonisation because trust depends on clear evidence boundaries (Delmas and Burbano, 2011).</w:t>
      </w:r>
    </w:p>
    <w:p w14:paraId="34A2456E" w14:textId="77777777" w:rsidR="00AD4FB6" w:rsidRPr="005C76F0" w:rsidRDefault="00AD4FB6" w:rsidP="00AD4FB6">
      <w:pPr>
        <w:spacing w:line="360" w:lineRule="auto"/>
        <w:jc w:val="both"/>
        <w:rPr>
          <w:rFonts w:asciiTheme="minorBidi" w:hAnsiTheme="minorBidi"/>
          <w:sz w:val="10"/>
          <w:szCs w:val="10"/>
        </w:rPr>
      </w:pPr>
    </w:p>
    <w:p w14:paraId="414D0878" w14:textId="77777777" w:rsidR="00AD4FB6" w:rsidRPr="005C76F0" w:rsidRDefault="00AD4FB6" w:rsidP="00AD4FB6">
      <w:pPr>
        <w:spacing w:line="360" w:lineRule="auto"/>
        <w:jc w:val="center"/>
        <w:rPr>
          <w:rFonts w:asciiTheme="minorBidi" w:hAnsiTheme="minorBidi"/>
          <w:i/>
          <w:iCs/>
        </w:rPr>
      </w:pPr>
      <w:r w:rsidRPr="005C76F0">
        <w:rPr>
          <w:rFonts w:asciiTheme="minorBidi" w:hAnsiTheme="minorBidi"/>
          <w:b/>
          <w:bCs/>
          <w:i/>
          <w:iCs/>
        </w:rPr>
        <w:t xml:space="preserve">Table 1. </w:t>
      </w:r>
      <w:r w:rsidRPr="005C76F0">
        <w:rPr>
          <w:rFonts w:asciiTheme="minorBidi" w:hAnsiTheme="minorBidi"/>
          <w:i/>
          <w:iCs/>
        </w:rPr>
        <w:t>PESTLE analysis of BHP’s lower-carbon marketing environment</w:t>
      </w:r>
    </w:p>
    <w:tbl>
      <w:tblPr>
        <w:tblStyle w:val="PlainTable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9"/>
        <w:gridCol w:w="3501"/>
        <w:gridCol w:w="3746"/>
      </w:tblGrid>
      <w:tr w:rsidR="00AD4FB6" w:rsidRPr="005C76F0" w14:paraId="4D54C58D" w14:textId="77777777" w:rsidTr="00AD4FB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3D8F2694" w14:textId="77777777" w:rsidR="00227FC8" w:rsidRPr="00227FC8" w:rsidRDefault="00227FC8" w:rsidP="00AD4FB6">
            <w:pPr>
              <w:spacing w:after="160" w:line="360" w:lineRule="auto"/>
              <w:jc w:val="left"/>
              <w:rPr>
                <w:rFonts w:asciiTheme="minorBidi" w:hAnsiTheme="minorBidi"/>
                <w:b/>
                <w:bCs/>
                <w:i w:val="0"/>
                <w:iCs w:val="0"/>
                <w:sz w:val="2"/>
                <w:szCs w:val="2"/>
              </w:rPr>
            </w:pPr>
          </w:p>
          <w:p w14:paraId="434ABCFC" w14:textId="634A89A3" w:rsidR="00AD4FB6" w:rsidRPr="005C76F0" w:rsidRDefault="00AD4FB6" w:rsidP="00AD4FB6">
            <w:pPr>
              <w:spacing w:after="160" w:line="360" w:lineRule="auto"/>
              <w:jc w:val="left"/>
              <w:rPr>
                <w:rFonts w:asciiTheme="minorBidi" w:hAnsiTheme="minorBidi"/>
                <w:b/>
                <w:bCs/>
                <w:sz w:val="24"/>
                <w:szCs w:val="22"/>
              </w:rPr>
            </w:pPr>
            <w:r w:rsidRPr="005C76F0">
              <w:rPr>
                <w:rFonts w:asciiTheme="minorBidi" w:hAnsiTheme="minorBidi"/>
                <w:b/>
                <w:bCs/>
                <w:sz w:val="24"/>
                <w:szCs w:val="22"/>
              </w:rPr>
              <w:t>PESTLE Factor</w:t>
            </w:r>
          </w:p>
        </w:tc>
        <w:tc>
          <w:tcPr>
            <w:tcW w:w="0" w:type="auto"/>
            <w:tcBorders>
              <w:bottom w:val="none" w:sz="0" w:space="0" w:color="auto"/>
            </w:tcBorders>
            <w:vAlign w:val="center"/>
            <w:hideMark/>
          </w:tcPr>
          <w:p w14:paraId="08DBC72A" w14:textId="77777777" w:rsidR="00227FC8" w:rsidRPr="00227FC8" w:rsidRDefault="00227FC8"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i w:val="0"/>
                <w:iCs w:val="0"/>
                <w:sz w:val="2"/>
                <w:szCs w:val="2"/>
              </w:rPr>
            </w:pPr>
          </w:p>
          <w:p w14:paraId="2540DDC6" w14:textId="37C7D8FA" w:rsidR="00AD4FB6" w:rsidRPr="005C76F0" w:rsidRDefault="00AD4FB6"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sz w:val="24"/>
                <w:szCs w:val="22"/>
              </w:rPr>
            </w:pPr>
            <w:r w:rsidRPr="005C76F0">
              <w:rPr>
                <w:rFonts w:asciiTheme="minorBidi" w:hAnsiTheme="minorBidi"/>
                <w:b/>
                <w:bCs/>
                <w:sz w:val="24"/>
                <w:szCs w:val="22"/>
              </w:rPr>
              <w:t>Current evidence</w:t>
            </w:r>
          </w:p>
        </w:tc>
        <w:tc>
          <w:tcPr>
            <w:tcW w:w="0" w:type="auto"/>
            <w:tcBorders>
              <w:bottom w:val="none" w:sz="0" w:space="0" w:color="auto"/>
            </w:tcBorders>
            <w:vAlign w:val="center"/>
            <w:hideMark/>
          </w:tcPr>
          <w:p w14:paraId="732098C0" w14:textId="77777777" w:rsidR="00227FC8" w:rsidRPr="00227FC8" w:rsidRDefault="00227FC8"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i w:val="0"/>
                <w:iCs w:val="0"/>
                <w:sz w:val="2"/>
                <w:szCs w:val="2"/>
              </w:rPr>
            </w:pPr>
          </w:p>
          <w:p w14:paraId="4488C0AF" w14:textId="72744FA6" w:rsidR="00AD4FB6" w:rsidRPr="005C76F0" w:rsidRDefault="00AD4FB6"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sz w:val="24"/>
                <w:szCs w:val="22"/>
              </w:rPr>
            </w:pPr>
            <w:r w:rsidRPr="005C76F0">
              <w:rPr>
                <w:rFonts w:asciiTheme="minorBidi" w:hAnsiTheme="minorBidi"/>
                <w:b/>
                <w:bCs/>
                <w:sz w:val="24"/>
                <w:szCs w:val="22"/>
              </w:rPr>
              <w:t>Marketing implication</w:t>
            </w:r>
          </w:p>
        </w:tc>
      </w:tr>
      <w:tr w:rsidR="00AD4FB6" w:rsidRPr="005C76F0" w14:paraId="2BA8EAF9" w14:textId="77777777" w:rsidTr="00AD4F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482B931B" w14:textId="77777777"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t>Political</w:t>
            </w:r>
          </w:p>
        </w:tc>
        <w:tc>
          <w:tcPr>
            <w:tcW w:w="0" w:type="auto"/>
            <w:vAlign w:val="center"/>
            <w:hideMark/>
          </w:tcPr>
          <w:p w14:paraId="06912C3D" w14:textId="77777777" w:rsidR="00227FC8" w:rsidRPr="00227FC8" w:rsidRDefault="00227FC8" w:rsidP="00AD4FB6">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4AB74754" w14:textId="69A1EB40" w:rsidR="00AD4FB6" w:rsidRPr="005C76F0" w:rsidRDefault="00AD4FB6" w:rsidP="00AD4FB6">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5C76F0">
              <w:rPr>
                <w:rFonts w:asciiTheme="minorBidi" w:hAnsiTheme="minorBidi"/>
              </w:rPr>
              <w:t>Australia’s Safeguard baselines generally decline by 4.9</w:t>
            </w:r>
            <w:r w:rsidR="00872513">
              <w:rPr>
                <w:rFonts w:asciiTheme="minorBidi" w:hAnsiTheme="minorBidi"/>
              </w:rPr>
              <w:t>%</w:t>
            </w:r>
            <w:r w:rsidRPr="005C76F0">
              <w:rPr>
                <w:rFonts w:asciiTheme="minorBidi" w:hAnsiTheme="minorBidi"/>
              </w:rPr>
              <w:t xml:space="preserve"> annually to 2030. Government support is also helping advance </w:t>
            </w:r>
            <w:proofErr w:type="spellStart"/>
            <w:r w:rsidRPr="005C76F0">
              <w:rPr>
                <w:rFonts w:asciiTheme="minorBidi" w:hAnsiTheme="minorBidi"/>
              </w:rPr>
              <w:t>NeoSmelt</w:t>
            </w:r>
            <w:proofErr w:type="spellEnd"/>
            <w:r w:rsidRPr="005C76F0">
              <w:rPr>
                <w:rFonts w:asciiTheme="minorBidi" w:hAnsiTheme="minorBidi"/>
              </w:rPr>
              <w:t xml:space="preserve"> (DCCEEW, 2026; BHP, 2025c).</w:t>
            </w:r>
          </w:p>
        </w:tc>
        <w:tc>
          <w:tcPr>
            <w:tcW w:w="0" w:type="auto"/>
            <w:vAlign w:val="center"/>
            <w:hideMark/>
          </w:tcPr>
          <w:p w14:paraId="5C13A7C1" w14:textId="77777777" w:rsidR="00227FC8" w:rsidRPr="00227FC8" w:rsidRDefault="00227FC8" w:rsidP="00AD4FB6">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74383728" w14:textId="2AA8F9A5" w:rsidR="00AD4FB6" w:rsidRPr="005C76F0" w:rsidRDefault="00194FBB" w:rsidP="00194FBB">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194FBB">
              <w:rPr>
                <w:rFonts w:asciiTheme="minorBidi" w:hAnsiTheme="minorBidi"/>
              </w:rPr>
              <w:t>Policy shapes the economics and credibility of transition investments, while government relations should be integrated with customer-value planning (Kotler et al., 2024; Porter, 1985).</w:t>
            </w:r>
          </w:p>
        </w:tc>
      </w:tr>
      <w:tr w:rsidR="00AD4FB6" w:rsidRPr="005C76F0" w14:paraId="6415B9E5" w14:textId="77777777" w:rsidTr="00AD4FB6">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0A4B2C99" w14:textId="77777777"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lastRenderedPageBreak/>
              <w:t>Economic</w:t>
            </w:r>
          </w:p>
        </w:tc>
        <w:tc>
          <w:tcPr>
            <w:tcW w:w="0" w:type="auto"/>
            <w:vAlign w:val="center"/>
            <w:hideMark/>
          </w:tcPr>
          <w:p w14:paraId="1B2FBF65" w14:textId="77777777" w:rsidR="00872513" w:rsidRPr="00872513" w:rsidRDefault="00872513" w:rsidP="00AD4FB6">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
                <w:szCs w:val="2"/>
              </w:rPr>
            </w:pPr>
          </w:p>
          <w:p w14:paraId="00FAB0C5" w14:textId="30FDC694" w:rsidR="00AD4FB6" w:rsidRPr="005C76F0" w:rsidRDefault="00AD4FB6" w:rsidP="00AD4FB6">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5C76F0">
              <w:rPr>
                <w:rFonts w:asciiTheme="minorBidi" w:hAnsiTheme="minorBidi"/>
              </w:rPr>
              <w:t>FY2025 revenue was US$51.3 billion and copper production reached 2.02 million tonnes. The IEA projects a possible 30</w:t>
            </w:r>
            <w:r w:rsidR="00872513">
              <w:rPr>
                <w:rFonts w:asciiTheme="minorBidi" w:hAnsiTheme="minorBidi"/>
              </w:rPr>
              <w:t>%</w:t>
            </w:r>
            <w:r w:rsidRPr="005C76F0">
              <w:rPr>
                <w:rFonts w:asciiTheme="minorBidi" w:hAnsiTheme="minorBidi"/>
              </w:rPr>
              <w:t xml:space="preserve"> copper supply shortfall by 2035 (BHP, 2025a; IEA, 2025).</w:t>
            </w:r>
          </w:p>
        </w:tc>
        <w:tc>
          <w:tcPr>
            <w:tcW w:w="0" w:type="auto"/>
            <w:vAlign w:val="center"/>
            <w:hideMark/>
          </w:tcPr>
          <w:p w14:paraId="3EF36B77" w14:textId="77777777" w:rsidR="00194FBB" w:rsidRPr="00194FBB" w:rsidRDefault="00194FBB" w:rsidP="00194FBB">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
                <w:szCs w:val="2"/>
              </w:rPr>
            </w:pPr>
          </w:p>
          <w:p w14:paraId="2C5C181C" w14:textId="02A6400A" w:rsidR="00AD4FB6" w:rsidRPr="005C76F0" w:rsidRDefault="00194FBB" w:rsidP="00194FBB">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194FBB">
              <w:rPr>
                <w:rFonts w:asciiTheme="minorBidi" w:hAnsiTheme="minorBidi"/>
              </w:rPr>
              <w:t>Copper growth is attractive, but capital allocation must reflect long lead times, commodity cycles and responsible-production expectations (Busch et al., 2024; Teece, 2007).</w:t>
            </w:r>
          </w:p>
        </w:tc>
      </w:tr>
      <w:tr w:rsidR="00AD4FB6" w:rsidRPr="005C76F0" w14:paraId="546A4367" w14:textId="77777777" w:rsidTr="00AD4F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308975B9" w14:textId="77777777"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t>Social</w:t>
            </w:r>
          </w:p>
        </w:tc>
        <w:tc>
          <w:tcPr>
            <w:tcW w:w="0" w:type="auto"/>
            <w:vAlign w:val="center"/>
            <w:hideMark/>
          </w:tcPr>
          <w:p w14:paraId="1BA681C3" w14:textId="77777777" w:rsidR="00194FBB" w:rsidRPr="00194FBB" w:rsidRDefault="00194FBB" w:rsidP="00194FBB">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24760F2D" w14:textId="49AD6272" w:rsidR="00AD4FB6" w:rsidRPr="005C76F0" w:rsidRDefault="00194FBB" w:rsidP="00194FBB">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194FBB">
              <w:rPr>
                <w:rFonts w:asciiTheme="minorBidi" w:hAnsiTheme="minorBidi"/>
              </w:rPr>
              <w:t>Communities, investors and industrial customers increasingly expect credible environmental evidence and fair local outcomes (Kotler et al., 2024).</w:t>
            </w:r>
          </w:p>
        </w:tc>
        <w:tc>
          <w:tcPr>
            <w:tcW w:w="0" w:type="auto"/>
            <w:vAlign w:val="center"/>
            <w:hideMark/>
          </w:tcPr>
          <w:p w14:paraId="0ED2A54C" w14:textId="77777777" w:rsidR="00872513" w:rsidRPr="00872513" w:rsidRDefault="00872513" w:rsidP="00AD4FB6">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60310A70" w14:textId="5F3D2FE7" w:rsidR="00AD4FB6" w:rsidRPr="005C76F0" w:rsidRDefault="00194FBB" w:rsidP="00194FBB">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194FBB">
              <w:rPr>
                <w:rFonts w:asciiTheme="minorBidi" w:hAnsiTheme="minorBidi"/>
              </w:rPr>
              <w:t xml:space="preserve">Trust depends on site-level transparency, meaningful stakeholder engagement and claims that distinguish targets from achieved outcomes (Delmas and Burbano, 2011; </w:t>
            </w:r>
            <w:proofErr w:type="spellStart"/>
            <w:r w:rsidRPr="00194FBB">
              <w:rPr>
                <w:rFonts w:asciiTheme="minorBidi" w:hAnsiTheme="minorBidi"/>
              </w:rPr>
              <w:t>Zervoudi</w:t>
            </w:r>
            <w:proofErr w:type="spellEnd"/>
            <w:r w:rsidRPr="00194FBB">
              <w:rPr>
                <w:rFonts w:asciiTheme="minorBidi" w:hAnsiTheme="minorBidi"/>
              </w:rPr>
              <w:t>, Moschos and Christopoulos, 2025</w:t>
            </w:r>
            <w:proofErr w:type="gramStart"/>
            <w:r w:rsidRPr="00194FBB">
              <w:rPr>
                <w:rFonts w:asciiTheme="minorBidi" w:hAnsiTheme="minorBidi"/>
              </w:rPr>
              <w:t>).</w:t>
            </w:r>
            <w:r w:rsidR="00AD4FB6" w:rsidRPr="005C76F0">
              <w:rPr>
                <w:rFonts w:asciiTheme="minorBidi" w:hAnsiTheme="minorBidi"/>
              </w:rPr>
              <w:t>.</w:t>
            </w:r>
            <w:proofErr w:type="gramEnd"/>
          </w:p>
        </w:tc>
      </w:tr>
      <w:tr w:rsidR="00AD4FB6" w:rsidRPr="005C76F0" w14:paraId="659BF360" w14:textId="77777777" w:rsidTr="00AD4FB6">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0BA8A2A9" w14:textId="77777777"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t>Technological</w:t>
            </w:r>
          </w:p>
        </w:tc>
        <w:tc>
          <w:tcPr>
            <w:tcW w:w="0" w:type="auto"/>
            <w:vAlign w:val="center"/>
            <w:hideMark/>
          </w:tcPr>
          <w:p w14:paraId="47D98C64" w14:textId="77777777" w:rsidR="00872513" w:rsidRPr="00872513" w:rsidRDefault="00872513" w:rsidP="00AD4FB6">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
                <w:szCs w:val="2"/>
              </w:rPr>
            </w:pPr>
          </w:p>
          <w:p w14:paraId="5F74D182" w14:textId="421C0430" w:rsidR="00AD4FB6" w:rsidRPr="005C76F0" w:rsidRDefault="00AD4FB6" w:rsidP="00AD4FB6">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5C76F0">
              <w:rPr>
                <w:rFonts w:asciiTheme="minorBidi" w:hAnsiTheme="minorBidi"/>
              </w:rPr>
              <w:t xml:space="preserve">China </w:t>
            </w:r>
            <w:proofErr w:type="spellStart"/>
            <w:r w:rsidRPr="005C76F0">
              <w:rPr>
                <w:rFonts w:asciiTheme="minorBidi" w:hAnsiTheme="minorBidi"/>
              </w:rPr>
              <w:t>Baowu’s</w:t>
            </w:r>
            <w:proofErr w:type="spellEnd"/>
            <w:r w:rsidRPr="005C76F0">
              <w:rPr>
                <w:rFonts w:asciiTheme="minorBidi" w:hAnsiTheme="minorBidi"/>
              </w:rPr>
              <w:t xml:space="preserve"> commercial-scale direct-reduction trial and </w:t>
            </w:r>
            <w:proofErr w:type="spellStart"/>
            <w:r w:rsidRPr="005C76F0">
              <w:rPr>
                <w:rFonts w:asciiTheme="minorBidi" w:hAnsiTheme="minorBidi"/>
              </w:rPr>
              <w:t>NeoSmelt</w:t>
            </w:r>
            <w:proofErr w:type="spellEnd"/>
            <w:r w:rsidRPr="005C76F0">
              <w:rPr>
                <w:rFonts w:asciiTheme="minorBidi" w:hAnsiTheme="minorBidi"/>
              </w:rPr>
              <w:t xml:space="preserve"> test pathways that could use Pilbara ores in lower-emissions steelmaking (BHP, 2025b; BHP, 2025c).</w:t>
            </w:r>
          </w:p>
        </w:tc>
        <w:tc>
          <w:tcPr>
            <w:tcW w:w="0" w:type="auto"/>
            <w:vAlign w:val="center"/>
            <w:hideMark/>
          </w:tcPr>
          <w:p w14:paraId="1F965733" w14:textId="77777777" w:rsidR="00AD4FB6" w:rsidRPr="005C76F0" w:rsidRDefault="00AD4FB6" w:rsidP="00AD4FB6">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5C76F0">
              <w:rPr>
                <w:rFonts w:asciiTheme="minorBidi" w:hAnsiTheme="minorBidi"/>
              </w:rPr>
              <w:t>BHP should market its co-development capability rather than claim that one guaranteed technological solution exists.</w:t>
            </w:r>
          </w:p>
        </w:tc>
      </w:tr>
      <w:tr w:rsidR="00AD4FB6" w:rsidRPr="005C76F0" w14:paraId="6D2F4E5B" w14:textId="77777777" w:rsidTr="00AD4F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2AD49E64" w14:textId="77777777"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t>Legal</w:t>
            </w:r>
          </w:p>
        </w:tc>
        <w:tc>
          <w:tcPr>
            <w:tcW w:w="0" w:type="auto"/>
            <w:vAlign w:val="center"/>
            <w:hideMark/>
          </w:tcPr>
          <w:p w14:paraId="0DAC497D" w14:textId="77777777" w:rsidR="00872513" w:rsidRPr="00872513" w:rsidRDefault="00872513" w:rsidP="00AD4FB6">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39CD271D" w14:textId="7FEBA1D4" w:rsidR="00AD4FB6" w:rsidRPr="005C76F0" w:rsidRDefault="00AD4FB6" w:rsidP="00AD4FB6">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5C76F0">
              <w:rPr>
                <w:rFonts w:asciiTheme="minorBidi" w:hAnsiTheme="minorBidi"/>
              </w:rPr>
              <w:t>Australian climate reporting began in 2025 and EU CBAM entered its definitive phase in 2026 (Australian Treasury, 2026; European Commission, 2026).</w:t>
            </w:r>
          </w:p>
        </w:tc>
        <w:tc>
          <w:tcPr>
            <w:tcW w:w="0" w:type="auto"/>
            <w:vAlign w:val="center"/>
            <w:hideMark/>
          </w:tcPr>
          <w:p w14:paraId="076E023E" w14:textId="77777777" w:rsidR="00872513" w:rsidRPr="00872513" w:rsidRDefault="00872513" w:rsidP="00AD4FB6">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0E6253A3" w14:textId="44A90370" w:rsidR="00AD4FB6" w:rsidRPr="005C76F0" w:rsidRDefault="00194FBB" w:rsidP="00194FBB">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194FBB">
              <w:rPr>
                <w:rFonts w:asciiTheme="minorBidi" w:hAnsiTheme="minorBidi"/>
              </w:rPr>
              <w:t xml:space="preserve">Auditable product information and consistent lifecycle boundaries are becoming market-access capabilities (Zhang and </w:t>
            </w:r>
            <w:proofErr w:type="spellStart"/>
            <w:r w:rsidRPr="00194FBB">
              <w:rPr>
                <w:rFonts w:asciiTheme="minorBidi" w:hAnsiTheme="minorBidi"/>
              </w:rPr>
              <w:t>Seuring</w:t>
            </w:r>
            <w:proofErr w:type="spellEnd"/>
            <w:r w:rsidRPr="00194FBB">
              <w:rPr>
                <w:rFonts w:asciiTheme="minorBidi" w:hAnsiTheme="minorBidi"/>
              </w:rPr>
              <w:t>, 2024).</w:t>
            </w:r>
          </w:p>
        </w:tc>
      </w:tr>
      <w:tr w:rsidR="00AD4FB6" w:rsidRPr="005C76F0" w14:paraId="6C9756EE" w14:textId="77777777" w:rsidTr="00AD4FB6">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4ADDF776" w14:textId="77777777"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t>Environmental</w:t>
            </w:r>
          </w:p>
        </w:tc>
        <w:tc>
          <w:tcPr>
            <w:tcW w:w="0" w:type="auto"/>
            <w:vAlign w:val="center"/>
            <w:hideMark/>
          </w:tcPr>
          <w:p w14:paraId="3E8C8136" w14:textId="77777777" w:rsidR="00872513" w:rsidRPr="00872513" w:rsidRDefault="00872513" w:rsidP="00AD4FB6">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
                <w:szCs w:val="2"/>
              </w:rPr>
            </w:pPr>
          </w:p>
          <w:p w14:paraId="406B5431" w14:textId="2258AA5D" w:rsidR="00AD4FB6" w:rsidRPr="005C76F0" w:rsidRDefault="00AD4FB6" w:rsidP="00AD4FB6">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5C76F0">
              <w:rPr>
                <w:rFonts w:asciiTheme="minorBidi" w:hAnsiTheme="minorBidi"/>
              </w:rPr>
              <w:t>Operational emissions were 8.7 MtCO2-e, Scope 3 emissions were 378.2 MtCO2-</w:t>
            </w:r>
            <w:r w:rsidRPr="005C76F0">
              <w:rPr>
                <w:rFonts w:asciiTheme="minorBidi" w:hAnsiTheme="minorBidi"/>
              </w:rPr>
              <w:lastRenderedPageBreak/>
              <w:t>e, freshwater withdrawal was 162,740 megalitres and nearly 7.9 million hectares were managed (BHP, 2025a).</w:t>
            </w:r>
          </w:p>
        </w:tc>
        <w:tc>
          <w:tcPr>
            <w:tcW w:w="0" w:type="auto"/>
            <w:vAlign w:val="center"/>
            <w:hideMark/>
          </w:tcPr>
          <w:p w14:paraId="2167CEB3" w14:textId="77777777" w:rsidR="00872513" w:rsidRPr="00872513" w:rsidRDefault="00872513" w:rsidP="00AD4FB6">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
                <w:szCs w:val="2"/>
              </w:rPr>
            </w:pPr>
          </w:p>
          <w:p w14:paraId="7089ABF9" w14:textId="6B3AA923" w:rsidR="00AD4FB6" w:rsidRPr="005C76F0" w:rsidRDefault="002965BB" w:rsidP="002965BB">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2965BB">
              <w:rPr>
                <w:rFonts w:asciiTheme="minorBidi" w:hAnsiTheme="minorBidi"/>
              </w:rPr>
              <w:t xml:space="preserve">Carbon, water, biodiversity and resilience must be managed together because a narrow </w:t>
            </w:r>
            <w:r w:rsidRPr="002965BB">
              <w:rPr>
                <w:rFonts w:asciiTheme="minorBidi" w:hAnsiTheme="minorBidi"/>
              </w:rPr>
              <w:lastRenderedPageBreak/>
              <w:t>emissions claim can obscure material nature impacts (IPCC, 2023</w:t>
            </w:r>
            <w:r>
              <w:rPr>
                <w:rFonts w:asciiTheme="minorBidi" w:hAnsiTheme="minorBidi"/>
              </w:rPr>
              <w:t>)</w:t>
            </w:r>
            <w:r w:rsidR="00AD4FB6" w:rsidRPr="005C76F0">
              <w:rPr>
                <w:rFonts w:asciiTheme="minorBidi" w:hAnsiTheme="minorBidi"/>
              </w:rPr>
              <w:t>.</w:t>
            </w:r>
          </w:p>
        </w:tc>
      </w:tr>
    </w:tbl>
    <w:p w14:paraId="38674FBB" w14:textId="77777777" w:rsidR="00AD4FB6" w:rsidRPr="00872513" w:rsidRDefault="00AD4FB6" w:rsidP="00AD4FB6">
      <w:pPr>
        <w:spacing w:line="360" w:lineRule="auto"/>
        <w:jc w:val="both"/>
        <w:rPr>
          <w:rFonts w:asciiTheme="minorBidi" w:hAnsiTheme="minorBidi"/>
          <w:i/>
          <w:iCs/>
          <w:sz w:val="2"/>
          <w:szCs w:val="2"/>
        </w:rPr>
      </w:pPr>
    </w:p>
    <w:p w14:paraId="3C73A492" w14:textId="77777777" w:rsidR="00E31B99" w:rsidRPr="00E31B99" w:rsidRDefault="00E31B99" w:rsidP="00E31B99">
      <w:pPr>
        <w:pStyle w:val="Heading2"/>
        <w:numPr>
          <w:ilvl w:val="0"/>
          <w:numId w:val="0"/>
        </w:numPr>
        <w:ind w:left="720"/>
        <w:rPr>
          <w:sz w:val="10"/>
          <w:szCs w:val="10"/>
        </w:rPr>
      </w:pPr>
      <w:bookmarkStart w:id="3" w:name="_Toc233230352"/>
    </w:p>
    <w:p w14:paraId="5B805D97" w14:textId="4477A14B" w:rsidR="00AD4FB6" w:rsidRPr="005C76F0" w:rsidRDefault="00AD4FB6" w:rsidP="00AD4FB6">
      <w:pPr>
        <w:pStyle w:val="Heading2"/>
      </w:pPr>
      <w:r w:rsidRPr="005C76F0">
        <w:t>Natural Environment Actor and Physical Risk:</w:t>
      </w:r>
      <w:bookmarkEnd w:id="3"/>
    </w:p>
    <w:p w14:paraId="7A27221A" w14:textId="77777777" w:rsidR="00EB4F3A" w:rsidRDefault="00AD4FB6" w:rsidP="005B7840">
      <w:pPr>
        <w:spacing w:line="360" w:lineRule="auto"/>
        <w:jc w:val="both"/>
        <w:rPr>
          <w:rFonts w:asciiTheme="minorBidi" w:hAnsiTheme="minorBidi"/>
        </w:rPr>
      </w:pPr>
      <w:r w:rsidRPr="005C76F0">
        <w:rPr>
          <w:rFonts w:asciiTheme="minorBidi" w:hAnsiTheme="minorBidi"/>
        </w:rPr>
        <w:t>The natural environment is BHP’s most consequential external actor because climate, water and biodiversity conditions alter continuity, community acceptance and customer perceptions. BHP withdrew 162,740 megalitres of freshwater in FY2025, 46</w:t>
      </w:r>
      <w:r w:rsidR="005B7840">
        <w:rPr>
          <w:rFonts w:asciiTheme="minorBidi" w:hAnsiTheme="minorBidi"/>
        </w:rPr>
        <w:t>%</w:t>
      </w:r>
      <w:r w:rsidRPr="005C76F0">
        <w:rPr>
          <w:rFonts w:asciiTheme="minorBidi" w:hAnsiTheme="minorBidi"/>
        </w:rPr>
        <w:t xml:space="preserve"> more than FY2024, although the increase largely reflected rainfall and runoff management at BMA, while 31,830 megalitres came from water-stressed areas (BHP, 2025a). </w:t>
      </w:r>
      <w:r w:rsidR="005B7840" w:rsidRPr="005B7840">
        <w:rPr>
          <w:rFonts w:asciiTheme="minorBidi" w:hAnsiTheme="minorBidi"/>
        </w:rPr>
        <w:t xml:space="preserve">In addition, it managed almost 7.9 million hectares, with about 149,700 hectares disturbed and 23,800 rehabilitated (BHP, 2025a). Aggregate improvement can therefore conceal site-level scarcity or ecological damage. </w:t>
      </w:r>
    </w:p>
    <w:p w14:paraId="22AAA96D" w14:textId="06E9B2EE" w:rsidR="00EB4F3A" w:rsidRDefault="00EB4F3A" w:rsidP="00EB4F3A">
      <w:pPr>
        <w:spacing w:line="360" w:lineRule="auto"/>
        <w:jc w:val="center"/>
        <w:rPr>
          <w:rFonts w:asciiTheme="minorBidi" w:hAnsiTheme="minorBidi"/>
        </w:rPr>
      </w:pPr>
      <w:r>
        <w:rPr>
          <w:noProof/>
        </w:rPr>
        <w:drawing>
          <wp:inline distT="0" distB="0" distL="0" distR="0" wp14:anchorId="7809B29E" wp14:editId="6D90057B">
            <wp:extent cx="5674179" cy="3954826"/>
            <wp:effectExtent l="19050" t="19050" r="22225" b="26670"/>
            <wp:docPr id="1584122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122814" name=""/>
                    <pic:cNvPicPr/>
                  </pic:nvPicPr>
                  <pic:blipFill>
                    <a:blip r:embed="rId11"/>
                    <a:stretch>
                      <a:fillRect/>
                    </a:stretch>
                  </pic:blipFill>
                  <pic:spPr>
                    <a:xfrm>
                      <a:off x="0" y="0"/>
                      <a:ext cx="5679738" cy="3958701"/>
                    </a:xfrm>
                    <a:prstGeom prst="rect">
                      <a:avLst/>
                    </a:prstGeom>
                    <a:ln>
                      <a:solidFill>
                        <a:schemeClr val="tx1"/>
                      </a:solidFill>
                    </a:ln>
                  </pic:spPr>
                </pic:pic>
              </a:graphicData>
            </a:graphic>
          </wp:inline>
        </w:drawing>
      </w:r>
      <w:r w:rsidRPr="00872513">
        <w:rPr>
          <w:rFonts w:asciiTheme="minorBidi" w:hAnsiTheme="minorBidi"/>
          <w:b/>
          <w:bCs/>
          <w:i/>
          <w:iCs/>
          <w:sz w:val="22"/>
          <w:szCs w:val="22"/>
        </w:rPr>
        <w:t xml:space="preserve">Figure </w:t>
      </w:r>
      <w:r>
        <w:rPr>
          <w:rFonts w:asciiTheme="minorBidi" w:hAnsiTheme="minorBidi"/>
          <w:b/>
          <w:bCs/>
          <w:i/>
          <w:iCs/>
          <w:sz w:val="22"/>
          <w:szCs w:val="22"/>
        </w:rPr>
        <w:t>3</w:t>
      </w:r>
      <w:r w:rsidRPr="00872513">
        <w:rPr>
          <w:rFonts w:asciiTheme="minorBidi" w:hAnsiTheme="minorBidi"/>
          <w:b/>
          <w:bCs/>
          <w:i/>
          <w:iCs/>
          <w:sz w:val="22"/>
          <w:szCs w:val="22"/>
        </w:rPr>
        <w:t xml:space="preserve">: </w:t>
      </w:r>
      <w:r w:rsidRPr="00EB4F3A">
        <w:rPr>
          <w:rFonts w:asciiTheme="minorBidi" w:hAnsiTheme="minorBidi"/>
          <w:i/>
          <w:iCs/>
          <w:sz w:val="22"/>
          <w:szCs w:val="22"/>
        </w:rPr>
        <w:t>In FY2025, BHP owned, leased or managed an area of just under 7.9 million hectares</w:t>
      </w:r>
      <w:r w:rsidRPr="00872513">
        <w:rPr>
          <w:rFonts w:asciiTheme="minorBidi" w:hAnsiTheme="minorBidi"/>
          <w:i/>
          <w:iCs/>
          <w:sz w:val="22"/>
          <w:szCs w:val="22"/>
        </w:rPr>
        <w:t xml:space="preserve"> (BHP, 2025a)</w:t>
      </w:r>
    </w:p>
    <w:p w14:paraId="669358BF" w14:textId="31C224E0" w:rsidR="00AD4FB6" w:rsidRPr="005C76F0" w:rsidRDefault="005B7840" w:rsidP="00803111">
      <w:pPr>
        <w:spacing w:line="360" w:lineRule="auto"/>
        <w:jc w:val="both"/>
        <w:rPr>
          <w:rFonts w:asciiTheme="minorBidi" w:hAnsiTheme="minorBidi"/>
        </w:rPr>
      </w:pPr>
      <w:r w:rsidRPr="005B7840">
        <w:rPr>
          <w:rFonts w:asciiTheme="minorBidi" w:hAnsiTheme="minorBidi"/>
        </w:rPr>
        <w:lastRenderedPageBreak/>
        <w:t xml:space="preserve">Moreover, heat, floods, cyclones and sea-level rise can disrupt mines, ports and rail systems, while the IPCC (2023) expects hazards to escalate under higher warming pathways. Furthermore, environmental resilience consequently becomes part of supply assurance (IPCC, 2023). </w:t>
      </w:r>
      <w:r w:rsidR="00803111" w:rsidRPr="00803111">
        <w:rPr>
          <w:rFonts w:asciiTheme="minorBidi" w:hAnsiTheme="minorBidi"/>
        </w:rPr>
        <w:t xml:space="preserve">But various claims should include absolute emissions, water context, land disturbance and restoration, and not just a carbon metric (Delmas and Burbano, 2011). Meanwhile, Hart (1995) offers an alternative natural resource-based perspective that pollution prevention and stewardship can create capabilities, but polluter value comes when practices are measurable at the site and aligned with customer </w:t>
      </w:r>
      <w:r w:rsidR="00F83DD7">
        <w:rPr>
          <w:rFonts w:asciiTheme="minorBidi" w:hAnsiTheme="minorBidi"/>
        </w:rPr>
        <w:t>outcomes</w:t>
      </w:r>
      <w:r w:rsidR="00803111" w:rsidRPr="00803111">
        <w:rPr>
          <w:rFonts w:asciiTheme="minorBidi" w:hAnsiTheme="minorBidi"/>
        </w:rPr>
        <w:t>.</w:t>
      </w:r>
    </w:p>
    <w:p w14:paraId="685DD63F" w14:textId="77777777" w:rsidR="00AD4FB6" w:rsidRPr="005C76F0" w:rsidRDefault="00AD4FB6" w:rsidP="00AD4FB6">
      <w:pPr>
        <w:spacing w:line="360" w:lineRule="auto"/>
        <w:jc w:val="both"/>
        <w:rPr>
          <w:rFonts w:asciiTheme="minorBidi" w:hAnsiTheme="minorBidi"/>
          <w:sz w:val="10"/>
          <w:szCs w:val="10"/>
        </w:rPr>
      </w:pPr>
    </w:p>
    <w:p w14:paraId="3DC090FF" w14:textId="10247F51" w:rsidR="00AD4FB6" w:rsidRPr="005C76F0" w:rsidRDefault="00AD4FB6" w:rsidP="00AD4FB6">
      <w:pPr>
        <w:pStyle w:val="Heading2"/>
      </w:pPr>
      <w:bookmarkStart w:id="4" w:name="_Toc233230353"/>
      <w:r w:rsidRPr="005C76F0">
        <w:t>Political-Regulatory Actor and Market Access:</w:t>
      </w:r>
      <w:bookmarkEnd w:id="4"/>
    </w:p>
    <w:p w14:paraId="1F8758E9" w14:textId="18632D61" w:rsidR="00AD4FB6" w:rsidRPr="005C76F0" w:rsidRDefault="007E168F" w:rsidP="007E168F">
      <w:pPr>
        <w:spacing w:line="360" w:lineRule="auto"/>
        <w:jc w:val="both"/>
        <w:rPr>
          <w:rFonts w:asciiTheme="minorBidi" w:hAnsiTheme="minorBidi"/>
        </w:rPr>
      </w:pPr>
      <w:r w:rsidRPr="007E168F">
        <w:rPr>
          <w:rFonts w:asciiTheme="minorBidi" w:hAnsiTheme="minorBidi"/>
        </w:rPr>
        <w:t xml:space="preserve">The political-regulatory environment changes the expectations for the environment into costs, into disclosure requirements and conditions for market-access. The Safeguard Mechanism for Australia currently brings down the covered-facility baselines by 4.9% each year until 2030, keeping net emissions within facility limits (DCCEEW, 2026). Similarly, mandatory climate-related financial reporting started on 1 January 2025 and will roll out gradually, adding more pressure to transition plans, to understand scope exposures and assumptions (Australian Treasury, 2026). The EU’s Carbon Border Adjustment Mechanism (CBAM) has been in a decisive phase since 1 January 2026, impacting on carbon-intensive imports, such as iron and steel (European Commission, 2026). In addition, the primary product being covered is not raw iron ore itself, but BHP is indirectly impacted by them because its steel customers require lower sources of embedded emissions and information that was auditable throughout their supplier chain. The regulation thus increases the demand for product level carbon data and produces compliance friction due to the lack of consistency with methods. In addition, government support for </w:t>
      </w:r>
      <w:proofErr w:type="spellStart"/>
      <w:r w:rsidRPr="007E168F">
        <w:rPr>
          <w:rFonts w:asciiTheme="minorBidi" w:hAnsiTheme="minorBidi"/>
        </w:rPr>
        <w:t>NeoSmelt</w:t>
      </w:r>
      <w:proofErr w:type="spellEnd"/>
      <w:r w:rsidRPr="007E168F">
        <w:rPr>
          <w:rFonts w:asciiTheme="minorBidi" w:hAnsiTheme="minorBidi"/>
        </w:rPr>
        <w:t xml:space="preserve"> demonstrates that policy can help fast-track the demonstration. Thus, BHP must view regulators as market-shaping actors, as changes in regulators' policy affect the purchasing criteria, and as a means of rewarding verified innovation, resulting in higher risks for unsupported claims.</w:t>
      </w:r>
    </w:p>
    <w:p w14:paraId="733CCE51" w14:textId="77777777" w:rsidR="00AD4FB6" w:rsidRPr="005C76F0" w:rsidRDefault="00AD4FB6" w:rsidP="00AD4FB6">
      <w:pPr>
        <w:spacing w:line="360" w:lineRule="auto"/>
        <w:jc w:val="both"/>
        <w:rPr>
          <w:rFonts w:asciiTheme="minorBidi" w:hAnsiTheme="minorBidi"/>
          <w:b/>
          <w:bCs/>
          <w:sz w:val="10"/>
          <w:szCs w:val="10"/>
        </w:rPr>
      </w:pPr>
    </w:p>
    <w:p w14:paraId="266AA70E" w14:textId="68F16269" w:rsidR="00AD4FB6" w:rsidRPr="005C76F0" w:rsidRDefault="00AD4FB6" w:rsidP="00AD4FB6">
      <w:pPr>
        <w:pStyle w:val="Heading2"/>
      </w:pPr>
      <w:bookmarkStart w:id="5" w:name="_Toc233230354"/>
      <w:r w:rsidRPr="005C76F0">
        <w:t>Competitive and Strategic Synthesis:</w:t>
      </w:r>
      <w:bookmarkEnd w:id="5"/>
    </w:p>
    <w:p w14:paraId="6AE06F2A" w14:textId="77777777" w:rsidR="005C7856" w:rsidRDefault="001E46E7" w:rsidP="0078184A">
      <w:pPr>
        <w:spacing w:line="360" w:lineRule="auto"/>
        <w:jc w:val="both"/>
        <w:rPr>
          <w:rFonts w:asciiTheme="minorBidi" w:hAnsiTheme="minorBidi"/>
        </w:rPr>
      </w:pPr>
      <w:r w:rsidRPr="001E46E7">
        <w:rPr>
          <w:rFonts w:asciiTheme="minorBidi" w:hAnsiTheme="minorBidi"/>
        </w:rPr>
        <w:lastRenderedPageBreak/>
        <w:t xml:space="preserve">Porter’s Five Forces indicates that the transition raises rivalry and buyer power rather than automatically improving margins (Porter, 1980). </w:t>
      </w:r>
    </w:p>
    <w:p w14:paraId="3DC17083" w14:textId="072A7109" w:rsidR="005C7856" w:rsidRDefault="005C7856" w:rsidP="005C7856">
      <w:pPr>
        <w:spacing w:line="360" w:lineRule="auto"/>
        <w:jc w:val="center"/>
        <w:rPr>
          <w:rFonts w:asciiTheme="minorBidi" w:hAnsiTheme="minorBidi"/>
        </w:rPr>
      </w:pPr>
      <w:r w:rsidRPr="005C7856">
        <w:rPr>
          <w:rFonts w:asciiTheme="minorBidi" w:hAnsiTheme="minorBidi"/>
          <w:noProof/>
        </w:rPr>
        <w:drawing>
          <wp:inline distT="0" distB="0" distL="0" distR="0" wp14:anchorId="03A54740" wp14:editId="5B6DB8ED">
            <wp:extent cx="5680709" cy="3649133"/>
            <wp:effectExtent l="19050" t="19050" r="15875" b="27940"/>
            <wp:docPr id="1170458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458889" name=""/>
                    <pic:cNvPicPr/>
                  </pic:nvPicPr>
                  <pic:blipFill rotWithShape="1">
                    <a:blip r:embed="rId12"/>
                    <a:srcRect l="1" t="6901" r="879" b="7514"/>
                    <a:stretch>
                      <a:fillRect/>
                    </a:stretch>
                  </pic:blipFill>
                  <pic:spPr bwMode="auto">
                    <a:xfrm>
                      <a:off x="0" y="0"/>
                      <a:ext cx="5681133" cy="364940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Pr="00872513">
        <w:rPr>
          <w:rFonts w:asciiTheme="minorBidi" w:hAnsiTheme="minorBidi"/>
          <w:b/>
          <w:bCs/>
          <w:i/>
          <w:iCs/>
          <w:sz w:val="22"/>
          <w:szCs w:val="22"/>
        </w:rPr>
        <w:t xml:space="preserve">Figure </w:t>
      </w:r>
      <w:r>
        <w:rPr>
          <w:rFonts w:asciiTheme="minorBidi" w:hAnsiTheme="minorBidi"/>
          <w:b/>
          <w:bCs/>
          <w:i/>
          <w:iCs/>
          <w:sz w:val="22"/>
          <w:szCs w:val="22"/>
        </w:rPr>
        <w:t>4</w:t>
      </w:r>
      <w:r w:rsidRPr="00872513">
        <w:rPr>
          <w:rFonts w:asciiTheme="minorBidi" w:hAnsiTheme="minorBidi"/>
          <w:b/>
          <w:bCs/>
          <w:i/>
          <w:iCs/>
          <w:sz w:val="22"/>
          <w:szCs w:val="22"/>
        </w:rPr>
        <w:t xml:space="preserve">: </w:t>
      </w:r>
      <w:r>
        <w:rPr>
          <w:rFonts w:asciiTheme="minorBidi" w:hAnsiTheme="minorBidi"/>
          <w:i/>
          <w:iCs/>
          <w:sz w:val="22"/>
          <w:szCs w:val="22"/>
        </w:rPr>
        <w:t>Porter Five Forces Analysis</w:t>
      </w:r>
      <w:r w:rsidRPr="00872513">
        <w:rPr>
          <w:rFonts w:asciiTheme="minorBidi" w:hAnsiTheme="minorBidi"/>
          <w:i/>
          <w:iCs/>
          <w:sz w:val="22"/>
          <w:szCs w:val="22"/>
        </w:rPr>
        <w:t xml:space="preserve"> (</w:t>
      </w:r>
      <w:r>
        <w:rPr>
          <w:rFonts w:asciiTheme="minorBidi" w:hAnsiTheme="minorBidi"/>
          <w:i/>
          <w:iCs/>
          <w:sz w:val="22"/>
          <w:szCs w:val="22"/>
        </w:rPr>
        <w:t>Porter, 1980</w:t>
      </w:r>
      <w:r w:rsidRPr="00872513">
        <w:rPr>
          <w:rFonts w:asciiTheme="minorBidi" w:hAnsiTheme="minorBidi"/>
          <w:i/>
          <w:iCs/>
          <w:sz w:val="22"/>
          <w:szCs w:val="22"/>
        </w:rPr>
        <w:t>)</w:t>
      </w:r>
    </w:p>
    <w:p w14:paraId="4AC2BAF0" w14:textId="77777777" w:rsidR="005C7856" w:rsidRPr="005C7856" w:rsidRDefault="005C7856" w:rsidP="0078184A">
      <w:pPr>
        <w:spacing w:line="360" w:lineRule="auto"/>
        <w:jc w:val="both"/>
        <w:rPr>
          <w:rFonts w:asciiTheme="minorBidi" w:hAnsiTheme="minorBidi"/>
          <w:sz w:val="2"/>
          <w:szCs w:val="2"/>
        </w:rPr>
      </w:pPr>
    </w:p>
    <w:p w14:paraId="75E1F372" w14:textId="4702E9EA" w:rsidR="00AD4FB6" w:rsidRPr="005C76F0" w:rsidRDefault="00D816C9" w:rsidP="00D816C9">
      <w:pPr>
        <w:spacing w:line="360" w:lineRule="auto"/>
        <w:jc w:val="both"/>
        <w:rPr>
          <w:rFonts w:asciiTheme="minorBidi" w:hAnsiTheme="minorBidi"/>
        </w:rPr>
      </w:pPr>
      <w:r w:rsidRPr="00D816C9">
        <w:rPr>
          <w:rFonts w:asciiTheme="minorBidi" w:hAnsiTheme="minorBidi"/>
        </w:rPr>
        <w:t xml:space="preserve">BHP in particular has a high level of competition as Vale has the capability to supply green briquettes which are up to 10% lower in emissions, while Fortescue is developing the green iron production ramp up (Vale, 2024; Fortescue, 2024). Furthermore, large steelmakers have a lot of buying power as they can mix ores, examine lifecycle information and jointly conduct trials (Porter, 1980). Likewise, supplier power is still somewhat limited when renewable electricity, hydrogen, specialized equipment, and assurance knowledge are limited (Porter, 1980). In addition, the substitution pressure is medium, because of an increasing use of alternate feeds to electric arc furnaces, with material efficiency, that cuts down the normal primary iron demand (Porter, 1980). </w:t>
      </w:r>
      <w:r>
        <w:rPr>
          <w:rFonts w:asciiTheme="minorBidi" w:hAnsiTheme="minorBidi"/>
        </w:rPr>
        <w:t>Finally</w:t>
      </w:r>
      <w:r w:rsidRPr="00D816C9">
        <w:rPr>
          <w:rFonts w:asciiTheme="minorBidi" w:hAnsiTheme="minorBidi"/>
        </w:rPr>
        <w:t>, the barriers to entry in mining are not negligible due to the capital needed, geology, and approvals, yet technology companies have the ability to help create value without owning mines (Porter, 1980).</w:t>
      </w:r>
      <w:r w:rsidR="00AD4FB6" w:rsidRPr="005C76F0">
        <w:rPr>
          <w:rFonts w:asciiTheme="minorBidi" w:hAnsiTheme="minorBidi"/>
        </w:rPr>
        <w:t xml:space="preserve"> </w:t>
      </w:r>
    </w:p>
    <w:p w14:paraId="4DE11934" w14:textId="77777777" w:rsidR="0078184A" w:rsidRPr="0078184A" w:rsidRDefault="0078184A" w:rsidP="00AD4FB6">
      <w:pPr>
        <w:spacing w:line="360" w:lineRule="auto"/>
        <w:jc w:val="center"/>
        <w:rPr>
          <w:rFonts w:asciiTheme="minorBidi" w:hAnsiTheme="minorBidi"/>
          <w:b/>
          <w:bCs/>
          <w:i/>
          <w:iCs/>
          <w:sz w:val="2"/>
          <w:szCs w:val="2"/>
        </w:rPr>
      </w:pPr>
    </w:p>
    <w:p w14:paraId="26A3C981" w14:textId="2BE6BCAE" w:rsidR="00AD4FB6" w:rsidRPr="005C76F0" w:rsidRDefault="00AD4FB6" w:rsidP="00AD4FB6">
      <w:pPr>
        <w:spacing w:line="360" w:lineRule="auto"/>
        <w:jc w:val="center"/>
        <w:rPr>
          <w:rFonts w:asciiTheme="minorBidi" w:hAnsiTheme="minorBidi"/>
          <w:i/>
          <w:iCs/>
        </w:rPr>
      </w:pPr>
      <w:r w:rsidRPr="005C76F0">
        <w:rPr>
          <w:rFonts w:asciiTheme="minorBidi" w:hAnsiTheme="minorBidi"/>
          <w:b/>
          <w:bCs/>
          <w:i/>
          <w:iCs/>
        </w:rPr>
        <w:t xml:space="preserve">Table 2. </w:t>
      </w:r>
      <w:r w:rsidRPr="005C76F0">
        <w:rPr>
          <w:rFonts w:asciiTheme="minorBidi" w:hAnsiTheme="minorBidi"/>
          <w:i/>
          <w:iCs/>
        </w:rPr>
        <w:t>Porter’s Five Forces Analysis</w:t>
      </w:r>
    </w:p>
    <w:tbl>
      <w:tblPr>
        <w:tblStyle w:val="PlainTable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7"/>
        <w:gridCol w:w="3698"/>
        <w:gridCol w:w="3671"/>
      </w:tblGrid>
      <w:tr w:rsidR="00AD4FB6" w:rsidRPr="005C76F0" w14:paraId="60A46420" w14:textId="77777777" w:rsidTr="00AD4FB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2D08DAAC" w14:textId="77777777" w:rsidR="005C7856" w:rsidRPr="005C7856" w:rsidRDefault="005C7856" w:rsidP="00AD4FB6">
            <w:pPr>
              <w:spacing w:after="160" w:line="360" w:lineRule="auto"/>
              <w:jc w:val="left"/>
              <w:rPr>
                <w:rFonts w:asciiTheme="minorBidi" w:hAnsiTheme="minorBidi"/>
                <w:b/>
                <w:bCs/>
                <w:i w:val="0"/>
                <w:iCs w:val="0"/>
                <w:sz w:val="2"/>
                <w:szCs w:val="2"/>
              </w:rPr>
            </w:pPr>
          </w:p>
          <w:p w14:paraId="74763007" w14:textId="3796BE21" w:rsidR="00AD4FB6" w:rsidRPr="005C76F0" w:rsidRDefault="00AD4FB6" w:rsidP="00AD4FB6">
            <w:pPr>
              <w:spacing w:after="160" w:line="360" w:lineRule="auto"/>
              <w:jc w:val="left"/>
              <w:rPr>
                <w:rFonts w:asciiTheme="minorBidi" w:hAnsiTheme="minorBidi"/>
                <w:b/>
                <w:bCs/>
                <w:sz w:val="24"/>
                <w:szCs w:val="22"/>
              </w:rPr>
            </w:pPr>
            <w:r w:rsidRPr="005C76F0">
              <w:rPr>
                <w:rFonts w:asciiTheme="minorBidi" w:hAnsiTheme="minorBidi"/>
                <w:b/>
                <w:bCs/>
                <w:sz w:val="24"/>
                <w:szCs w:val="22"/>
              </w:rPr>
              <w:lastRenderedPageBreak/>
              <w:t>Force</w:t>
            </w:r>
          </w:p>
        </w:tc>
        <w:tc>
          <w:tcPr>
            <w:tcW w:w="0" w:type="auto"/>
            <w:tcBorders>
              <w:bottom w:val="none" w:sz="0" w:space="0" w:color="auto"/>
            </w:tcBorders>
            <w:vAlign w:val="center"/>
            <w:hideMark/>
          </w:tcPr>
          <w:p w14:paraId="3A4B9F6D" w14:textId="77777777" w:rsidR="005C7856" w:rsidRPr="005C7856" w:rsidRDefault="005C7856"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i w:val="0"/>
                <w:iCs w:val="0"/>
                <w:sz w:val="2"/>
                <w:szCs w:val="2"/>
              </w:rPr>
            </w:pPr>
          </w:p>
          <w:p w14:paraId="751D7866" w14:textId="47B9B46D" w:rsidR="00AD4FB6" w:rsidRPr="005C76F0" w:rsidRDefault="00AD4FB6"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sz w:val="24"/>
                <w:szCs w:val="22"/>
              </w:rPr>
            </w:pPr>
            <w:r w:rsidRPr="005C76F0">
              <w:rPr>
                <w:rFonts w:asciiTheme="minorBidi" w:hAnsiTheme="minorBidi"/>
                <w:b/>
                <w:bCs/>
                <w:sz w:val="24"/>
                <w:szCs w:val="22"/>
              </w:rPr>
              <w:lastRenderedPageBreak/>
              <w:t>Assessment and evidence</w:t>
            </w:r>
          </w:p>
        </w:tc>
        <w:tc>
          <w:tcPr>
            <w:tcW w:w="0" w:type="auto"/>
            <w:tcBorders>
              <w:bottom w:val="none" w:sz="0" w:space="0" w:color="auto"/>
            </w:tcBorders>
            <w:vAlign w:val="center"/>
            <w:hideMark/>
          </w:tcPr>
          <w:p w14:paraId="03972E52" w14:textId="77777777" w:rsidR="005C7856" w:rsidRPr="005C7856" w:rsidRDefault="005C7856"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i w:val="0"/>
                <w:iCs w:val="0"/>
                <w:sz w:val="2"/>
                <w:szCs w:val="2"/>
              </w:rPr>
            </w:pPr>
          </w:p>
          <w:p w14:paraId="06A0C4A3" w14:textId="022FECAC" w:rsidR="00AD4FB6" w:rsidRPr="005C76F0" w:rsidRDefault="00AD4FB6"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sz w:val="24"/>
                <w:szCs w:val="22"/>
              </w:rPr>
            </w:pPr>
            <w:r w:rsidRPr="005C76F0">
              <w:rPr>
                <w:rFonts w:asciiTheme="minorBidi" w:hAnsiTheme="minorBidi"/>
                <w:b/>
                <w:bCs/>
                <w:sz w:val="24"/>
                <w:szCs w:val="22"/>
              </w:rPr>
              <w:lastRenderedPageBreak/>
              <w:t>Strategic meaning</w:t>
            </w:r>
          </w:p>
        </w:tc>
      </w:tr>
      <w:tr w:rsidR="00AD4FB6" w:rsidRPr="005C76F0" w14:paraId="009DF85E" w14:textId="77777777" w:rsidTr="00AD4F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1DA20155" w14:textId="77777777"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lastRenderedPageBreak/>
              <w:t>Competitive rivalry</w:t>
            </w:r>
          </w:p>
        </w:tc>
        <w:tc>
          <w:tcPr>
            <w:tcW w:w="0" w:type="auto"/>
            <w:vAlign w:val="center"/>
            <w:hideMark/>
          </w:tcPr>
          <w:p w14:paraId="7043BD98" w14:textId="77777777" w:rsidR="00080963" w:rsidRPr="00080963" w:rsidRDefault="00080963" w:rsidP="0008096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6B19EE52" w14:textId="7576F938" w:rsidR="00AD4FB6" w:rsidRPr="005C76F0" w:rsidRDefault="00080963" w:rsidP="0008096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080963">
              <w:rPr>
                <w:rFonts w:asciiTheme="minorBidi" w:hAnsiTheme="minorBidi"/>
                <w:highlight w:val="red"/>
              </w:rPr>
              <w:t>High.</w:t>
            </w:r>
            <w:r w:rsidRPr="00080963">
              <w:rPr>
                <w:rFonts w:asciiTheme="minorBidi" w:hAnsiTheme="minorBidi"/>
              </w:rPr>
              <w:t xml:space="preserve"> Vale’s green briquette and Fortescue’s green iron programme increase innovation-based rivalry (Vale, 2024; Fortescue, 2024).</w:t>
            </w:r>
          </w:p>
        </w:tc>
        <w:tc>
          <w:tcPr>
            <w:tcW w:w="0" w:type="auto"/>
            <w:vAlign w:val="center"/>
            <w:hideMark/>
          </w:tcPr>
          <w:p w14:paraId="140828D8" w14:textId="77777777" w:rsidR="00080963" w:rsidRPr="00080963" w:rsidRDefault="00080963" w:rsidP="0008096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5CD8B4D3" w14:textId="4C27201F" w:rsidR="00AD4FB6" w:rsidRPr="005C76F0" w:rsidRDefault="00080963" w:rsidP="0008096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080963">
              <w:rPr>
                <w:rFonts w:asciiTheme="minorBidi" w:hAnsiTheme="minorBidi"/>
              </w:rPr>
              <w:t>BHP must differentiate through verified performance, scale and customer-trial knowledge (Porter, 1980; Porter, 1985).</w:t>
            </w:r>
          </w:p>
        </w:tc>
      </w:tr>
      <w:tr w:rsidR="00AD4FB6" w:rsidRPr="005C76F0" w14:paraId="671CC50B" w14:textId="77777777" w:rsidTr="00AD4FB6">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474DEF56" w14:textId="77777777"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t>Buyer power</w:t>
            </w:r>
          </w:p>
        </w:tc>
        <w:tc>
          <w:tcPr>
            <w:tcW w:w="0" w:type="auto"/>
            <w:vAlign w:val="center"/>
            <w:hideMark/>
          </w:tcPr>
          <w:p w14:paraId="71982E64" w14:textId="77777777" w:rsidR="00080963" w:rsidRPr="00080963" w:rsidRDefault="00080963" w:rsidP="0008096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
                <w:szCs w:val="2"/>
              </w:rPr>
            </w:pPr>
          </w:p>
          <w:p w14:paraId="13E39122" w14:textId="71CD71EB" w:rsidR="00AD4FB6" w:rsidRPr="005C76F0" w:rsidRDefault="00080963" w:rsidP="0008096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080963">
              <w:rPr>
                <w:rFonts w:asciiTheme="minorBidi" w:hAnsiTheme="minorBidi"/>
                <w:highlight w:val="red"/>
              </w:rPr>
              <w:t>High.</w:t>
            </w:r>
            <w:r w:rsidRPr="00080963">
              <w:rPr>
                <w:rFonts w:asciiTheme="minorBidi" w:hAnsiTheme="minorBidi"/>
              </w:rPr>
              <w:t xml:space="preserve"> Major steelmakers can blend ores, compare suppliers and demand data or collaborative trials (Porter, 1980).</w:t>
            </w:r>
          </w:p>
        </w:tc>
        <w:tc>
          <w:tcPr>
            <w:tcW w:w="0" w:type="auto"/>
            <w:vAlign w:val="center"/>
            <w:hideMark/>
          </w:tcPr>
          <w:p w14:paraId="0A712E4E" w14:textId="77777777" w:rsidR="00080963" w:rsidRPr="00080963" w:rsidRDefault="00080963" w:rsidP="0008096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
                <w:szCs w:val="2"/>
              </w:rPr>
            </w:pPr>
          </w:p>
          <w:p w14:paraId="1C4390F5" w14:textId="5066950F" w:rsidR="00AD4FB6" w:rsidRPr="005C76F0" w:rsidRDefault="00080963" w:rsidP="0008096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080963">
              <w:rPr>
                <w:rFonts w:asciiTheme="minorBidi" w:hAnsiTheme="minorBidi"/>
              </w:rPr>
              <w:t>Value must be demonstrated through lower transition risk, technical fit and dependable volume (Porter, 1985).</w:t>
            </w:r>
          </w:p>
        </w:tc>
      </w:tr>
      <w:tr w:rsidR="00AD4FB6" w:rsidRPr="005C76F0" w14:paraId="1946A926" w14:textId="77777777" w:rsidTr="00AD4F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55C0201F" w14:textId="77777777"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t>Supplier power</w:t>
            </w:r>
          </w:p>
        </w:tc>
        <w:tc>
          <w:tcPr>
            <w:tcW w:w="0" w:type="auto"/>
            <w:vAlign w:val="center"/>
            <w:hideMark/>
          </w:tcPr>
          <w:p w14:paraId="78485B99" w14:textId="77777777" w:rsidR="00080963" w:rsidRPr="00080963" w:rsidRDefault="00080963" w:rsidP="0008096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469D1908" w14:textId="7638B36D" w:rsidR="00AD4FB6" w:rsidRPr="005C76F0" w:rsidRDefault="00080963" w:rsidP="0008096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080963">
              <w:rPr>
                <w:rFonts w:asciiTheme="minorBidi" w:hAnsiTheme="minorBidi"/>
                <w:highlight w:val="yellow"/>
              </w:rPr>
              <w:t>Moderate.</w:t>
            </w:r>
            <w:r w:rsidRPr="00080963">
              <w:rPr>
                <w:rFonts w:asciiTheme="minorBidi" w:hAnsiTheme="minorBidi"/>
              </w:rPr>
              <w:t xml:space="preserve"> Renewable power, hydrogen, specialist equipment, assurance and digital expertise may be constrained (Porter, 1980).</w:t>
            </w:r>
          </w:p>
        </w:tc>
        <w:tc>
          <w:tcPr>
            <w:tcW w:w="0" w:type="auto"/>
            <w:vAlign w:val="center"/>
            <w:hideMark/>
          </w:tcPr>
          <w:p w14:paraId="13D62498" w14:textId="4FE65113" w:rsidR="00AD4FB6" w:rsidRPr="005C76F0" w:rsidRDefault="00080963" w:rsidP="0008096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080963">
              <w:rPr>
                <w:rFonts w:asciiTheme="minorBidi" w:hAnsiTheme="minorBidi"/>
              </w:rPr>
              <w:t>Partnerships and long-term procurement can reduce bottlenecks (Adner, 2017).</w:t>
            </w:r>
          </w:p>
        </w:tc>
      </w:tr>
      <w:tr w:rsidR="00AD4FB6" w:rsidRPr="005C76F0" w14:paraId="29616546" w14:textId="77777777" w:rsidTr="00AD4FB6">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46D3C6AF" w14:textId="77777777"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t>Threat of substitutes</w:t>
            </w:r>
          </w:p>
        </w:tc>
        <w:tc>
          <w:tcPr>
            <w:tcW w:w="0" w:type="auto"/>
            <w:vAlign w:val="center"/>
            <w:hideMark/>
          </w:tcPr>
          <w:p w14:paraId="0CB80488" w14:textId="77777777" w:rsidR="00080963" w:rsidRPr="00080963" w:rsidRDefault="00080963" w:rsidP="0008096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
                <w:szCs w:val="2"/>
              </w:rPr>
            </w:pPr>
          </w:p>
          <w:p w14:paraId="457A0409" w14:textId="0AEEF84B" w:rsidR="00AD4FB6" w:rsidRPr="005C76F0" w:rsidRDefault="00080963" w:rsidP="0008096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080963">
              <w:rPr>
                <w:rFonts w:asciiTheme="minorBidi" w:hAnsiTheme="minorBidi"/>
                <w:highlight w:val="yellow"/>
              </w:rPr>
              <w:t>Moderate.</w:t>
            </w:r>
            <w:r w:rsidRPr="00080963">
              <w:rPr>
                <w:rFonts w:asciiTheme="minorBidi" w:hAnsiTheme="minorBidi"/>
              </w:rPr>
              <w:t xml:space="preserve"> Scrap-based electric arc furnace production, material efficiency and alternative feedstocks can reduce primary iron demand (Porter, 1980).</w:t>
            </w:r>
          </w:p>
        </w:tc>
        <w:tc>
          <w:tcPr>
            <w:tcW w:w="0" w:type="auto"/>
            <w:vAlign w:val="center"/>
            <w:hideMark/>
          </w:tcPr>
          <w:p w14:paraId="35335AF0" w14:textId="77777777" w:rsidR="00080963" w:rsidRPr="00080963" w:rsidRDefault="00080963" w:rsidP="0008096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
                <w:szCs w:val="2"/>
              </w:rPr>
            </w:pPr>
          </w:p>
          <w:p w14:paraId="74F9ACA6" w14:textId="6C989906" w:rsidR="00AD4FB6" w:rsidRPr="005C76F0" w:rsidRDefault="00080963" w:rsidP="0008096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080963">
              <w:rPr>
                <w:rFonts w:asciiTheme="minorBidi" w:hAnsiTheme="minorBidi"/>
              </w:rPr>
              <w:t>BHP should support ore compatibility with several pathways and grow copper exposure (BHP, 2025a; BHP, 2025b).</w:t>
            </w:r>
          </w:p>
        </w:tc>
      </w:tr>
      <w:tr w:rsidR="00AD4FB6" w:rsidRPr="005C76F0" w14:paraId="1DCB9101" w14:textId="77777777" w:rsidTr="00AD4F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187709C5" w14:textId="77777777"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t>Threat of new entrants</w:t>
            </w:r>
          </w:p>
        </w:tc>
        <w:tc>
          <w:tcPr>
            <w:tcW w:w="0" w:type="auto"/>
            <w:vAlign w:val="center"/>
            <w:hideMark/>
          </w:tcPr>
          <w:p w14:paraId="3063D140" w14:textId="77777777" w:rsidR="00080963" w:rsidRPr="00080963" w:rsidRDefault="00080963" w:rsidP="0008096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29BE8E27" w14:textId="0A927A20" w:rsidR="00AD4FB6" w:rsidRPr="005C76F0" w:rsidRDefault="00080963" w:rsidP="0008096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080963">
              <w:rPr>
                <w:rFonts w:asciiTheme="minorBidi" w:hAnsiTheme="minorBidi"/>
                <w:highlight w:val="green"/>
              </w:rPr>
              <w:t>Low</w:t>
            </w:r>
            <w:r w:rsidRPr="00080963">
              <w:rPr>
                <w:rFonts w:asciiTheme="minorBidi" w:hAnsiTheme="minorBidi"/>
              </w:rPr>
              <w:t xml:space="preserve"> in mining because capital, geology, infrastructure and approvals are substantial, but technology entrants can capture value (Porter, 1980).</w:t>
            </w:r>
          </w:p>
        </w:tc>
        <w:tc>
          <w:tcPr>
            <w:tcW w:w="0" w:type="auto"/>
            <w:vAlign w:val="center"/>
            <w:hideMark/>
          </w:tcPr>
          <w:p w14:paraId="33134630" w14:textId="77777777" w:rsidR="00080963" w:rsidRPr="00080963" w:rsidRDefault="00080963" w:rsidP="0008096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0E6041DE" w14:textId="0B61695A" w:rsidR="00AD4FB6" w:rsidRPr="005C76F0" w:rsidRDefault="00080963" w:rsidP="0008096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080963">
              <w:rPr>
                <w:rFonts w:asciiTheme="minorBidi" w:hAnsiTheme="minorBidi"/>
              </w:rPr>
              <w:t xml:space="preserve">BHP should build ecosystem partnerships and retain control of customer data and product qualification (Adner, 2017; Zhang and </w:t>
            </w:r>
            <w:proofErr w:type="spellStart"/>
            <w:r w:rsidRPr="00080963">
              <w:rPr>
                <w:rFonts w:asciiTheme="minorBidi" w:hAnsiTheme="minorBidi"/>
              </w:rPr>
              <w:t>Seuring</w:t>
            </w:r>
            <w:proofErr w:type="spellEnd"/>
            <w:r w:rsidRPr="00080963">
              <w:rPr>
                <w:rFonts w:asciiTheme="minorBidi" w:hAnsiTheme="minorBidi"/>
              </w:rPr>
              <w:t>, 2024).</w:t>
            </w:r>
          </w:p>
        </w:tc>
      </w:tr>
    </w:tbl>
    <w:p w14:paraId="6EAB5FCC" w14:textId="77777777" w:rsidR="00AD4FB6" w:rsidRPr="00CA5BAE" w:rsidRDefault="00AD4FB6" w:rsidP="00AD4FB6">
      <w:pPr>
        <w:spacing w:line="360" w:lineRule="auto"/>
        <w:jc w:val="both"/>
        <w:rPr>
          <w:rFonts w:asciiTheme="minorBidi" w:hAnsiTheme="minorBidi"/>
          <w:i/>
          <w:iCs/>
          <w:sz w:val="10"/>
          <w:szCs w:val="10"/>
        </w:rPr>
      </w:pPr>
    </w:p>
    <w:p w14:paraId="52EAF76D" w14:textId="3C34B6A3" w:rsidR="00AD4FB6" w:rsidRPr="005C76F0" w:rsidRDefault="009D0E14" w:rsidP="009D0E14">
      <w:pPr>
        <w:spacing w:line="360" w:lineRule="auto"/>
        <w:jc w:val="both"/>
        <w:rPr>
          <w:rFonts w:asciiTheme="minorBidi" w:hAnsiTheme="minorBidi"/>
        </w:rPr>
      </w:pPr>
      <w:r w:rsidRPr="009D0E14">
        <w:rPr>
          <w:rFonts w:asciiTheme="minorBidi" w:hAnsiTheme="minorBidi"/>
        </w:rPr>
        <w:t xml:space="preserve">The SWOT is mixed, however, as BHP has scale and low-cost assets, has a history of customer relationships, and is seeing copper production growth, it is also exposed </w:t>
      </w:r>
      <w:r w:rsidRPr="009D0E14">
        <w:rPr>
          <w:rFonts w:asciiTheme="minorBidi" w:hAnsiTheme="minorBidi"/>
        </w:rPr>
        <w:lastRenderedPageBreak/>
        <w:t>to high Scope 3 exposure and ore quality constraints (BHP, 2025a).</w:t>
      </w:r>
      <w:r w:rsidR="00080963" w:rsidRPr="00080963">
        <w:rPr>
          <w:rFonts w:asciiTheme="minorBidi" w:hAnsiTheme="minorBidi"/>
        </w:rPr>
        <w:t xml:space="preserve"> Furthermore, opportunities lie in verified feedstocks and transition minerals, whereas threats include rival innovation, climate disruption, carbon rules and greenwashing scepticism (IEA, 2025; IPCC, 2023; </w:t>
      </w:r>
      <w:proofErr w:type="spellStart"/>
      <w:r w:rsidR="00080963" w:rsidRPr="00080963">
        <w:rPr>
          <w:rFonts w:asciiTheme="minorBidi" w:hAnsiTheme="minorBidi"/>
        </w:rPr>
        <w:t>Zervoudi</w:t>
      </w:r>
      <w:proofErr w:type="spellEnd"/>
      <w:r w:rsidR="00080963" w:rsidRPr="00080963">
        <w:rPr>
          <w:rFonts w:asciiTheme="minorBidi" w:hAnsiTheme="minorBidi"/>
        </w:rPr>
        <w:t>, Moschos and Christopoulos, 2025).</w:t>
      </w:r>
    </w:p>
    <w:p w14:paraId="2709CB08" w14:textId="77777777" w:rsidR="00AD4FB6" w:rsidRPr="005C76F0" w:rsidRDefault="00AD4FB6" w:rsidP="00AD4FB6">
      <w:pPr>
        <w:spacing w:line="360" w:lineRule="auto"/>
        <w:jc w:val="both"/>
        <w:rPr>
          <w:rFonts w:asciiTheme="minorBidi" w:hAnsiTheme="minorBidi"/>
          <w:b/>
          <w:bCs/>
          <w:sz w:val="2"/>
          <w:szCs w:val="2"/>
        </w:rPr>
      </w:pPr>
    </w:p>
    <w:p w14:paraId="39848303" w14:textId="1B22F47B" w:rsidR="00AD4FB6" w:rsidRPr="005C76F0" w:rsidRDefault="00AD4FB6" w:rsidP="00AD4FB6">
      <w:pPr>
        <w:spacing w:line="360" w:lineRule="auto"/>
        <w:jc w:val="center"/>
        <w:rPr>
          <w:rFonts w:asciiTheme="minorBidi" w:hAnsiTheme="minorBidi"/>
          <w:i/>
          <w:iCs/>
        </w:rPr>
      </w:pPr>
      <w:r w:rsidRPr="005C76F0">
        <w:rPr>
          <w:rFonts w:asciiTheme="minorBidi" w:hAnsiTheme="minorBidi"/>
          <w:b/>
          <w:bCs/>
          <w:i/>
          <w:iCs/>
        </w:rPr>
        <w:t xml:space="preserve">Table 3. </w:t>
      </w:r>
      <w:r w:rsidRPr="005C76F0">
        <w:rPr>
          <w:rFonts w:asciiTheme="minorBidi" w:hAnsiTheme="minorBidi"/>
          <w:i/>
          <w:iCs/>
        </w:rPr>
        <w:t>SWOT analysis of BHP’s transition position</w:t>
      </w:r>
    </w:p>
    <w:tbl>
      <w:tblPr>
        <w:tblStyle w:val="PlainTable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4"/>
        <w:gridCol w:w="7372"/>
      </w:tblGrid>
      <w:tr w:rsidR="00AD4FB6" w:rsidRPr="005C76F0" w14:paraId="622023C6" w14:textId="77777777" w:rsidTr="00AD4FB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67BEAE4A" w14:textId="77777777" w:rsidR="00E70F48" w:rsidRPr="00E70F48" w:rsidRDefault="00E70F48" w:rsidP="00AD4FB6">
            <w:pPr>
              <w:spacing w:after="160" w:line="360" w:lineRule="auto"/>
              <w:jc w:val="left"/>
              <w:rPr>
                <w:rFonts w:asciiTheme="minorBidi" w:hAnsiTheme="minorBidi"/>
                <w:b/>
                <w:bCs/>
                <w:i w:val="0"/>
                <w:iCs w:val="0"/>
                <w:sz w:val="2"/>
                <w:szCs w:val="2"/>
              </w:rPr>
            </w:pPr>
          </w:p>
          <w:p w14:paraId="2BA2EA13" w14:textId="7A7EA64C" w:rsidR="00AD4FB6" w:rsidRPr="005C76F0" w:rsidRDefault="00AD4FB6" w:rsidP="00AD4FB6">
            <w:pPr>
              <w:spacing w:after="160" w:line="360" w:lineRule="auto"/>
              <w:jc w:val="left"/>
              <w:rPr>
                <w:rFonts w:asciiTheme="minorBidi" w:hAnsiTheme="minorBidi"/>
                <w:b/>
                <w:bCs/>
                <w:sz w:val="24"/>
                <w:szCs w:val="22"/>
              </w:rPr>
            </w:pPr>
            <w:r w:rsidRPr="005C76F0">
              <w:rPr>
                <w:rFonts w:asciiTheme="minorBidi" w:hAnsiTheme="minorBidi"/>
                <w:b/>
                <w:bCs/>
                <w:sz w:val="24"/>
                <w:szCs w:val="22"/>
              </w:rPr>
              <w:t>Category</w:t>
            </w:r>
          </w:p>
        </w:tc>
        <w:tc>
          <w:tcPr>
            <w:tcW w:w="0" w:type="auto"/>
            <w:tcBorders>
              <w:bottom w:val="none" w:sz="0" w:space="0" w:color="auto"/>
            </w:tcBorders>
            <w:vAlign w:val="center"/>
            <w:hideMark/>
          </w:tcPr>
          <w:p w14:paraId="0F174854" w14:textId="77777777" w:rsidR="00E70F48" w:rsidRPr="00E70F48" w:rsidRDefault="00E70F48"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i w:val="0"/>
                <w:iCs w:val="0"/>
                <w:sz w:val="2"/>
                <w:szCs w:val="2"/>
              </w:rPr>
            </w:pPr>
          </w:p>
          <w:p w14:paraId="23FAA888" w14:textId="19313051" w:rsidR="00AD4FB6" w:rsidRPr="005C76F0" w:rsidRDefault="00AD4FB6"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rPr>
            </w:pPr>
            <w:r w:rsidRPr="005C76F0">
              <w:rPr>
                <w:rFonts w:asciiTheme="minorBidi" w:hAnsiTheme="minorBidi"/>
                <w:b/>
                <w:bCs/>
                <w:sz w:val="24"/>
                <w:szCs w:val="22"/>
              </w:rPr>
              <w:t>Critical factors</w:t>
            </w:r>
          </w:p>
        </w:tc>
      </w:tr>
      <w:tr w:rsidR="00AD4FB6" w:rsidRPr="005C76F0" w14:paraId="6D112EAB" w14:textId="77777777" w:rsidTr="00AD4F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77069F2A" w14:textId="77777777" w:rsidR="00E70F48" w:rsidRPr="00E70F48" w:rsidRDefault="00E70F48" w:rsidP="00AD4FB6">
            <w:pPr>
              <w:spacing w:after="160" w:line="360" w:lineRule="auto"/>
              <w:jc w:val="left"/>
              <w:rPr>
                <w:rFonts w:asciiTheme="minorBidi" w:hAnsiTheme="minorBidi"/>
                <w:i w:val="0"/>
                <w:iCs w:val="0"/>
                <w:sz w:val="2"/>
                <w:szCs w:val="2"/>
              </w:rPr>
            </w:pPr>
          </w:p>
          <w:p w14:paraId="06094FE1" w14:textId="0B3E7B23"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t>Strengths</w:t>
            </w:r>
          </w:p>
        </w:tc>
        <w:tc>
          <w:tcPr>
            <w:tcW w:w="0" w:type="auto"/>
            <w:vAlign w:val="center"/>
            <w:hideMark/>
          </w:tcPr>
          <w:p w14:paraId="43E9C314" w14:textId="77777777" w:rsidR="00E70F48" w:rsidRPr="00E70F48" w:rsidRDefault="00E70F48" w:rsidP="00E70F4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2E4A2243" w14:textId="706A952D" w:rsidR="00AD4FB6" w:rsidRPr="005C76F0" w:rsidRDefault="00E70F48" w:rsidP="00E70F4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E70F48">
              <w:rPr>
                <w:rFonts w:asciiTheme="minorBidi" w:hAnsiTheme="minorBidi"/>
              </w:rPr>
              <w:t>Large-scale, low-cost operations, integrated logistics, 2.02 million tonnes of copper output, established steelmaker relationships, a strong balance sheet and commercial-scale trial experience (BHP, 2025a; BHP, 2025b).</w:t>
            </w:r>
          </w:p>
        </w:tc>
      </w:tr>
      <w:tr w:rsidR="00AD4FB6" w:rsidRPr="005C76F0" w14:paraId="2D4F6866" w14:textId="77777777" w:rsidTr="00AD4FB6">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462C1E60" w14:textId="77777777" w:rsidR="00E70F48" w:rsidRPr="00E70F48" w:rsidRDefault="00E70F48" w:rsidP="00AD4FB6">
            <w:pPr>
              <w:spacing w:after="160" w:line="360" w:lineRule="auto"/>
              <w:jc w:val="left"/>
              <w:rPr>
                <w:rFonts w:asciiTheme="minorBidi" w:hAnsiTheme="minorBidi"/>
                <w:i w:val="0"/>
                <w:iCs w:val="0"/>
                <w:sz w:val="2"/>
                <w:szCs w:val="2"/>
              </w:rPr>
            </w:pPr>
          </w:p>
          <w:p w14:paraId="47383727" w14:textId="541509F7"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t>Weaknesses</w:t>
            </w:r>
          </w:p>
        </w:tc>
        <w:tc>
          <w:tcPr>
            <w:tcW w:w="0" w:type="auto"/>
            <w:vAlign w:val="center"/>
            <w:hideMark/>
          </w:tcPr>
          <w:p w14:paraId="2D30DD00" w14:textId="77777777" w:rsidR="00E70F48" w:rsidRPr="00E70F48" w:rsidRDefault="00E70F48" w:rsidP="00E70F4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
                <w:szCs w:val="2"/>
              </w:rPr>
            </w:pPr>
          </w:p>
          <w:p w14:paraId="52A8B5B3" w14:textId="79EDA71C" w:rsidR="00AD4FB6" w:rsidRPr="005C76F0" w:rsidRDefault="00E70F48" w:rsidP="00E70F4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E70F48">
              <w:rPr>
                <w:rFonts w:asciiTheme="minorBidi" w:hAnsiTheme="minorBidi"/>
              </w:rPr>
              <w:t>Scope 3 emissions of 378.2 MtCO2-e, exposure to conventional steelmaking, ore-quality constraints for some direct-reduction routes, long investment cycles and reported operational reductions partly influenced by asset suspension (BHP, 2025a; BHP, 2024).</w:t>
            </w:r>
          </w:p>
        </w:tc>
      </w:tr>
      <w:tr w:rsidR="00AD4FB6" w:rsidRPr="005C76F0" w14:paraId="4BC6F222" w14:textId="77777777" w:rsidTr="00AD4F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098851A2" w14:textId="77777777" w:rsidR="00E70F48" w:rsidRPr="00E70F48" w:rsidRDefault="00E70F48" w:rsidP="00AD4FB6">
            <w:pPr>
              <w:spacing w:after="160" w:line="360" w:lineRule="auto"/>
              <w:jc w:val="left"/>
              <w:rPr>
                <w:rFonts w:asciiTheme="minorBidi" w:hAnsiTheme="minorBidi"/>
                <w:i w:val="0"/>
                <w:iCs w:val="0"/>
                <w:sz w:val="2"/>
                <w:szCs w:val="2"/>
              </w:rPr>
            </w:pPr>
          </w:p>
          <w:p w14:paraId="5A64D8C3" w14:textId="259613F5"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t>Opportunities</w:t>
            </w:r>
          </w:p>
        </w:tc>
        <w:tc>
          <w:tcPr>
            <w:tcW w:w="0" w:type="auto"/>
            <w:vAlign w:val="center"/>
            <w:hideMark/>
          </w:tcPr>
          <w:p w14:paraId="47E7EB89" w14:textId="77777777" w:rsidR="00E70F48" w:rsidRPr="00E70F48" w:rsidRDefault="00E70F48" w:rsidP="00E70F4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69DC8428" w14:textId="469B1E58" w:rsidR="00AD4FB6" w:rsidRPr="005C76F0" w:rsidRDefault="00E70F48" w:rsidP="00E70F4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E70F48">
              <w:rPr>
                <w:rFonts w:asciiTheme="minorBidi" w:hAnsiTheme="minorBidi"/>
              </w:rPr>
              <w:t xml:space="preserve">A potential 2035 copper supply gap, lower-carbon feedstocks, digital product records, customer co-innovation, assured lifecycle data and nature-positive operating practices (IEA, 2025; BHP, 2025b; Zhang and </w:t>
            </w:r>
            <w:proofErr w:type="spellStart"/>
            <w:r w:rsidRPr="00E70F48">
              <w:rPr>
                <w:rFonts w:asciiTheme="minorBidi" w:hAnsiTheme="minorBidi"/>
              </w:rPr>
              <w:t>Seuring</w:t>
            </w:r>
            <w:proofErr w:type="spellEnd"/>
            <w:r w:rsidRPr="00E70F48">
              <w:rPr>
                <w:rFonts w:asciiTheme="minorBidi" w:hAnsiTheme="minorBidi"/>
              </w:rPr>
              <w:t>, 2024</w:t>
            </w:r>
            <w:r>
              <w:rPr>
                <w:rFonts w:asciiTheme="minorBidi" w:hAnsiTheme="minorBidi"/>
              </w:rPr>
              <w:t>)</w:t>
            </w:r>
            <w:r w:rsidRPr="00E70F48">
              <w:rPr>
                <w:rFonts w:asciiTheme="minorBidi" w:hAnsiTheme="minorBidi"/>
              </w:rPr>
              <w:t>.</w:t>
            </w:r>
          </w:p>
        </w:tc>
      </w:tr>
      <w:tr w:rsidR="00AD4FB6" w:rsidRPr="005C76F0" w14:paraId="054457A7" w14:textId="77777777" w:rsidTr="00AD4FB6">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0456293C" w14:textId="77777777" w:rsidR="00E70F48" w:rsidRPr="00E70F48" w:rsidRDefault="00E70F48" w:rsidP="00AD4FB6">
            <w:pPr>
              <w:spacing w:after="160" w:line="360" w:lineRule="auto"/>
              <w:jc w:val="left"/>
              <w:rPr>
                <w:rFonts w:asciiTheme="minorBidi" w:hAnsiTheme="minorBidi"/>
                <w:i w:val="0"/>
                <w:iCs w:val="0"/>
                <w:sz w:val="2"/>
                <w:szCs w:val="2"/>
              </w:rPr>
            </w:pPr>
          </w:p>
          <w:p w14:paraId="2A43E901" w14:textId="4DB06D19"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t>Threats</w:t>
            </w:r>
          </w:p>
        </w:tc>
        <w:tc>
          <w:tcPr>
            <w:tcW w:w="0" w:type="auto"/>
            <w:vAlign w:val="center"/>
            <w:hideMark/>
          </w:tcPr>
          <w:p w14:paraId="6FBF15A1" w14:textId="77777777" w:rsidR="00E70F48" w:rsidRPr="00E70F48" w:rsidRDefault="00E70F48" w:rsidP="00E70F4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sz w:val="2"/>
                <w:szCs w:val="2"/>
              </w:rPr>
            </w:pPr>
          </w:p>
          <w:p w14:paraId="0A4E9F5D" w14:textId="2743D13F" w:rsidR="00AD4FB6" w:rsidRPr="005C76F0" w:rsidRDefault="00E70F48" w:rsidP="00E70F4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E70F48">
              <w:rPr>
                <w:rFonts w:asciiTheme="minorBidi" w:hAnsiTheme="minorBidi"/>
              </w:rPr>
              <w:t xml:space="preserve">Physical climate hazards, water and biodiversity conflict, tightening carbon rules, strong buyer power, rival products, technology uncertainty and greenwashing scepticism (IPCC, 2023; DCCEEW, 2026; </w:t>
            </w:r>
            <w:proofErr w:type="spellStart"/>
            <w:r w:rsidRPr="00E70F48">
              <w:rPr>
                <w:rFonts w:asciiTheme="minorBidi" w:hAnsiTheme="minorBidi"/>
              </w:rPr>
              <w:t>Zervoudi</w:t>
            </w:r>
            <w:proofErr w:type="spellEnd"/>
            <w:r w:rsidRPr="00E70F48">
              <w:rPr>
                <w:rFonts w:asciiTheme="minorBidi" w:hAnsiTheme="minorBidi"/>
              </w:rPr>
              <w:t>, Moschos and Christopoulos, 2025).</w:t>
            </w:r>
          </w:p>
        </w:tc>
      </w:tr>
    </w:tbl>
    <w:p w14:paraId="453A5511" w14:textId="77777777" w:rsidR="00AD4FB6" w:rsidRPr="005C76F0" w:rsidRDefault="00AD4FB6" w:rsidP="00AD4FB6">
      <w:pPr>
        <w:spacing w:line="360" w:lineRule="auto"/>
        <w:jc w:val="both"/>
        <w:rPr>
          <w:rFonts w:asciiTheme="minorBidi" w:hAnsiTheme="minorBidi"/>
          <w:i/>
          <w:iCs/>
          <w:sz w:val="20"/>
          <w:szCs w:val="20"/>
        </w:rPr>
      </w:pPr>
    </w:p>
    <w:p w14:paraId="1362A5CE" w14:textId="111E17AB" w:rsidR="00AD4FB6" w:rsidRPr="005C76F0" w:rsidRDefault="00AD4FB6" w:rsidP="00AD4FB6">
      <w:pPr>
        <w:pStyle w:val="Heading1"/>
        <w:numPr>
          <w:ilvl w:val="0"/>
          <w:numId w:val="2"/>
        </w:numPr>
      </w:pPr>
      <w:bookmarkStart w:id="6" w:name="_Toc233230355"/>
      <w:r w:rsidRPr="005C76F0">
        <w:t>Task 2 – Strategic Growth and Competitive Positioning:</w:t>
      </w:r>
      <w:bookmarkEnd w:id="6"/>
    </w:p>
    <w:p w14:paraId="4A7F7B5E" w14:textId="197F0151" w:rsidR="00AD4FB6" w:rsidRDefault="00CA5BAE" w:rsidP="00CA5BAE">
      <w:pPr>
        <w:spacing w:line="360" w:lineRule="auto"/>
        <w:jc w:val="both"/>
        <w:rPr>
          <w:rFonts w:asciiTheme="minorBidi" w:hAnsiTheme="minorBidi"/>
        </w:rPr>
      </w:pPr>
      <w:r w:rsidRPr="00CA5BAE">
        <w:rPr>
          <w:rFonts w:asciiTheme="minorBidi" w:hAnsiTheme="minorBidi"/>
        </w:rPr>
        <w:t xml:space="preserve">The environmental analysis provides a firm basis for a targeted growth policy and not for a policy of unselective diversification. Ansoff (1957) matrix is used to differentiate between market penetration, market development, product development and </w:t>
      </w:r>
      <w:r w:rsidRPr="00CA5BAE">
        <w:rPr>
          <w:rFonts w:asciiTheme="minorBidi" w:hAnsiTheme="minorBidi"/>
        </w:rPr>
        <w:lastRenderedPageBreak/>
        <w:t>diversification through novelty of product and market. BHP's most promising strategy for managing risk is product development for its existing steel and industrial customers, with target market diversification limited to jurisdictions where carbon policy and green procurement are moving forward.</w:t>
      </w:r>
      <w:r w:rsidR="00AD4FB6" w:rsidRPr="005C76F0">
        <w:rPr>
          <w:rFonts w:asciiTheme="minorBidi" w:hAnsiTheme="minorBidi"/>
        </w:rPr>
        <w:t xml:space="preserve"> </w:t>
      </w:r>
      <w:r w:rsidR="00643EF6">
        <w:rPr>
          <w:rFonts w:asciiTheme="minorBidi" w:hAnsiTheme="minorBidi"/>
        </w:rPr>
        <w:t xml:space="preserve">In addition, the </w:t>
      </w:r>
      <w:r w:rsidR="00AD4FB6" w:rsidRPr="005C76F0">
        <w:rPr>
          <w:rFonts w:asciiTheme="minorBidi" w:hAnsiTheme="minorBidi"/>
        </w:rPr>
        <w:t>Porter’s (1985) framework then indicates broad differentiation built on verified environmental performance, technical collaboration and dependable scale. This approach preserves commodity cost discipline while creating additional customer value through reduced transition risk, stronger data and compatibility with emerging production technologies.</w:t>
      </w:r>
    </w:p>
    <w:p w14:paraId="4BDD70B0" w14:textId="77777777" w:rsidR="00AD4FB6" w:rsidRPr="005C76F0" w:rsidRDefault="00AD4FB6" w:rsidP="00AD4FB6">
      <w:pPr>
        <w:spacing w:line="360" w:lineRule="auto"/>
        <w:jc w:val="both"/>
        <w:rPr>
          <w:rFonts w:asciiTheme="minorBidi" w:hAnsiTheme="minorBidi"/>
          <w:sz w:val="10"/>
          <w:szCs w:val="10"/>
        </w:rPr>
      </w:pPr>
    </w:p>
    <w:p w14:paraId="17ACB372" w14:textId="4C4E4A7B" w:rsidR="00AD4FB6" w:rsidRPr="005C76F0" w:rsidRDefault="00AD4FB6" w:rsidP="00AD4FB6">
      <w:pPr>
        <w:pStyle w:val="Heading2"/>
      </w:pPr>
      <w:bookmarkStart w:id="7" w:name="_Toc233230356"/>
      <w:r w:rsidRPr="005C76F0">
        <w:t>Ansoff Product Development Strategy:</w:t>
      </w:r>
      <w:bookmarkEnd w:id="7"/>
    </w:p>
    <w:p w14:paraId="3E85CAA5" w14:textId="6F866195" w:rsidR="000718EB" w:rsidRDefault="000718EB" w:rsidP="000718EB">
      <w:pPr>
        <w:spacing w:line="360" w:lineRule="auto"/>
        <w:jc w:val="both"/>
        <w:rPr>
          <w:rFonts w:asciiTheme="minorBidi" w:hAnsiTheme="minorBidi"/>
        </w:rPr>
      </w:pPr>
      <w:r w:rsidRPr="000718EB">
        <w:rPr>
          <w:rFonts w:asciiTheme="minorBidi" w:hAnsiTheme="minorBidi"/>
        </w:rPr>
        <w:t xml:space="preserve">Product development should centre on a BHP Verified Low-Carbon Materials proposition rather than a vague green label, thereby applying a product-development approach to strengthen the value offered to existing customers (Ansoff, 1957; Verma and Diwan, 2025). Accordingly, the offer would combine qualified Pilbara ore blends for direct reduced iron and electric smelting routes, lower-emissions logistics, assured product-emissions data and technical support for customers changing furnaces (BHP, 2025b; Zhang and </w:t>
      </w:r>
      <w:proofErr w:type="spellStart"/>
      <w:r w:rsidRPr="000718EB">
        <w:rPr>
          <w:rFonts w:asciiTheme="minorBidi" w:hAnsiTheme="minorBidi"/>
        </w:rPr>
        <w:t>Seuring</w:t>
      </w:r>
      <w:proofErr w:type="spellEnd"/>
      <w:r w:rsidRPr="000718EB">
        <w:rPr>
          <w:rFonts w:asciiTheme="minorBidi" w:hAnsiTheme="minorBidi"/>
        </w:rPr>
        <w:t xml:space="preserve">, 2024). </w:t>
      </w:r>
    </w:p>
    <w:p w14:paraId="1C5E2786" w14:textId="6BB8658E" w:rsidR="000718EB" w:rsidRDefault="000718EB" w:rsidP="000718EB">
      <w:pPr>
        <w:spacing w:line="360" w:lineRule="auto"/>
        <w:jc w:val="center"/>
        <w:rPr>
          <w:rFonts w:asciiTheme="minorBidi" w:hAnsiTheme="minorBidi"/>
        </w:rPr>
      </w:pPr>
      <w:r>
        <w:rPr>
          <w:noProof/>
        </w:rPr>
        <w:drawing>
          <wp:inline distT="0" distB="0" distL="0" distR="0" wp14:anchorId="37B8FC4E" wp14:editId="4EB4088A">
            <wp:extent cx="5731510" cy="3605530"/>
            <wp:effectExtent l="19050" t="19050" r="21590" b="13970"/>
            <wp:docPr id="1981308300" name="Picture 4" descr="Ansoff Matrix: What Is It And How To Use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nsoff Matrix: What Is It And How To Use I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5745" cy="3608194"/>
                    </a:xfrm>
                    <a:prstGeom prst="rect">
                      <a:avLst/>
                    </a:prstGeom>
                    <a:noFill/>
                    <a:ln>
                      <a:solidFill>
                        <a:schemeClr val="tx1"/>
                      </a:solidFill>
                    </a:ln>
                  </pic:spPr>
                </pic:pic>
              </a:graphicData>
            </a:graphic>
          </wp:inline>
        </w:drawing>
      </w:r>
      <w:r w:rsidRPr="00872513">
        <w:rPr>
          <w:rFonts w:asciiTheme="minorBidi" w:hAnsiTheme="minorBidi"/>
          <w:b/>
          <w:bCs/>
          <w:i/>
          <w:iCs/>
          <w:sz w:val="22"/>
          <w:szCs w:val="22"/>
        </w:rPr>
        <w:t xml:space="preserve">Figure </w:t>
      </w:r>
      <w:r>
        <w:rPr>
          <w:rFonts w:asciiTheme="minorBidi" w:hAnsiTheme="minorBidi"/>
          <w:b/>
          <w:bCs/>
          <w:i/>
          <w:iCs/>
          <w:sz w:val="22"/>
          <w:szCs w:val="22"/>
        </w:rPr>
        <w:t>5</w:t>
      </w:r>
      <w:r w:rsidRPr="00872513">
        <w:rPr>
          <w:rFonts w:asciiTheme="minorBidi" w:hAnsiTheme="minorBidi"/>
          <w:b/>
          <w:bCs/>
          <w:i/>
          <w:iCs/>
          <w:sz w:val="22"/>
          <w:szCs w:val="22"/>
        </w:rPr>
        <w:t xml:space="preserve">: </w:t>
      </w:r>
      <w:r w:rsidRPr="00643EF6">
        <w:rPr>
          <w:rFonts w:asciiTheme="minorBidi" w:hAnsiTheme="minorBidi"/>
          <w:i/>
          <w:iCs/>
          <w:sz w:val="22"/>
          <w:szCs w:val="22"/>
        </w:rPr>
        <w:t>The Ansoff Growth Matrix Framework</w:t>
      </w:r>
      <w:r w:rsidRPr="00872513">
        <w:rPr>
          <w:rFonts w:asciiTheme="minorBidi" w:hAnsiTheme="minorBidi"/>
          <w:i/>
          <w:iCs/>
          <w:sz w:val="22"/>
          <w:szCs w:val="22"/>
        </w:rPr>
        <w:t xml:space="preserve"> (</w:t>
      </w:r>
      <w:r w:rsidRPr="00643EF6">
        <w:rPr>
          <w:rFonts w:asciiTheme="minorBidi" w:hAnsiTheme="minorBidi"/>
          <w:i/>
          <w:iCs/>
          <w:sz w:val="22"/>
          <w:szCs w:val="22"/>
        </w:rPr>
        <w:t>Ansoff</w:t>
      </w:r>
      <w:r>
        <w:rPr>
          <w:rFonts w:asciiTheme="minorBidi" w:hAnsiTheme="minorBidi"/>
          <w:i/>
          <w:iCs/>
          <w:sz w:val="22"/>
          <w:szCs w:val="22"/>
        </w:rPr>
        <w:t>,</w:t>
      </w:r>
      <w:r w:rsidRPr="00643EF6">
        <w:rPr>
          <w:rFonts w:asciiTheme="minorBidi" w:hAnsiTheme="minorBidi"/>
          <w:i/>
          <w:iCs/>
          <w:sz w:val="22"/>
          <w:szCs w:val="22"/>
        </w:rPr>
        <w:t xml:space="preserve"> 1957</w:t>
      </w:r>
      <w:r w:rsidRPr="00872513">
        <w:rPr>
          <w:rFonts w:asciiTheme="minorBidi" w:hAnsiTheme="minorBidi"/>
          <w:i/>
          <w:iCs/>
          <w:sz w:val="22"/>
          <w:szCs w:val="22"/>
        </w:rPr>
        <w:t>)</w:t>
      </w:r>
    </w:p>
    <w:p w14:paraId="113D5616" w14:textId="115A76BC" w:rsidR="000718EB" w:rsidRPr="005C76F0" w:rsidRDefault="000718EB" w:rsidP="000718EB">
      <w:pPr>
        <w:spacing w:line="360" w:lineRule="auto"/>
        <w:jc w:val="both"/>
        <w:rPr>
          <w:rFonts w:asciiTheme="minorBidi" w:hAnsiTheme="minorBidi"/>
        </w:rPr>
      </w:pPr>
      <w:r w:rsidRPr="000718EB">
        <w:rPr>
          <w:rFonts w:asciiTheme="minorBidi" w:hAnsiTheme="minorBidi"/>
        </w:rPr>
        <w:lastRenderedPageBreak/>
        <w:t xml:space="preserve">Moreover, this approach builds on demonstrated learning because, in 2024, China </w:t>
      </w:r>
      <w:proofErr w:type="spellStart"/>
      <w:r w:rsidRPr="000718EB">
        <w:rPr>
          <w:rFonts w:asciiTheme="minorBidi" w:hAnsiTheme="minorBidi"/>
        </w:rPr>
        <w:t>Baowu</w:t>
      </w:r>
      <w:proofErr w:type="spellEnd"/>
      <w:r w:rsidRPr="000718EB">
        <w:rPr>
          <w:rFonts w:asciiTheme="minorBidi" w:hAnsiTheme="minorBidi"/>
        </w:rPr>
        <w:t xml:space="preserve"> completed a commercial-scale trial using pelletised BHP Pilbara fines in a one-million-tonne-per-year hydrogen-based direct-reduction shaft furnace, with 70</w:t>
      </w:r>
      <w:r>
        <w:rPr>
          <w:rFonts w:asciiTheme="minorBidi" w:hAnsiTheme="minorBidi"/>
        </w:rPr>
        <w:t xml:space="preserve">% </w:t>
      </w:r>
      <w:r w:rsidRPr="000718EB">
        <w:rPr>
          <w:rFonts w:asciiTheme="minorBidi" w:hAnsiTheme="minorBidi"/>
        </w:rPr>
        <w:t>hydrogen in the reducing gas (BHP, 2025b).</w:t>
      </w:r>
      <w:r>
        <w:rPr>
          <w:rFonts w:asciiTheme="minorBidi" w:hAnsiTheme="minorBidi"/>
        </w:rPr>
        <w:t xml:space="preserve"> </w:t>
      </w:r>
      <w:r w:rsidRPr="000718EB">
        <w:rPr>
          <w:rFonts w:asciiTheme="minorBidi" w:hAnsiTheme="minorBidi"/>
        </w:rPr>
        <w:t xml:space="preserve">Similarly, </w:t>
      </w:r>
      <w:proofErr w:type="spellStart"/>
      <w:r w:rsidRPr="000718EB">
        <w:rPr>
          <w:rFonts w:asciiTheme="minorBidi" w:hAnsiTheme="minorBidi"/>
        </w:rPr>
        <w:t>NeoSmelt</w:t>
      </w:r>
      <w:proofErr w:type="spellEnd"/>
      <w:r w:rsidRPr="000718EB">
        <w:rPr>
          <w:rFonts w:asciiTheme="minorBidi" w:hAnsiTheme="minorBidi"/>
        </w:rPr>
        <w:t xml:space="preserve"> is developing a 30,000 to 40,000 tonne annual pilot to test Pilbara ores through direct reduction and electric smelting, with commissioning targeted for the second half of 2028, subject to approvals (BHP, 2025c). Consequently, these initiatives should become a repeatable product-development platform with defined specifications, lifecycle boundaries and qualification stages. Nevertheless, Ansoff risk remains substantial because the technological pathways are unsettled and, therefore, BHP should use staged investment and customer commitments before scaling rather than assume that one route will dominate (Ansoff, 1957; </w:t>
      </w:r>
      <w:proofErr w:type="spellStart"/>
      <w:r w:rsidRPr="000718EB">
        <w:rPr>
          <w:rFonts w:asciiTheme="minorBidi" w:hAnsiTheme="minorBidi"/>
        </w:rPr>
        <w:t>Nurdiawati</w:t>
      </w:r>
      <w:proofErr w:type="spellEnd"/>
      <w:r w:rsidRPr="000718EB">
        <w:rPr>
          <w:rFonts w:asciiTheme="minorBidi" w:hAnsiTheme="minorBidi"/>
        </w:rPr>
        <w:t xml:space="preserve"> et al., 2025).</w:t>
      </w:r>
    </w:p>
    <w:p w14:paraId="44C61C9D" w14:textId="77777777" w:rsidR="00AD4FB6" w:rsidRPr="005C76F0" w:rsidRDefault="00AD4FB6" w:rsidP="00AD4FB6">
      <w:pPr>
        <w:spacing w:line="360" w:lineRule="auto"/>
        <w:jc w:val="both"/>
        <w:rPr>
          <w:rFonts w:asciiTheme="minorBidi" w:hAnsiTheme="minorBidi"/>
          <w:sz w:val="2"/>
          <w:szCs w:val="2"/>
        </w:rPr>
      </w:pPr>
    </w:p>
    <w:p w14:paraId="01705AFC" w14:textId="4E5F3084" w:rsidR="00AD4FB6" w:rsidRPr="005C76F0" w:rsidRDefault="00AD4FB6" w:rsidP="00AD4FB6">
      <w:pPr>
        <w:spacing w:line="360" w:lineRule="auto"/>
        <w:jc w:val="center"/>
        <w:rPr>
          <w:rFonts w:asciiTheme="minorBidi" w:hAnsiTheme="minorBidi"/>
          <w:i/>
          <w:iCs/>
        </w:rPr>
      </w:pPr>
      <w:r w:rsidRPr="005C76F0">
        <w:rPr>
          <w:rFonts w:asciiTheme="minorBidi" w:hAnsiTheme="minorBidi"/>
          <w:b/>
          <w:bCs/>
          <w:i/>
          <w:iCs/>
        </w:rPr>
        <w:t xml:space="preserve">Table 4. </w:t>
      </w:r>
      <w:r w:rsidRPr="005C76F0">
        <w:rPr>
          <w:rFonts w:asciiTheme="minorBidi" w:hAnsiTheme="minorBidi"/>
          <w:i/>
          <w:iCs/>
        </w:rPr>
        <w:t>Ansoff Matrix options for BHP</w:t>
      </w:r>
    </w:p>
    <w:tbl>
      <w:tblPr>
        <w:tblStyle w:val="PlainTable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3167"/>
        <w:gridCol w:w="4059"/>
      </w:tblGrid>
      <w:tr w:rsidR="00AD4FB6" w:rsidRPr="005C76F0" w14:paraId="336E091F" w14:textId="77777777" w:rsidTr="000C27E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7F02926C" w14:textId="77777777" w:rsidR="000718EB" w:rsidRPr="000718EB" w:rsidRDefault="000718EB" w:rsidP="00AD4FB6">
            <w:pPr>
              <w:spacing w:after="160" w:line="360" w:lineRule="auto"/>
              <w:jc w:val="left"/>
              <w:rPr>
                <w:rFonts w:asciiTheme="minorBidi" w:hAnsiTheme="minorBidi"/>
                <w:b/>
                <w:bCs/>
                <w:i w:val="0"/>
                <w:iCs w:val="0"/>
                <w:sz w:val="2"/>
                <w:szCs w:val="2"/>
              </w:rPr>
            </w:pPr>
          </w:p>
          <w:p w14:paraId="13AA85E6" w14:textId="5689C976" w:rsidR="00AD4FB6" w:rsidRPr="005C76F0" w:rsidRDefault="00AD4FB6" w:rsidP="00AD4FB6">
            <w:pPr>
              <w:spacing w:after="160" w:line="360" w:lineRule="auto"/>
              <w:jc w:val="left"/>
              <w:rPr>
                <w:rFonts w:asciiTheme="minorBidi" w:hAnsiTheme="minorBidi"/>
                <w:b/>
                <w:bCs/>
                <w:sz w:val="24"/>
                <w:szCs w:val="22"/>
              </w:rPr>
            </w:pPr>
            <w:r w:rsidRPr="005C76F0">
              <w:rPr>
                <w:rFonts w:asciiTheme="minorBidi" w:hAnsiTheme="minorBidi"/>
                <w:b/>
                <w:bCs/>
                <w:sz w:val="24"/>
                <w:szCs w:val="22"/>
              </w:rPr>
              <w:t>Growth option</w:t>
            </w:r>
          </w:p>
        </w:tc>
        <w:tc>
          <w:tcPr>
            <w:tcW w:w="3167" w:type="dxa"/>
            <w:tcBorders>
              <w:bottom w:val="none" w:sz="0" w:space="0" w:color="auto"/>
            </w:tcBorders>
            <w:vAlign w:val="center"/>
            <w:hideMark/>
          </w:tcPr>
          <w:p w14:paraId="57D3802C" w14:textId="77777777" w:rsidR="000718EB" w:rsidRPr="000718EB" w:rsidRDefault="000718EB"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i w:val="0"/>
                <w:iCs w:val="0"/>
                <w:sz w:val="2"/>
                <w:szCs w:val="2"/>
              </w:rPr>
            </w:pPr>
          </w:p>
          <w:p w14:paraId="0FDF91FD" w14:textId="20B84248" w:rsidR="00AD4FB6" w:rsidRPr="005C76F0" w:rsidRDefault="00AD4FB6"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sz w:val="24"/>
                <w:szCs w:val="22"/>
              </w:rPr>
            </w:pPr>
            <w:r w:rsidRPr="005C76F0">
              <w:rPr>
                <w:rFonts w:asciiTheme="minorBidi" w:hAnsiTheme="minorBidi"/>
                <w:b/>
                <w:bCs/>
                <w:sz w:val="24"/>
                <w:szCs w:val="22"/>
              </w:rPr>
              <w:t>Application</w:t>
            </w:r>
          </w:p>
        </w:tc>
        <w:tc>
          <w:tcPr>
            <w:tcW w:w="4059" w:type="dxa"/>
            <w:tcBorders>
              <w:bottom w:val="none" w:sz="0" w:space="0" w:color="auto"/>
            </w:tcBorders>
            <w:vAlign w:val="center"/>
            <w:hideMark/>
          </w:tcPr>
          <w:p w14:paraId="71693C9A" w14:textId="77777777" w:rsidR="000718EB" w:rsidRPr="000718EB" w:rsidRDefault="000718EB"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i w:val="0"/>
                <w:iCs w:val="0"/>
                <w:sz w:val="2"/>
                <w:szCs w:val="2"/>
              </w:rPr>
            </w:pPr>
          </w:p>
          <w:p w14:paraId="0EF04AB0" w14:textId="67E904C7" w:rsidR="00AD4FB6" w:rsidRPr="005C76F0" w:rsidRDefault="00AD4FB6"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sz w:val="24"/>
                <w:szCs w:val="22"/>
              </w:rPr>
            </w:pPr>
            <w:r w:rsidRPr="005C76F0">
              <w:rPr>
                <w:rFonts w:asciiTheme="minorBidi" w:hAnsiTheme="minorBidi"/>
                <w:b/>
                <w:bCs/>
                <w:sz w:val="24"/>
                <w:szCs w:val="22"/>
              </w:rPr>
              <w:t>Evaluation</w:t>
            </w:r>
          </w:p>
        </w:tc>
      </w:tr>
      <w:tr w:rsidR="00AD4FB6" w:rsidRPr="005C76F0" w14:paraId="7C549248" w14:textId="77777777" w:rsidTr="000C27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1F60B32B" w14:textId="77777777"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t>Market penetration</w:t>
            </w:r>
          </w:p>
        </w:tc>
        <w:tc>
          <w:tcPr>
            <w:tcW w:w="3167" w:type="dxa"/>
            <w:vAlign w:val="center"/>
            <w:hideMark/>
          </w:tcPr>
          <w:p w14:paraId="220C6B66" w14:textId="77777777" w:rsidR="000C27E0" w:rsidRPr="000C27E0" w:rsidRDefault="000C27E0" w:rsidP="000C27E0">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5BC64858" w14:textId="76868796" w:rsidR="00AD4FB6" w:rsidRPr="005C76F0" w:rsidRDefault="00296317" w:rsidP="000C27E0">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296317">
              <w:rPr>
                <w:rFonts w:asciiTheme="minorBidi" w:hAnsiTheme="minorBidi"/>
              </w:rPr>
              <w:t>Increase sales of existing iron ore and copper to established customers (BHP, 2025a).</w:t>
            </w:r>
          </w:p>
        </w:tc>
        <w:tc>
          <w:tcPr>
            <w:tcW w:w="4059" w:type="dxa"/>
            <w:vAlign w:val="center"/>
            <w:hideMark/>
          </w:tcPr>
          <w:p w14:paraId="4578DCC9" w14:textId="77777777" w:rsidR="000C27E0" w:rsidRPr="000C27E0" w:rsidRDefault="000C27E0" w:rsidP="000C27E0">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60D23BFF" w14:textId="08F1F60C" w:rsidR="00AD4FB6" w:rsidRPr="005C76F0" w:rsidRDefault="00296317" w:rsidP="000C27E0">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296317">
              <w:rPr>
                <w:rFonts w:asciiTheme="minorBidi" w:hAnsiTheme="minorBidi"/>
              </w:rPr>
              <w:t>Lower strategic novelty, but limited differentiation and possible conflict with emissions constraints (Ansoff, 1957; BHP, 2025a).</w:t>
            </w:r>
          </w:p>
        </w:tc>
      </w:tr>
      <w:tr w:rsidR="00AD4FB6" w:rsidRPr="005C76F0" w14:paraId="2AD40ACF" w14:textId="77777777" w:rsidTr="000C27E0">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537CBC88" w14:textId="77777777"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t>Market development</w:t>
            </w:r>
          </w:p>
        </w:tc>
        <w:tc>
          <w:tcPr>
            <w:tcW w:w="3167" w:type="dxa"/>
            <w:vAlign w:val="center"/>
            <w:hideMark/>
          </w:tcPr>
          <w:p w14:paraId="57A0C002" w14:textId="77777777" w:rsidR="000C27E0" w:rsidRPr="000C27E0" w:rsidRDefault="000C27E0" w:rsidP="000C27E0">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
                <w:szCs w:val="2"/>
              </w:rPr>
            </w:pPr>
          </w:p>
          <w:p w14:paraId="7359884B" w14:textId="5180DCBB" w:rsidR="00AD4FB6" w:rsidRPr="005C76F0" w:rsidRDefault="00296317" w:rsidP="000C27E0">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296317">
              <w:rPr>
                <w:rFonts w:asciiTheme="minorBidi" w:hAnsiTheme="minorBidi"/>
              </w:rPr>
              <w:t>Target carbon-regulated steel markets and electrification supply chains with existing products and stronger data (European Commission, 2026; IEA, 2025).</w:t>
            </w:r>
          </w:p>
        </w:tc>
        <w:tc>
          <w:tcPr>
            <w:tcW w:w="4059" w:type="dxa"/>
            <w:vAlign w:val="center"/>
            <w:hideMark/>
          </w:tcPr>
          <w:p w14:paraId="4CCE8BBF" w14:textId="7FDB052B" w:rsidR="00AD4FB6" w:rsidRPr="005C76F0" w:rsidRDefault="00296317" w:rsidP="000C27E0">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296317">
              <w:rPr>
                <w:rFonts w:asciiTheme="minorBidi" w:hAnsiTheme="minorBidi"/>
              </w:rPr>
              <w:t xml:space="preserve">A useful supporting route where customers value traceability, but market access alone does not resolve product compatibility (Zhang and </w:t>
            </w:r>
            <w:proofErr w:type="spellStart"/>
            <w:r w:rsidRPr="00296317">
              <w:rPr>
                <w:rFonts w:asciiTheme="minorBidi" w:hAnsiTheme="minorBidi"/>
              </w:rPr>
              <w:t>Seuring</w:t>
            </w:r>
            <w:proofErr w:type="spellEnd"/>
            <w:r w:rsidRPr="00296317">
              <w:rPr>
                <w:rFonts w:asciiTheme="minorBidi" w:hAnsiTheme="minorBidi"/>
              </w:rPr>
              <w:t>, 2024; BHP, 2025b).</w:t>
            </w:r>
          </w:p>
        </w:tc>
      </w:tr>
      <w:tr w:rsidR="00AD4FB6" w:rsidRPr="005C76F0" w14:paraId="6051EF8F" w14:textId="77777777" w:rsidTr="000C27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23AF7AAC" w14:textId="77777777"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t>Product development</w:t>
            </w:r>
          </w:p>
        </w:tc>
        <w:tc>
          <w:tcPr>
            <w:tcW w:w="3167" w:type="dxa"/>
            <w:vAlign w:val="center"/>
            <w:hideMark/>
          </w:tcPr>
          <w:p w14:paraId="1F10C881" w14:textId="77777777" w:rsidR="000C27E0" w:rsidRPr="000C27E0" w:rsidRDefault="000C27E0" w:rsidP="000C27E0">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1E01D94D" w14:textId="4CF2F0E8" w:rsidR="00AD4FB6" w:rsidRPr="005C76F0" w:rsidRDefault="00296317" w:rsidP="000C27E0">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296317">
              <w:rPr>
                <w:rFonts w:asciiTheme="minorBidi" w:hAnsiTheme="minorBidi"/>
              </w:rPr>
              <w:t xml:space="preserve">Develop qualified lower-carbon ore blends, assured product-carbon records, </w:t>
            </w:r>
            <w:r w:rsidRPr="00296317">
              <w:rPr>
                <w:rFonts w:asciiTheme="minorBidi" w:hAnsiTheme="minorBidi"/>
              </w:rPr>
              <w:lastRenderedPageBreak/>
              <w:t>technical services and lower-emissions logistics for existing customers (BHP, 2025b; BHP, 2025c).</w:t>
            </w:r>
          </w:p>
        </w:tc>
        <w:tc>
          <w:tcPr>
            <w:tcW w:w="4059" w:type="dxa"/>
            <w:vAlign w:val="center"/>
            <w:hideMark/>
          </w:tcPr>
          <w:p w14:paraId="37B3406A" w14:textId="77777777" w:rsidR="000C27E0" w:rsidRPr="000C27E0" w:rsidRDefault="000C27E0" w:rsidP="000C27E0">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47FA1705" w14:textId="61E8B6A2" w:rsidR="00AD4FB6" w:rsidRPr="005C76F0" w:rsidRDefault="00296317" w:rsidP="000C27E0">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296317">
              <w:rPr>
                <w:rFonts w:asciiTheme="minorBidi" w:hAnsiTheme="minorBidi"/>
              </w:rPr>
              <w:t xml:space="preserve">Recommended as the primary route because it converts trial learning and relationships into customer </w:t>
            </w:r>
            <w:r w:rsidRPr="00296317">
              <w:rPr>
                <w:rFonts w:asciiTheme="minorBidi" w:hAnsiTheme="minorBidi"/>
              </w:rPr>
              <w:lastRenderedPageBreak/>
              <w:t xml:space="preserve">value while controlling diversification risk (BHP, 2025b; BHP, 2025c; </w:t>
            </w:r>
            <w:proofErr w:type="spellStart"/>
            <w:r w:rsidRPr="00296317">
              <w:rPr>
                <w:rFonts w:asciiTheme="minorBidi" w:hAnsiTheme="minorBidi"/>
              </w:rPr>
              <w:t>Nurdiawati</w:t>
            </w:r>
            <w:proofErr w:type="spellEnd"/>
            <w:r w:rsidRPr="00296317">
              <w:rPr>
                <w:rFonts w:asciiTheme="minorBidi" w:hAnsiTheme="minorBidi"/>
              </w:rPr>
              <w:t xml:space="preserve"> et al., 2025).</w:t>
            </w:r>
          </w:p>
        </w:tc>
      </w:tr>
      <w:tr w:rsidR="00AD4FB6" w:rsidRPr="005C76F0" w14:paraId="22F36EC4" w14:textId="77777777" w:rsidTr="000C27E0">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42602B7F" w14:textId="77777777"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lastRenderedPageBreak/>
              <w:t>Diversification</w:t>
            </w:r>
          </w:p>
        </w:tc>
        <w:tc>
          <w:tcPr>
            <w:tcW w:w="3167" w:type="dxa"/>
            <w:vAlign w:val="center"/>
            <w:hideMark/>
          </w:tcPr>
          <w:p w14:paraId="7E718C36" w14:textId="39A350D7" w:rsidR="00AD4FB6" w:rsidRPr="005C76F0" w:rsidRDefault="00296317" w:rsidP="000C27E0">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296317">
              <w:rPr>
                <w:rFonts w:asciiTheme="minorBidi" w:hAnsiTheme="minorBidi"/>
              </w:rPr>
              <w:t>Move substantially downstream into green iron or steel production (Ansoff, 1957).</w:t>
            </w:r>
          </w:p>
        </w:tc>
        <w:tc>
          <w:tcPr>
            <w:tcW w:w="4059" w:type="dxa"/>
            <w:vAlign w:val="center"/>
            <w:hideMark/>
          </w:tcPr>
          <w:p w14:paraId="0A3BF656" w14:textId="77777777" w:rsidR="000C27E0" w:rsidRPr="000C27E0" w:rsidRDefault="000C27E0" w:rsidP="000C27E0">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
                <w:szCs w:val="2"/>
              </w:rPr>
            </w:pPr>
          </w:p>
          <w:p w14:paraId="651CF517" w14:textId="72BAFAFF" w:rsidR="00AD4FB6" w:rsidRPr="005C76F0" w:rsidRDefault="00296317" w:rsidP="000C27E0">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296317">
              <w:rPr>
                <w:rFonts w:asciiTheme="minorBidi" w:hAnsiTheme="minorBidi"/>
              </w:rPr>
              <w:t>Potentially transformative, but capital intensive, outside BHP’s strongest capabilities and exposed to technological and execution uncertainty (</w:t>
            </w:r>
            <w:proofErr w:type="spellStart"/>
            <w:r w:rsidRPr="00296317">
              <w:rPr>
                <w:rFonts w:asciiTheme="minorBidi" w:hAnsiTheme="minorBidi"/>
              </w:rPr>
              <w:t>Nurdiawati</w:t>
            </w:r>
            <w:proofErr w:type="spellEnd"/>
            <w:r w:rsidRPr="00296317">
              <w:rPr>
                <w:rFonts w:asciiTheme="minorBidi" w:hAnsiTheme="minorBidi"/>
              </w:rPr>
              <w:t xml:space="preserve"> et al., 2025).</w:t>
            </w:r>
          </w:p>
        </w:tc>
      </w:tr>
    </w:tbl>
    <w:p w14:paraId="1D456500" w14:textId="77777777" w:rsidR="00AD4FB6" w:rsidRPr="005C76F0" w:rsidRDefault="00AD4FB6" w:rsidP="00AD4FB6">
      <w:pPr>
        <w:spacing w:line="360" w:lineRule="auto"/>
        <w:jc w:val="both"/>
        <w:rPr>
          <w:rFonts w:asciiTheme="minorBidi" w:hAnsiTheme="minorBidi"/>
          <w:i/>
          <w:iCs/>
          <w:sz w:val="10"/>
          <w:szCs w:val="10"/>
        </w:rPr>
      </w:pPr>
    </w:p>
    <w:p w14:paraId="74616225" w14:textId="0770D63D" w:rsidR="00AD4FB6" w:rsidRPr="005C76F0" w:rsidRDefault="00AD4FB6" w:rsidP="00AD4FB6">
      <w:pPr>
        <w:pStyle w:val="Heading2"/>
      </w:pPr>
      <w:bookmarkStart w:id="8" w:name="_Toc233230357"/>
      <w:r w:rsidRPr="005C76F0">
        <w:t>Selective Market Development:</w:t>
      </w:r>
      <w:bookmarkEnd w:id="8"/>
    </w:p>
    <w:p w14:paraId="56FF287D" w14:textId="72DC1AD4" w:rsidR="00AD4FB6" w:rsidRDefault="008C2C61" w:rsidP="00FD4D94">
      <w:pPr>
        <w:spacing w:line="360" w:lineRule="auto"/>
        <w:jc w:val="both"/>
        <w:rPr>
          <w:rFonts w:asciiTheme="minorBidi" w:hAnsiTheme="minorBidi"/>
        </w:rPr>
      </w:pPr>
      <w:r>
        <w:rPr>
          <w:rFonts w:asciiTheme="minorBidi" w:hAnsiTheme="minorBidi"/>
        </w:rPr>
        <w:t>The s</w:t>
      </w:r>
      <w:r w:rsidR="00AD4FB6" w:rsidRPr="005C76F0">
        <w:rPr>
          <w:rFonts w:asciiTheme="minorBidi" w:hAnsiTheme="minorBidi"/>
        </w:rPr>
        <w:t xml:space="preserve">elective </w:t>
      </w:r>
      <w:r w:rsidRPr="008C2C61">
        <w:rPr>
          <w:rFonts w:asciiTheme="minorBidi" w:hAnsiTheme="minorBidi"/>
        </w:rPr>
        <w:t xml:space="preserve">market development should target steel customers and regions where regulation, renewable energy and green procurement create value for transition attributes (European Commission, 2026). </w:t>
      </w:r>
      <w:r w:rsidR="00FD4D94" w:rsidRPr="00FD4D94">
        <w:rPr>
          <w:rFonts w:asciiTheme="minorBidi" w:hAnsiTheme="minorBidi"/>
        </w:rPr>
        <w:t>Hence, BHP should target steel plants in the EU, Japan, South Korea and China that experiment with direct reduction, electric smelting, carbon capture and hydrogen technologies, with a few exceptions as ore and infrastructure demands vary (BHP, 2025b). For this reason, BHP should categorize customers on a pathway basis, by carbon-cost enablement etc., and then bundle different solutions, and not the one standard solution. Furthermore, this is also true in the case of copper, like in other applications, electrification brings growth without, however, being criticized. However, due to lower quality, higher costs, and fewer discoveries, the IEA (2025) expects that copper mine supply may become about 30% below the level needed in 2035. This means that BHP's copper production aligns with projects that aim to establish a pathway into the grid, renewable and digital infrastructure supply chains, provided that these secure impacts with respect to water, nature and community performance (BHP, 2025a). Finally, the emphasis should be on collaboration as it minimizes uncertainty and enhances demand visibility.</w:t>
      </w:r>
    </w:p>
    <w:p w14:paraId="5B33E381" w14:textId="77777777" w:rsidR="008C2C61" w:rsidRPr="008C2C61" w:rsidRDefault="008C2C61" w:rsidP="008C2C61">
      <w:pPr>
        <w:spacing w:line="360" w:lineRule="auto"/>
        <w:jc w:val="both"/>
        <w:rPr>
          <w:rFonts w:asciiTheme="minorBidi" w:hAnsiTheme="minorBidi"/>
          <w:sz w:val="10"/>
          <w:szCs w:val="10"/>
        </w:rPr>
      </w:pPr>
    </w:p>
    <w:p w14:paraId="15C137C7" w14:textId="362513DF" w:rsidR="00AD4FB6" w:rsidRPr="005C76F0" w:rsidRDefault="00AD4FB6" w:rsidP="00AD4FB6">
      <w:pPr>
        <w:pStyle w:val="Heading2"/>
      </w:pPr>
      <w:bookmarkStart w:id="9" w:name="_Toc233230358"/>
      <w:r w:rsidRPr="005C76F0">
        <w:t>Porter’s Broad Differentiation Strategy:</w:t>
      </w:r>
      <w:bookmarkEnd w:id="9"/>
    </w:p>
    <w:p w14:paraId="30858424" w14:textId="75FCEEA7" w:rsidR="00AD4FB6" w:rsidRPr="005C76F0" w:rsidRDefault="003A5478" w:rsidP="003A5478">
      <w:pPr>
        <w:spacing w:line="360" w:lineRule="auto"/>
        <w:jc w:val="both"/>
        <w:rPr>
          <w:rFonts w:asciiTheme="minorBidi" w:hAnsiTheme="minorBidi"/>
        </w:rPr>
      </w:pPr>
      <w:r w:rsidRPr="003A5478">
        <w:rPr>
          <w:rFonts w:asciiTheme="minorBidi" w:hAnsiTheme="minorBidi"/>
        </w:rPr>
        <w:lastRenderedPageBreak/>
        <w:t>For BHP's lower carbon offering, broad differentiation has more defensibility than cost leadership, as per Porter's Generic Strategies (Porter 1985). However, buyers remain price sensitive, so BHP cannot rely on a green premium. Rather, differentiation should reduce the costs for customers to move to different types of products by providing volumes, ore-blending, verified emissions data, regulatory readiness and regulatory learning (Verma and Diwan, 2025). Moreover, Barney (1991) argues sustained advantage depends on valuable, rare and difficult-to-imitate resources, while Khanra et al. (2022) view green innovation as strategic. BHP has a scale that is repeatable, but a combination that is harder to copy, with geological knowledge, integrated logistics, steelmaker relationships and trial data and assurance systems. As a result, BHP must be attentive to evidence-motivated changes to their routes, partnerships and product configurations, as outlined by Teece (2007) through his dynamic capabilities theory. Hence, BHP's exact, conditional brand promise should include a string of verifications against known baselines, and spell out their dependence on Scope 3, while concurrently preventing the impression that their copper sales or pilots define their low carbon portfolio.</w:t>
      </w:r>
    </w:p>
    <w:p w14:paraId="1F604DDF" w14:textId="77777777" w:rsidR="00AD4FB6" w:rsidRPr="005C76F0" w:rsidRDefault="00AD4FB6" w:rsidP="00AD4FB6">
      <w:pPr>
        <w:spacing w:line="360" w:lineRule="auto"/>
        <w:jc w:val="center"/>
        <w:rPr>
          <w:rFonts w:asciiTheme="minorBidi" w:hAnsiTheme="minorBidi"/>
          <w:b/>
          <w:bCs/>
          <w:i/>
          <w:iCs/>
          <w:sz w:val="2"/>
          <w:szCs w:val="2"/>
        </w:rPr>
      </w:pPr>
    </w:p>
    <w:p w14:paraId="0D2B316C" w14:textId="426E5FDC" w:rsidR="00AD4FB6" w:rsidRPr="005C76F0" w:rsidRDefault="00AD4FB6" w:rsidP="00AD4FB6">
      <w:pPr>
        <w:spacing w:line="360" w:lineRule="auto"/>
        <w:jc w:val="center"/>
        <w:rPr>
          <w:rFonts w:asciiTheme="minorBidi" w:hAnsiTheme="minorBidi"/>
        </w:rPr>
      </w:pPr>
      <w:r w:rsidRPr="005C76F0">
        <w:rPr>
          <w:rFonts w:asciiTheme="minorBidi" w:hAnsiTheme="minorBidi"/>
          <w:b/>
          <w:bCs/>
          <w:i/>
          <w:iCs/>
        </w:rPr>
        <w:t xml:space="preserve">Table 5. </w:t>
      </w:r>
      <w:r w:rsidRPr="005C76F0">
        <w:rPr>
          <w:rFonts w:asciiTheme="minorBidi" w:hAnsiTheme="minorBidi"/>
          <w:i/>
          <w:iCs/>
        </w:rPr>
        <w:t>Porter’s Generic Strategies and recommended positioning</w:t>
      </w:r>
    </w:p>
    <w:tbl>
      <w:tblPr>
        <w:tblStyle w:val="PlainTable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1"/>
        <w:gridCol w:w="4056"/>
        <w:gridCol w:w="3209"/>
      </w:tblGrid>
      <w:tr w:rsidR="00AD4FB6" w:rsidRPr="005C76F0" w14:paraId="18649A2D" w14:textId="77777777" w:rsidTr="00FB3B6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1AB1AFAA" w14:textId="77777777" w:rsidR="0034428B" w:rsidRPr="0034428B" w:rsidRDefault="0034428B" w:rsidP="00AD4FB6">
            <w:pPr>
              <w:spacing w:after="160" w:line="360" w:lineRule="auto"/>
              <w:jc w:val="left"/>
              <w:rPr>
                <w:rFonts w:asciiTheme="minorBidi" w:hAnsiTheme="minorBidi"/>
                <w:b/>
                <w:bCs/>
                <w:i w:val="0"/>
                <w:iCs w:val="0"/>
                <w:sz w:val="2"/>
                <w:szCs w:val="2"/>
              </w:rPr>
            </w:pPr>
          </w:p>
          <w:p w14:paraId="4D13B5A1" w14:textId="3A8851AA" w:rsidR="00AD4FB6" w:rsidRPr="005C76F0" w:rsidRDefault="00AD4FB6" w:rsidP="00AD4FB6">
            <w:pPr>
              <w:spacing w:after="160" w:line="360" w:lineRule="auto"/>
              <w:jc w:val="left"/>
              <w:rPr>
                <w:rFonts w:asciiTheme="minorBidi" w:hAnsiTheme="minorBidi"/>
                <w:b/>
                <w:bCs/>
                <w:sz w:val="24"/>
                <w:szCs w:val="22"/>
              </w:rPr>
            </w:pPr>
            <w:r w:rsidRPr="005C76F0">
              <w:rPr>
                <w:rFonts w:asciiTheme="minorBidi" w:hAnsiTheme="minorBidi"/>
                <w:b/>
                <w:bCs/>
                <w:sz w:val="24"/>
                <w:szCs w:val="22"/>
              </w:rPr>
              <w:t>Generic strategy</w:t>
            </w:r>
          </w:p>
        </w:tc>
        <w:tc>
          <w:tcPr>
            <w:tcW w:w="4056" w:type="dxa"/>
            <w:tcBorders>
              <w:bottom w:val="none" w:sz="0" w:space="0" w:color="auto"/>
            </w:tcBorders>
            <w:vAlign w:val="center"/>
            <w:hideMark/>
          </w:tcPr>
          <w:p w14:paraId="5B933EB6" w14:textId="77777777" w:rsidR="0034428B" w:rsidRPr="0034428B" w:rsidRDefault="0034428B"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i w:val="0"/>
                <w:iCs w:val="0"/>
                <w:sz w:val="2"/>
                <w:szCs w:val="2"/>
              </w:rPr>
            </w:pPr>
          </w:p>
          <w:p w14:paraId="082BC093" w14:textId="2DACDC7C" w:rsidR="00AD4FB6" w:rsidRPr="005C76F0" w:rsidRDefault="00AD4FB6"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sz w:val="24"/>
                <w:szCs w:val="22"/>
              </w:rPr>
            </w:pPr>
            <w:r w:rsidRPr="005C76F0">
              <w:rPr>
                <w:rFonts w:asciiTheme="minorBidi" w:hAnsiTheme="minorBidi"/>
                <w:b/>
                <w:bCs/>
                <w:sz w:val="24"/>
                <w:szCs w:val="22"/>
              </w:rPr>
              <w:t>Suitability for BHP</w:t>
            </w:r>
          </w:p>
        </w:tc>
        <w:tc>
          <w:tcPr>
            <w:tcW w:w="3209" w:type="dxa"/>
            <w:tcBorders>
              <w:bottom w:val="none" w:sz="0" w:space="0" w:color="auto"/>
            </w:tcBorders>
            <w:vAlign w:val="center"/>
            <w:hideMark/>
          </w:tcPr>
          <w:p w14:paraId="4D91F937" w14:textId="77777777" w:rsidR="0034428B" w:rsidRPr="0034428B" w:rsidRDefault="0034428B"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i w:val="0"/>
                <w:iCs w:val="0"/>
                <w:sz w:val="2"/>
                <w:szCs w:val="2"/>
              </w:rPr>
            </w:pPr>
          </w:p>
          <w:p w14:paraId="11878E23" w14:textId="3AD9B8C4" w:rsidR="00AD4FB6" w:rsidRPr="005C76F0" w:rsidRDefault="00AD4FB6"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sz w:val="24"/>
                <w:szCs w:val="22"/>
              </w:rPr>
            </w:pPr>
            <w:r w:rsidRPr="005C76F0">
              <w:rPr>
                <w:rFonts w:asciiTheme="minorBidi" w:hAnsiTheme="minorBidi"/>
                <w:b/>
                <w:bCs/>
                <w:sz w:val="24"/>
                <w:szCs w:val="22"/>
              </w:rPr>
              <w:t>Decision</w:t>
            </w:r>
          </w:p>
        </w:tc>
      </w:tr>
      <w:tr w:rsidR="00AD4FB6" w:rsidRPr="005C76F0" w14:paraId="6A9D1E42" w14:textId="77777777" w:rsidTr="00FB3B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06D68449" w14:textId="77777777" w:rsidR="0034428B" w:rsidRPr="0034428B" w:rsidRDefault="0034428B" w:rsidP="00AD4FB6">
            <w:pPr>
              <w:spacing w:after="160" w:line="360" w:lineRule="auto"/>
              <w:jc w:val="left"/>
              <w:rPr>
                <w:rFonts w:asciiTheme="minorBidi" w:hAnsiTheme="minorBidi"/>
                <w:i w:val="0"/>
                <w:iCs w:val="0"/>
                <w:sz w:val="2"/>
                <w:szCs w:val="2"/>
              </w:rPr>
            </w:pPr>
          </w:p>
          <w:p w14:paraId="667B726F" w14:textId="74128DCA"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t>Cost leadership</w:t>
            </w:r>
          </w:p>
        </w:tc>
        <w:tc>
          <w:tcPr>
            <w:tcW w:w="4056" w:type="dxa"/>
            <w:vAlign w:val="center"/>
            <w:hideMark/>
          </w:tcPr>
          <w:p w14:paraId="5C8283C7" w14:textId="77777777" w:rsidR="00FB3B67" w:rsidRPr="00FB3B67" w:rsidRDefault="00FB3B67" w:rsidP="0034428B">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28E1EE1B" w14:textId="0BAE857B" w:rsidR="00AD4FB6" w:rsidRPr="005C76F0" w:rsidRDefault="0034428B" w:rsidP="0034428B">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34428B">
              <w:rPr>
                <w:rFonts w:asciiTheme="minorBidi" w:hAnsiTheme="minorBidi"/>
              </w:rPr>
              <w:t>BHP’s low-cost assets remain essential, but cost alone will not address customers’ carbon exposure or trust (BHP, 2025a).</w:t>
            </w:r>
          </w:p>
        </w:tc>
        <w:tc>
          <w:tcPr>
            <w:tcW w:w="3209" w:type="dxa"/>
            <w:vAlign w:val="center"/>
            <w:hideMark/>
          </w:tcPr>
          <w:p w14:paraId="4ABCDFBF" w14:textId="77777777" w:rsidR="00FB3B67" w:rsidRPr="00FB3B67" w:rsidRDefault="00FB3B67" w:rsidP="0034428B">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7E785D38" w14:textId="0E360DD2" w:rsidR="00AD4FB6" w:rsidRPr="005C76F0" w:rsidRDefault="0034428B" w:rsidP="0034428B">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34428B">
              <w:rPr>
                <w:rFonts w:asciiTheme="minorBidi" w:hAnsiTheme="minorBidi"/>
              </w:rPr>
              <w:t>Retain as the operational foundation rather than the sole lower-carbon positioning (Porter, 1985; Busch et al., 2024).</w:t>
            </w:r>
          </w:p>
        </w:tc>
      </w:tr>
      <w:tr w:rsidR="00AD4FB6" w:rsidRPr="005C76F0" w14:paraId="3A9A82FF" w14:textId="77777777" w:rsidTr="00FB3B67">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2C86FE36" w14:textId="77777777" w:rsidR="0034428B" w:rsidRPr="0034428B" w:rsidRDefault="0034428B" w:rsidP="00AD4FB6">
            <w:pPr>
              <w:spacing w:after="160" w:line="360" w:lineRule="auto"/>
              <w:jc w:val="left"/>
              <w:rPr>
                <w:rFonts w:asciiTheme="minorBidi" w:hAnsiTheme="minorBidi"/>
                <w:i w:val="0"/>
                <w:iCs w:val="0"/>
                <w:sz w:val="2"/>
                <w:szCs w:val="2"/>
              </w:rPr>
            </w:pPr>
          </w:p>
          <w:p w14:paraId="289EBFFE" w14:textId="6E9D8868"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t>Broad differentiation</w:t>
            </w:r>
          </w:p>
        </w:tc>
        <w:tc>
          <w:tcPr>
            <w:tcW w:w="4056" w:type="dxa"/>
            <w:vAlign w:val="center"/>
            <w:hideMark/>
          </w:tcPr>
          <w:p w14:paraId="5443D674" w14:textId="77777777" w:rsidR="00FB3B67" w:rsidRPr="00FB3B67" w:rsidRDefault="00FB3B67" w:rsidP="0034428B">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
                <w:szCs w:val="2"/>
              </w:rPr>
            </w:pPr>
          </w:p>
          <w:p w14:paraId="6D3829F8" w14:textId="4986FD0D" w:rsidR="00AD4FB6" w:rsidRPr="005C76F0" w:rsidRDefault="0034428B" w:rsidP="0034428B">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34428B">
              <w:rPr>
                <w:rFonts w:asciiTheme="minorBidi" w:hAnsiTheme="minorBidi"/>
              </w:rPr>
              <w:t xml:space="preserve">Verified emissions data, technical co-development, reliable scale and transition-compatible products can reduce customer risk (BHP, 2025b; Zhang and </w:t>
            </w:r>
            <w:proofErr w:type="spellStart"/>
            <w:r w:rsidRPr="0034428B">
              <w:rPr>
                <w:rFonts w:asciiTheme="minorBidi" w:hAnsiTheme="minorBidi"/>
              </w:rPr>
              <w:t>Seuring</w:t>
            </w:r>
            <w:proofErr w:type="spellEnd"/>
            <w:r w:rsidRPr="0034428B">
              <w:rPr>
                <w:rFonts w:asciiTheme="minorBidi" w:hAnsiTheme="minorBidi"/>
              </w:rPr>
              <w:t>, 2024).</w:t>
            </w:r>
          </w:p>
        </w:tc>
        <w:tc>
          <w:tcPr>
            <w:tcW w:w="3209" w:type="dxa"/>
            <w:vAlign w:val="center"/>
            <w:hideMark/>
          </w:tcPr>
          <w:p w14:paraId="1EAEFFDD" w14:textId="4AE06D8A" w:rsidR="00AD4FB6" w:rsidRPr="005C76F0" w:rsidRDefault="0034428B" w:rsidP="0034428B">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34428B">
              <w:rPr>
                <w:rFonts w:asciiTheme="minorBidi" w:hAnsiTheme="minorBidi"/>
              </w:rPr>
              <w:t>Recommended. Differentiate broadly while preserving commodity-cost discipline (Verma and Diwan, 2025).</w:t>
            </w:r>
          </w:p>
        </w:tc>
      </w:tr>
      <w:tr w:rsidR="00AD4FB6" w:rsidRPr="005C76F0" w14:paraId="4AA7EF02" w14:textId="77777777" w:rsidTr="00FB3B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2B320126" w14:textId="77777777" w:rsidR="0034428B" w:rsidRPr="0034428B" w:rsidRDefault="0034428B" w:rsidP="00AD4FB6">
            <w:pPr>
              <w:spacing w:after="160" w:line="360" w:lineRule="auto"/>
              <w:jc w:val="left"/>
              <w:rPr>
                <w:rFonts w:asciiTheme="minorBidi" w:hAnsiTheme="minorBidi"/>
                <w:i w:val="0"/>
                <w:iCs w:val="0"/>
                <w:sz w:val="2"/>
                <w:szCs w:val="2"/>
              </w:rPr>
            </w:pPr>
          </w:p>
          <w:p w14:paraId="54A055F0" w14:textId="51D31DFB"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lastRenderedPageBreak/>
              <w:t>Focus strategy</w:t>
            </w:r>
          </w:p>
        </w:tc>
        <w:tc>
          <w:tcPr>
            <w:tcW w:w="4056" w:type="dxa"/>
            <w:vAlign w:val="center"/>
            <w:hideMark/>
          </w:tcPr>
          <w:p w14:paraId="49E91777" w14:textId="77777777" w:rsidR="00FB3B67" w:rsidRPr="00FB3B67" w:rsidRDefault="00FB3B67" w:rsidP="0034428B">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260DC835" w14:textId="5AA6BE8D" w:rsidR="00AD4FB6" w:rsidRPr="005C76F0" w:rsidRDefault="0034428B" w:rsidP="0034428B">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34428B">
              <w:rPr>
                <w:rFonts w:asciiTheme="minorBidi" w:hAnsiTheme="minorBidi"/>
              </w:rPr>
              <w:lastRenderedPageBreak/>
              <w:t>A narrow focus on a small green-steel niche could create learning but restrict scale and expose BHP to one pathway (BHP, 2025c; Teece, 2007).</w:t>
            </w:r>
          </w:p>
        </w:tc>
        <w:tc>
          <w:tcPr>
            <w:tcW w:w="3209" w:type="dxa"/>
            <w:vAlign w:val="center"/>
            <w:hideMark/>
          </w:tcPr>
          <w:p w14:paraId="3F29D5D8" w14:textId="77777777" w:rsidR="00FB3B67" w:rsidRPr="00FB3B67" w:rsidRDefault="00FB3B67" w:rsidP="0034428B">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79C661EE" w14:textId="1ED72818" w:rsidR="00AD4FB6" w:rsidRPr="005C76F0" w:rsidRDefault="0034428B" w:rsidP="0034428B">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34428B">
              <w:rPr>
                <w:rFonts w:asciiTheme="minorBidi" w:hAnsiTheme="minorBidi"/>
              </w:rPr>
              <w:lastRenderedPageBreak/>
              <w:t>Use targeted pilots within a broader differentiated portfolio rather than as the corporate strategy (Ansoff, 1957; Porter, 1985).</w:t>
            </w:r>
          </w:p>
        </w:tc>
      </w:tr>
    </w:tbl>
    <w:p w14:paraId="3665CD5D" w14:textId="77777777" w:rsidR="00AD4FB6" w:rsidRPr="005C76F0" w:rsidRDefault="00AD4FB6" w:rsidP="00AD4FB6">
      <w:pPr>
        <w:spacing w:line="360" w:lineRule="auto"/>
        <w:jc w:val="both"/>
        <w:rPr>
          <w:rFonts w:asciiTheme="minorBidi" w:hAnsiTheme="minorBidi"/>
          <w:i/>
          <w:iCs/>
        </w:rPr>
      </w:pPr>
    </w:p>
    <w:p w14:paraId="4A7F5C81" w14:textId="3808D609" w:rsidR="00AD4FB6" w:rsidRPr="005C76F0" w:rsidRDefault="00AD4FB6" w:rsidP="00AD4FB6">
      <w:pPr>
        <w:pStyle w:val="Heading2"/>
      </w:pPr>
      <w:bookmarkStart w:id="10" w:name="_Toc233230359"/>
      <w:r w:rsidRPr="005C76F0">
        <w:t>Implementation, Metrics and Risk Control:</w:t>
      </w:r>
      <w:bookmarkEnd w:id="10"/>
    </w:p>
    <w:p w14:paraId="4847DF0C" w14:textId="27274634" w:rsidR="006E3E0F" w:rsidRDefault="00D36F10" w:rsidP="00D36F10">
      <w:pPr>
        <w:spacing w:line="360" w:lineRule="auto"/>
        <w:jc w:val="both"/>
        <w:rPr>
          <w:rFonts w:asciiTheme="minorBidi" w:hAnsiTheme="minorBidi"/>
        </w:rPr>
      </w:pPr>
      <w:r w:rsidRPr="00D36F10">
        <w:rPr>
          <w:rFonts w:asciiTheme="minorBidi" w:hAnsiTheme="minorBidi"/>
        </w:rPr>
        <w:t xml:space="preserve">The roadmap for implementation is to be within 2026-2030 with a stage gate system which will hold accountable the marketing, technology, operations and sustainability teams. First, BHP should establish lifecycle rules and assured digital product records for iron ore and copper products (Zhang and </w:t>
      </w:r>
      <w:proofErr w:type="spellStart"/>
      <w:r w:rsidRPr="00D36F10">
        <w:rPr>
          <w:rFonts w:asciiTheme="minorBidi" w:hAnsiTheme="minorBidi"/>
        </w:rPr>
        <w:t>Seuring</w:t>
      </w:r>
      <w:proofErr w:type="spellEnd"/>
      <w:r w:rsidRPr="00D36F10">
        <w:rPr>
          <w:rFonts w:asciiTheme="minorBidi" w:hAnsiTheme="minorBidi"/>
        </w:rPr>
        <w:t xml:space="preserve">, 2024). Second, broaden customer trials on range of ore blends and furnace configurations, with the addition of artificial intelligence for ore-body modelling, optimisation of ore blends, predictive furnace maintenance and validation (UNESCO, 2023). Third, contracts should tie volume commitments and emission and performance targets. Fourth, communications should reveal successes and failures of trials, absolute operational emissions, assumptions of water-stress exposure and of biodiversity outcomes, and customer-use assumptions (BHP, 2025a). Thus, indicators should include tonnes sold with validated carbon data, emissions intensity of products, blends to direct reduction, customer development agreements, progress for </w:t>
      </w:r>
      <w:r w:rsidR="00C93283">
        <w:rPr>
          <w:rFonts w:asciiTheme="minorBidi" w:hAnsiTheme="minorBidi"/>
        </w:rPr>
        <w:t>S</w:t>
      </w:r>
      <w:r w:rsidRPr="00D36F10">
        <w:rPr>
          <w:rFonts w:asciiTheme="minorBidi" w:hAnsiTheme="minorBidi"/>
        </w:rPr>
        <w:t xml:space="preserve">cope 1 and 2 emissions, and hectares of restored land and stressed areas of water withdrawals. Furthermore, concepts of location-specific evaluation and AI help foster transparency and oversight (TNFD, 2023; UNESCO, 2023). Lastly, governance should contain a claim approval process, independent assurance and an </w:t>
      </w:r>
      <w:r w:rsidR="00C93283" w:rsidRPr="00D36F10">
        <w:rPr>
          <w:rFonts w:asciiTheme="minorBidi" w:hAnsiTheme="minorBidi"/>
        </w:rPr>
        <w:t>executive incentive</w:t>
      </w:r>
      <w:r w:rsidRPr="00D36F10">
        <w:rPr>
          <w:rFonts w:asciiTheme="minorBidi" w:hAnsiTheme="minorBidi"/>
        </w:rPr>
        <w:t>, matching marketing evidence with operations.</w:t>
      </w:r>
    </w:p>
    <w:p w14:paraId="068518E4" w14:textId="77777777" w:rsidR="00993858" w:rsidRPr="00993858" w:rsidRDefault="00993858" w:rsidP="00993858">
      <w:pPr>
        <w:spacing w:line="360" w:lineRule="auto"/>
        <w:jc w:val="both"/>
        <w:rPr>
          <w:rFonts w:asciiTheme="minorBidi" w:hAnsiTheme="minorBidi"/>
          <w:sz w:val="2"/>
          <w:szCs w:val="2"/>
        </w:rPr>
      </w:pPr>
    </w:p>
    <w:p w14:paraId="68BC98D9" w14:textId="77777777" w:rsidR="00AD4FB6" w:rsidRPr="005C76F0" w:rsidRDefault="00AD4FB6" w:rsidP="00AD4FB6">
      <w:pPr>
        <w:spacing w:line="360" w:lineRule="auto"/>
        <w:jc w:val="center"/>
        <w:rPr>
          <w:rFonts w:asciiTheme="minorBidi" w:hAnsiTheme="minorBidi"/>
          <w:i/>
          <w:iCs/>
        </w:rPr>
      </w:pPr>
      <w:r w:rsidRPr="005C76F0">
        <w:rPr>
          <w:rFonts w:asciiTheme="minorBidi" w:hAnsiTheme="minorBidi"/>
          <w:b/>
          <w:bCs/>
          <w:i/>
          <w:iCs/>
        </w:rPr>
        <w:t xml:space="preserve">Table 6. </w:t>
      </w:r>
      <w:r w:rsidRPr="005C76F0">
        <w:rPr>
          <w:rFonts w:asciiTheme="minorBidi" w:hAnsiTheme="minorBidi"/>
          <w:i/>
          <w:iCs/>
        </w:rPr>
        <w:t>Proposed 2026–2030 implementation roadmap</w:t>
      </w:r>
    </w:p>
    <w:tbl>
      <w:tblPr>
        <w:tblStyle w:val="PlainTable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
        <w:gridCol w:w="2626"/>
        <w:gridCol w:w="2829"/>
        <w:gridCol w:w="2558"/>
      </w:tblGrid>
      <w:tr w:rsidR="00AD4FB6" w:rsidRPr="005C76F0" w14:paraId="33F68F13" w14:textId="77777777" w:rsidTr="0082311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vAlign w:val="center"/>
            <w:hideMark/>
          </w:tcPr>
          <w:p w14:paraId="10DAF2BE" w14:textId="77777777" w:rsidR="0082311E" w:rsidRPr="0082311E" w:rsidRDefault="0082311E" w:rsidP="00AD4FB6">
            <w:pPr>
              <w:spacing w:after="160" w:line="360" w:lineRule="auto"/>
              <w:jc w:val="left"/>
              <w:rPr>
                <w:rFonts w:asciiTheme="minorBidi" w:hAnsiTheme="minorBidi"/>
                <w:b/>
                <w:bCs/>
                <w:i w:val="0"/>
                <w:iCs w:val="0"/>
                <w:sz w:val="2"/>
                <w:szCs w:val="2"/>
              </w:rPr>
            </w:pPr>
          </w:p>
          <w:p w14:paraId="2640B997" w14:textId="15F91D04" w:rsidR="00AD4FB6" w:rsidRPr="005C76F0" w:rsidRDefault="00AD4FB6" w:rsidP="00AD4FB6">
            <w:pPr>
              <w:spacing w:after="160" w:line="360" w:lineRule="auto"/>
              <w:jc w:val="left"/>
              <w:rPr>
                <w:rFonts w:asciiTheme="minorBidi" w:hAnsiTheme="minorBidi"/>
                <w:b/>
                <w:bCs/>
                <w:sz w:val="24"/>
                <w:szCs w:val="22"/>
              </w:rPr>
            </w:pPr>
            <w:r w:rsidRPr="005C76F0">
              <w:rPr>
                <w:rFonts w:asciiTheme="minorBidi" w:hAnsiTheme="minorBidi"/>
                <w:b/>
                <w:bCs/>
                <w:sz w:val="24"/>
                <w:szCs w:val="22"/>
              </w:rPr>
              <w:t>Period</w:t>
            </w:r>
          </w:p>
        </w:tc>
        <w:tc>
          <w:tcPr>
            <w:tcW w:w="0" w:type="auto"/>
            <w:tcBorders>
              <w:bottom w:val="none" w:sz="0" w:space="0" w:color="auto"/>
            </w:tcBorders>
            <w:vAlign w:val="center"/>
            <w:hideMark/>
          </w:tcPr>
          <w:p w14:paraId="04EB45B4" w14:textId="77777777" w:rsidR="0082311E" w:rsidRPr="0082311E" w:rsidRDefault="0082311E"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i w:val="0"/>
                <w:iCs w:val="0"/>
                <w:sz w:val="2"/>
                <w:szCs w:val="2"/>
              </w:rPr>
            </w:pPr>
          </w:p>
          <w:p w14:paraId="1C1C99E5" w14:textId="3A9F1B68" w:rsidR="00AD4FB6" w:rsidRPr="005C76F0" w:rsidRDefault="00AD4FB6"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sz w:val="24"/>
                <w:szCs w:val="22"/>
              </w:rPr>
            </w:pPr>
            <w:r w:rsidRPr="005C76F0">
              <w:rPr>
                <w:rFonts w:asciiTheme="minorBidi" w:hAnsiTheme="minorBidi"/>
                <w:b/>
                <w:bCs/>
                <w:sz w:val="24"/>
                <w:szCs w:val="22"/>
              </w:rPr>
              <w:t>Priority action</w:t>
            </w:r>
          </w:p>
        </w:tc>
        <w:tc>
          <w:tcPr>
            <w:tcW w:w="2829" w:type="dxa"/>
            <w:tcBorders>
              <w:bottom w:val="none" w:sz="0" w:space="0" w:color="auto"/>
            </w:tcBorders>
            <w:vAlign w:val="center"/>
            <w:hideMark/>
          </w:tcPr>
          <w:p w14:paraId="6861C172" w14:textId="77777777" w:rsidR="0082311E" w:rsidRPr="0082311E" w:rsidRDefault="0082311E"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i w:val="0"/>
                <w:iCs w:val="0"/>
                <w:sz w:val="2"/>
                <w:szCs w:val="2"/>
              </w:rPr>
            </w:pPr>
          </w:p>
          <w:p w14:paraId="104896F9" w14:textId="50DDCF2D" w:rsidR="00AD4FB6" w:rsidRPr="005C76F0" w:rsidRDefault="00AD4FB6"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sz w:val="24"/>
                <w:szCs w:val="22"/>
              </w:rPr>
            </w:pPr>
            <w:r w:rsidRPr="005C76F0">
              <w:rPr>
                <w:rFonts w:asciiTheme="minorBidi" w:hAnsiTheme="minorBidi"/>
                <w:b/>
                <w:bCs/>
                <w:sz w:val="24"/>
                <w:szCs w:val="22"/>
              </w:rPr>
              <w:t>Key performance indicator</w:t>
            </w:r>
          </w:p>
        </w:tc>
        <w:tc>
          <w:tcPr>
            <w:tcW w:w="2558" w:type="dxa"/>
            <w:tcBorders>
              <w:bottom w:val="none" w:sz="0" w:space="0" w:color="auto"/>
            </w:tcBorders>
            <w:vAlign w:val="center"/>
            <w:hideMark/>
          </w:tcPr>
          <w:p w14:paraId="06ADBFC7" w14:textId="77777777" w:rsidR="0082311E" w:rsidRPr="0082311E" w:rsidRDefault="0082311E"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i w:val="0"/>
                <w:iCs w:val="0"/>
                <w:sz w:val="2"/>
                <w:szCs w:val="2"/>
              </w:rPr>
            </w:pPr>
          </w:p>
          <w:p w14:paraId="4BD48B73" w14:textId="094712ED" w:rsidR="00AD4FB6" w:rsidRPr="005C76F0" w:rsidRDefault="00AD4FB6" w:rsidP="00AD4FB6">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b/>
                <w:bCs/>
                <w:sz w:val="24"/>
                <w:szCs w:val="22"/>
              </w:rPr>
            </w:pPr>
            <w:r w:rsidRPr="005C76F0">
              <w:rPr>
                <w:rFonts w:asciiTheme="minorBidi" w:hAnsiTheme="minorBidi"/>
                <w:b/>
                <w:bCs/>
                <w:sz w:val="24"/>
                <w:szCs w:val="22"/>
              </w:rPr>
              <w:t>Principal risk control</w:t>
            </w:r>
          </w:p>
        </w:tc>
      </w:tr>
      <w:tr w:rsidR="00AD4FB6" w:rsidRPr="005C76F0" w14:paraId="419C3C47" w14:textId="77777777" w:rsidTr="008231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14DB8CA5" w14:textId="77777777"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t>2026</w:t>
            </w:r>
          </w:p>
        </w:tc>
        <w:tc>
          <w:tcPr>
            <w:tcW w:w="0" w:type="auto"/>
            <w:vAlign w:val="center"/>
            <w:hideMark/>
          </w:tcPr>
          <w:p w14:paraId="0EB40F79" w14:textId="77777777" w:rsidR="0082311E" w:rsidRPr="0082311E" w:rsidRDefault="0082311E" w:rsidP="0082311E">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45AF4705" w14:textId="6EA36DB1" w:rsidR="00AD4FB6" w:rsidRPr="005C76F0" w:rsidRDefault="0082311E" w:rsidP="0082311E">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82311E">
              <w:rPr>
                <w:rFonts w:asciiTheme="minorBidi" w:hAnsiTheme="minorBidi"/>
              </w:rPr>
              <w:lastRenderedPageBreak/>
              <w:t xml:space="preserve">Set common lifecycle boundaries and create assured digital product records for priority iron ore and copper (Zhang and </w:t>
            </w:r>
            <w:proofErr w:type="spellStart"/>
            <w:r w:rsidRPr="0082311E">
              <w:rPr>
                <w:rFonts w:asciiTheme="minorBidi" w:hAnsiTheme="minorBidi"/>
              </w:rPr>
              <w:t>Seuring</w:t>
            </w:r>
            <w:proofErr w:type="spellEnd"/>
            <w:r w:rsidRPr="0082311E">
              <w:rPr>
                <w:rFonts w:asciiTheme="minorBidi" w:hAnsiTheme="minorBidi"/>
              </w:rPr>
              <w:t>, 2024).</w:t>
            </w:r>
          </w:p>
        </w:tc>
        <w:tc>
          <w:tcPr>
            <w:tcW w:w="2829" w:type="dxa"/>
            <w:vAlign w:val="center"/>
            <w:hideMark/>
          </w:tcPr>
          <w:p w14:paraId="704463AE" w14:textId="302A1816" w:rsidR="00AD4FB6" w:rsidRPr="005C76F0" w:rsidRDefault="0082311E" w:rsidP="0082311E">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82311E">
              <w:rPr>
                <w:rFonts w:asciiTheme="minorBidi" w:hAnsiTheme="minorBidi"/>
              </w:rPr>
              <w:lastRenderedPageBreak/>
              <w:t xml:space="preserve">Share of priority products with </w:t>
            </w:r>
            <w:r w:rsidRPr="0082311E">
              <w:rPr>
                <w:rFonts w:asciiTheme="minorBidi" w:hAnsiTheme="minorBidi"/>
              </w:rPr>
              <w:lastRenderedPageBreak/>
              <w:t>independently assured carbon data (Australian Treasury, 2026).</w:t>
            </w:r>
          </w:p>
        </w:tc>
        <w:tc>
          <w:tcPr>
            <w:tcW w:w="2558" w:type="dxa"/>
            <w:vAlign w:val="center"/>
            <w:hideMark/>
          </w:tcPr>
          <w:p w14:paraId="0AB0F463" w14:textId="02F74BD2" w:rsidR="00AD4FB6" w:rsidRPr="005C76F0" w:rsidRDefault="0082311E" w:rsidP="0082311E">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82311E">
              <w:rPr>
                <w:rFonts w:asciiTheme="minorBidi" w:hAnsiTheme="minorBidi"/>
              </w:rPr>
              <w:lastRenderedPageBreak/>
              <w:t>External assurance and formal marketing-</w:t>
            </w:r>
            <w:r w:rsidRPr="0082311E">
              <w:rPr>
                <w:rFonts w:asciiTheme="minorBidi" w:hAnsiTheme="minorBidi"/>
              </w:rPr>
              <w:lastRenderedPageBreak/>
              <w:t>claim approval (Australian Treasury, 2026).</w:t>
            </w:r>
          </w:p>
        </w:tc>
      </w:tr>
      <w:tr w:rsidR="00AD4FB6" w:rsidRPr="005C76F0" w14:paraId="5F36C22B" w14:textId="77777777" w:rsidTr="0082311E">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21C1401E" w14:textId="77777777"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lastRenderedPageBreak/>
              <w:t>2026–2027</w:t>
            </w:r>
          </w:p>
        </w:tc>
        <w:tc>
          <w:tcPr>
            <w:tcW w:w="0" w:type="auto"/>
            <w:vAlign w:val="center"/>
            <w:hideMark/>
          </w:tcPr>
          <w:p w14:paraId="3085EFA3" w14:textId="77777777" w:rsidR="00E57A1B" w:rsidRPr="00E57A1B" w:rsidRDefault="00E57A1B" w:rsidP="000D0189">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
                <w:szCs w:val="2"/>
              </w:rPr>
            </w:pPr>
          </w:p>
          <w:p w14:paraId="0DC58DF4" w14:textId="47FC6815" w:rsidR="00AD4FB6" w:rsidRPr="005C76F0" w:rsidRDefault="000D0189" w:rsidP="000D0189">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0D0189">
              <w:rPr>
                <w:rFonts w:asciiTheme="minorBidi" w:hAnsiTheme="minorBidi"/>
              </w:rPr>
              <w:t>Segment steel customers by technology pathway, regulation, furnace cycle and data needs (Kotler et al., 2024).</w:t>
            </w:r>
          </w:p>
        </w:tc>
        <w:tc>
          <w:tcPr>
            <w:tcW w:w="2829" w:type="dxa"/>
            <w:vAlign w:val="center"/>
            <w:hideMark/>
          </w:tcPr>
          <w:p w14:paraId="4598B9F2" w14:textId="77777777" w:rsidR="00E57A1B" w:rsidRPr="00E57A1B" w:rsidRDefault="00E57A1B" w:rsidP="000D0189">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
                <w:szCs w:val="2"/>
              </w:rPr>
            </w:pPr>
          </w:p>
          <w:p w14:paraId="6EE36EF4" w14:textId="3931C67F" w:rsidR="00AD4FB6" w:rsidRPr="005C76F0" w:rsidRDefault="000D0189" w:rsidP="000D0189">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0D0189">
              <w:rPr>
                <w:rFonts w:asciiTheme="minorBidi" w:hAnsiTheme="minorBidi"/>
              </w:rPr>
              <w:t>Number of jointly agreed transition roadmaps and multi-year development agreements (Kotler et al., 2024).</w:t>
            </w:r>
          </w:p>
        </w:tc>
        <w:tc>
          <w:tcPr>
            <w:tcW w:w="2558" w:type="dxa"/>
            <w:vAlign w:val="center"/>
            <w:hideMark/>
          </w:tcPr>
          <w:p w14:paraId="26247204" w14:textId="6F9E1E10" w:rsidR="00AD4FB6" w:rsidRPr="005C76F0" w:rsidRDefault="000D0189" w:rsidP="000D0189">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0D0189">
              <w:rPr>
                <w:rFonts w:asciiTheme="minorBidi" w:hAnsiTheme="minorBidi"/>
              </w:rPr>
              <w:t>Avoid one-size-fits-all claims and document customer assumptions (Busch et al., 2024).</w:t>
            </w:r>
          </w:p>
        </w:tc>
      </w:tr>
      <w:tr w:rsidR="00AD4FB6" w:rsidRPr="005C76F0" w14:paraId="61094B4E" w14:textId="77777777" w:rsidTr="008231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52C3C6BC" w14:textId="77777777"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t>2027–2028</w:t>
            </w:r>
          </w:p>
        </w:tc>
        <w:tc>
          <w:tcPr>
            <w:tcW w:w="0" w:type="auto"/>
            <w:vAlign w:val="center"/>
            <w:hideMark/>
          </w:tcPr>
          <w:p w14:paraId="3503CE4F" w14:textId="77777777" w:rsidR="00E57A1B" w:rsidRPr="00E57A1B" w:rsidRDefault="00E57A1B" w:rsidP="000D0189">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3BABEF57" w14:textId="0F226184" w:rsidR="00AD4FB6" w:rsidRPr="005C76F0" w:rsidRDefault="000D0189" w:rsidP="000D0189">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0D0189">
              <w:rPr>
                <w:rFonts w:asciiTheme="minorBidi" w:hAnsiTheme="minorBidi"/>
              </w:rPr>
              <w:t>Expand direct-reduction and electric-smelting trials across ore blends and operating conditions (BHP, 2025b; BHP, 2025c).</w:t>
            </w:r>
          </w:p>
        </w:tc>
        <w:tc>
          <w:tcPr>
            <w:tcW w:w="2829" w:type="dxa"/>
            <w:vAlign w:val="center"/>
            <w:hideMark/>
          </w:tcPr>
          <w:p w14:paraId="4E09BCAA" w14:textId="5A90E5AF" w:rsidR="00AD4FB6" w:rsidRPr="005C76F0" w:rsidRDefault="000D0189" w:rsidP="000D0189">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0D0189">
              <w:rPr>
                <w:rFonts w:asciiTheme="minorBidi" w:hAnsiTheme="minorBidi"/>
              </w:rPr>
              <w:t xml:space="preserve">Qualified blends, trial yield, product quality and measured emissions improvement (BHP, 2025b; </w:t>
            </w:r>
            <w:proofErr w:type="spellStart"/>
            <w:r w:rsidRPr="000D0189">
              <w:rPr>
                <w:rFonts w:asciiTheme="minorBidi" w:hAnsiTheme="minorBidi"/>
              </w:rPr>
              <w:t>Nurdiawati</w:t>
            </w:r>
            <w:proofErr w:type="spellEnd"/>
            <w:r w:rsidRPr="000D0189">
              <w:rPr>
                <w:rFonts w:asciiTheme="minorBidi" w:hAnsiTheme="minorBidi"/>
              </w:rPr>
              <w:t xml:space="preserve"> et al., 2025).</w:t>
            </w:r>
          </w:p>
        </w:tc>
        <w:tc>
          <w:tcPr>
            <w:tcW w:w="2558" w:type="dxa"/>
            <w:vAlign w:val="center"/>
            <w:hideMark/>
          </w:tcPr>
          <w:p w14:paraId="66979A5A" w14:textId="5EF6C7CE" w:rsidR="00AD4FB6" w:rsidRPr="005C76F0" w:rsidRDefault="000D0189" w:rsidP="000D0189">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0D0189">
              <w:rPr>
                <w:rFonts w:asciiTheme="minorBidi" w:hAnsiTheme="minorBidi"/>
              </w:rPr>
              <w:t>Stage gates, technical peer review and publication of material limitations (</w:t>
            </w:r>
            <w:proofErr w:type="spellStart"/>
            <w:r w:rsidRPr="000D0189">
              <w:rPr>
                <w:rFonts w:asciiTheme="minorBidi" w:hAnsiTheme="minorBidi"/>
              </w:rPr>
              <w:t>Nurdiawati</w:t>
            </w:r>
            <w:proofErr w:type="spellEnd"/>
            <w:r w:rsidRPr="000D0189">
              <w:rPr>
                <w:rFonts w:asciiTheme="minorBidi" w:hAnsiTheme="minorBidi"/>
              </w:rPr>
              <w:t xml:space="preserve"> et al., 2025).</w:t>
            </w:r>
          </w:p>
        </w:tc>
      </w:tr>
      <w:tr w:rsidR="00AD4FB6" w:rsidRPr="005C76F0" w14:paraId="111E6361" w14:textId="77777777" w:rsidTr="0082311E">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3C9ADCA8" w14:textId="77777777"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t>2028–2029</w:t>
            </w:r>
          </w:p>
        </w:tc>
        <w:tc>
          <w:tcPr>
            <w:tcW w:w="0" w:type="auto"/>
            <w:vAlign w:val="center"/>
            <w:hideMark/>
          </w:tcPr>
          <w:p w14:paraId="3D4C5951" w14:textId="77777777" w:rsidR="00E57A1B" w:rsidRPr="00E57A1B" w:rsidRDefault="00E57A1B" w:rsidP="00E57A1B">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
                <w:szCs w:val="2"/>
              </w:rPr>
            </w:pPr>
          </w:p>
          <w:p w14:paraId="1C0FF366" w14:textId="350B4108" w:rsidR="00AD4FB6" w:rsidRPr="005C76F0" w:rsidRDefault="00E57A1B" w:rsidP="00E57A1B">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E57A1B">
              <w:rPr>
                <w:rFonts w:asciiTheme="minorBidi" w:hAnsiTheme="minorBidi"/>
              </w:rPr>
              <w:t>Launch verified commercial bundles combining material, data, logistics and technical support (Verma and Diwan, 2025).</w:t>
            </w:r>
          </w:p>
        </w:tc>
        <w:tc>
          <w:tcPr>
            <w:tcW w:w="2829" w:type="dxa"/>
            <w:vAlign w:val="center"/>
            <w:hideMark/>
          </w:tcPr>
          <w:p w14:paraId="2AF945C8" w14:textId="6F80E348" w:rsidR="00AD4FB6" w:rsidRPr="005C76F0" w:rsidRDefault="000D0189" w:rsidP="000D0189">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0D0189">
              <w:rPr>
                <w:rFonts w:asciiTheme="minorBidi" w:hAnsiTheme="minorBidi"/>
              </w:rPr>
              <w:t>Tonnes sold with verified attributes, retention rate and customer compliance-cost reduction (Verma and Diwan, 2025).</w:t>
            </w:r>
          </w:p>
        </w:tc>
        <w:tc>
          <w:tcPr>
            <w:tcW w:w="2558" w:type="dxa"/>
            <w:vAlign w:val="center"/>
            <w:hideMark/>
          </w:tcPr>
          <w:p w14:paraId="37F6C633" w14:textId="4B127FA0" w:rsidR="00AD4FB6" w:rsidRPr="005C76F0" w:rsidRDefault="000D0189" w:rsidP="000D0189">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0D0189">
              <w:rPr>
                <w:rFonts w:asciiTheme="minorBidi" w:hAnsiTheme="minorBidi"/>
              </w:rPr>
              <w:t>No guaranteed-premium assumption and contract value linked to evidenced benefits (Busch et al., 2024).</w:t>
            </w:r>
          </w:p>
        </w:tc>
      </w:tr>
      <w:tr w:rsidR="00AD4FB6" w:rsidRPr="005C76F0" w14:paraId="240FF342" w14:textId="77777777" w:rsidTr="008231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vAlign w:val="center"/>
            <w:hideMark/>
          </w:tcPr>
          <w:p w14:paraId="55D73357" w14:textId="77777777" w:rsidR="00AD4FB6" w:rsidRPr="005C76F0" w:rsidRDefault="00AD4FB6" w:rsidP="00AD4FB6">
            <w:pPr>
              <w:spacing w:after="160" w:line="360" w:lineRule="auto"/>
              <w:jc w:val="left"/>
              <w:rPr>
                <w:rFonts w:asciiTheme="minorBidi" w:hAnsiTheme="minorBidi"/>
                <w:sz w:val="24"/>
                <w:szCs w:val="22"/>
              </w:rPr>
            </w:pPr>
            <w:r w:rsidRPr="005C76F0">
              <w:rPr>
                <w:rFonts w:asciiTheme="minorBidi" w:hAnsiTheme="minorBidi"/>
                <w:sz w:val="24"/>
                <w:szCs w:val="22"/>
              </w:rPr>
              <w:t>2029–2030</w:t>
            </w:r>
          </w:p>
        </w:tc>
        <w:tc>
          <w:tcPr>
            <w:tcW w:w="0" w:type="auto"/>
            <w:vAlign w:val="center"/>
            <w:hideMark/>
          </w:tcPr>
          <w:p w14:paraId="78ED3569" w14:textId="77777777" w:rsidR="00E57A1B" w:rsidRPr="00E57A1B" w:rsidRDefault="00E57A1B" w:rsidP="00E57A1B">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3BD965CD" w14:textId="63D1F97A" w:rsidR="00AD4FB6" w:rsidRPr="005C76F0" w:rsidRDefault="00E57A1B" w:rsidP="00E57A1B">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E57A1B">
              <w:rPr>
                <w:rFonts w:asciiTheme="minorBidi" w:hAnsiTheme="minorBidi"/>
              </w:rPr>
              <w:t xml:space="preserve">Scale successful offers and integrate water, nature and </w:t>
            </w:r>
            <w:r w:rsidRPr="00E57A1B">
              <w:rPr>
                <w:rFonts w:asciiTheme="minorBidi" w:hAnsiTheme="minorBidi"/>
              </w:rPr>
              <w:lastRenderedPageBreak/>
              <w:t>operational-carbon metrics (BHP, 2025a).</w:t>
            </w:r>
          </w:p>
        </w:tc>
        <w:tc>
          <w:tcPr>
            <w:tcW w:w="2829" w:type="dxa"/>
            <w:vAlign w:val="center"/>
            <w:hideMark/>
          </w:tcPr>
          <w:p w14:paraId="41592378" w14:textId="77777777" w:rsidR="00E57A1B" w:rsidRPr="00E57A1B" w:rsidRDefault="00E57A1B" w:rsidP="000D0189">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1E23311B" w14:textId="095C9F55" w:rsidR="00AD4FB6" w:rsidRPr="005C76F0" w:rsidRDefault="000D0189" w:rsidP="000D0189">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0D0189">
              <w:rPr>
                <w:rFonts w:asciiTheme="minorBidi" w:hAnsiTheme="minorBidi"/>
              </w:rPr>
              <w:t xml:space="preserve">Scope 1 and 2 progress, stressed-area water withdrawal, </w:t>
            </w:r>
            <w:r w:rsidRPr="000D0189">
              <w:rPr>
                <w:rFonts w:asciiTheme="minorBidi" w:hAnsiTheme="minorBidi"/>
              </w:rPr>
              <w:lastRenderedPageBreak/>
              <w:t>restored hectares and revenue from verified offers (BHP, 2025a).</w:t>
            </w:r>
          </w:p>
        </w:tc>
        <w:tc>
          <w:tcPr>
            <w:tcW w:w="2558" w:type="dxa"/>
            <w:vAlign w:val="center"/>
            <w:hideMark/>
          </w:tcPr>
          <w:p w14:paraId="455D5D81" w14:textId="77777777" w:rsidR="00E57A1B" w:rsidRPr="00E57A1B" w:rsidRDefault="00E57A1B" w:rsidP="000D0189">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
                <w:szCs w:val="2"/>
              </w:rPr>
            </w:pPr>
          </w:p>
          <w:p w14:paraId="471FA529" w14:textId="13B29727" w:rsidR="00AD4FB6" w:rsidRPr="005C76F0" w:rsidRDefault="000D0189" w:rsidP="000D0189">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0D0189">
              <w:rPr>
                <w:rFonts w:asciiTheme="minorBidi" w:hAnsiTheme="minorBidi"/>
              </w:rPr>
              <w:t xml:space="preserve">TNFD-aligned location analysis, board oversight and </w:t>
            </w:r>
            <w:r w:rsidRPr="000D0189">
              <w:rPr>
                <w:rFonts w:asciiTheme="minorBidi" w:hAnsiTheme="minorBidi"/>
              </w:rPr>
              <w:lastRenderedPageBreak/>
              <w:t>executive accountability (TNFD, 2023).</w:t>
            </w:r>
          </w:p>
        </w:tc>
      </w:tr>
    </w:tbl>
    <w:p w14:paraId="60EFDDB1" w14:textId="77777777" w:rsidR="00AD4FB6" w:rsidRPr="005C76F0" w:rsidRDefault="00AD4FB6" w:rsidP="00AD4FB6">
      <w:pPr>
        <w:spacing w:line="360" w:lineRule="auto"/>
        <w:jc w:val="both"/>
        <w:rPr>
          <w:rFonts w:asciiTheme="minorBidi" w:hAnsiTheme="minorBidi"/>
          <w:i/>
          <w:iCs/>
          <w:sz w:val="20"/>
          <w:szCs w:val="20"/>
        </w:rPr>
      </w:pPr>
    </w:p>
    <w:p w14:paraId="32870458" w14:textId="56AF8CEA" w:rsidR="00AD4FB6" w:rsidRPr="005C76F0" w:rsidRDefault="00AD4FB6" w:rsidP="00AD4FB6">
      <w:pPr>
        <w:pStyle w:val="Heading1"/>
        <w:numPr>
          <w:ilvl w:val="0"/>
          <w:numId w:val="2"/>
        </w:numPr>
      </w:pPr>
      <w:bookmarkStart w:id="11" w:name="_Toc233230360"/>
      <w:r w:rsidRPr="005C76F0">
        <w:t>Task 3: Critical Reflection on AI Usage:</w:t>
      </w:r>
      <w:bookmarkEnd w:id="11"/>
    </w:p>
    <w:p w14:paraId="00BE83CE" w14:textId="5DAE12F3" w:rsidR="00AD4FB6" w:rsidRPr="005C76F0" w:rsidRDefault="00AD4FB6" w:rsidP="00AD4FB6">
      <w:pPr>
        <w:pStyle w:val="Heading2"/>
      </w:pPr>
      <w:bookmarkStart w:id="12" w:name="_Toc233230361"/>
      <w:r w:rsidRPr="005C76F0">
        <w:t>Tool Disclosure and Contribution Boundary:</w:t>
      </w:r>
      <w:bookmarkEnd w:id="12"/>
    </w:p>
    <w:p w14:paraId="27D33587" w14:textId="41B3AF63" w:rsidR="00AD4FB6" w:rsidRPr="005C76F0" w:rsidRDefault="00C93283" w:rsidP="00C93283">
      <w:pPr>
        <w:spacing w:line="360" w:lineRule="auto"/>
        <w:jc w:val="both"/>
        <w:rPr>
          <w:rFonts w:asciiTheme="minorBidi" w:hAnsiTheme="minorBidi"/>
        </w:rPr>
      </w:pPr>
      <w:r w:rsidRPr="00C93283">
        <w:rPr>
          <w:rFonts w:asciiTheme="minorBidi" w:hAnsiTheme="minorBidi"/>
        </w:rPr>
        <w:t xml:space="preserve">I have utilized ChatGPT as a </w:t>
      </w:r>
      <w:r>
        <w:rPr>
          <w:rFonts w:asciiTheme="minorBidi" w:hAnsiTheme="minorBidi"/>
        </w:rPr>
        <w:t>g</w:t>
      </w:r>
      <w:r w:rsidRPr="00C93283">
        <w:rPr>
          <w:rFonts w:asciiTheme="minorBidi" w:hAnsiTheme="minorBidi"/>
        </w:rPr>
        <w:t xml:space="preserve">enerative AI assistant for planning and drafting. </w:t>
      </w:r>
      <w:r>
        <w:rPr>
          <w:rFonts w:asciiTheme="minorBidi" w:hAnsiTheme="minorBidi"/>
        </w:rPr>
        <w:t xml:space="preserve">Also, </w:t>
      </w:r>
      <w:r w:rsidRPr="00C93283">
        <w:rPr>
          <w:rFonts w:asciiTheme="minorBidi" w:hAnsiTheme="minorBidi"/>
        </w:rPr>
        <w:t xml:space="preserve">I have provided a formal acknowledgment of the use of </w:t>
      </w:r>
      <w:r>
        <w:rPr>
          <w:rFonts w:asciiTheme="minorBidi" w:hAnsiTheme="minorBidi"/>
        </w:rPr>
        <w:t>g</w:t>
      </w:r>
      <w:r w:rsidRPr="00C93283">
        <w:rPr>
          <w:rFonts w:asciiTheme="minorBidi" w:hAnsiTheme="minorBidi"/>
        </w:rPr>
        <w:t xml:space="preserve">enerative AI with this </w:t>
      </w:r>
      <w:r w:rsidRPr="00C93283">
        <w:rPr>
          <w:rFonts w:asciiTheme="minorBidi" w:hAnsiTheme="minorBidi"/>
        </w:rPr>
        <w:t>submission</w:t>
      </w:r>
      <w:r w:rsidRPr="00C93283">
        <w:rPr>
          <w:rFonts w:asciiTheme="minorBidi" w:hAnsiTheme="minorBidi"/>
        </w:rPr>
        <w:t>. I asked it to provide me with report structures, search terms, connect to PESTLE, Five Forces, SWOT, Ansoff and Porter and areas where there is the need for up-to-date evidence. I also used it to try out the coherence of paragraphs and also to minimize repetition. I didn't rely on its output as a source of information though. I selected BHP, decided that the natural and political-regulatory environments were the principal actors, chose product development and broad differentiation, and determined the final argument. This boundary is important in order to preserve what generative AI can do to improve efficiency without undermining learning, and to inhibit the use of generative AI as a disguised author or a surrogate for judgement (Bittle and El-Gayar, 2025). My role was, therefore, to evaluate the evidence, reconcile the conflicting indicators and make the strategic recommendation.</w:t>
      </w:r>
    </w:p>
    <w:p w14:paraId="5BCAC28C" w14:textId="77777777" w:rsidR="00AD4FB6" w:rsidRPr="005C76F0" w:rsidRDefault="00AD4FB6" w:rsidP="00AD4FB6">
      <w:pPr>
        <w:spacing w:line="360" w:lineRule="auto"/>
        <w:jc w:val="both"/>
        <w:rPr>
          <w:rFonts w:asciiTheme="minorBidi" w:hAnsiTheme="minorBidi"/>
          <w:sz w:val="16"/>
          <w:szCs w:val="16"/>
        </w:rPr>
      </w:pPr>
    </w:p>
    <w:p w14:paraId="6CB93EA7" w14:textId="64AD9520" w:rsidR="00AD4FB6" w:rsidRPr="005C76F0" w:rsidRDefault="00AD4FB6" w:rsidP="00AD4FB6">
      <w:pPr>
        <w:pStyle w:val="Heading2"/>
      </w:pPr>
      <w:bookmarkStart w:id="13" w:name="_Toc233230362"/>
      <w:r w:rsidRPr="005C76F0">
        <w:t>Verification, Hallucinations and Corrections:</w:t>
      </w:r>
      <w:bookmarkEnd w:id="13"/>
    </w:p>
    <w:p w14:paraId="19A5845E" w14:textId="34693804" w:rsidR="00AD4FB6" w:rsidRPr="005C76F0" w:rsidRDefault="002F5B72" w:rsidP="002F5B72">
      <w:pPr>
        <w:spacing w:line="360" w:lineRule="auto"/>
        <w:jc w:val="both"/>
        <w:rPr>
          <w:rFonts w:asciiTheme="minorBidi" w:hAnsiTheme="minorBidi"/>
        </w:rPr>
      </w:pPr>
      <w:r w:rsidRPr="002F5B72">
        <w:rPr>
          <w:rFonts w:asciiTheme="minorBidi" w:hAnsiTheme="minorBidi"/>
        </w:rPr>
        <w:t xml:space="preserve">I verified every material AI-assisted claim through source triangulation rather than accepting fluent wording as proof. Operational data was verified against the BHP FY2025 Annual Report as well as against dated partnership announcements, market forecasts against the IEA and regulatory statements against the Australian Government and the European Commission sources. I made comparisons of units, reporting periods, organisational boundaries and definitions. This revealed significant possibilities for possible hallucination. For example, an initial summary could have indicated a 36% “structural” operational emissions reduction, whereas the annual report gives the attributed share to asset suspension. Another draft suggested that CBAM would directly price raw iron ore, and I revised the analysis to only consider its </w:t>
      </w:r>
      <w:r w:rsidRPr="002F5B72">
        <w:rPr>
          <w:rFonts w:asciiTheme="minorBidi" w:hAnsiTheme="minorBidi"/>
        </w:rPr>
        <w:lastRenderedPageBreak/>
        <w:t>indirect impact through iron and steel customers. Also, I have denied assurances based on green premiums—evidence wasn't strong enough. UNESCO (2023) suggests a more human presence with clear and transparent assessment of generative AI, which my verification log did by noting every claim or evidence and any corrections or final usage steps.</w:t>
      </w:r>
    </w:p>
    <w:p w14:paraId="186C5918" w14:textId="77777777" w:rsidR="00AD4FB6" w:rsidRPr="005C76F0" w:rsidRDefault="00AD4FB6" w:rsidP="00AD4FB6">
      <w:pPr>
        <w:spacing w:line="360" w:lineRule="auto"/>
        <w:jc w:val="both"/>
        <w:rPr>
          <w:rFonts w:asciiTheme="minorBidi" w:hAnsiTheme="minorBidi"/>
          <w:sz w:val="16"/>
          <w:szCs w:val="16"/>
        </w:rPr>
      </w:pPr>
    </w:p>
    <w:p w14:paraId="7DD3D765" w14:textId="2EA9F966" w:rsidR="00AD4FB6" w:rsidRPr="005C76F0" w:rsidRDefault="00AD4FB6" w:rsidP="00AD4FB6">
      <w:pPr>
        <w:pStyle w:val="Heading2"/>
      </w:pPr>
      <w:bookmarkStart w:id="14" w:name="_Toc233230363"/>
      <w:r w:rsidRPr="005C76F0">
        <w:t>Ethical and Professional Reflection:</w:t>
      </w:r>
      <w:bookmarkEnd w:id="14"/>
    </w:p>
    <w:p w14:paraId="42FB484F" w14:textId="0AA6B304" w:rsidR="00AD4FB6" w:rsidRPr="005C76F0" w:rsidRDefault="005F58DF" w:rsidP="005F58DF">
      <w:pPr>
        <w:spacing w:line="360" w:lineRule="auto"/>
        <w:jc w:val="both"/>
        <w:rPr>
          <w:rFonts w:asciiTheme="minorBidi" w:hAnsiTheme="minorBidi"/>
        </w:rPr>
      </w:pPr>
      <w:r w:rsidRPr="005F58DF">
        <w:rPr>
          <w:rFonts w:asciiTheme="minorBidi" w:hAnsiTheme="minorBidi"/>
        </w:rPr>
        <w:br/>
        <w:t xml:space="preserve">Ethically, I believe AI enhanced speed and our test of relation between proof of the environment and marketing, but with its additions of bias, falsified specificity, weak provenance and over-confidence. These risks are very real when it comes to sustainability accounting, as slick marketing can embellish greenwashing. Delmas and Burbano (2011) have demonstrated how organisational, market and regulatory influences can foster misleading communication and </w:t>
      </w:r>
      <w:proofErr w:type="spellStart"/>
      <w:r w:rsidRPr="005F58DF">
        <w:rPr>
          <w:rFonts w:asciiTheme="minorBidi" w:hAnsiTheme="minorBidi"/>
        </w:rPr>
        <w:t>Zervoudi</w:t>
      </w:r>
      <w:proofErr w:type="spellEnd"/>
      <w:r w:rsidRPr="005F58DF">
        <w:rPr>
          <w:rFonts w:asciiTheme="minorBidi" w:hAnsiTheme="minorBidi"/>
        </w:rPr>
        <w:t>, Moschos and Christopoulos (2025) highlight the harm to trust. I thus resolved to make transparency a work ethic. I also disclosed the tool, which I did not enter into any confidential information, without losing my judgment and expectation in selecting sources, and, further, that recommendation was based on evidence not rhetorical style. Further, I rewrite the analysis writing in my own academic style and retained the uncertainty where technologies or forecasts were not settled. Overall, my main learning is that responsible AI use is not demonstrated by merely naming the tool. It demands evidence that can be traced back to a source, careful editing, effective demarcation of authors and eagerness to cut desirable and defensible statements.</w:t>
      </w:r>
    </w:p>
    <w:p w14:paraId="0655D98B" w14:textId="77777777" w:rsidR="00AD4FB6" w:rsidRPr="005C76F0" w:rsidRDefault="00AD4FB6" w:rsidP="00AD4FB6">
      <w:pPr>
        <w:spacing w:line="360" w:lineRule="auto"/>
        <w:jc w:val="both"/>
        <w:rPr>
          <w:rFonts w:asciiTheme="minorBidi" w:hAnsiTheme="minorBidi"/>
          <w:sz w:val="20"/>
          <w:szCs w:val="20"/>
        </w:rPr>
      </w:pPr>
    </w:p>
    <w:p w14:paraId="3D11DA0A" w14:textId="391709AA" w:rsidR="00AD4FB6" w:rsidRPr="005C76F0" w:rsidRDefault="00AD4FB6" w:rsidP="00AD4FB6">
      <w:pPr>
        <w:pStyle w:val="Heading1"/>
      </w:pPr>
      <w:bookmarkStart w:id="15" w:name="_Toc233230364"/>
      <w:r w:rsidRPr="005C76F0">
        <w:t>Conclusion:</w:t>
      </w:r>
      <w:bookmarkEnd w:id="15"/>
    </w:p>
    <w:p w14:paraId="1BD9FF45" w14:textId="37E16E97" w:rsidR="00EC2B60" w:rsidRDefault="00B96509" w:rsidP="00B96509">
      <w:pPr>
        <w:spacing w:line="360" w:lineRule="auto"/>
        <w:jc w:val="both"/>
        <w:rPr>
          <w:rFonts w:asciiTheme="minorBidi" w:hAnsiTheme="minorBidi"/>
        </w:rPr>
      </w:pPr>
      <w:r w:rsidRPr="00B96509">
        <w:rPr>
          <w:rFonts w:asciiTheme="minorBidi" w:hAnsiTheme="minorBidi"/>
        </w:rPr>
        <w:t xml:space="preserve">In conclusion, this report critically finds that BHP’s lower-carbon transition is shaped most powerfully by the natural environment and a demanding political-regulatory environment. Environmental credibility is a precondition to supply assurance and stakeholder legitimacy (DCCEEW, 2026; European Commission, 2026) as climate hazards, water stress and biodiversity impacts become increasingly pressuring, whilst the European Union's CBAM and climate disclosure, and Australia's Safeguard Mechanism are changing the expectations of customers. In addition, the PESTLE, </w:t>
      </w:r>
      <w:r w:rsidRPr="00B96509">
        <w:rPr>
          <w:rFonts w:asciiTheme="minorBidi" w:hAnsiTheme="minorBidi"/>
        </w:rPr>
        <w:lastRenderedPageBreak/>
        <w:t xml:space="preserve">Five Forces and SWOT analysis also indicate that lack of rivalry and buyer power also check easy green premiums. Thus, the recommended growth approach is Ansoff product development with some market development and some broad differentiation by </w:t>
      </w:r>
      <w:proofErr w:type="spellStart"/>
      <w:r w:rsidRPr="00B96509">
        <w:rPr>
          <w:rFonts w:asciiTheme="minorBidi" w:hAnsiTheme="minorBidi"/>
        </w:rPr>
        <w:t>Porterian</w:t>
      </w:r>
      <w:proofErr w:type="spellEnd"/>
      <w:r w:rsidRPr="00B96509">
        <w:rPr>
          <w:rFonts w:asciiTheme="minorBidi" w:hAnsiTheme="minorBidi"/>
        </w:rPr>
        <w:t xml:space="preserve"> approach. More specifically, BHP would need to leverage qualified lower carbon ore solutions, copper growth, customer co-innovation and independently vetted product information, rather than blanket sustainability claims. Finally, responsible AI proved helpful in providing structure and challenge, but ultimately verification of sources and responsible human judgment had to be determinative to the integrity of the report.</w:t>
      </w:r>
    </w:p>
    <w:p w14:paraId="1CF45BF9" w14:textId="77777777" w:rsidR="00B96509" w:rsidRDefault="00B96509" w:rsidP="00B96509">
      <w:pPr>
        <w:spacing w:line="360" w:lineRule="auto"/>
        <w:jc w:val="both"/>
        <w:rPr>
          <w:rFonts w:asciiTheme="minorBidi" w:hAnsiTheme="minorBidi"/>
        </w:rPr>
      </w:pPr>
    </w:p>
    <w:p w14:paraId="7510FBDE" w14:textId="77777777" w:rsidR="00B96509" w:rsidRDefault="00B96509" w:rsidP="00B96509">
      <w:pPr>
        <w:spacing w:line="360" w:lineRule="auto"/>
        <w:jc w:val="both"/>
        <w:rPr>
          <w:rFonts w:asciiTheme="minorBidi" w:hAnsiTheme="minorBidi"/>
        </w:rPr>
      </w:pPr>
    </w:p>
    <w:p w14:paraId="772E91ED" w14:textId="77777777" w:rsidR="00B96509" w:rsidRDefault="00B96509" w:rsidP="00B96509">
      <w:pPr>
        <w:spacing w:line="360" w:lineRule="auto"/>
        <w:jc w:val="both"/>
        <w:rPr>
          <w:rFonts w:asciiTheme="minorBidi" w:hAnsiTheme="minorBidi"/>
        </w:rPr>
      </w:pPr>
    </w:p>
    <w:p w14:paraId="265E1169" w14:textId="77777777" w:rsidR="00B96509" w:rsidRDefault="00B96509" w:rsidP="00B96509">
      <w:pPr>
        <w:spacing w:line="360" w:lineRule="auto"/>
        <w:jc w:val="both"/>
        <w:rPr>
          <w:rFonts w:asciiTheme="minorBidi" w:hAnsiTheme="minorBidi"/>
        </w:rPr>
      </w:pPr>
    </w:p>
    <w:p w14:paraId="6F595AEA" w14:textId="77777777" w:rsidR="00B96509" w:rsidRDefault="00B96509" w:rsidP="00B96509">
      <w:pPr>
        <w:spacing w:line="360" w:lineRule="auto"/>
        <w:jc w:val="both"/>
        <w:rPr>
          <w:rFonts w:asciiTheme="minorBidi" w:hAnsiTheme="minorBidi"/>
        </w:rPr>
      </w:pPr>
    </w:p>
    <w:p w14:paraId="5C1F9E27" w14:textId="77777777" w:rsidR="00B96509" w:rsidRDefault="00B96509" w:rsidP="00B96509">
      <w:pPr>
        <w:spacing w:line="360" w:lineRule="auto"/>
        <w:jc w:val="both"/>
        <w:rPr>
          <w:rFonts w:asciiTheme="minorBidi" w:hAnsiTheme="minorBidi"/>
        </w:rPr>
      </w:pPr>
    </w:p>
    <w:p w14:paraId="1FD18292" w14:textId="77777777" w:rsidR="00B96509" w:rsidRDefault="00B96509" w:rsidP="00B96509">
      <w:pPr>
        <w:spacing w:line="360" w:lineRule="auto"/>
        <w:jc w:val="both"/>
        <w:rPr>
          <w:rFonts w:asciiTheme="minorBidi" w:hAnsiTheme="minorBidi"/>
        </w:rPr>
      </w:pPr>
    </w:p>
    <w:p w14:paraId="0E56EADD" w14:textId="77777777" w:rsidR="00B96509" w:rsidRDefault="00B96509" w:rsidP="00B96509">
      <w:pPr>
        <w:spacing w:line="360" w:lineRule="auto"/>
        <w:jc w:val="both"/>
        <w:rPr>
          <w:rFonts w:asciiTheme="minorBidi" w:hAnsiTheme="minorBidi"/>
        </w:rPr>
      </w:pPr>
    </w:p>
    <w:p w14:paraId="296803C7" w14:textId="77777777" w:rsidR="00B96509" w:rsidRDefault="00B96509" w:rsidP="00B96509">
      <w:pPr>
        <w:spacing w:line="360" w:lineRule="auto"/>
        <w:jc w:val="both"/>
        <w:rPr>
          <w:rFonts w:asciiTheme="minorBidi" w:hAnsiTheme="minorBidi"/>
        </w:rPr>
      </w:pPr>
    </w:p>
    <w:p w14:paraId="45E1A2D2" w14:textId="77777777" w:rsidR="00B96509" w:rsidRDefault="00B96509" w:rsidP="00B96509">
      <w:pPr>
        <w:spacing w:line="360" w:lineRule="auto"/>
        <w:jc w:val="both"/>
        <w:rPr>
          <w:rFonts w:asciiTheme="minorBidi" w:hAnsiTheme="minorBidi"/>
        </w:rPr>
      </w:pPr>
    </w:p>
    <w:p w14:paraId="15E159E6" w14:textId="77777777" w:rsidR="00B96509" w:rsidRDefault="00B96509" w:rsidP="00B96509">
      <w:pPr>
        <w:spacing w:line="360" w:lineRule="auto"/>
        <w:jc w:val="both"/>
        <w:rPr>
          <w:rFonts w:asciiTheme="minorBidi" w:hAnsiTheme="minorBidi"/>
        </w:rPr>
      </w:pPr>
    </w:p>
    <w:p w14:paraId="76110BE3" w14:textId="77777777" w:rsidR="00B96509" w:rsidRDefault="00B96509" w:rsidP="00B96509">
      <w:pPr>
        <w:spacing w:line="360" w:lineRule="auto"/>
        <w:jc w:val="both"/>
        <w:rPr>
          <w:rFonts w:asciiTheme="minorBidi" w:hAnsiTheme="minorBidi"/>
        </w:rPr>
      </w:pPr>
    </w:p>
    <w:p w14:paraId="1E372AA0" w14:textId="77777777" w:rsidR="00B96509" w:rsidRDefault="00B96509" w:rsidP="00B96509">
      <w:pPr>
        <w:spacing w:line="360" w:lineRule="auto"/>
        <w:jc w:val="both"/>
        <w:rPr>
          <w:rFonts w:asciiTheme="minorBidi" w:hAnsiTheme="minorBidi"/>
        </w:rPr>
      </w:pPr>
    </w:p>
    <w:p w14:paraId="599FE38E" w14:textId="77777777" w:rsidR="00B96509" w:rsidRDefault="00B96509" w:rsidP="00B96509">
      <w:pPr>
        <w:spacing w:line="360" w:lineRule="auto"/>
        <w:jc w:val="both"/>
        <w:rPr>
          <w:rFonts w:asciiTheme="minorBidi" w:hAnsiTheme="minorBidi"/>
        </w:rPr>
      </w:pPr>
    </w:p>
    <w:p w14:paraId="7A30076E" w14:textId="77777777" w:rsidR="00B96509" w:rsidRDefault="00B96509" w:rsidP="00B96509">
      <w:pPr>
        <w:spacing w:line="360" w:lineRule="auto"/>
        <w:jc w:val="both"/>
        <w:rPr>
          <w:rFonts w:asciiTheme="minorBidi" w:hAnsiTheme="minorBidi"/>
        </w:rPr>
      </w:pPr>
    </w:p>
    <w:p w14:paraId="3144BD92" w14:textId="77777777" w:rsidR="00B96509" w:rsidRDefault="00B96509" w:rsidP="00B96509">
      <w:pPr>
        <w:spacing w:line="360" w:lineRule="auto"/>
        <w:jc w:val="both"/>
        <w:rPr>
          <w:rFonts w:asciiTheme="minorBidi" w:hAnsiTheme="minorBidi"/>
        </w:rPr>
      </w:pPr>
    </w:p>
    <w:p w14:paraId="1E9BF6AB" w14:textId="77777777" w:rsidR="00B96509" w:rsidRDefault="00B96509" w:rsidP="00B96509">
      <w:pPr>
        <w:spacing w:line="360" w:lineRule="auto"/>
        <w:jc w:val="both"/>
        <w:rPr>
          <w:rFonts w:asciiTheme="minorBidi" w:hAnsiTheme="minorBidi"/>
        </w:rPr>
      </w:pPr>
    </w:p>
    <w:p w14:paraId="1D5F06DC" w14:textId="77777777" w:rsidR="00B96509" w:rsidRPr="005C76F0" w:rsidRDefault="00B96509" w:rsidP="00B96509">
      <w:pPr>
        <w:spacing w:line="360" w:lineRule="auto"/>
        <w:jc w:val="both"/>
        <w:rPr>
          <w:rFonts w:asciiTheme="minorBidi" w:hAnsiTheme="minorBidi"/>
        </w:rPr>
      </w:pPr>
    </w:p>
    <w:p w14:paraId="542BB90A" w14:textId="7D612400" w:rsidR="00AD4FB6" w:rsidRPr="005C76F0" w:rsidRDefault="00AD4FB6" w:rsidP="00AD4FB6">
      <w:pPr>
        <w:pStyle w:val="Heading1"/>
      </w:pPr>
      <w:bookmarkStart w:id="16" w:name="_Toc233230365"/>
      <w:r w:rsidRPr="005C76F0">
        <w:lastRenderedPageBreak/>
        <w:t>References:</w:t>
      </w:r>
      <w:bookmarkEnd w:id="16"/>
    </w:p>
    <w:p w14:paraId="244ADF90" w14:textId="77777777" w:rsidR="009D427A" w:rsidRDefault="009D427A" w:rsidP="009D427A">
      <w:pPr>
        <w:spacing w:line="360" w:lineRule="auto"/>
        <w:jc w:val="both"/>
        <w:rPr>
          <w:rFonts w:asciiTheme="minorBidi" w:hAnsiTheme="minorBidi"/>
        </w:rPr>
      </w:pPr>
      <w:r w:rsidRPr="009D427A">
        <w:rPr>
          <w:rFonts w:asciiTheme="minorBidi" w:hAnsiTheme="minorBidi"/>
        </w:rPr>
        <w:t xml:space="preserve">Adner, R. (2017). Ecosystem as structure: An actionable construct for strategy. </w:t>
      </w:r>
      <w:r w:rsidRPr="009D427A">
        <w:rPr>
          <w:rFonts w:asciiTheme="minorBidi" w:hAnsiTheme="minorBidi"/>
          <w:i/>
          <w:iCs/>
        </w:rPr>
        <w:t>Journal of Management</w:t>
      </w:r>
      <w:r w:rsidRPr="009D427A">
        <w:rPr>
          <w:rFonts w:asciiTheme="minorBidi" w:hAnsiTheme="minorBidi"/>
        </w:rPr>
        <w:t xml:space="preserve">, 43(1), pp. 39–58. </w:t>
      </w:r>
      <w:proofErr w:type="spellStart"/>
      <w:r w:rsidRPr="009D427A">
        <w:rPr>
          <w:rFonts w:asciiTheme="minorBidi" w:hAnsiTheme="minorBidi"/>
        </w:rPr>
        <w:t>doi</w:t>
      </w:r>
      <w:proofErr w:type="spellEnd"/>
      <w:r w:rsidRPr="009D427A">
        <w:rPr>
          <w:rFonts w:asciiTheme="minorBidi" w:hAnsiTheme="minorBidi"/>
        </w:rPr>
        <w:t xml:space="preserve">: </w:t>
      </w:r>
      <w:hyperlink r:id="rId14" w:history="1">
        <w:r w:rsidRPr="009D427A">
          <w:rPr>
            <w:rStyle w:val="Hyperlink"/>
            <w:rFonts w:asciiTheme="minorBidi" w:hAnsiTheme="minorBidi"/>
          </w:rPr>
          <w:t>https://doi.org/10.1177/0149206316678451</w:t>
        </w:r>
      </w:hyperlink>
      <w:r w:rsidRPr="009D427A">
        <w:rPr>
          <w:rFonts w:asciiTheme="minorBidi" w:hAnsiTheme="minorBidi"/>
        </w:rPr>
        <w:t>.</w:t>
      </w:r>
    </w:p>
    <w:p w14:paraId="2C668A6D" w14:textId="7CC4C873" w:rsidR="00AD4FB6" w:rsidRPr="005C76F0" w:rsidRDefault="00AD4FB6" w:rsidP="009D427A">
      <w:pPr>
        <w:spacing w:line="360" w:lineRule="auto"/>
        <w:jc w:val="both"/>
        <w:rPr>
          <w:rFonts w:asciiTheme="minorBidi" w:hAnsiTheme="minorBidi"/>
        </w:rPr>
      </w:pPr>
      <w:r w:rsidRPr="005C76F0">
        <w:rPr>
          <w:rFonts w:asciiTheme="minorBidi" w:hAnsiTheme="minorBidi"/>
        </w:rPr>
        <w:t xml:space="preserve">Ansoff, H.I. (1957). Strategies for diversification. </w:t>
      </w:r>
      <w:r w:rsidRPr="005C76F0">
        <w:rPr>
          <w:rFonts w:asciiTheme="minorBidi" w:hAnsiTheme="minorBidi"/>
          <w:i/>
          <w:iCs/>
        </w:rPr>
        <w:t>Harvard Business Review</w:t>
      </w:r>
      <w:r w:rsidRPr="005C76F0">
        <w:rPr>
          <w:rFonts w:asciiTheme="minorBidi" w:hAnsiTheme="minorBidi"/>
        </w:rPr>
        <w:t>, 35(5), pp. 113–124.</w:t>
      </w:r>
    </w:p>
    <w:p w14:paraId="74D9509C" w14:textId="77777777" w:rsidR="00AD4FB6" w:rsidRPr="005C76F0" w:rsidRDefault="00AD4FB6" w:rsidP="00AD4FB6">
      <w:pPr>
        <w:spacing w:line="360" w:lineRule="auto"/>
        <w:jc w:val="both"/>
        <w:rPr>
          <w:rFonts w:asciiTheme="minorBidi" w:hAnsiTheme="minorBidi"/>
        </w:rPr>
      </w:pPr>
      <w:r w:rsidRPr="005C76F0">
        <w:rPr>
          <w:rFonts w:asciiTheme="minorBidi" w:hAnsiTheme="minorBidi"/>
        </w:rPr>
        <w:t xml:space="preserve">Australian Treasury (2026). </w:t>
      </w:r>
      <w:r w:rsidRPr="005C76F0">
        <w:rPr>
          <w:rFonts w:asciiTheme="minorBidi" w:hAnsiTheme="minorBidi"/>
          <w:i/>
          <w:iCs/>
        </w:rPr>
        <w:t>Climate-related financial reporting and guidance</w:t>
      </w:r>
      <w:r w:rsidRPr="005C76F0">
        <w:rPr>
          <w:rFonts w:asciiTheme="minorBidi" w:hAnsiTheme="minorBidi"/>
        </w:rPr>
        <w:t xml:space="preserve">. [online] Australian Government. Available at: </w:t>
      </w:r>
      <w:hyperlink r:id="rId15" w:history="1">
        <w:r w:rsidRPr="005C76F0">
          <w:rPr>
            <w:rStyle w:val="Hyperlink"/>
            <w:rFonts w:asciiTheme="minorBidi" w:hAnsiTheme="minorBidi"/>
          </w:rPr>
          <w:t>https://treasury.gov.au/policy-topics/banking-and-finance/sustainable-finance/climate-financial-reporting-guidance</w:t>
        </w:r>
      </w:hyperlink>
      <w:r w:rsidRPr="005C76F0">
        <w:rPr>
          <w:rFonts w:asciiTheme="minorBidi" w:hAnsiTheme="minorBidi"/>
        </w:rPr>
        <w:t>.</w:t>
      </w:r>
    </w:p>
    <w:p w14:paraId="4FF668C8" w14:textId="77777777" w:rsidR="00AD4FB6" w:rsidRPr="005C76F0" w:rsidRDefault="00AD4FB6" w:rsidP="00AD4FB6">
      <w:pPr>
        <w:spacing w:line="360" w:lineRule="auto"/>
        <w:jc w:val="both"/>
        <w:rPr>
          <w:rFonts w:asciiTheme="minorBidi" w:hAnsiTheme="minorBidi"/>
        </w:rPr>
      </w:pPr>
      <w:r w:rsidRPr="005C76F0">
        <w:rPr>
          <w:rFonts w:asciiTheme="minorBidi" w:hAnsiTheme="minorBidi"/>
        </w:rPr>
        <w:t xml:space="preserve">Barney, J. (1991). Firm resources and sustained competitive advantage. </w:t>
      </w:r>
      <w:r w:rsidRPr="005C76F0">
        <w:rPr>
          <w:rFonts w:asciiTheme="minorBidi" w:hAnsiTheme="minorBidi"/>
          <w:i/>
          <w:iCs/>
        </w:rPr>
        <w:t>Journal of Management</w:t>
      </w:r>
      <w:r w:rsidRPr="005C76F0">
        <w:rPr>
          <w:rFonts w:asciiTheme="minorBidi" w:hAnsiTheme="minorBidi"/>
        </w:rPr>
        <w:t xml:space="preserve">, 17(1), pp. 99–120. </w:t>
      </w:r>
      <w:proofErr w:type="spellStart"/>
      <w:r w:rsidRPr="005C76F0">
        <w:rPr>
          <w:rFonts w:asciiTheme="minorBidi" w:hAnsiTheme="minorBidi"/>
        </w:rPr>
        <w:t>doi</w:t>
      </w:r>
      <w:proofErr w:type="spellEnd"/>
      <w:r w:rsidRPr="005C76F0">
        <w:rPr>
          <w:rFonts w:asciiTheme="minorBidi" w:hAnsiTheme="minorBidi"/>
        </w:rPr>
        <w:t xml:space="preserve">: </w:t>
      </w:r>
      <w:hyperlink r:id="rId16" w:history="1">
        <w:r w:rsidRPr="005C76F0">
          <w:rPr>
            <w:rStyle w:val="Hyperlink"/>
            <w:rFonts w:asciiTheme="minorBidi" w:hAnsiTheme="minorBidi"/>
          </w:rPr>
          <w:t>https://doi.org/10.1177/014920639101700108</w:t>
        </w:r>
      </w:hyperlink>
      <w:r w:rsidRPr="005C76F0">
        <w:rPr>
          <w:rFonts w:asciiTheme="minorBidi" w:hAnsiTheme="minorBidi"/>
        </w:rPr>
        <w:t>.</w:t>
      </w:r>
    </w:p>
    <w:p w14:paraId="3B1EA117" w14:textId="77777777" w:rsidR="00AD4FB6" w:rsidRPr="005C76F0" w:rsidRDefault="00AD4FB6" w:rsidP="00AD4FB6">
      <w:pPr>
        <w:spacing w:line="360" w:lineRule="auto"/>
        <w:jc w:val="both"/>
        <w:rPr>
          <w:rFonts w:asciiTheme="minorBidi" w:hAnsiTheme="minorBidi"/>
        </w:rPr>
      </w:pPr>
      <w:r w:rsidRPr="005C76F0">
        <w:rPr>
          <w:rFonts w:asciiTheme="minorBidi" w:hAnsiTheme="minorBidi"/>
        </w:rPr>
        <w:t xml:space="preserve">BHP (2024). </w:t>
      </w:r>
      <w:r w:rsidRPr="005C76F0">
        <w:rPr>
          <w:rFonts w:asciiTheme="minorBidi" w:hAnsiTheme="minorBidi"/>
          <w:i/>
          <w:iCs/>
        </w:rPr>
        <w:t>Climate Transition Action Plan 2024</w:t>
      </w:r>
      <w:r w:rsidRPr="005C76F0">
        <w:rPr>
          <w:rFonts w:asciiTheme="minorBidi" w:hAnsiTheme="minorBidi"/>
        </w:rPr>
        <w:t xml:space="preserve">. [online] BHP. Available at: </w:t>
      </w:r>
      <w:hyperlink r:id="rId17" w:history="1">
        <w:r w:rsidRPr="005C76F0">
          <w:rPr>
            <w:rStyle w:val="Hyperlink"/>
            <w:rFonts w:asciiTheme="minorBidi" w:hAnsiTheme="minorBidi"/>
          </w:rPr>
          <w:t>https://www.bhp.com/-/media/documents/investors/annual-reports/2024/240827_bhpclimatetransitionactionplan2024.pdf</w:t>
        </w:r>
      </w:hyperlink>
      <w:r w:rsidRPr="005C76F0">
        <w:rPr>
          <w:rFonts w:asciiTheme="minorBidi" w:hAnsiTheme="minorBidi"/>
        </w:rPr>
        <w:t>.</w:t>
      </w:r>
    </w:p>
    <w:p w14:paraId="2116C06E" w14:textId="33FB3CF0" w:rsidR="00AD4FB6" w:rsidRPr="005C76F0" w:rsidRDefault="00AD4FB6" w:rsidP="00AD4FB6">
      <w:pPr>
        <w:spacing w:line="360" w:lineRule="auto"/>
        <w:jc w:val="both"/>
        <w:rPr>
          <w:rFonts w:asciiTheme="minorBidi" w:hAnsiTheme="minorBidi"/>
        </w:rPr>
      </w:pPr>
      <w:r w:rsidRPr="005C76F0">
        <w:rPr>
          <w:rFonts w:asciiTheme="minorBidi" w:hAnsiTheme="minorBidi"/>
        </w:rPr>
        <w:t xml:space="preserve">BHP (2025a). </w:t>
      </w:r>
      <w:r w:rsidRPr="005C76F0">
        <w:rPr>
          <w:rFonts w:asciiTheme="minorBidi" w:hAnsiTheme="minorBidi"/>
          <w:i/>
          <w:iCs/>
        </w:rPr>
        <w:t>Annual Report 2025</w:t>
      </w:r>
      <w:r w:rsidRPr="005C76F0">
        <w:rPr>
          <w:rFonts w:asciiTheme="minorBidi" w:hAnsiTheme="minorBidi"/>
        </w:rPr>
        <w:t xml:space="preserve">. [online] BHP. Available at: </w:t>
      </w:r>
      <w:hyperlink r:id="rId18" w:history="1">
        <w:r w:rsidR="007712FB" w:rsidRPr="00863CAD">
          <w:rPr>
            <w:rStyle w:val="Hyperlink"/>
            <w:rFonts w:asciiTheme="minorBidi" w:hAnsiTheme="minorBidi"/>
          </w:rPr>
          <w:t>https://www.bhp.com/-/media/documents/investors/annual-reports/2025/250819_bhpannualreport2025.pdf</w:t>
        </w:r>
      </w:hyperlink>
      <w:r w:rsidRPr="005C76F0">
        <w:rPr>
          <w:rFonts w:asciiTheme="minorBidi" w:hAnsiTheme="minorBidi"/>
        </w:rPr>
        <w:t>.</w:t>
      </w:r>
      <w:r w:rsidR="007712FB">
        <w:rPr>
          <w:rFonts w:asciiTheme="minorBidi" w:hAnsiTheme="minorBidi"/>
        </w:rPr>
        <w:t xml:space="preserve"> </w:t>
      </w:r>
    </w:p>
    <w:p w14:paraId="00E103F9" w14:textId="77777777" w:rsidR="00AD4FB6" w:rsidRPr="005C76F0" w:rsidRDefault="00AD4FB6" w:rsidP="00AD4FB6">
      <w:pPr>
        <w:spacing w:line="360" w:lineRule="auto"/>
        <w:jc w:val="both"/>
        <w:rPr>
          <w:rFonts w:asciiTheme="minorBidi" w:hAnsiTheme="minorBidi"/>
        </w:rPr>
      </w:pPr>
      <w:r w:rsidRPr="005C76F0">
        <w:rPr>
          <w:rFonts w:asciiTheme="minorBidi" w:hAnsiTheme="minorBidi"/>
        </w:rPr>
        <w:t xml:space="preserve">BHP (2025b). </w:t>
      </w:r>
      <w:r w:rsidRPr="005C76F0">
        <w:rPr>
          <w:rFonts w:asciiTheme="minorBidi" w:hAnsiTheme="minorBidi"/>
          <w:i/>
          <w:iCs/>
        </w:rPr>
        <w:t xml:space="preserve">BHP and China </w:t>
      </w:r>
      <w:proofErr w:type="spellStart"/>
      <w:r w:rsidRPr="005C76F0">
        <w:rPr>
          <w:rFonts w:asciiTheme="minorBidi" w:hAnsiTheme="minorBidi"/>
          <w:i/>
          <w:iCs/>
        </w:rPr>
        <w:t>Baowu</w:t>
      </w:r>
      <w:proofErr w:type="spellEnd"/>
      <w:r w:rsidRPr="005C76F0">
        <w:rPr>
          <w:rFonts w:asciiTheme="minorBidi" w:hAnsiTheme="minorBidi"/>
          <w:i/>
          <w:iCs/>
        </w:rPr>
        <w:t xml:space="preserve"> celebrated successful commercial-scale DRI trials using BHP’s Pilbara iron ores</w:t>
      </w:r>
      <w:r w:rsidRPr="005C76F0">
        <w:rPr>
          <w:rFonts w:asciiTheme="minorBidi" w:hAnsiTheme="minorBidi"/>
        </w:rPr>
        <w:t xml:space="preserve">. [online] BHP. Available at: </w:t>
      </w:r>
      <w:hyperlink r:id="rId19" w:history="1">
        <w:r w:rsidRPr="005C76F0">
          <w:rPr>
            <w:rStyle w:val="Hyperlink"/>
            <w:rFonts w:asciiTheme="minorBidi" w:hAnsiTheme="minorBidi"/>
          </w:rPr>
          <w:t>https://www.bhp.com/news/articles/2025/05/bhp-and-china-baowu-celebrated-successful-commercial-scale-dri-trials-using-bhps-pilbara-iron-ores</w:t>
        </w:r>
      </w:hyperlink>
      <w:r w:rsidRPr="005C76F0">
        <w:rPr>
          <w:rFonts w:asciiTheme="minorBidi" w:hAnsiTheme="minorBidi"/>
        </w:rPr>
        <w:t>.</w:t>
      </w:r>
    </w:p>
    <w:p w14:paraId="536209EC" w14:textId="634B3845" w:rsidR="00AD4FB6" w:rsidRPr="005C76F0" w:rsidRDefault="00AD4FB6" w:rsidP="00AD4FB6">
      <w:pPr>
        <w:spacing w:line="360" w:lineRule="auto"/>
        <w:jc w:val="both"/>
        <w:rPr>
          <w:rFonts w:asciiTheme="minorBidi" w:hAnsiTheme="minorBidi"/>
        </w:rPr>
      </w:pPr>
      <w:r w:rsidRPr="005C76F0">
        <w:rPr>
          <w:rFonts w:asciiTheme="minorBidi" w:hAnsiTheme="minorBidi"/>
        </w:rPr>
        <w:t xml:space="preserve">BHP (2025c). </w:t>
      </w:r>
      <w:proofErr w:type="spellStart"/>
      <w:r w:rsidRPr="005C76F0">
        <w:rPr>
          <w:rFonts w:asciiTheme="minorBidi" w:hAnsiTheme="minorBidi"/>
          <w:i/>
          <w:iCs/>
        </w:rPr>
        <w:t>NeoSmelt</w:t>
      </w:r>
      <w:proofErr w:type="spellEnd"/>
      <w:r w:rsidRPr="005C76F0">
        <w:rPr>
          <w:rFonts w:asciiTheme="minorBidi" w:hAnsiTheme="minorBidi"/>
          <w:i/>
          <w:iCs/>
        </w:rPr>
        <w:t xml:space="preserve"> welcomes Federal Government support and signs two new participants</w:t>
      </w:r>
      <w:r w:rsidRPr="005C76F0">
        <w:rPr>
          <w:rFonts w:asciiTheme="minorBidi" w:hAnsiTheme="minorBidi"/>
        </w:rPr>
        <w:t xml:space="preserve">. [online] BHP. Available at: </w:t>
      </w:r>
      <w:hyperlink r:id="rId20" w:history="1">
        <w:r w:rsidR="00507421" w:rsidRPr="00863CAD">
          <w:rPr>
            <w:rStyle w:val="Hyperlink"/>
            <w:rFonts w:asciiTheme="minorBidi" w:hAnsiTheme="minorBidi"/>
          </w:rPr>
          <w:t>https://www.bhp.com/news/media-centre/releases/2025/06/neosmelt-welcomes-federal-government-support-and-signs-two-new-participants</w:t>
        </w:r>
      </w:hyperlink>
      <w:r w:rsidRPr="005C76F0">
        <w:rPr>
          <w:rFonts w:asciiTheme="minorBidi" w:hAnsiTheme="minorBidi"/>
        </w:rPr>
        <w:t>.</w:t>
      </w:r>
      <w:r w:rsidR="00507421">
        <w:rPr>
          <w:rFonts w:asciiTheme="minorBidi" w:hAnsiTheme="minorBidi"/>
        </w:rPr>
        <w:t xml:space="preserve"> </w:t>
      </w:r>
    </w:p>
    <w:p w14:paraId="732391DA" w14:textId="77777777" w:rsidR="00AD4FB6" w:rsidRPr="005C76F0" w:rsidRDefault="00AD4FB6" w:rsidP="00AD4FB6">
      <w:pPr>
        <w:spacing w:line="360" w:lineRule="auto"/>
        <w:jc w:val="both"/>
        <w:rPr>
          <w:rFonts w:asciiTheme="minorBidi" w:hAnsiTheme="minorBidi"/>
        </w:rPr>
      </w:pPr>
      <w:r w:rsidRPr="005C76F0">
        <w:rPr>
          <w:rFonts w:asciiTheme="minorBidi" w:hAnsiTheme="minorBidi"/>
        </w:rPr>
        <w:t xml:space="preserve">Bittle, K. and El-Gayar, O. (2025). Generative AI and academic integrity in higher education: A systematic review and research agenda. </w:t>
      </w:r>
      <w:r w:rsidRPr="005C76F0">
        <w:rPr>
          <w:rFonts w:asciiTheme="minorBidi" w:hAnsiTheme="minorBidi"/>
          <w:i/>
          <w:iCs/>
        </w:rPr>
        <w:t>Information</w:t>
      </w:r>
      <w:r w:rsidRPr="005C76F0">
        <w:rPr>
          <w:rFonts w:asciiTheme="minorBidi" w:hAnsiTheme="minorBidi"/>
        </w:rPr>
        <w:t xml:space="preserve">, 16(4), 296. </w:t>
      </w:r>
      <w:proofErr w:type="spellStart"/>
      <w:r w:rsidRPr="005C76F0">
        <w:rPr>
          <w:rFonts w:asciiTheme="minorBidi" w:hAnsiTheme="minorBidi"/>
        </w:rPr>
        <w:t>doi</w:t>
      </w:r>
      <w:proofErr w:type="spellEnd"/>
      <w:r w:rsidRPr="005C76F0">
        <w:rPr>
          <w:rFonts w:asciiTheme="minorBidi" w:hAnsiTheme="minorBidi"/>
        </w:rPr>
        <w:t xml:space="preserve">: </w:t>
      </w:r>
      <w:hyperlink r:id="rId21" w:history="1">
        <w:r w:rsidRPr="005C76F0">
          <w:rPr>
            <w:rStyle w:val="Hyperlink"/>
            <w:rFonts w:asciiTheme="minorBidi" w:hAnsiTheme="minorBidi"/>
          </w:rPr>
          <w:t>https://doi.org/10.3390/info16040296</w:t>
        </w:r>
      </w:hyperlink>
      <w:r w:rsidRPr="005C76F0">
        <w:rPr>
          <w:rFonts w:asciiTheme="minorBidi" w:hAnsiTheme="minorBidi"/>
        </w:rPr>
        <w:t>.</w:t>
      </w:r>
    </w:p>
    <w:p w14:paraId="3E5AB3F4" w14:textId="22D2A13A" w:rsidR="00784C8B" w:rsidRDefault="00784C8B" w:rsidP="00784C8B">
      <w:pPr>
        <w:spacing w:line="360" w:lineRule="auto"/>
        <w:jc w:val="both"/>
        <w:rPr>
          <w:rFonts w:asciiTheme="minorBidi" w:hAnsiTheme="minorBidi"/>
        </w:rPr>
      </w:pPr>
      <w:r w:rsidRPr="00784C8B">
        <w:rPr>
          <w:rFonts w:asciiTheme="minorBidi" w:hAnsiTheme="minorBidi"/>
        </w:rPr>
        <w:t xml:space="preserve">Busch, T., Barnett, M.L., Burritt, R.L., </w:t>
      </w:r>
      <w:proofErr w:type="spellStart"/>
      <w:r w:rsidRPr="00784C8B">
        <w:rPr>
          <w:rFonts w:asciiTheme="minorBidi" w:hAnsiTheme="minorBidi"/>
        </w:rPr>
        <w:t>Cashore</w:t>
      </w:r>
      <w:proofErr w:type="spellEnd"/>
      <w:r w:rsidRPr="00784C8B">
        <w:rPr>
          <w:rFonts w:asciiTheme="minorBidi" w:hAnsiTheme="minorBidi"/>
        </w:rPr>
        <w:t xml:space="preserve">, B.W., Freeman, R.E., Henriques, I., Husted, B.W., Panwar, R., </w:t>
      </w:r>
      <w:proofErr w:type="spellStart"/>
      <w:r w:rsidRPr="00784C8B">
        <w:rPr>
          <w:rFonts w:asciiTheme="minorBidi" w:hAnsiTheme="minorBidi"/>
        </w:rPr>
        <w:t>Pinkse</w:t>
      </w:r>
      <w:proofErr w:type="spellEnd"/>
      <w:r w:rsidRPr="00784C8B">
        <w:rPr>
          <w:rFonts w:asciiTheme="minorBidi" w:hAnsiTheme="minorBidi"/>
        </w:rPr>
        <w:t xml:space="preserve">, J., </w:t>
      </w:r>
      <w:proofErr w:type="spellStart"/>
      <w:r w:rsidRPr="00784C8B">
        <w:rPr>
          <w:rFonts w:asciiTheme="minorBidi" w:hAnsiTheme="minorBidi"/>
        </w:rPr>
        <w:t>Schaltegger</w:t>
      </w:r>
      <w:proofErr w:type="spellEnd"/>
      <w:r w:rsidRPr="00784C8B">
        <w:rPr>
          <w:rFonts w:asciiTheme="minorBidi" w:hAnsiTheme="minorBidi"/>
        </w:rPr>
        <w:t xml:space="preserve">, S. and York, J. (2024). Moving beyond ‘the’ business case: How to make corporate sustainability work. </w:t>
      </w:r>
      <w:r w:rsidRPr="00784C8B">
        <w:rPr>
          <w:rFonts w:asciiTheme="minorBidi" w:hAnsiTheme="minorBidi"/>
          <w:i/>
          <w:iCs/>
        </w:rPr>
        <w:t xml:space="preserve">Business </w:t>
      </w:r>
      <w:r w:rsidRPr="00784C8B">
        <w:rPr>
          <w:rFonts w:asciiTheme="minorBidi" w:hAnsiTheme="minorBidi"/>
          <w:i/>
          <w:iCs/>
        </w:rPr>
        <w:lastRenderedPageBreak/>
        <w:t>Strategy and the Environment</w:t>
      </w:r>
      <w:r w:rsidRPr="00784C8B">
        <w:rPr>
          <w:rFonts w:asciiTheme="minorBidi" w:hAnsiTheme="minorBidi"/>
        </w:rPr>
        <w:t xml:space="preserve">, 33(2), pp. 776–787. </w:t>
      </w:r>
      <w:proofErr w:type="spellStart"/>
      <w:r w:rsidRPr="00784C8B">
        <w:rPr>
          <w:rFonts w:asciiTheme="minorBidi" w:hAnsiTheme="minorBidi"/>
        </w:rPr>
        <w:t>doi</w:t>
      </w:r>
      <w:proofErr w:type="spellEnd"/>
      <w:r w:rsidRPr="00784C8B">
        <w:rPr>
          <w:rFonts w:asciiTheme="minorBidi" w:hAnsiTheme="minorBidi"/>
        </w:rPr>
        <w:t xml:space="preserve">: </w:t>
      </w:r>
      <w:hyperlink r:id="rId22" w:history="1">
        <w:r w:rsidRPr="00863CAD">
          <w:rPr>
            <w:rStyle w:val="Hyperlink"/>
            <w:rFonts w:asciiTheme="minorBidi" w:hAnsiTheme="minorBidi"/>
          </w:rPr>
          <w:t>https://doi.org/10.1002/bse.3514</w:t>
        </w:r>
      </w:hyperlink>
      <w:r w:rsidRPr="00784C8B">
        <w:rPr>
          <w:rFonts w:asciiTheme="minorBidi" w:hAnsiTheme="minorBidi"/>
        </w:rPr>
        <w:t>.</w:t>
      </w:r>
    </w:p>
    <w:p w14:paraId="766F2455" w14:textId="77777777" w:rsidR="009D427A" w:rsidRPr="005C76F0" w:rsidRDefault="009D427A" w:rsidP="009D427A">
      <w:pPr>
        <w:spacing w:line="360" w:lineRule="auto"/>
        <w:jc w:val="both"/>
        <w:rPr>
          <w:rFonts w:asciiTheme="minorBidi" w:hAnsiTheme="minorBidi"/>
        </w:rPr>
      </w:pPr>
      <w:r w:rsidRPr="005C76F0">
        <w:rPr>
          <w:rFonts w:asciiTheme="minorBidi" w:hAnsiTheme="minorBidi"/>
        </w:rPr>
        <w:t xml:space="preserve">Delmas, M.A. and Burbano, V.C. (2011). The drivers of greenwashing. </w:t>
      </w:r>
      <w:r w:rsidRPr="005C76F0">
        <w:rPr>
          <w:rFonts w:asciiTheme="minorBidi" w:hAnsiTheme="minorBidi"/>
          <w:i/>
          <w:iCs/>
        </w:rPr>
        <w:t>California Management Review</w:t>
      </w:r>
      <w:r w:rsidRPr="005C76F0">
        <w:rPr>
          <w:rFonts w:asciiTheme="minorBidi" w:hAnsiTheme="minorBidi"/>
        </w:rPr>
        <w:t xml:space="preserve">, 54(1), pp. 64–87. </w:t>
      </w:r>
      <w:proofErr w:type="spellStart"/>
      <w:r w:rsidRPr="005C76F0">
        <w:rPr>
          <w:rFonts w:asciiTheme="minorBidi" w:hAnsiTheme="minorBidi"/>
        </w:rPr>
        <w:t>doi</w:t>
      </w:r>
      <w:proofErr w:type="spellEnd"/>
      <w:r w:rsidRPr="005C76F0">
        <w:rPr>
          <w:rFonts w:asciiTheme="minorBidi" w:hAnsiTheme="minorBidi"/>
        </w:rPr>
        <w:t xml:space="preserve">: </w:t>
      </w:r>
      <w:hyperlink r:id="rId23" w:history="1">
        <w:r w:rsidRPr="005C76F0">
          <w:rPr>
            <w:rStyle w:val="Hyperlink"/>
            <w:rFonts w:asciiTheme="minorBidi" w:hAnsiTheme="minorBidi"/>
          </w:rPr>
          <w:t>https://doi.org/10.1525/cmr.2011.54.1.64</w:t>
        </w:r>
      </w:hyperlink>
      <w:r w:rsidRPr="005C76F0">
        <w:rPr>
          <w:rFonts w:asciiTheme="minorBidi" w:hAnsiTheme="minorBidi"/>
        </w:rPr>
        <w:t>.</w:t>
      </w:r>
    </w:p>
    <w:p w14:paraId="369F4BD0" w14:textId="2FE34F01" w:rsidR="00AD4FB6" w:rsidRPr="005C76F0" w:rsidRDefault="00AD4FB6" w:rsidP="00784C8B">
      <w:pPr>
        <w:spacing w:line="360" w:lineRule="auto"/>
        <w:jc w:val="both"/>
        <w:rPr>
          <w:rFonts w:asciiTheme="minorBidi" w:hAnsiTheme="minorBidi"/>
        </w:rPr>
      </w:pPr>
      <w:r w:rsidRPr="005C76F0">
        <w:rPr>
          <w:rFonts w:asciiTheme="minorBidi" w:hAnsiTheme="minorBidi"/>
        </w:rPr>
        <w:t xml:space="preserve">Department of Climate Change, Energy, the Environment and Water [DCCEEW] (2026). </w:t>
      </w:r>
      <w:r w:rsidRPr="005C76F0">
        <w:rPr>
          <w:rFonts w:asciiTheme="minorBidi" w:hAnsiTheme="minorBidi"/>
          <w:i/>
          <w:iCs/>
        </w:rPr>
        <w:t>Safeguard Mechanism</w:t>
      </w:r>
      <w:r w:rsidRPr="005C76F0">
        <w:rPr>
          <w:rFonts w:asciiTheme="minorBidi" w:hAnsiTheme="minorBidi"/>
        </w:rPr>
        <w:t xml:space="preserve">. [online] Australian Government. Available at: </w:t>
      </w:r>
      <w:hyperlink r:id="rId24" w:history="1">
        <w:r w:rsidRPr="005C76F0">
          <w:rPr>
            <w:rStyle w:val="Hyperlink"/>
            <w:rFonts w:asciiTheme="minorBidi" w:hAnsiTheme="minorBidi"/>
          </w:rPr>
          <w:t>https://www.dcceew.gov.au/climate-change/emissions-reporting/national-greenhouse-energy-reporting-scheme/safeguard-mechanism</w:t>
        </w:r>
      </w:hyperlink>
      <w:r w:rsidRPr="005C76F0">
        <w:rPr>
          <w:rFonts w:asciiTheme="minorBidi" w:hAnsiTheme="minorBidi"/>
        </w:rPr>
        <w:t>.</w:t>
      </w:r>
    </w:p>
    <w:p w14:paraId="711BA532" w14:textId="77777777" w:rsidR="00AD4FB6" w:rsidRPr="005C76F0" w:rsidRDefault="00AD4FB6" w:rsidP="00AD4FB6">
      <w:pPr>
        <w:spacing w:line="360" w:lineRule="auto"/>
        <w:jc w:val="both"/>
        <w:rPr>
          <w:rFonts w:asciiTheme="minorBidi" w:hAnsiTheme="minorBidi"/>
        </w:rPr>
      </w:pPr>
      <w:r w:rsidRPr="005C76F0">
        <w:rPr>
          <w:rFonts w:asciiTheme="minorBidi" w:hAnsiTheme="minorBidi"/>
        </w:rPr>
        <w:t xml:space="preserve">European Commission (2026). </w:t>
      </w:r>
      <w:r w:rsidRPr="005C76F0">
        <w:rPr>
          <w:rFonts w:asciiTheme="minorBidi" w:hAnsiTheme="minorBidi"/>
          <w:i/>
          <w:iCs/>
        </w:rPr>
        <w:t>CBAM successfully entered into force on 1 January 2026</w:t>
      </w:r>
      <w:r w:rsidRPr="005C76F0">
        <w:rPr>
          <w:rFonts w:asciiTheme="minorBidi" w:hAnsiTheme="minorBidi"/>
        </w:rPr>
        <w:t xml:space="preserve">. [online] European Commission. Available at: </w:t>
      </w:r>
      <w:hyperlink r:id="rId25" w:history="1">
        <w:r w:rsidRPr="005C76F0">
          <w:rPr>
            <w:rStyle w:val="Hyperlink"/>
            <w:rFonts w:asciiTheme="minorBidi" w:hAnsiTheme="minorBidi"/>
          </w:rPr>
          <w:t>https://taxation-customs.ec.europa.eu/news/cbam-successfully-entered-force-1-january-2026-2026-01-14_en</w:t>
        </w:r>
      </w:hyperlink>
      <w:r w:rsidRPr="005C76F0">
        <w:rPr>
          <w:rFonts w:asciiTheme="minorBidi" w:hAnsiTheme="minorBidi"/>
        </w:rPr>
        <w:t>.</w:t>
      </w:r>
    </w:p>
    <w:p w14:paraId="4C9D6D6B" w14:textId="77777777" w:rsidR="00AD4FB6" w:rsidRPr="005C76F0" w:rsidRDefault="00AD4FB6" w:rsidP="00AD4FB6">
      <w:pPr>
        <w:spacing w:line="360" w:lineRule="auto"/>
        <w:jc w:val="both"/>
        <w:rPr>
          <w:rFonts w:asciiTheme="minorBidi" w:hAnsiTheme="minorBidi"/>
        </w:rPr>
      </w:pPr>
      <w:r w:rsidRPr="005C76F0">
        <w:rPr>
          <w:rFonts w:asciiTheme="minorBidi" w:hAnsiTheme="minorBidi"/>
        </w:rPr>
        <w:t xml:space="preserve">Fortescue (2024). </w:t>
      </w:r>
      <w:r w:rsidRPr="005C76F0">
        <w:rPr>
          <w:rFonts w:asciiTheme="minorBidi" w:hAnsiTheme="minorBidi"/>
          <w:i/>
          <w:iCs/>
        </w:rPr>
        <w:t>Fortescue starts works on Green Metal Project</w:t>
      </w:r>
      <w:r w:rsidRPr="005C76F0">
        <w:rPr>
          <w:rFonts w:asciiTheme="minorBidi" w:hAnsiTheme="minorBidi"/>
        </w:rPr>
        <w:t xml:space="preserve">. [online] Fortescue. Available at: </w:t>
      </w:r>
      <w:hyperlink r:id="rId26" w:history="1">
        <w:r w:rsidRPr="005C76F0">
          <w:rPr>
            <w:rStyle w:val="Hyperlink"/>
            <w:rFonts w:asciiTheme="minorBidi" w:hAnsiTheme="minorBidi"/>
          </w:rPr>
          <w:t>https://www.fortescue.com/articles/fortescue-starts-works-on-green-metal-project</w:t>
        </w:r>
      </w:hyperlink>
      <w:r w:rsidRPr="005C76F0">
        <w:rPr>
          <w:rFonts w:asciiTheme="minorBidi" w:hAnsiTheme="minorBidi"/>
        </w:rPr>
        <w:t>.</w:t>
      </w:r>
    </w:p>
    <w:p w14:paraId="4E7B7E42" w14:textId="77777777" w:rsidR="00AD4FB6" w:rsidRPr="005C76F0" w:rsidRDefault="00AD4FB6" w:rsidP="00AD4FB6">
      <w:pPr>
        <w:spacing w:line="360" w:lineRule="auto"/>
        <w:jc w:val="both"/>
        <w:rPr>
          <w:rFonts w:asciiTheme="minorBidi" w:hAnsiTheme="minorBidi"/>
        </w:rPr>
      </w:pPr>
      <w:r w:rsidRPr="005C76F0">
        <w:rPr>
          <w:rFonts w:asciiTheme="minorBidi" w:hAnsiTheme="minorBidi"/>
        </w:rPr>
        <w:t xml:space="preserve">Hart, S.L. (1995). A natural-resource-based view of the firm. </w:t>
      </w:r>
      <w:r w:rsidRPr="005C76F0">
        <w:rPr>
          <w:rFonts w:asciiTheme="minorBidi" w:hAnsiTheme="minorBidi"/>
          <w:i/>
          <w:iCs/>
        </w:rPr>
        <w:t>Academy of Management Review</w:t>
      </w:r>
      <w:r w:rsidRPr="005C76F0">
        <w:rPr>
          <w:rFonts w:asciiTheme="minorBidi" w:hAnsiTheme="minorBidi"/>
        </w:rPr>
        <w:t xml:space="preserve">, 20(4), pp. 986–1014. </w:t>
      </w:r>
      <w:proofErr w:type="spellStart"/>
      <w:r w:rsidRPr="005C76F0">
        <w:rPr>
          <w:rFonts w:asciiTheme="minorBidi" w:hAnsiTheme="minorBidi"/>
        </w:rPr>
        <w:t>doi</w:t>
      </w:r>
      <w:proofErr w:type="spellEnd"/>
      <w:r w:rsidRPr="005C76F0">
        <w:rPr>
          <w:rFonts w:asciiTheme="minorBidi" w:hAnsiTheme="minorBidi"/>
        </w:rPr>
        <w:t xml:space="preserve">: </w:t>
      </w:r>
      <w:hyperlink r:id="rId27" w:history="1">
        <w:r w:rsidRPr="005C76F0">
          <w:rPr>
            <w:rStyle w:val="Hyperlink"/>
            <w:rFonts w:asciiTheme="minorBidi" w:hAnsiTheme="minorBidi"/>
          </w:rPr>
          <w:t>https://doi.org/10.5465/amr.1995.9512280033</w:t>
        </w:r>
      </w:hyperlink>
      <w:r w:rsidRPr="005C76F0">
        <w:rPr>
          <w:rFonts w:asciiTheme="minorBidi" w:hAnsiTheme="minorBidi"/>
        </w:rPr>
        <w:t>.</w:t>
      </w:r>
    </w:p>
    <w:p w14:paraId="72A78264" w14:textId="77777777" w:rsidR="00AD4FB6" w:rsidRPr="005C76F0" w:rsidRDefault="00AD4FB6" w:rsidP="00AD4FB6">
      <w:pPr>
        <w:spacing w:line="360" w:lineRule="auto"/>
        <w:jc w:val="both"/>
        <w:rPr>
          <w:rFonts w:asciiTheme="minorBidi" w:hAnsiTheme="minorBidi"/>
        </w:rPr>
      </w:pPr>
      <w:r w:rsidRPr="005C76F0">
        <w:rPr>
          <w:rFonts w:asciiTheme="minorBidi" w:hAnsiTheme="minorBidi"/>
        </w:rPr>
        <w:t xml:space="preserve">International Energy Agency [IEA] (2025). </w:t>
      </w:r>
      <w:r w:rsidRPr="005C76F0">
        <w:rPr>
          <w:rFonts w:asciiTheme="minorBidi" w:hAnsiTheme="minorBidi"/>
          <w:i/>
          <w:iCs/>
        </w:rPr>
        <w:t>Global Critical Minerals Outlook 2025</w:t>
      </w:r>
      <w:r w:rsidRPr="005C76F0">
        <w:rPr>
          <w:rFonts w:asciiTheme="minorBidi" w:hAnsiTheme="minorBidi"/>
        </w:rPr>
        <w:t xml:space="preserve">. [online] IEA. Available at: </w:t>
      </w:r>
      <w:hyperlink r:id="rId28" w:history="1">
        <w:r w:rsidRPr="005C76F0">
          <w:rPr>
            <w:rStyle w:val="Hyperlink"/>
            <w:rFonts w:asciiTheme="minorBidi" w:hAnsiTheme="minorBidi"/>
          </w:rPr>
          <w:t>https://www.iea.org/reports/global-critical-minerals-outlook-2025</w:t>
        </w:r>
      </w:hyperlink>
      <w:r w:rsidRPr="005C76F0">
        <w:rPr>
          <w:rFonts w:asciiTheme="minorBidi" w:hAnsiTheme="minorBidi"/>
        </w:rPr>
        <w:t>.</w:t>
      </w:r>
    </w:p>
    <w:p w14:paraId="1F421D0F" w14:textId="77777777" w:rsidR="00AD4FB6" w:rsidRPr="005C76F0" w:rsidRDefault="00AD4FB6" w:rsidP="00AD4FB6">
      <w:pPr>
        <w:spacing w:line="360" w:lineRule="auto"/>
        <w:jc w:val="both"/>
        <w:rPr>
          <w:rFonts w:asciiTheme="minorBidi" w:hAnsiTheme="minorBidi"/>
        </w:rPr>
      </w:pPr>
      <w:r w:rsidRPr="005C76F0">
        <w:rPr>
          <w:rFonts w:asciiTheme="minorBidi" w:hAnsiTheme="minorBidi"/>
        </w:rPr>
        <w:t xml:space="preserve">Intergovernmental Panel on Climate Change [IPCC] (2023). </w:t>
      </w:r>
      <w:r w:rsidRPr="005C76F0">
        <w:rPr>
          <w:rFonts w:asciiTheme="minorBidi" w:hAnsiTheme="minorBidi"/>
          <w:i/>
          <w:iCs/>
        </w:rPr>
        <w:t>Climate Change 2023: Synthesis Report</w:t>
      </w:r>
      <w:r w:rsidRPr="005C76F0">
        <w:rPr>
          <w:rFonts w:asciiTheme="minorBidi" w:hAnsiTheme="minorBidi"/>
        </w:rPr>
        <w:t xml:space="preserve">. [online] IPCC. Available at: </w:t>
      </w:r>
      <w:hyperlink r:id="rId29" w:history="1">
        <w:r w:rsidRPr="005C76F0">
          <w:rPr>
            <w:rStyle w:val="Hyperlink"/>
            <w:rFonts w:asciiTheme="minorBidi" w:hAnsiTheme="minorBidi"/>
          </w:rPr>
          <w:t>https://www.ipcc.ch/report/ar6/syr/</w:t>
        </w:r>
      </w:hyperlink>
      <w:r w:rsidRPr="005C76F0">
        <w:rPr>
          <w:rFonts w:asciiTheme="minorBidi" w:hAnsiTheme="minorBidi"/>
        </w:rPr>
        <w:t xml:space="preserve">. </w:t>
      </w:r>
      <w:proofErr w:type="spellStart"/>
      <w:r w:rsidRPr="005C76F0">
        <w:rPr>
          <w:rFonts w:asciiTheme="minorBidi" w:hAnsiTheme="minorBidi"/>
        </w:rPr>
        <w:t>doi</w:t>
      </w:r>
      <w:proofErr w:type="spellEnd"/>
      <w:r w:rsidRPr="005C76F0">
        <w:rPr>
          <w:rFonts w:asciiTheme="minorBidi" w:hAnsiTheme="minorBidi"/>
        </w:rPr>
        <w:t xml:space="preserve">: </w:t>
      </w:r>
      <w:hyperlink r:id="rId30" w:history="1">
        <w:r w:rsidRPr="005C76F0">
          <w:rPr>
            <w:rStyle w:val="Hyperlink"/>
            <w:rFonts w:asciiTheme="minorBidi" w:hAnsiTheme="minorBidi"/>
          </w:rPr>
          <w:t>https://doi.org/10.59327/IPCC/AR6-9789291691647</w:t>
        </w:r>
      </w:hyperlink>
      <w:r w:rsidRPr="005C76F0">
        <w:rPr>
          <w:rFonts w:asciiTheme="minorBidi" w:hAnsiTheme="minorBidi"/>
        </w:rPr>
        <w:t>.</w:t>
      </w:r>
    </w:p>
    <w:p w14:paraId="46617D20" w14:textId="77777777" w:rsidR="00AD4FB6" w:rsidRPr="005C76F0" w:rsidRDefault="00AD4FB6" w:rsidP="00AD4FB6">
      <w:pPr>
        <w:spacing w:line="360" w:lineRule="auto"/>
        <w:jc w:val="both"/>
        <w:rPr>
          <w:rFonts w:asciiTheme="minorBidi" w:hAnsiTheme="minorBidi"/>
        </w:rPr>
      </w:pPr>
      <w:r w:rsidRPr="005C76F0">
        <w:rPr>
          <w:rFonts w:asciiTheme="minorBidi" w:hAnsiTheme="minorBidi"/>
        </w:rPr>
        <w:t xml:space="preserve">Khanra, S., Kaur, P., Joseph, R.P., Malik, A. and Dhir, A. (2022). A resource-based view of green innovation as a strategic firm resource: Present status and future directions. </w:t>
      </w:r>
      <w:r w:rsidRPr="005C76F0">
        <w:rPr>
          <w:rFonts w:asciiTheme="minorBidi" w:hAnsiTheme="minorBidi"/>
          <w:i/>
          <w:iCs/>
        </w:rPr>
        <w:t>Business Strategy and the Environment</w:t>
      </w:r>
      <w:r w:rsidRPr="005C76F0">
        <w:rPr>
          <w:rFonts w:asciiTheme="minorBidi" w:hAnsiTheme="minorBidi"/>
        </w:rPr>
        <w:t xml:space="preserve">, 31(4), pp. 1395–1413. </w:t>
      </w:r>
      <w:proofErr w:type="spellStart"/>
      <w:r w:rsidRPr="005C76F0">
        <w:rPr>
          <w:rFonts w:asciiTheme="minorBidi" w:hAnsiTheme="minorBidi"/>
        </w:rPr>
        <w:t>doi</w:t>
      </w:r>
      <w:proofErr w:type="spellEnd"/>
      <w:r w:rsidRPr="005C76F0">
        <w:rPr>
          <w:rFonts w:asciiTheme="minorBidi" w:hAnsiTheme="minorBidi"/>
        </w:rPr>
        <w:t xml:space="preserve">: </w:t>
      </w:r>
      <w:hyperlink r:id="rId31" w:history="1">
        <w:r w:rsidRPr="005C76F0">
          <w:rPr>
            <w:rStyle w:val="Hyperlink"/>
            <w:rFonts w:asciiTheme="minorBidi" w:hAnsiTheme="minorBidi"/>
          </w:rPr>
          <w:t>https://doi.org/10.1002/bse.2961</w:t>
        </w:r>
      </w:hyperlink>
      <w:r w:rsidRPr="005C76F0">
        <w:rPr>
          <w:rFonts w:asciiTheme="minorBidi" w:hAnsiTheme="minorBidi"/>
        </w:rPr>
        <w:t>.</w:t>
      </w:r>
    </w:p>
    <w:p w14:paraId="250A02B4" w14:textId="77777777" w:rsidR="00AD4FB6" w:rsidRPr="005C76F0" w:rsidRDefault="00AD4FB6" w:rsidP="00AD4FB6">
      <w:pPr>
        <w:spacing w:line="360" w:lineRule="auto"/>
        <w:jc w:val="both"/>
        <w:rPr>
          <w:rFonts w:asciiTheme="minorBidi" w:hAnsiTheme="minorBidi"/>
        </w:rPr>
      </w:pPr>
      <w:r w:rsidRPr="005C76F0">
        <w:rPr>
          <w:rFonts w:asciiTheme="minorBidi" w:hAnsiTheme="minorBidi"/>
        </w:rPr>
        <w:t xml:space="preserve">Kotler, P., Armstrong, G., Harris, L.C. and He, H. (2024). </w:t>
      </w:r>
      <w:r w:rsidRPr="005C76F0">
        <w:rPr>
          <w:rFonts w:asciiTheme="minorBidi" w:hAnsiTheme="minorBidi"/>
          <w:i/>
          <w:iCs/>
        </w:rPr>
        <w:t>Principles of marketing</w:t>
      </w:r>
      <w:r w:rsidRPr="005C76F0">
        <w:rPr>
          <w:rFonts w:asciiTheme="minorBidi" w:hAnsiTheme="minorBidi"/>
        </w:rPr>
        <w:t>. 19th edn. Harlow: Pearson.</w:t>
      </w:r>
    </w:p>
    <w:p w14:paraId="6A3FD355" w14:textId="77777777" w:rsidR="009D427A" w:rsidRDefault="009D427A" w:rsidP="009D427A">
      <w:pPr>
        <w:spacing w:line="360" w:lineRule="auto"/>
        <w:jc w:val="both"/>
        <w:rPr>
          <w:rFonts w:asciiTheme="minorBidi" w:hAnsiTheme="minorBidi"/>
        </w:rPr>
      </w:pPr>
      <w:proofErr w:type="spellStart"/>
      <w:r w:rsidRPr="009D427A">
        <w:rPr>
          <w:rFonts w:asciiTheme="minorBidi" w:hAnsiTheme="minorBidi"/>
        </w:rPr>
        <w:lastRenderedPageBreak/>
        <w:t>Nurdiawati</w:t>
      </w:r>
      <w:proofErr w:type="spellEnd"/>
      <w:r w:rsidRPr="009D427A">
        <w:rPr>
          <w:rFonts w:asciiTheme="minorBidi" w:hAnsiTheme="minorBidi"/>
        </w:rPr>
        <w:t xml:space="preserve">, A., Tahir, F., Zaini, I.N. and Al-Ghamdi, S.G. (2025). Prospective environmental and economic assessment of green steel production in the Middle East. </w:t>
      </w:r>
      <w:r w:rsidRPr="009D427A">
        <w:rPr>
          <w:rFonts w:asciiTheme="minorBidi" w:hAnsiTheme="minorBidi"/>
          <w:i/>
          <w:iCs/>
        </w:rPr>
        <w:t>Resources, Conservation and Recycling</w:t>
      </w:r>
      <w:r w:rsidRPr="009D427A">
        <w:rPr>
          <w:rFonts w:asciiTheme="minorBidi" w:hAnsiTheme="minorBidi"/>
        </w:rPr>
        <w:t xml:space="preserve">, 219, 108277. </w:t>
      </w:r>
      <w:proofErr w:type="spellStart"/>
      <w:r w:rsidRPr="009D427A">
        <w:rPr>
          <w:rFonts w:asciiTheme="minorBidi" w:hAnsiTheme="minorBidi"/>
        </w:rPr>
        <w:t>doi</w:t>
      </w:r>
      <w:proofErr w:type="spellEnd"/>
      <w:r w:rsidRPr="009D427A">
        <w:rPr>
          <w:rFonts w:asciiTheme="minorBidi" w:hAnsiTheme="minorBidi"/>
        </w:rPr>
        <w:t xml:space="preserve">: </w:t>
      </w:r>
      <w:hyperlink r:id="rId32" w:history="1">
        <w:r w:rsidRPr="009D427A">
          <w:rPr>
            <w:rStyle w:val="Hyperlink"/>
            <w:rFonts w:asciiTheme="minorBidi" w:hAnsiTheme="minorBidi"/>
          </w:rPr>
          <w:t>https://doi.org/10.1016/j.resconrec.2025.108277</w:t>
        </w:r>
      </w:hyperlink>
      <w:r w:rsidRPr="009D427A">
        <w:rPr>
          <w:rFonts w:asciiTheme="minorBidi" w:hAnsiTheme="minorBidi"/>
        </w:rPr>
        <w:t>.</w:t>
      </w:r>
    </w:p>
    <w:p w14:paraId="0C167136" w14:textId="31FA4BEF" w:rsidR="00AD4FB6" w:rsidRPr="005C76F0" w:rsidRDefault="00AD4FB6" w:rsidP="009D427A">
      <w:pPr>
        <w:spacing w:line="360" w:lineRule="auto"/>
        <w:jc w:val="both"/>
        <w:rPr>
          <w:rFonts w:asciiTheme="minorBidi" w:hAnsiTheme="minorBidi"/>
        </w:rPr>
      </w:pPr>
      <w:r w:rsidRPr="005C76F0">
        <w:rPr>
          <w:rFonts w:asciiTheme="minorBidi" w:hAnsiTheme="minorBidi"/>
        </w:rPr>
        <w:t xml:space="preserve">Porter, M.E. (1980). </w:t>
      </w:r>
      <w:r w:rsidRPr="005C76F0">
        <w:rPr>
          <w:rFonts w:asciiTheme="minorBidi" w:hAnsiTheme="minorBidi"/>
          <w:i/>
          <w:iCs/>
        </w:rPr>
        <w:t>Competitive strategy: Techniques for analyzing industries and competitors</w:t>
      </w:r>
      <w:r w:rsidRPr="005C76F0">
        <w:rPr>
          <w:rFonts w:asciiTheme="minorBidi" w:hAnsiTheme="minorBidi"/>
        </w:rPr>
        <w:t>. New York: Free Press.</w:t>
      </w:r>
    </w:p>
    <w:p w14:paraId="5401D279" w14:textId="77777777" w:rsidR="00AD4FB6" w:rsidRPr="005C76F0" w:rsidRDefault="00AD4FB6" w:rsidP="00AD4FB6">
      <w:pPr>
        <w:spacing w:line="360" w:lineRule="auto"/>
        <w:jc w:val="both"/>
        <w:rPr>
          <w:rFonts w:asciiTheme="minorBidi" w:hAnsiTheme="minorBidi"/>
        </w:rPr>
      </w:pPr>
      <w:r w:rsidRPr="005C76F0">
        <w:rPr>
          <w:rFonts w:asciiTheme="minorBidi" w:hAnsiTheme="minorBidi"/>
        </w:rPr>
        <w:t xml:space="preserve">Porter, M.E. (1985). </w:t>
      </w:r>
      <w:r w:rsidRPr="005C76F0">
        <w:rPr>
          <w:rFonts w:asciiTheme="minorBidi" w:hAnsiTheme="minorBidi"/>
          <w:i/>
          <w:iCs/>
        </w:rPr>
        <w:t>Competitive advantage: Creating and sustaining superior performance</w:t>
      </w:r>
      <w:r w:rsidRPr="005C76F0">
        <w:rPr>
          <w:rFonts w:asciiTheme="minorBidi" w:hAnsiTheme="minorBidi"/>
        </w:rPr>
        <w:t>. New York: Free Press.</w:t>
      </w:r>
    </w:p>
    <w:p w14:paraId="64F44C17" w14:textId="77777777" w:rsidR="00AD4FB6" w:rsidRPr="005C76F0" w:rsidRDefault="00AD4FB6" w:rsidP="00AD4FB6">
      <w:pPr>
        <w:spacing w:line="360" w:lineRule="auto"/>
        <w:jc w:val="both"/>
        <w:rPr>
          <w:rFonts w:asciiTheme="minorBidi" w:hAnsiTheme="minorBidi"/>
        </w:rPr>
      </w:pPr>
      <w:r w:rsidRPr="005C76F0">
        <w:rPr>
          <w:rFonts w:asciiTheme="minorBidi" w:hAnsiTheme="minorBidi"/>
        </w:rPr>
        <w:t xml:space="preserve">Taskforce on Nature-related Financial Disclosures [TNFD] (2023). </w:t>
      </w:r>
      <w:r w:rsidRPr="005C76F0">
        <w:rPr>
          <w:rFonts w:asciiTheme="minorBidi" w:hAnsiTheme="minorBidi"/>
          <w:i/>
          <w:iCs/>
        </w:rPr>
        <w:t>Recommendations of the Taskforce on Nature-related Financial Disclosures</w:t>
      </w:r>
      <w:r w:rsidRPr="005C76F0">
        <w:rPr>
          <w:rFonts w:asciiTheme="minorBidi" w:hAnsiTheme="minorBidi"/>
        </w:rPr>
        <w:t xml:space="preserve">. [online] TNFD. Available at: </w:t>
      </w:r>
      <w:hyperlink r:id="rId33" w:history="1">
        <w:r w:rsidRPr="005C76F0">
          <w:rPr>
            <w:rStyle w:val="Hyperlink"/>
            <w:rFonts w:asciiTheme="minorBidi" w:hAnsiTheme="minorBidi"/>
          </w:rPr>
          <w:t>https://tnfd.global/wp-content/uploads/2023/08/Recommendations_of_the_Taskforce_on_Nature-related_Financial_Disclosures_September_2023.pdf</w:t>
        </w:r>
      </w:hyperlink>
      <w:r w:rsidRPr="005C76F0">
        <w:rPr>
          <w:rFonts w:asciiTheme="minorBidi" w:hAnsiTheme="minorBidi"/>
        </w:rPr>
        <w:t>.</w:t>
      </w:r>
    </w:p>
    <w:p w14:paraId="0B17E9EC" w14:textId="2A3EB05C" w:rsidR="00AD4FB6" w:rsidRPr="005C76F0" w:rsidRDefault="00AD4FB6" w:rsidP="00AD4FB6">
      <w:pPr>
        <w:spacing w:line="360" w:lineRule="auto"/>
        <w:jc w:val="both"/>
        <w:rPr>
          <w:rFonts w:asciiTheme="minorBidi" w:hAnsiTheme="minorBidi"/>
        </w:rPr>
      </w:pPr>
      <w:r w:rsidRPr="005C76F0">
        <w:rPr>
          <w:rFonts w:asciiTheme="minorBidi" w:hAnsiTheme="minorBidi"/>
        </w:rPr>
        <w:t xml:space="preserve">Teece, D.J. (2007). Explicating dynamic capabilities: The nature and </w:t>
      </w:r>
      <w:r w:rsidR="005C76F0" w:rsidRPr="005C76F0">
        <w:rPr>
          <w:rFonts w:asciiTheme="minorBidi" w:hAnsiTheme="minorBidi"/>
        </w:rPr>
        <w:t>micro foundations</w:t>
      </w:r>
      <w:r w:rsidRPr="005C76F0">
        <w:rPr>
          <w:rFonts w:asciiTheme="minorBidi" w:hAnsiTheme="minorBidi"/>
        </w:rPr>
        <w:t xml:space="preserve"> of sustainable enterprise performance. </w:t>
      </w:r>
      <w:r w:rsidRPr="005C76F0">
        <w:rPr>
          <w:rFonts w:asciiTheme="minorBidi" w:hAnsiTheme="minorBidi"/>
          <w:i/>
          <w:iCs/>
        </w:rPr>
        <w:t>Strategic Management Journal</w:t>
      </w:r>
      <w:r w:rsidRPr="005C76F0">
        <w:rPr>
          <w:rFonts w:asciiTheme="minorBidi" w:hAnsiTheme="minorBidi"/>
        </w:rPr>
        <w:t xml:space="preserve">, 28(13), pp. 1319–1350. </w:t>
      </w:r>
      <w:proofErr w:type="spellStart"/>
      <w:r w:rsidRPr="005C76F0">
        <w:rPr>
          <w:rFonts w:asciiTheme="minorBidi" w:hAnsiTheme="minorBidi"/>
        </w:rPr>
        <w:t>doi</w:t>
      </w:r>
      <w:proofErr w:type="spellEnd"/>
      <w:r w:rsidRPr="005C76F0">
        <w:rPr>
          <w:rFonts w:asciiTheme="minorBidi" w:hAnsiTheme="minorBidi"/>
        </w:rPr>
        <w:t xml:space="preserve">: </w:t>
      </w:r>
      <w:hyperlink r:id="rId34" w:history="1">
        <w:r w:rsidRPr="005C76F0">
          <w:rPr>
            <w:rStyle w:val="Hyperlink"/>
            <w:rFonts w:asciiTheme="minorBidi" w:hAnsiTheme="minorBidi"/>
          </w:rPr>
          <w:t>https://doi.org/10.1002/smj.640</w:t>
        </w:r>
      </w:hyperlink>
      <w:r w:rsidRPr="005C76F0">
        <w:rPr>
          <w:rFonts w:asciiTheme="minorBidi" w:hAnsiTheme="minorBidi"/>
        </w:rPr>
        <w:t>.</w:t>
      </w:r>
    </w:p>
    <w:p w14:paraId="2F75B4DD" w14:textId="77777777" w:rsidR="00AD4FB6" w:rsidRPr="005C76F0" w:rsidRDefault="00AD4FB6" w:rsidP="00AD4FB6">
      <w:pPr>
        <w:spacing w:line="360" w:lineRule="auto"/>
        <w:jc w:val="both"/>
        <w:rPr>
          <w:rFonts w:asciiTheme="minorBidi" w:hAnsiTheme="minorBidi"/>
        </w:rPr>
      </w:pPr>
      <w:r w:rsidRPr="005C76F0">
        <w:rPr>
          <w:rFonts w:asciiTheme="minorBidi" w:hAnsiTheme="minorBidi"/>
        </w:rPr>
        <w:t xml:space="preserve">United Nations Educational, Scientific and Cultural Organization [UNESCO] (2023). </w:t>
      </w:r>
      <w:r w:rsidRPr="005C76F0">
        <w:rPr>
          <w:rFonts w:asciiTheme="minorBidi" w:hAnsiTheme="minorBidi"/>
          <w:i/>
          <w:iCs/>
        </w:rPr>
        <w:t>Guidance for generative AI in education and research</w:t>
      </w:r>
      <w:r w:rsidRPr="005C76F0">
        <w:rPr>
          <w:rFonts w:asciiTheme="minorBidi" w:hAnsiTheme="minorBidi"/>
        </w:rPr>
        <w:t xml:space="preserve">. [online] UNESCO. Available at: </w:t>
      </w:r>
      <w:hyperlink r:id="rId35" w:history="1">
        <w:r w:rsidRPr="005C76F0">
          <w:rPr>
            <w:rStyle w:val="Hyperlink"/>
            <w:rFonts w:asciiTheme="minorBidi" w:hAnsiTheme="minorBidi"/>
          </w:rPr>
          <w:t>https://www.unesco.org/en/articles/guidance-generative-ai-education-and-research</w:t>
        </w:r>
      </w:hyperlink>
      <w:r w:rsidRPr="005C76F0">
        <w:rPr>
          <w:rFonts w:asciiTheme="minorBidi" w:hAnsiTheme="minorBidi"/>
        </w:rPr>
        <w:t>.</w:t>
      </w:r>
    </w:p>
    <w:p w14:paraId="51A8499E" w14:textId="77777777" w:rsidR="00AD4FB6" w:rsidRPr="005C76F0" w:rsidRDefault="00AD4FB6" w:rsidP="00AD4FB6">
      <w:pPr>
        <w:spacing w:line="360" w:lineRule="auto"/>
        <w:jc w:val="both"/>
        <w:rPr>
          <w:rFonts w:asciiTheme="minorBidi" w:hAnsiTheme="minorBidi"/>
        </w:rPr>
      </w:pPr>
      <w:r w:rsidRPr="005C76F0">
        <w:rPr>
          <w:rFonts w:asciiTheme="minorBidi" w:hAnsiTheme="minorBidi"/>
        </w:rPr>
        <w:t xml:space="preserve">Vale (2024). </w:t>
      </w:r>
      <w:r w:rsidRPr="005C76F0">
        <w:rPr>
          <w:rFonts w:asciiTheme="minorBidi" w:hAnsiTheme="minorBidi"/>
          <w:i/>
          <w:iCs/>
        </w:rPr>
        <w:t>Integrated Report 2024</w:t>
      </w:r>
      <w:r w:rsidRPr="005C76F0">
        <w:rPr>
          <w:rFonts w:asciiTheme="minorBidi" w:hAnsiTheme="minorBidi"/>
        </w:rPr>
        <w:t xml:space="preserve">. [online] Vale. Available at: </w:t>
      </w:r>
      <w:hyperlink r:id="rId36" w:history="1">
        <w:r w:rsidRPr="005C76F0">
          <w:rPr>
            <w:rStyle w:val="Hyperlink"/>
            <w:rFonts w:asciiTheme="minorBidi" w:hAnsiTheme="minorBidi"/>
          </w:rPr>
          <w:t>https://vale.com/documents/44618/430705/Integrated%2BReport%2BVale%2B2024.pdf</w:t>
        </w:r>
      </w:hyperlink>
      <w:r w:rsidRPr="005C76F0">
        <w:rPr>
          <w:rFonts w:asciiTheme="minorBidi" w:hAnsiTheme="minorBidi"/>
        </w:rPr>
        <w:t>.</w:t>
      </w:r>
    </w:p>
    <w:p w14:paraId="7643A569" w14:textId="4E9AA77E" w:rsidR="00784C8B" w:rsidRDefault="00784C8B" w:rsidP="00784C8B">
      <w:pPr>
        <w:spacing w:line="360" w:lineRule="auto"/>
        <w:jc w:val="both"/>
        <w:rPr>
          <w:rFonts w:asciiTheme="minorBidi" w:hAnsiTheme="minorBidi"/>
        </w:rPr>
      </w:pPr>
      <w:r w:rsidRPr="00784C8B">
        <w:rPr>
          <w:rFonts w:asciiTheme="minorBidi" w:hAnsiTheme="minorBidi"/>
        </w:rPr>
        <w:t xml:space="preserve">Verma, S. and Diwan, H. (2025). Marketing innovation for sustainability: Review, trends, and way forward. </w:t>
      </w:r>
      <w:r w:rsidRPr="00784C8B">
        <w:rPr>
          <w:rFonts w:asciiTheme="minorBidi" w:hAnsiTheme="minorBidi"/>
          <w:i/>
          <w:iCs/>
        </w:rPr>
        <w:t>Business Ethics, the Environment &amp; Responsibility</w:t>
      </w:r>
      <w:r w:rsidRPr="00784C8B">
        <w:rPr>
          <w:rFonts w:asciiTheme="minorBidi" w:hAnsiTheme="minorBidi"/>
        </w:rPr>
        <w:t xml:space="preserve">, 34(3), pp. 912–935. </w:t>
      </w:r>
      <w:proofErr w:type="spellStart"/>
      <w:r w:rsidRPr="00784C8B">
        <w:rPr>
          <w:rFonts w:asciiTheme="minorBidi" w:hAnsiTheme="minorBidi"/>
        </w:rPr>
        <w:t>doi</w:t>
      </w:r>
      <w:proofErr w:type="spellEnd"/>
      <w:r w:rsidRPr="00784C8B">
        <w:rPr>
          <w:rFonts w:asciiTheme="minorBidi" w:hAnsiTheme="minorBidi"/>
        </w:rPr>
        <w:t xml:space="preserve">: </w:t>
      </w:r>
      <w:hyperlink r:id="rId37" w:history="1">
        <w:r w:rsidRPr="00863CAD">
          <w:rPr>
            <w:rStyle w:val="Hyperlink"/>
            <w:rFonts w:asciiTheme="minorBidi" w:hAnsiTheme="minorBidi"/>
          </w:rPr>
          <w:t>https://doi.org/10.1111/beer.12686</w:t>
        </w:r>
      </w:hyperlink>
    </w:p>
    <w:p w14:paraId="401D093E" w14:textId="3824C919" w:rsidR="00AD4FB6" w:rsidRPr="005C76F0" w:rsidRDefault="00AD4FB6" w:rsidP="00784C8B">
      <w:pPr>
        <w:spacing w:line="360" w:lineRule="auto"/>
        <w:jc w:val="both"/>
        <w:rPr>
          <w:rFonts w:asciiTheme="minorBidi" w:hAnsiTheme="minorBidi"/>
        </w:rPr>
      </w:pPr>
      <w:r w:rsidRPr="005C76F0">
        <w:rPr>
          <w:rFonts w:asciiTheme="minorBidi" w:hAnsiTheme="minorBidi"/>
        </w:rPr>
        <w:t xml:space="preserve">World Steel Association (2025). </w:t>
      </w:r>
      <w:r w:rsidRPr="005C76F0">
        <w:rPr>
          <w:rFonts w:asciiTheme="minorBidi" w:hAnsiTheme="minorBidi"/>
          <w:i/>
          <w:iCs/>
        </w:rPr>
        <w:t>Climate change and the production of iron and steel</w:t>
      </w:r>
      <w:r w:rsidRPr="005C76F0">
        <w:rPr>
          <w:rFonts w:asciiTheme="minorBidi" w:hAnsiTheme="minorBidi"/>
        </w:rPr>
        <w:t xml:space="preserve">. [online] World Steel Association. Available at: </w:t>
      </w:r>
      <w:hyperlink r:id="rId38" w:history="1">
        <w:r w:rsidRPr="005C76F0">
          <w:rPr>
            <w:rStyle w:val="Hyperlink"/>
            <w:rFonts w:asciiTheme="minorBidi" w:hAnsiTheme="minorBidi"/>
          </w:rPr>
          <w:t>https://worldsteel.org/climate-action/climate-change-and-the-production-of-iron-and-steel/</w:t>
        </w:r>
      </w:hyperlink>
      <w:r w:rsidRPr="005C76F0">
        <w:rPr>
          <w:rFonts w:asciiTheme="minorBidi" w:hAnsiTheme="minorBidi"/>
        </w:rPr>
        <w:t>.</w:t>
      </w:r>
    </w:p>
    <w:p w14:paraId="34F85702" w14:textId="77777777" w:rsidR="00AD4FB6" w:rsidRDefault="00AD4FB6" w:rsidP="00AD4FB6">
      <w:pPr>
        <w:spacing w:line="360" w:lineRule="auto"/>
        <w:jc w:val="both"/>
        <w:rPr>
          <w:rFonts w:asciiTheme="minorBidi" w:hAnsiTheme="minorBidi"/>
        </w:rPr>
      </w:pPr>
      <w:proofErr w:type="spellStart"/>
      <w:r w:rsidRPr="005C76F0">
        <w:rPr>
          <w:rFonts w:asciiTheme="minorBidi" w:hAnsiTheme="minorBidi"/>
        </w:rPr>
        <w:t>Zervoudi</w:t>
      </w:r>
      <w:proofErr w:type="spellEnd"/>
      <w:r w:rsidRPr="005C76F0">
        <w:rPr>
          <w:rFonts w:asciiTheme="minorBidi" w:hAnsiTheme="minorBidi"/>
        </w:rPr>
        <w:t xml:space="preserve">, E.K., Moschos, N. and Christopoulos, A.G. (2025). From the corporate social responsibility and environmental, social and governance criteria to the greenwashing </w:t>
      </w:r>
      <w:r w:rsidRPr="005C76F0">
        <w:rPr>
          <w:rFonts w:asciiTheme="minorBidi" w:hAnsiTheme="minorBidi"/>
        </w:rPr>
        <w:lastRenderedPageBreak/>
        <w:t xml:space="preserve">phenomenon: A comprehensive literature review about the causes, consequences and solutions of the phenomenon with specific case studies. </w:t>
      </w:r>
      <w:r w:rsidRPr="005C76F0">
        <w:rPr>
          <w:rFonts w:asciiTheme="minorBidi" w:hAnsiTheme="minorBidi"/>
          <w:i/>
          <w:iCs/>
        </w:rPr>
        <w:t>Sustainability</w:t>
      </w:r>
      <w:r w:rsidRPr="005C76F0">
        <w:rPr>
          <w:rFonts w:asciiTheme="minorBidi" w:hAnsiTheme="minorBidi"/>
        </w:rPr>
        <w:t xml:space="preserve">, 17(5), 2222. </w:t>
      </w:r>
      <w:proofErr w:type="spellStart"/>
      <w:r w:rsidRPr="005C76F0">
        <w:rPr>
          <w:rFonts w:asciiTheme="minorBidi" w:hAnsiTheme="minorBidi"/>
        </w:rPr>
        <w:t>doi</w:t>
      </w:r>
      <w:proofErr w:type="spellEnd"/>
      <w:r w:rsidRPr="005C76F0">
        <w:rPr>
          <w:rFonts w:asciiTheme="minorBidi" w:hAnsiTheme="minorBidi"/>
        </w:rPr>
        <w:t xml:space="preserve">: </w:t>
      </w:r>
      <w:hyperlink r:id="rId39" w:history="1">
        <w:r w:rsidRPr="005C76F0">
          <w:rPr>
            <w:rStyle w:val="Hyperlink"/>
            <w:rFonts w:asciiTheme="minorBidi" w:hAnsiTheme="minorBidi"/>
          </w:rPr>
          <w:t>https://doi.org/10.3390/su17052222</w:t>
        </w:r>
      </w:hyperlink>
      <w:r w:rsidRPr="005C76F0">
        <w:rPr>
          <w:rFonts w:asciiTheme="minorBidi" w:hAnsiTheme="minorBidi"/>
        </w:rPr>
        <w:t>.</w:t>
      </w:r>
    </w:p>
    <w:p w14:paraId="6DAF32BB" w14:textId="7598C43C" w:rsidR="00B77097" w:rsidRDefault="00B77097" w:rsidP="00B77097">
      <w:pPr>
        <w:spacing w:line="360" w:lineRule="auto"/>
        <w:jc w:val="both"/>
        <w:rPr>
          <w:rFonts w:asciiTheme="minorBidi" w:hAnsiTheme="minorBidi"/>
        </w:rPr>
      </w:pPr>
      <w:r w:rsidRPr="00B77097">
        <w:rPr>
          <w:rFonts w:asciiTheme="minorBidi" w:hAnsiTheme="minorBidi"/>
        </w:rPr>
        <w:t xml:space="preserve">Zhang, A. and </w:t>
      </w:r>
      <w:proofErr w:type="spellStart"/>
      <w:r w:rsidRPr="00B77097">
        <w:rPr>
          <w:rFonts w:asciiTheme="minorBidi" w:hAnsiTheme="minorBidi"/>
        </w:rPr>
        <w:t>Seuring</w:t>
      </w:r>
      <w:proofErr w:type="spellEnd"/>
      <w:r w:rsidRPr="00B77097">
        <w:rPr>
          <w:rFonts w:asciiTheme="minorBidi" w:hAnsiTheme="minorBidi"/>
        </w:rPr>
        <w:t xml:space="preserve">, S. (2024). Digital product passport for sustainable and circular supply chain management: A structured review of use cases. </w:t>
      </w:r>
      <w:r w:rsidRPr="00B77097">
        <w:rPr>
          <w:rFonts w:asciiTheme="minorBidi" w:hAnsiTheme="minorBidi"/>
          <w:i/>
          <w:iCs/>
        </w:rPr>
        <w:t>International Journal of Logistics Research and Applications</w:t>
      </w:r>
      <w:r w:rsidRPr="00B77097">
        <w:rPr>
          <w:rFonts w:asciiTheme="minorBidi" w:hAnsiTheme="minorBidi"/>
        </w:rPr>
        <w:t xml:space="preserve">, 27(12), pp. 2513–2540. </w:t>
      </w:r>
      <w:proofErr w:type="spellStart"/>
      <w:r w:rsidRPr="00B77097">
        <w:rPr>
          <w:rFonts w:asciiTheme="minorBidi" w:hAnsiTheme="minorBidi"/>
        </w:rPr>
        <w:t>doi</w:t>
      </w:r>
      <w:proofErr w:type="spellEnd"/>
      <w:r w:rsidRPr="00B77097">
        <w:rPr>
          <w:rFonts w:asciiTheme="minorBidi" w:hAnsiTheme="minorBidi"/>
        </w:rPr>
        <w:t xml:space="preserve">: </w:t>
      </w:r>
      <w:hyperlink r:id="rId40" w:history="1">
        <w:r w:rsidRPr="00B77097">
          <w:rPr>
            <w:rStyle w:val="Hyperlink"/>
            <w:rFonts w:asciiTheme="minorBidi" w:hAnsiTheme="minorBidi"/>
          </w:rPr>
          <w:t>https://doi.org/10.1080/13675567.2024.2374256</w:t>
        </w:r>
      </w:hyperlink>
      <w:r w:rsidRPr="00B77097">
        <w:rPr>
          <w:rFonts w:asciiTheme="minorBidi" w:hAnsiTheme="minorBidi"/>
        </w:rPr>
        <w:t>.</w:t>
      </w:r>
    </w:p>
    <w:p w14:paraId="15E6535B" w14:textId="77777777" w:rsidR="00B77097" w:rsidRDefault="00B77097" w:rsidP="00B77097">
      <w:pPr>
        <w:spacing w:line="360" w:lineRule="auto"/>
        <w:jc w:val="both"/>
        <w:rPr>
          <w:rFonts w:asciiTheme="minorBidi" w:hAnsiTheme="minorBidi"/>
        </w:rPr>
      </w:pPr>
    </w:p>
    <w:p w14:paraId="0735BB34" w14:textId="77777777" w:rsidR="00B77097" w:rsidRDefault="00B77097" w:rsidP="00B77097">
      <w:pPr>
        <w:spacing w:line="360" w:lineRule="auto"/>
        <w:jc w:val="both"/>
        <w:rPr>
          <w:rFonts w:asciiTheme="minorBidi" w:hAnsiTheme="minorBidi"/>
        </w:rPr>
      </w:pPr>
    </w:p>
    <w:p w14:paraId="555742A1" w14:textId="77777777" w:rsidR="00B77097" w:rsidRDefault="00B77097" w:rsidP="00B77097">
      <w:pPr>
        <w:spacing w:line="360" w:lineRule="auto"/>
        <w:jc w:val="both"/>
        <w:rPr>
          <w:rFonts w:asciiTheme="minorBidi" w:hAnsiTheme="minorBidi"/>
        </w:rPr>
      </w:pPr>
    </w:p>
    <w:p w14:paraId="22B56B99" w14:textId="77777777" w:rsidR="00B77097" w:rsidRDefault="00B77097" w:rsidP="00B77097">
      <w:pPr>
        <w:spacing w:line="360" w:lineRule="auto"/>
        <w:jc w:val="both"/>
        <w:rPr>
          <w:rFonts w:asciiTheme="minorBidi" w:hAnsiTheme="minorBidi"/>
        </w:rPr>
      </w:pPr>
    </w:p>
    <w:p w14:paraId="4B9D9456" w14:textId="77777777" w:rsidR="00B77097" w:rsidRDefault="00B77097" w:rsidP="00B77097">
      <w:pPr>
        <w:spacing w:line="360" w:lineRule="auto"/>
        <w:jc w:val="both"/>
        <w:rPr>
          <w:rFonts w:asciiTheme="minorBidi" w:hAnsiTheme="minorBidi"/>
        </w:rPr>
      </w:pPr>
    </w:p>
    <w:p w14:paraId="6954B331" w14:textId="77777777" w:rsidR="00B77097" w:rsidRDefault="00B77097" w:rsidP="00B77097">
      <w:pPr>
        <w:spacing w:line="360" w:lineRule="auto"/>
        <w:jc w:val="both"/>
        <w:rPr>
          <w:rFonts w:asciiTheme="minorBidi" w:hAnsiTheme="minorBidi"/>
        </w:rPr>
      </w:pPr>
    </w:p>
    <w:p w14:paraId="3C3D1CA9" w14:textId="77777777" w:rsidR="00B77097" w:rsidRDefault="00B77097" w:rsidP="00B77097">
      <w:pPr>
        <w:spacing w:line="360" w:lineRule="auto"/>
        <w:jc w:val="both"/>
        <w:rPr>
          <w:rFonts w:asciiTheme="minorBidi" w:hAnsiTheme="minorBidi"/>
        </w:rPr>
      </w:pPr>
    </w:p>
    <w:p w14:paraId="6FD629A4" w14:textId="77777777" w:rsidR="00B77097" w:rsidRDefault="00B77097" w:rsidP="00B77097">
      <w:pPr>
        <w:spacing w:line="360" w:lineRule="auto"/>
        <w:jc w:val="both"/>
        <w:rPr>
          <w:rFonts w:asciiTheme="minorBidi" w:hAnsiTheme="minorBidi"/>
        </w:rPr>
      </w:pPr>
    </w:p>
    <w:p w14:paraId="09F251BD" w14:textId="77777777" w:rsidR="00B77097" w:rsidRDefault="00B77097" w:rsidP="00B77097">
      <w:pPr>
        <w:spacing w:line="360" w:lineRule="auto"/>
        <w:jc w:val="both"/>
        <w:rPr>
          <w:rFonts w:asciiTheme="minorBidi" w:hAnsiTheme="minorBidi"/>
        </w:rPr>
      </w:pPr>
    </w:p>
    <w:p w14:paraId="36B7972F" w14:textId="77777777" w:rsidR="00B77097" w:rsidRDefault="00B77097" w:rsidP="00B77097">
      <w:pPr>
        <w:spacing w:line="360" w:lineRule="auto"/>
        <w:jc w:val="both"/>
        <w:rPr>
          <w:rFonts w:asciiTheme="minorBidi" w:hAnsiTheme="minorBidi"/>
        </w:rPr>
      </w:pPr>
    </w:p>
    <w:p w14:paraId="1043D5C7" w14:textId="77777777" w:rsidR="00B77097" w:rsidRDefault="00B77097" w:rsidP="00B77097">
      <w:pPr>
        <w:spacing w:line="360" w:lineRule="auto"/>
        <w:jc w:val="both"/>
        <w:rPr>
          <w:rFonts w:asciiTheme="minorBidi" w:hAnsiTheme="minorBidi"/>
        </w:rPr>
      </w:pPr>
    </w:p>
    <w:p w14:paraId="0C93541D" w14:textId="77777777" w:rsidR="00B77097" w:rsidRDefault="00B77097" w:rsidP="00B77097">
      <w:pPr>
        <w:spacing w:line="360" w:lineRule="auto"/>
        <w:jc w:val="both"/>
        <w:rPr>
          <w:rFonts w:asciiTheme="minorBidi" w:hAnsiTheme="minorBidi"/>
        </w:rPr>
      </w:pPr>
    </w:p>
    <w:p w14:paraId="4AAE9E21" w14:textId="77777777" w:rsidR="00B77097" w:rsidRDefault="00B77097" w:rsidP="00B77097">
      <w:pPr>
        <w:spacing w:line="360" w:lineRule="auto"/>
        <w:jc w:val="both"/>
        <w:rPr>
          <w:rFonts w:asciiTheme="minorBidi" w:hAnsiTheme="minorBidi"/>
        </w:rPr>
      </w:pPr>
    </w:p>
    <w:p w14:paraId="059C3726" w14:textId="77777777" w:rsidR="00B77097" w:rsidRDefault="00B77097" w:rsidP="00B77097">
      <w:pPr>
        <w:spacing w:line="360" w:lineRule="auto"/>
        <w:jc w:val="both"/>
        <w:rPr>
          <w:rFonts w:asciiTheme="minorBidi" w:hAnsiTheme="minorBidi"/>
        </w:rPr>
      </w:pPr>
    </w:p>
    <w:p w14:paraId="6E8B3868" w14:textId="77777777" w:rsidR="00B77097" w:rsidRDefault="00B77097" w:rsidP="00B77097">
      <w:pPr>
        <w:spacing w:line="360" w:lineRule="auto"/>
        <w:jc w:val="both"/>
        <w:rPr>
          <w:rFonts w:asciiTheme="minorBidi" w:hAnsiTheme="minorBidi"/>
        </w:rPr>
      </w:pPr>
    </w:p>
    <w:p w14:paraId="0CCA2033" w14:textId="77777777" w:rsidR="00B77097" w:rsidRDefault="00B77097" w:rsidP="00B77097">
      <w:pPr>
        <w:spacing w:line="360" w:lineRule="auto"/>
        <w:jc w:val="both"/>
        <w:rPr>
          <w:rFonts w:asciiTheme="minorBidi" w:hAnsiTheme="minorBidi"/>
        </w:rPr>
      </w:pPr>
    </w:p>
    <w:p w14:paraId="1A611536" w14:textId="77777777" w:rsidR="00B77097" w:rsidRDefault="00B77097" w:rsidP="00B77097">
      <w:pPr>
        <w:spacing w:line="360" w:lineRule="auto"/>
        <w:jc w:val="both"/>
        <w:rPr>
          <w:rFonts w:asciiTheme="minorBidi" w:hAnsiTheme="minorBidi"/>
        </w:rPr>
      </w:pPr>
    </w:p>
    <w:p w14:paraId="171E5383" w14:textId="77777777" w:rsidR="00B77097" w:rsidRDefault="00B77097" w:rsidP="00B77097">
      <w:pPr>
        <w:spacing w:line="360" w:lineRule="auto"/>
        <w:jc w:val="both"/>
        <w:rPr>
          <w:rFonts w:asciiTheme="minorBidi" w:hAnsiTheme="minorBidi"/>
        </w:rPr>
      </w:pPr>
    </w:p>
    <w:p w14:paraId="19E0D599" w14:textId="77777777" w:rsidR="00AD4FB6" w:rsidRPr="005C76F0" w:rsidRDefault="00AD4FB6" w:rsidP="00AD4FB6">
      <w:pPr>
        <w:spacing w:line="360" w:lineRule="auto"/>
        <w:jc w:val="both"/>
        <w:rPr>
          <w:rFonts w:asciiTheme="minorBidi" w:hAnsiTheme="minorBidi"/>
          <w:b/>
          <w:bCs/>
        </w:rPr>
      </w:pPr>
    </w:p>
    <w:p w14:paraId="362EA625" w14:textId="616F19CF" w:rsidR="00AD4FB6" w:rsidRPr="005C76F0" w:rsidRDefault="00AD4FB6" w:rsidP="00AD4FB6">
      <w:pPr>
        <w:pStyle w:val="Heading1"/>
      </w:pPr>
      <w:bookmarkStart w:id="17" w:name="_Toc233230366"/>
      <w:r w:rsidRPr="005C76F0">
        <w:lastRenderedPageBreak/>
        <w:t>AI Use Acknowledgement:</w:t>
      </w:r>
      <w:bookmarkEnd w:id="17"/>
    </w:p>
    <w:p w14:paraId="36A898AF" w14:textId="77777777" w:rsidR="00AD4FB6" w:rsidRPr="005C76F0" w:rsidRDefault="00AD4FB6" w:rsidP="00AD4FB6">
      <w:pPr>
        <w:spacing w:line="360" w:lineRule="auto"/>
        <w:jc w:val="both"/>
        <w:rPr>
          <w:rFonts w:asciiTheme="minorBidi" w:hAnsiTheme="minorBidi"/>
        </w:rPr>
      </w:pPr>
      <w:r w:rsidRPr="005C76F0">
        <w:rPr>
          <w:rFonts w:asciiTheme="minorBidi" w:hAnsiTheme="minorBidi"/>
        </w:rPr>
        <w:t>I acknowledge using ChatGPT to support initial structuring, search-term generation, framework comparison, wording review and coherence checking. All statistics, claims and references were independently checked against the original sources. The selection of BHP, critical evaluation, strategic recommendations, reflection and final wording remain my responsibility. No confidential or personal data were entered.</w:t>
      </w:r>
    </w:p>
    <w:p w14:paraId="56802E40" w14:textId="77777777" w:rsidR="007410D1" w:rsidRPr="00AD4FB6" w:rsidRDefault="007410D1" w:rsidP="00AD4FB6">
      <w:pPr>
        <w:spacing w:line="360" w:lineRule="auto"/>
        <w:jc w:val="both"/>
        <w:rPr>
          <w:rFonts w:asciiTheme="minorBidi" w:hAnsiTheme="minorBidi"/>
        </w:rPr>
      </w:pPr>
    </w:p>
    <w:sectPr w:rsidR="007410D1" w:rsidRPr="00AD4FB6" w:rsidSect="00AD4FB6">
      <w:footerReference w:type="default" r:id="rId4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B8AB7" w14:textId="77777777" w:rsidR="008A2CCD" w:rsidRPr="005C76F0" w:rsidRDefault="008A2CCD" w:rsidP="00AD4FB6">
      <w:pPr>
        <w:spacing w:after="0" w:line="240" w:lineRule="auto"/>
      </w:pPr>
      <w:r w:rsidRPr="005C76F0">
        <w:separator/>
      </w:r>
    </w:p>
  </w:endnote>
  <w:endnote w:type="continuationSeparator" w:id="0">
    <w:p w14:paraId="69AB2D07" w14:textId="77777777" w:rsidR="008A2CCD" w:rsidRPr="005C76F0" w:rsidRDefault="008A2CCD" w:rsidP="00AD4FB6">
      <w:pPr>
        <w:spacing w:after="0" w:line="240" w:lineRule="auto"/>
      </w:pPr>
      <w:r w:rsidRPr="005C76F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8690900"/>
      <w:docPartObj>
        <w:docPartGallery w:val="Page Numbers (Bottom of Page)"/>
        <w:docPartUnique/>
      </w:docPartObj>
    </w:sdtPr>
    <w:sdtContent>
      <w:p w14:paraId="421185FB" w14:textId="03D721AB" w:rsidR="00AD4FB6" w:rsidRPr="005C76F0" w:rsidRDefault="00AD4FB6">
        <w:pPr>
          <w:pStyle w:val="Footer"/>
          <w:jc w:val="center"/>
        </w:pPr>
        <w:r w:rsidRPr="005C76F0">
          <w:fldChar w:fldCharType="begin"/>
        </w:r>
        <w:r w:rsidRPr="005C76F0">
          <w:instrText xml:space="preserve"> PAGE   \* MERGEFORMAT </w:instrText>
        </w:r>
        <w:r w:rsidRPr="005C76F0">
          <w:fldChar w:fldCharType="separate"/>
        </w:r>
        <w:r w:rsidRPr="005C76F0">
          <w:t>2</w:t>
        </w:r>
        <w:r w:rsidRPr="005C76F0">
          <w:fldChar w:fldCharType="end"/>
        </w:r>
      </w:p>
    </w:sdtContent>
  </w:sdt>
  <w:p w14:paraId="6722C171" w14:textId="77777777" w:rsidR="00AD4FB6" w:rsidRPr="005C76F0" w:rsidRDefault="00AD4F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C8989" w14:textId="77777777" w:rsidR="008A2CCD" w:rsidRPr="005C76F0" w:rsidRDefault="008A2CCD" w:rsidP="00AD4FB6">
      <w:pPr>
        <w:spacing w:after="0" w:line="240" w:lineRule="auto"/>
      </w:pPr>
      <w:r w:rsidRPr="005C76F0">
        <w:separator/>
      </w:r>
    </w:p>
  </w:footnote>
  <w:footnote w:type="continuationSeparator" w:id="0">
    <w:p w14:paraId="4EC5F108" w14:textId="77777777" w:rsidR="008A2CCD" w:rsidRPr="005C76F0" w:rsidRDefault="008A2CCD" w:rsidP="00AD4FB6">
      <w:pPr>
        <w:spacing w:after="0" w:line="240" w:lineRule="auto"/>
      </w:pPr>
      <w:r w:rsidRPr="005C76F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7E30A1"/>
    <w:multiLevelType w:val="multilevel"/>
    <w:tmpl w:val="E904C072"/>
    <w:lvl w:ilvl="0">
      <w:start w:val="1"/>
      <w:numFmt w:val="decimal"/>
      <w:lvlText w:val="%1."/>
      <w:lvlJc w:val="left"/>
      <w:pPr>
        <w:ind w:left="360" w:hanging="360"/>
      </w:pPr>
    </w:lvl>
    <w:lvl w:ilvl="1">
      <w:start w:val="1"/>
      <w:numFmt w:val="decimal"/>
      <w:pStyle w:val="Heading2"/>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5CC6682A"/>
    <w:multiLevelType w:val="hybridMultilevel"/>
    <w:tmpl w:val="34FAB9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08763889">
    <w:abstractNumId w:val="1"/>
  </w:num>
  <w:num w:numId="2" w16cid:durableId="1180851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FB6"/>
    <w:rsid w:val="000718EB"/>
    <w:rsid w:val="00080963"/>
    <w:rsid w:val="000C0FFA"/>
    <w:rsid w:val="000C27E0"/>
    <w:rsid w:val="000D0189"/>
    <w:rsid w:val="0019162D"/>
    <w:rsid w:val="00194FBB"/>
    <w:rsid w:val="001C4766"/>
    <w:rsid w:val="001D6D0E"/>
    <w:rsid w:val="001E46E7"/>
    <w:rsid w:val="001F5355"/>
    <w:rsid w:val="002229FC"/>
    <w:rsid w:val="00227FC8"/>
    <w:rsid w:val="00294685"/>
    <w:rsid w:val="00295B9A"/>
    <w:rsid w:val="00296317"/>
    <w:rsid w:val="002965BB"/>
    <w:rsid w:val="002C11CA"/>
    <w:rsid w:val="002F0F11"/>
    <w:rsid w:val="002F5B72"/>
    <w:rsid w:val="00302488"/>
    <w:rsid w:val="0034428B"/>
    <w:rsid w:val="003A5478"/>
    <w:rsid w:val="00426458"/>
    <w:rsid w:val="00486F8E"/>
    <w:rsid w:val="004B5A24"/>
    <w:rsid w:val="004C58A7"/>
    <w:rsid w:val="00507421"/>
    <w:rsid w:val="005777B4"/>
    <w:rsid w:val="005B7840"/>
    <w:rsid w:val="005C76F0"/>
    <w:rsid w:val="005C7856"/>
    <w:rsid w:val="005F58DF"/>
    <w:rsid w:val="00643EF6"/>
    <w:rsid w:val="0068458E"/>
    <w:rsid w:val="006E3E0F"/>
    <w:rsid w:val="007410D1"/>
    <w:rsid w:val="007712FB"/>
    <w:rsid w:val="0078184A"/>
    <w:rsid w:val="00784C8B"/>
    <w:rsid w:val="0079117F"/>
    <w:rsid w:val="007E168F"/>
    <w:rsid w:val="00803111"/>
    <w:rsid w:val="0082311E"/>
    <w:rsid w:val="0087044C"/>
    <w:rsid w:val="00872513"/>
    <w:rsid w:val="00887DA4"/>
    <w:rsid w:val="008A2CCD"/>
    <w:rsid w:val="008C2C61"/>
    <w:rsid w:val="00945B56"/>
    <w:rsid w:val="00993858"/>
    <w:rsid w:val="009D0E14"/>
    <w:rsid w:val="009D21CA"/>
    <w:rsid w:val="009D427A"/>
    <w:rsid w:val="00A515DB"/>
    <w:rsid w:val="00AC08E2"/>
    <w:rsid w:val="00AD4FB6"/>
    <w:rsid w:val="00B77097"/>
    <w:rsid w:val="00B84C08"/>
    <w:rsid w:val="00B96509"/>
    <w:rsid w:val="00BD458D"/>
    <w:rsid w:val="00BE37FF"/>
    <w:rsid w:val="00C8622E"/>
    <w:rsid w:val="00C93283"/>
    <w:rsid w:val="00CA2CF1"/>
    <w:rsid w:val="00CA5BAE"/>
    <w:rsid w:val="00D079D7"/>
    <w:rsid w:val="00D36F10"/>
    <w:rsid w:val="00D40704"/>
    <w:rsid w:val="00D6058F"/>
    <w:rsid w:val="00D816C9"/>
    <w:rsid w:val="00D904EE"/>
    <w:rsid w:val="00D937DA"/>
    <w:rsid w:val="00E011B2"/>
    <w:rsid w:val="00E31B99"/>
    <w:rsid w:val="00E57A1B"/>
    <w:rsid w:val="00E70F48"/>
    <w:rsid w:val="00E756E6"/>
    <w:rsid w:val="00EB4F3A"/>
    <w:rsid w:val="00EC2B60"/>
    <w:rsid w:val="00F41B61"/>
    <w:rsid w:val="00F83DD7"/>
    <w:rsid w:val="00FB3B67"/>
    <w:rsid w:val="00FD4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1756E"/>
  <w15:chartTrackingRefBased/>
  <w15:docId w15:val="{E13CD04A-B514-4087-9263-32A40F3F9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D4FB6"/>
    <w:pPr>
      <w:spacing w:line="360" w:lineRule="auto"/>
      <w:jc w:val="both"/>
      <w:outlineLvl w:val="0"/>
    </w:pPr>
    <w:rPr>
      <w:rFonts w:asciiTheme="minorBidi" w:hAnsiTheme="minorBidi"/>
      <w:b/>
      <w:bCs/>
      <w:sz w:val="28"/>
      <w:szCs w:val="28"/>
    </w:rPr>
  </w:style>
  <w:style w:type="paragraph" w:styleId="Heading2">
    <w:name w:val="heading 2"/>
    <w:basedOn w:val="ListParagraph"/>
    <w:next w:val="Normal"/>
    <w:link w:val="Heading2Char"/>
    <w:uiPriority w:val="9"/>
    <w:unhideWhenUsed/>
    <w:qFormat/>
    <w:rsid w:val="00AD4FB6"/>
    <w:pPr>
      <w:numPr>
        <w:ilvl w:val="1"/>
        <w:numId w:val="2"/>
      </w:numPr>
      <w:spacing w:line="360" w:lineRule="auto"/>
      <w:jc w:val="both"/>
      <w:outlineLvl w:val="1"/>
    </w:pPr>
    <w:rPr>
      <w:rFonts w:asciiTheme="minorBidi" w:hAnsiTheme="minorBidi"/>
      <w:b/>
      <w:bCs/>
    </w:rPr>
  </w:style>
  <w:style w:type="paragraph" w:styleId="Heading3">
    <w:name w:val="heading 3"/>
    <w:basedOn w:val="Normal"/>
    <w:next w:val="Normal"/>
    <w:link w:val="Heading3Char"/>
    <w:uiPriority w:val="9"/>
    <w:semiHidden/>
    <w:unhideWhenUsed/>
    <w:qFormat/>
    <w:rsid w:val="00AD4FB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D4FB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D4FB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D4F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4F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4F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4F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4FB6"/>
    <w:rPr>
      <w:rFonts w:asciiTheme="minorBidi" w:hAnsiTheme="minorBidi"/>
      <w:b/>
      <w:bCs/>
      <w:sz w:val="28"/>
      <w:szCs w:val="28"/>
      <w:lang w:val="en-GB"/>
    </w:rPr>
  </w:style>
  <w:style w:type="character" w:customStyle="1" w:styleId="Heading2Char">
    <w:name w:val="Heading 2 Char"/>
    <w:basedOn w:val="DefaultParagraphFont"/>
    <w:link w:val="Heading2"/>
    <w:uiPriority w:val="9"/>
    <w:rsid w:val="00AD4FB6"/>
    <w:rPr>
      <w:rFonts w:asciiTheme="minorBidi" w:hAnsiTheme="minorBidi"/>
      <w:b/>
      <w:bCs/>
      <w:lang w:val="en-GB"/>
    </w:rPr>
  </w:style>
  <w:style w:type="character" w:customStyle="1" w:styleId="Heading3Char">
    <w:name w:val="Heading 3 Char"/>
    <w:basedOn w:val="DefaultParagraphFont"/>
    <w:link w:val="Heading3"/>
    <w:uiPriority w:val="9"/>
    <w:semiHidden/>
    <w:rsid w:val="00AD4FB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D4FB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D4FB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D4F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4F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4F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4FB6"/>
    <w:rPr>
      <w:rFonts w:eastAsiaTheme="majorEastAsia" w:cstheme="majorBidi"/>
      <w:color w:val="272727" w:themeColor="text1" w:themeTint="D8"/>
    </w:rPr>
  </w:style>
  <w:style w:type="paragraph" w:styleId="Title">
    <w:name w:val="Title"/>
    <w:basedOn w:val="Normal"/>
    <w:next w:val="Normal"/>
    <w:link w:val="TitleChar"/>
    <w:uiPriority w:val="10"/>
    <w:qFormat/>
    <w:rsid w:val="00AD4F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4F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4F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4F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4FB6"/>
    <w:pPr>
      <w:spacing w:before="160"/>
      <w:jc w:val="center"/>
    </w:pPr>
    <w:rPr>
      <w:i/>
      <w:iCs/>
      <w:color w:val="404040" w:themeColor="text1" w:themeTint="BF"/>
    </w:rPr>
  </w:style>
  <w:style w:type="character" w:customStyle="1" w:styleId="QuoteChar">
    <w:name w:val="Quote Char"/>
    <w:basedOn w:val="DefaultParagraphFont"/>
    <w:link w:val="Quote"/>
    <w:uiPriority w:val="29"/>
    <w:rsid w:val="00AD4FB6"/>
    <w:rPr>
      <w:i/>
      <w:iCs/>
      <w:color w:val="404040" w:themeColor="text1" w:themeTint="BF"/>
    </w:rPr>
  </w:style>
  <w:style w:type="paragraph" w:styleId="ListParagraph">
    <w:name w:val="List Paragraph"/>
    <w:basedOn w:val="Normal"/>
    <w:uiPriority w:val="34"/>
    <w:qFormat/>
    <w:rsid w:val="00AD4FB6"/>
    <w:pPr>
      <w:ind w:left="720"/>
      <w:contextualSpacing/>
    </w:pPr>
  </w:style>
  <w:style w:type="character" w:styleId="IntenseEmphasis">
    <w:name w:val="Intense Emphasis"/>
    <w:basedOn w:val="DefaultParagraphFont"/>
    <w:uiPriority w:val="21"/>
    <w:qFormat/>
    <w:rsid w:val="00AD4FB6"/>
    <w:rPr>
      <w:i/>
      <w:iCs/>
      <w:color w:val="2F5496" w:themeColor="accent1" w:themeShade="BF"/>
    </w:rPr>
  </w:style>
  <w:style w:type="paragraph" w:styleId="IntenseQuote">
    <w:name w:val="Intense Quote"/>
    <w:basedOn w:val="Normal"/>
    <w:next w:val="Normal"/>
    <w:link w:val="IntenseQuoteChar"/>
    <w:uiPriority w:val="30"/>
    <w:qFormat/>
    <w:rsid w:val="00AD4F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4FB6"/>
    <w:rPr>
      <w:i/>
      <w:iCs/>
      <w:color w:val="2F5496" w:themeColor="accent1" w:themeShade="BF"/>
    </w:rPr>
  </w:style>
  <w:style w:type="character" w:styleId="IntenseReference">
    <w:name w:val="Intense Reference"/>
    <w:basedOn w:val="DefaultParagraphFont"/>
    <w:uiPriority w:val="32"/>
    <w:qFormat/>
    <w:rsid w:val="00AD4FB6"/>
    <w:rPr>
      <w:b/>
      <w:bCs/>
      <w:smallCaps/>
      <w:color w:val="2F5496" w:themeColor="accent1" w:themeShade="BF"/>
      <w:spacing w:val="5"/>
    </w:rPr>
  </w:style>
  <w:style w:type="paragraph" w:styleId="Header">
    <w:name w:val="header"/>
    <w:basedOn w:val="Normal"/>
    <w:link w:val="HeaderChar"/>
    <w:uiPriority w:val="99"/>
    <w:unhideWhenUsed/>
    <w:rsid w:val="00AD4F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FB6"/>
  </w:style>
  <w:style w:type="paragraph" w:styleId="Footer">
    <w:name w:val="footer"/>
    <w:basedOn w:val="Normal"/>
    <w:link w:val="FooterChar"/>
    <w:uiPriority w:val="99"/>
    <w:unhideWhenUsed/>
    <w:rsid w:val="00AD4F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FB6"/>
  </w:style>
  <w:style w:type="character" w:styleId="Hyperlink">
    <w:name w:val="Hyperlink"/>
    <w:basedOn w:val="DefaultParagraphFont"/>
    <w:uiPriority w:val="99"/>
    <w:unhideWhenUsed/>
    <w:rsid w:val="00AD4FB6"/>
    <w:rPr>
      <w:color w:val="0563C1" w:themeColor="hyperlink"/>
      <w:u w:val="single"/>
    </w:rPr>
  </w:style>
  <w:style w:type="character" w:styleId="UnresolvedMention">
    <w:name w:val="Unresolved Mention"/>
    <w:basedOn w:val="DefaultParagraphFont"/>
    <w:uiPriority w:val="99"/>
    <w:semiHidden/>
    <w:unhideWhenUsed/>
    <w:rsid w:val="00AD4FB6"/>
    <w:rPr>
      <w:color w:val="605E5C"/>
      <w:shd w:val="clear" w:color="auto" w:fill="E1DFDD"/>
    </w:rPr>
  </w:style>
  <w:style w:type="table" w:styleId="PlainTable5">
    <w:name w:val="Plain Table 5"/>
    <w:basedOn w:val="TableNormal"/>
    <w:uiPriority w:val="45"/>
    <w:rsid w:val="00AD4FB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1D6D0E"/>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1D6D0E"/>
    <w:pPr>
      <w:tabs>
        <w:tab w:val="left" w:pos="480"/>
        <w:tab w:val="right" w:leader="dot" w:pos="9016"/>
      </w:tabs>
      <w:spacing w:after="100" w:line="360" w:lineRule="auto"/>
      <w:jc w:val="both"/>
    </w:pPr>
    <w:rPr>
      <w:rFonts w:asciiTheme="minorBidi" w:hAnsiTheme="minorBidi"/>
      <w:noProof/>
      <w:sz w:val="28"/>
      <w:szCs w:val="28"/>
    </w:rPr>
  </w:style>
  <w:style w:type="paragraph" w:styleId="TOC2">
    <w:name w:val="toc 2"/>
    <w:basedOn w:val="Normal"/>
    <w:next w:val="Normal"/>
    <w:autoRedefine/>
    <w:uiPriority w:val="39"/>
    <w:unhideWhenUsed/>
    <w:rsid w:val="001D6D0E"/>
    <w:pPr>
      <w:spacing w:after="100"/>
      <w:ind w:left="240"/>
    </w:pPr>
  </w:style>
  <w:style w:type="character" w:styleId="FollowedHyperlink">
    <w:name w:val="FollowedHyperlink"/>
    <w:basedOn w:val="DefaultParagraphFont"/>
    <w:uiPriority w:val="99"/>
    <w:semiHidden/>
    <w:unhideWhenUsed/>
    <w:rsid w:val="00CA2C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bhp.com/-/media/documents/investors/annual-reports/2025/250819_bhpannualreport2025.pdf" TargetMode="External"/><Relationship Id="rId26" Type="http://schemas.openxmlformats.org/officeDocument/2006/relationships/hyperlink" Target="https://www.fortescue.com/articles/fortescue-starts-works-on-green-metal-project" TargetMode="External"/><Relationship Id="rId39" Type="http://schemas.openxmlformats.org/officeDocument/2006/relationships/hyperlink" Target="https://doi.org/10.3390/su17052222" TargetMode="External"/><Relationship Id="rId21" Type="http://schemas.openxmlformats.org/officeDocument/2006/relationships/hyperlink" Target="https://doi.org/10.3390/info16040296" TargetMode="External"/><Relationship Id="rId34" Type="http://schemas.openxmlformats.org/officeDocument/2006/relationships/hyperlink" Target="https://doi.org/10.1002/smj.640"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77/014920639101700108" TargetMode="External"/><Relationship Id="rId20" Type="http://schemas.openxmlformats.org/officeDocument/2006/relationships/hyperlink" Target="https://www.bhp.com/news/media-centre/releases/2025/06/neosmelt-welcomes-federal-government-support-and-signs-two-new-participants" TargetMode="External"/><Relationship Id="rId29" Type="http://schemas.openxmlformats.org/officeDocument/2006/relationships/hyperlink" Target="https://www.ipcc.ch/report/ar6/syr/"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dcceew.gov.au/climate-change/emissions-reporting/national-greenhouse-energy-reporting-scheme/safeguard-mechanism" TargetMode="External"/><Relationship Id="rId32" Type="http://schemas.openxmlformats.org/officeDocument/2006/relationships/hyperlink" Target="https://doi.org/10.1016/j.resconrec.2025.108277" TargetMode="External"/><Relationship Id="rId37" Type="http://schemas.openxmlformats.org/officeDocument/2006/relationships/hyperlink" Target="https://doi.org/10.1111/beer.12686" TargetMode="External"/><Relationship Id="rId40" Type="http://schemas.openxmlformats.org/officeDocument/2006/relationships/hyperlink" Target="https://doi.org/10.1080/13675567.2024.2374256" TargetMode="External"/><Relationship Id="rId5" Type="http://schemas.openxmlformats.org/officeDocument/2006/relationships/webSettings" Target="webSettings.xml"/><Relationship Id="rId15" Type="http://schemas.openxmlformats.org/officeDocument/2006/relationships/hyperlink" Target="https://treasury.gov.au/policy-topics/banking-and-finance/sustainable-finance/climate-financial-reporting-guidance" TargetMode="External"/><Relationship Id="rId23" Type="http://schemas.openxmlformats.org/officeDocument/2006/relationships/hyperlink" Target="https://doi.org/10.1525/cmr.2011.54.1.64" TargetMode="External"/><Relationship Id="rId28" Type="http://schemas.openxmlformats.org/officeDocument/2006/relationships/hyperlink" Target="https://www.iea.org/reports/global-critical-minerals-outlook-2025" TargetMode="External"/><Relationship Id="rId36" Type="http://schemas.openxmlformats.org/officeDocument/2006/relationships/hyperlink" Target="https://vale.com/documents/44618/430705/Integrated%2BReport%2BVale%2B2024.pdf" TargetMode="External"/><Relationship Id="rId10" Type="http://schemas.openxmlformats.org/officeDocument/2006/relationships/image" Target="media/image3.png"/><Relationship Id="rId19" Type="http://schemas.openxmlformats.org/officeDocument/2006/relationships/hyperlink" Target="https://www.bhp.com/news/articles/2025/05/bhp-and-china-baowu-celebrated-successful-commercial-scale-dri-trials-using-bhps-pilbara-iron-ores" TargetMode="External"/><Relationship Id="rId31" Type="http://schemas.openxmlformats.org/officeDocument/2006/relationships/hyperlink" Target="https://doi.org/10.1002/bse.296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77/0149206316678451" TargetMode="External"/><Relationship Id="rId22" Type="http://schemas.openxmlformats.org/officeDocument/2006/relationships/hyperlink" Target="https://doi.org/10.1002/bse.3514" TargetMode="External"/><Relationship Id="rId27" Type="http://schemas.openxmlformats.org/officeDocument/2006/relationships/hyperlink" Target="https://doi.org/10.5465/amr.1995.9512280033" TargetMode="External"/><Relationship Id="rId30" Type="http://schemas.openxmlformats.org/officeDocument/2006/relationships/hyperlink" Target="https://doi.org/10.59327/IPCC/AR6-9789291691647" TargetMode="External"/><Relationship Id="rId35" Type="http://schemas.openxmlformats.org/officeDocument/2006/relationships/hyperlink" Target="https://www.unesco.org/en/articles/guidance-generative-ai-education-and-research"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bhp.com/-/media/documents/investors/annual-reports/2024/240827_bhpclimatetransitionactionplan2024.pdf" TargetMode="External"/><Relationship Id="rId25" Type="http://schemas.openxmlformats.org/officeDocument/2006/relationships/hyperlink" Target="https://taxation-customs.ec.europa.eu/news/cbam-successfully-entered-force-1-january-2026-2026-01-14_en" TargetMode="External"/><Relationship Id="rId33" Type="http://schemas.openxmlformats.org/officeDocument/2006/relationships/hyperlink" Target="https://tnfd.global/wp-content/uploads/2023/08/Recommendations_of_the_Taskforce_on_Nature-related_Financial_Disclosures_September_2023.pdf" TargetMode="External"/><Relationship Id="rId38" Type="http://schemas.openxmlformats.org/officeDocument/2006/relationships/hyperlink" Target="https://worldsteel.org/climate-action/climate-change-and-the-production-of-iron-and-ste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01AD8-2FD7-4E00-998F-D64AF7D92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25</Pages>
  <Words>6029</Words>
  <Characters>34368</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Hamza Shk</cp:lastModifiedBy>
  <cp:revision>60</cp:revision>
  <dcterms:created xsi:type="dcterms:W3CDTF">2026-06-24T16:40:00Z</dcterms:created>
  <dcterms:modified xsi:type="dcterms:W3CDTF">2026-06-25T09:38:00Z</dcterms:modified>
</cp:coreProperties>
</file>