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4E5AF" w14:textId="77777777" w:rsidR="000D44CB" w:rsidRPr="00D4030C" w:rsidRDefault="000D44CB" w:rsidP="000D44CB">
      <w:pPr>
        <w:spacing w:after="0" w:line="240" w:lineRule="auto"/>
        <w:rPr>
          <w:rFonts w:ascii="Times New Roman" w:eastAsia="Times New Roman" w:hAnsi="Times New Roman" w:cs="Times New Roman"/>
          <w:b/>
          <w:sz w:val="40"/>
          <w:szCs w:val="20"/>
          <w:lang w:eastAsia="en-GB"/>
        </w:rPr>
      </w:pPr>
      <w:r w:rsidRPr="00D4030C">
        <w:rPr>
          <w:rFonts w:ascii="Times New Roman" w:eastAsia="Times New Roman" w:hAnsi="Times New Roman" w:cs="Times New Roman"/>
          <w:b/>
          <w:sz w:val="40"/>
          <w:szCs w:val="20"/>
          <w:lang w:eastAsia="en-GB"/>
        </w:rPr>
        <w:t>School of Sport, Health &amp; Outdoor Education</w:t>
      </w:r>
    </w:p>
    <w:p w14:paraId="76DC320E" w14:textId="77777777" w:rsidR="000D44CB" w:rsidRPr="00D4030C" w:rsidRDefault="000D44CB" w:rsidP="000D44CB">
      <w:pPr>
        <w:spacing w:after="0" w:line="240" w:lineRule="auto"/>
        <w:jc w:val="center"/>
        <w:rPr>
          <w:rFonts w:ascii="Times New Roman" w:eastAsia="Times New Roman" w:hAnsi="Times New Roman" w:cs="Times New Roman"/>
          <w:b/>
          <w:sz w:val="16"/>
          <w:szCs w:val="16"/>
          <w:lang w:eastAsia="en-GB"/>
        </w:rPr>
      </w:pPr>
    </w:p>
    <w:p w14:paraId="787927DD" w14:textId="77777777" w:rsidR="000D44CB" w:rsidRPr="00D4030C" w:rsidRDefault="000D44CB" w:rsidP="000D44CB">
      <w:pPr>
        <w:spacing w:after="0" w:line="240" w:lineRule="auto"/>
        <w:jc w:val="center"/>
        <w:rPr>
          <w:rFonts w:ascii="Times New Roman" w:eastAsia="Times New Roman" w:hAnsi="Times New Roman" w:cs="Times New Roman"/>
          <w:b/>
          <w:sz w:val="32"/>
          <w:szCs w:val="32"/>
          <w:lang w:eastAsia="en-GB"/>
        </w:rPr>
      </w:pPr>
      <w:r w:rsidRPr="00D4030C">
        <w:rPr>
          <w:rFonts w:ascii="Times New Roman" w:eastAsia="Times New Roman" w:hAnsi="Times New Roman" w:cs="Times New Roman"/>
          <w:b/>
          <w:sz w:val="32"/>
          <w:szCs w:val="32"/>
          <w:lang w:eastAsia="en-GB"/>
        </w:rPr>
        <w:t>Assessment Criteria</w:t>
      </w:r>
    </w:p>
    <w:p w14:paraId="5AFB2EF6" w14:textId="77777777" w:rsidR="000D44CB" w:rsidRPr="00D4030C" w:rsidRDefault="000D44CB" w:rsidP="000D44CB">
      <w:pPr>
        <w:spacing w:after="0" w:line="240" w:lineRule="auto"/>
        <w:jc w:val="center"/>
        <w:rPr>
          <w:rFonts w:ascii="Times New Roman" w:eastAsia="Times New Roman" w:hAnsi="Times New Roman" w:cs="Times New Roman"/>
          <w:b/>
          <w:sz w:val="16"/>
          <w:szCs w:val="16"/>
          <w:lang w:eastAsia="en-GB"/>
        </w:rPr>
      </w:pPr>
    </w:p>
    <w:p w14:paraId="71457FF0" w14:textId="3DB341C8" w:rsidR="000D44CB" w:rsidRPr="00D4030C" w:rsidRDefault="000D44CB" w:rsidP="000D44CB">
      <w:pPr>
        <w:spacing w:after="0" w:line="240" w:lineRule="auto"/>
        <w:rPr>
          <w:rFonts w:ascii="Times New Roman" w:eastAsia="Times New Roman" w:hAnsi="Times New Roman" w:cs="Times New Roman"/>
          <w:sz w:val="32"/>
          <w:szCs w:val="20"/>
          <w:lang w:eastAsia="en-GB"/>
        </w:rPr>
      </w:pPr>
      <w:r w:rsidRPr="00D4030C">
        <w:rPr>
          <w:rFonts w:ascii="Times New Roman" w:eastAsia="Times New Roman" w:hAnsi="Times New Roman" w:cs="Times New Roman"/>
          <w:sz w:val="24"/>
          <w:szCs w:val="20"/>
          <w:lang w:eastAsia="en-GB"/>
        </w:rPr>
        <w:tab/>
        <w:t xml:space="preserve">   Student No./Name:</w:t>
      </w:r>
      <w:r w:rsidRPr="00D4030C">
        <w:rPr>
          <w:rFonts w:ascii="Times New Roman" w:eastAsia="Times New Roman" w:hAnsi="Times New Roman" w:cs="Times New Roman"/>
          <w:sz w:val="24"/>
          <w:szCs w:val="20"/>
          <w:lang w:eastAsia="en-GB"/>
        </w:rPr>
        <w:tab/>
      </w:r>
      <w:r w:rsidR="00EE5E9C">
        <w:rPr>
          <w:rFonts w:ascii="Times New Roman" w:eastAsia="Times New Roman" w:hAnsi="Times New Roman" w:cs="Times New Roman"/>
          <w:sz w:val="24"/>
          <w:szCs w:val="20"/>
          <w:lang w:eastAsia="en-GB"/>
        </w:rPr>
        <w:t>1502322. Camille James</w:t>
      </w:r>
    </w:p>
    <w:p w14:paraId="1249FB99" w14:textId="77777777" w:rsidR="000D44CB" w:rsidRPr="00D4030C" w:rsidRDefault="000D44CB" w:rsidP="000D44CB">
      <w:pPr>
        <w:spacing w:after="0" w:line="240" w:lineRule="auto"/>
        <w:rPr>
          <w:rFonts w:ascii="Times New Roman" w:eastAsia="Times New Roman" w:hAnsi="Times New Roman" w:cs="Times New Roman"/>
          <w:sz w:val="16"/>
          <w:szCs w:val="16"/>
          <w:lang w:eastAsia="en-GB"/>
        </w:rPr>
      </w:pPr>
    </w:p>
    <w:p w14:paraId="3B45D527" w14:textId="77777777" w:rsidR="000D44CB" w:rsidRPr="00D4030C" w:rsidRDefault="000D44CB" w:rsidP="000D44CB">
      <w:pPr>
        <w:spacing w:after="0" w:line="240" w:lineRule="auto"/>
        <w:rPr>
          <w:rFonts w:ascii="Times New Roman" w:eastAsia="Times New Roman" w:hAnsi="Times New Roman" w:cs="Times New Roman"/>
          <w:sz w:val="32"/>
          <w:szCs w:val="32"/>
          <w:lang w:eastAsia="en-GB"/>
        </w:rPr>
      </w:pPr>
      <w:r w:rsidRPr="00D4030C">
        <w:rPr>
          <w:rFonts w:ascii="Times New Roman" w:eastAsia="Times New Roman" w:hAnsi="Times New Roman" w:cs="Times New Roman"/>
          <w:sz w:val="24"/>
          <w:szCs w:val="20"/>
          <w:lang w:eastAsia="en-GB"/>
        </w:rPr>
        <w:t xml:space="preserve">                                Module:</w:t>
      </w:r>
      <w:r w:rsidRPr="00D4030C">
        <w:rPr>
          <w:rFonts w:ascii="Times New Roman" w:eastAsia="Times New Roman" w:hAnsi="Times New Roman" w:cs="Times New Roman"/>
          <w:sz w:val="24"/>
          <w:szCs w:val="20"/>
          <w:lang w:eastAsia="en-GB"/>
        </w:rPr>
        <w:tab/>
      </w:r>
      <w:r w:rsidRPr="00D4030C">
        <w:rPr>
          <w:rFonts w:ascii="Times New Roman" w:eastAsia="Times New Roman" w:hAnsi="Times New Roman" w:cs="Times New Roman"/>
          <w:sz w:val="32"/>
          <w:szCs w:val="32"/>
          <w:lang w:eastAsia="en-GB"/>
        </w:rPr>
        <w:t>Health and Social Inclusion</w:t>
      </w:r>
    </w:p>
    <w:p w14:paraId="010F1855" w14:textId="77777777" w:rsidR="000D44CB" w:rsidRPr="00D4030C" w:rsidRDefault="000D44CB" w:rsidP="000D44CB">
      <w:pPr>
        <w:spacing w:after="0" w:line="240" w:lineRule="auto"/>
        <w:ind w:left="2160"/>
        <w:rPr>
          <w:rFonts w:ascii="Times New Roman" w:eastAsia="Times New Roman" w:hAnsi="Times New Roman" w:cs="Times New Roman"/>
          <w:sz w:val="32"/>
          <w:szCs w:val="32"/>
          <w:lang w:eastAsia="en-GB"/>
        </w:rPr>
      </w:pPr>
      <w:r w:rsidRPr="00D4030C">
        <w:rPr>
          <w:rFonts w:ascii="Times New Roman" w:eastAsia="Times New Roman" w:hAnsi="Times New Roman" w:cs="Times New Roman"/>
          <w:sz w:val="24"/>
          <w:szCs w:val="24"/>
          <w:lang w:eastAsia="en-GB"/>
        </w:rPr>
        <w:t>Code:</w:t>
      </w:r>
      <w:r w:rsidRPr="00D4030C">
        <w:rPr>
          <w:rFonts w:ascii="Times New Roman" w:eastAsia="Times New Roman" w:hAnsi="Times New Roman" w:cs="Times New Roman"/>
          <w:sz w:val="32"/>
          <w:szCs w:val="32"/>
          <w:lang w:eastAsia="en-GB"/>
        </w:rPr>
        <w:tab/>
        <w:t>SHSS6031</w:t>
      </w:r>
    </w:p>
    <w:p w14:paraId="3B251C38" w14:textId="77777777" w:rsidR="000D44CB" w:rsidRPr="00D4030C" w:rsidRDefault="000D44CB" w:rsidP="000D44CB">
      <w:pPr>
        <w:spacing w:after="0" w:line="240" w:lineRule="auto"/>
        <w:ind w:left="2160"/>
        <w:rPr>
          <w:rFonts w:ascii="Times New Roman" w:eastAsia="Times New Roman" w:hAnsi="Times New Roman" w:cs="Times New Roman"/>
          <w:sz w:val="32"/>
          <w:szCs w:val="32"/>
          <w:lang w:eastAsia="en-GB"/>
        </w:rPr>
      </w:pPr>
    </w:p>
    <w:tbl>
      <w:tblPr>
        <w:tblStyle w:val="TableGrid"/>
        <w:tblW w:w="10758" w:type="dxa"/>
        <w:tblInd w:w="-1152" w:type="dxa"/>
        <w:tblLook w:val="04A0" w:firstRow="1" w:lastRow="0" w:firstColumn="1" w:lastColumn="0" w:noHBand="0" w:noVBand="1"/>
      </w:tblPr>
      <w:tblGrid>
        <w:gridCol w:w="3420"/>
        <w:gridCol w:w="7338"/>
      </w:tblGrid>
      <w:tr w:rsidR="000D44CB" w:rsidRPr="00D4030C" w14:paraId="4F227480" w14:textId="77777777" w:rsidTr="00D85A09">
        <w:tc>
          <w:tcPr>
            <w:tcW w:w="10758" w:type="dxa"/>
            <w:gridSpan w:val="2"/>
          </w:tcPr>
          <w:p w14:paraId="19B851AF" w14:textId="77777777" w:rsidR="000D44CB" w:rsidRPr="00D4030C" w:rsidRDefault="000D44CB" w:rsidP="00D85A09">
            <w:pPr>
              <w:tabs>
                <w:tab w:val="left" w:pos="5850"/>
              </w:tabs>
              <w:rPr>
                <w:b/>
                <w:sz w:val="28"/>
                <w:lang w:eastAsia="en-GB"/>
              </w:rPr>
            </w:pPr>
            <w:r w:rsidRPr="00D4030C">
              <w:rPr>
                <w:b/>
                <w:sz w:val="18"/>
                <w:szCs w:val="18"/>
                <w:lang w:eastAsia="en-GB"/>
              </w:rPr>
              <w:t>Personal Evaluation</w:t>
            </w:r>
            <w:r w:rsidRPr="00D4030C">
              <w:rPr>
                <w:b/>
                <w:bCs/>
                <w:sz w:val="18"/>
                <w:szCs w:val="18"/>
                <w:lang w:eastAsia="en-GB"/>
              </w:rPr>
              <w:t xml:space="preserve"> – to support your academic progress please complete the section below </w:t>
            </w:r>
            <w:r w:rsidRPr="00D4030C">
              <w:rPr>
                <w:b/>
                <w:bCs/>
                <w:sz w:val="18"/>
                <w:szCs w:val="18"/>
                <w:u w:val="single"/>
                <w:lang w:eastAsia="en-GB"/>
              </w:rPr>
              <w:t>BEFORE</w:t>
            </w:r>
            <w:r w:rsidRPr="00D4030C">
              <w:rPr>
                <w:b/>
                <w:bCs/>
                <w:sz w:val="18"/>
                <w:szCs w:val="18"/>
                <w:lang w:eastAsia="en-GB"/>
              </w:rPr>
              <w:t xml:space="preserve"> submitting your work.</w:t>
            </w:r>
          </w:p>
        </w:tc>
      </w:tr>
      <w:tr w:rsidR="000D44CB" w:rsidRPr="00D4030C" w14:paraId="1924BD95" w14:textId="77777777" w:rsidTr="00D85A09">
        <w:tc>
          <w:tcPr>
            <w:tcW w:w="3420" w:type="dxa"/>
          </w:tcPr>
          <w:p w14:paraId="77DC28BD" w14:textId="77777777" w:rsidR="000D44CB" w:rsidRPr="00D4030C" w:rsidRDefault="000D44CB" w:rsidP="00D85A09">
            <w:pPr>
              <w:rPr>
                <w:b/>
                <w:bCs/>
                <w:sz w:val="18"/>
                <w:szCs w:val="18"/>
                <w:lang w:eastAsia="en-GB"/>
              </w:rPr>
            </w:pPr>
            <w:r w:rsidRPr="00D4030C">
              <w:rPr>
                <w:b/>
                <w:bCs/>
                <w:sz w:val="18"/>
                <w:szCs w:val="18"/>
                <w:lang w:eastAsia="en-GB"/>
              </w:rPr>
              <w:t>What do you consider to be the best aspects of this work?</w:t>
            </w:r>
          </w:p>
        </w:tc>
        <w:tc>
          <w:tcPr>
            <w:tcW w:w="7338" w:type="dxa"/>
          </w:tcPr>
          <w:p w14:paraId="5413DD7C" w14:textId="5E7290AE" w:rsidR="000D44CB" w:rsidRPr="00801DBC" w:rsidRDefault="009C6CB4" w:rsidP="00D85A09">
            <w:pPr>
              <w:tabs>
                <w:tab w:val="left" w:pos="5850"/>
              </w:tabs>
              <w:rPr>
                <w:b/>
                <w:sz w:val="18"/>
                <w:szCs w:val="18"/>
                <w:lang w:eastAsia="en-GB"/>
              </w:rPr>
            </w:pPr>
            <w:r>
              <w:rPr>
                <w:b/>
                <w:sz w:val="18"/>
                <w:szCs w:val="18"/>
                <w:lang w:eastAsia="en-GB"/>
              </w:rPr>
              <w:t xml:space="preserve">I was able to use the </w:t>
            </w:r>
            <w:r w:rsidR="00647F29">
              <w:rPr>
                <w:b/>
                <w:sz w:val="18"/>
                <w:szCs w:val="18"/>
                <w:lang w:eastAsia="en-GB"/>
              </w:rPr>
              <w:t xml:space="preserve">resources provided to me efficiently. </w:t>
            </w:r>
          </w:p>
        </w:tc>
      </w:tr>
      <w:tr w:rsidR="000D44CB" w:rsidRPr="00D4030C" w14:paraId="324EFA72" w14:textId="77777777" w:rsidTr="00D85A09">
        <w:tc>
          <w:tcPr>
            <w:tcW w:w="3420" w:type="dxa"/>
          </w:tcPr>
          <w:p w14:paraId="3189C74F" w14:textId="77777777" w:rsidR="000D44CB" w:rsidRPr="00D4030C" w:rsidRDefault="000D44CB" w:rsidP="00D85A09">
            <w:pPr>
              <w:rPr>
                <w:b/>
                <w:bCs/>
                <w:sz w:val="18"/>
                <w:szCs w:val="18"/>
                <w:lang w:eastAsia="en-GB"/>
              </w:rPr>
            </w:pPr>
            <w:r w:rsidRPr="00D4030C">
              <w:rPr>
                <w:b/>
                <w:bCs/>
                <w:sz w:val="18"/>
                <w:szCs w:val="18"/>
                <w:lang w:eastAsia="en-GB"/>
              </w:rPr>
              <w:t>Which aspects do you consider could have been improved in this piece of work?</w:t>
            </w:r>
          </w:p>
        </w:tc>
        <w:tc>
          <w:tcPr>
            <w:tcW w:w="7338" w:type="dxa"/>
          </w:tcPr>
          <w:p w14:paraId="0DAFF4CC" w14:textId="40E3A53F" w:rsidR="000D44CB" w:rsidRPr="00801DBC" w:rsidRDefault="00872026" w:rsidP="00D85A09">
            <w:pPr>
              <w:tabs>
                <w:tab w:val="left" w:pos="5850"/>
              </w:tabs>
              <w:rPr>
                <w:b/>
                <w:sz w:val="18"/>
                <w:szCs w:val="18"/>
                <w:lang w:eastAsia="en-GB"/>
              </w:rPr>
            </w:pPr>
            <w:r>
              <w:rPr>
                <w:b/>
                <w:sz w:val="18"/>
                <w:szCs w:val="18"/>
                <w:lang w:eastAsia="en-GB"/>
              </w:rPr>
              <w:t xml:space="preserve">It may have been beneficial for me to have provided more examples. </w:t>
            </w:r>
          </w:p>
        </w:tc>
      </w:tr>
      <w:tr w:rsidR="000D44CB" w:rsidRPr="00D4030C" w14:paraId="6CE97926" w14:textId="77777777" w:rsidTr="00D85A09">
        <w:tc>
          <w:tcPr>
            <w:tcW w:w="3420" w:type="dxa"/>
          </w:tcPr>
          <w:p w14:paraId="1AEAB411" w14:textId="77777777" w:rsidR="000D44CB" w:rsidRPr="00D4030C" w:rsidRDefault="000D44CB" w:rsidP="00D85A09">
            <w:pPr>
              <w:rPr>
                <w:b/>
                <w:bCs/>
                <w:sz w:val="18"/>
                <w:szCs w:val="18"/>
                <w:lang w:eastAsia="en-GB"/>
              </w:rPr>
            </w:pPr>
            <w:r w:rsidRPr="00D4030C">
              <w:rPr>
                <w:b/>
                <w:bCs/>
                <w:sz w:val="18"/>
                <w:szCs w:val="18"/>
                <w:lang w:eastAsia="en-GB"/>
              </w:rPr>
              <w:t>What have you found most satisfying whilst undertaking this submission?</w:t>
            </w:r>
          </w:p>
        </w:tc>
        <w:tc>
          <w:tcPr>
            <w:tcW w:w="7338" w:type="dxa"/>
          </w:tcPr>
          <w:p w14:paraId="390AC30C" w14:textId="5F6797BD" w:rsidR="000D44CB" w:rsidRPr="00801DBC" w:rsidRDefault="00BC1F68" w:rsidP="00D85A09">
            <w:pPr>
              <w:tabs>
                <w:tab w:val="left" w:pos="5850"/>
              </w:tabs>
              <w:rPr>
                <w:b/>
                <w:sz w:val="18"/>
                <w:szCs w:val="18"/>
                <w:lang w:eastAsia="en-GB"/>
              </w:rPr>
            </w:pPr>
            <w:r>
              <w:rPr>
                <w:b/>
                <w:sz w:val="18"/>
                <w:szCs w:val="18"/>
                <w:lang w:eastAsia="en-GB"/>
              </w:rPr>
              <w:t xml:space="preserve">I feel all the research was relevant to the given topic and was used well. </w:t>
            </w:r>
          </w:p>
        </w:tc>
      </w:tr>
    </w:tbl>
    <w:p w14:paraId="53D9A62F" w14:textId="77777777" w:rsidR="000D44CB" w:rsidRPr="00D4030C" w:rsidRDefault="000D44CB" w:rsidP="000D44CB">
      <w:pPr>
        <w:spacing w:after="0" w:line="240" w:lineRule="auto"/>
        <w:rPr>
          <w:rFonts w:ascii="Times New Roman" w:eastAsia="Times New Roman" w:hAnsi="Times New Roman" w:cs="Times New Roman"/>
          <w:sz w:val="16"/>
          <w:szCs w:val="16"/>
          <w:lang w:eastAsia="en-GB"/>
        </w:rPr>
      </w:pPr>
    </w:p>
    <w:tbl>
      <w:tblPr>
        <w:tblW w:w="100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3"/>
        <w:gridCol w:w="540"/>
        <w:gridCol w:w="1262"/>
        <w:gridCol w:w="1163"/>
        <w:gridCol w:w="187"/>
        <w:gridCol w:w="1440"/>
        <w:gridCol w:w="1440"/>
        <w:gridCol w:w="531"/>
        <w:gridCol w:w="639"/>
        <w:gridCol w:w="720"/>
      </w:tblGrid>
      <w:tr w:rsidR="000D44CB" w:rsidRPr="00D4030C" w14:paraId="33FE97B4" w14:textId="77777777" w:rsidTr="00C05311">
        <w:trPr>
          <w:cantSplit/>
        </w:trPr>
        <w:tc>
          <w:tcPr>
            <w:tcW w:w="2123" w:type="dxa"/>
            <w:vMerge w:val="restart"/>
            <w:tcBorders>
              <w:top w:val="thinThickLargeGap" w:sz="24" w:space="0" w:color="auto"/>
              <w:left w:val="thinThickLargeGap" w:sz="24" w:space="0" w:color="auto"/>
              <w:bottom w:val="single" w:sz="6" w:space="0" w:color="auto"/>
              <w:right w:val="single" w:sz="4" w:space="0" w:color="auto"/>
            </w:tcBorders>
          </w:tcPr>
          <w:p w14:paraId="5FC92AD2"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p>
          <w:p w14:paraId="437C9AA6" w14:textId="77777777" w:rsidR="000D44CB" w:rsidRPr="00D4030C" w:rsidRDefault="000D44CB" w:rsidP="00D85A09">
            <w:pPr>
              <w:spacing w:after="0" w:line="240" w:lineRule="auto"/>
              <w:jc w:val="center"/>
              <w:rPr>
                <w:rFonts w:ascii="Times New Roman" w:eastAsia="Times New Roman" w:hAnsi="Times New Roman" w:cs="Times New Roman"/>
                <w:sz w:val="24"/>
                <w:szCs w:val="20"/>
                <w:lang w:eastAsia="en-GB"/>
              </w:rPr>
            </w:pPr>
            <w:r w:rsidRPr="00D4030C">
              <w:rPr>
                <w:rFonts w:ascii="Times New Roman" w:eastAsia="Times New Roman" w:hAnsi="Times New Roman" w:cs="Times New Roman"/>
                <w:sz w:val="24"/>
                <w:szCs w:val="20"/>
                <w:lang w:eastAsia="en-GB"/>
              </w:rPr>
              <w:t>CRITERIA</w:t>
            </w:r>
          </w:p>
          <w:p w14:paraId="1E459C69" w14:textId="77777777" w:rsidR="000D44CB" w:rsidRPr="00D4030C" w:rsidRDefault="000D44CB" w:rsidP="00D85A09">
            <w:pPr>
              <w:spacing w:after="0" w:line="240" w:lineRule="auto"/>
              <w:jc w:val="center"/>
              <w:rPr>
                <w:rFonts w:ascii="Times New Roman" w:eastAsia="Times New Roman" w:hAnsi="Times New Roman" w:cs="Times New Roman"/>
                <w:sz w:val="24"/>
                <w:szCs w:val="20"/>
                <w:lang w:eastAsia="en-GB"/>
              </w:rPr>
            </w:pPr>
          </w:p>
        </w:tc>
        <w:tc>
          <w:tcPr>
            <w:tcW w:w="540" w:type="dxa"/>
            <w:vMerge w:val="restart"/>
            <w:tcBorders>
              <w:top w:val="thinThickLargeGap" w:sz="24" w:space="0" w:color="auto"/>
              <w:left w:val="single" w:sz="4" w:space="0" w:color="auto"/>
              <w:bottom w:val="single" w:sz="6" w:space="0" w:color="auto"/>
              <w:right w:val="single" w:sz="6" w:space="0" w:color="auto"/>
            </w:tcBorders>
            <w:textDirection w:val="btLr"/>
          </w:tcPr>
          <w:p w14:paraId="6F8E3445" w14:textId="77777777" w:rsidR="000D44CB" w:rsidRPr="00D4030C" w:rsidRDefault="000D44CB" w:rsidP="00D85A09">
            <w:pPr>
              <w:spacing w:after="0" w:line="240" w:lineRule="auto"/>
              <w:ind w:left="113" w:right="113"/>
              <w:rPr>
                <w:rFonts w:ascii="Times New Roman" w:eastAsia="Times New Roman" w:hAnsi="Times New Roman" w:cs="Times New Roman"/>
                <w:sz w:val="16"/>
                <w:szCs w:val="16"/>
                <w:lang w:eastAsia="en-GB"/>
              </w:rPr>
            </w:pPr>
            <w:r w:rsidRPr="00D4030C">
              <w:rPr>
                <w:rFonts w:ascii="Times New Roman" w:eastAsia="Times New Roman" w:hAnsi="Times New Roman" w:cs="Times New Roman"/>
                <w:sz w:val="16"/>
                <w:szCs w:val="16"/>
                <w:lang w:eastAsia="en-GB"/>
              </w:rPr>
              <w:t>Learning</w:t>
            </w:r>
          </w:p>
          <w:p w14:paraId="3D7829E3" w14:textId="77777777" w:rsidR="000D44CB" w:rsidRPr="00D4030C" w:rsidRDefault="000D44CB" w:rsidP="00D85A09">
            <w:pPr>
              <w:spacing w:after="0" w:line="240" w:lineRule="auto"/>
              <w:ind w:left="113" w:right="113"/>
              <w:rPr>
                <w:rFonts w:ascii="Times New Roman" w:eastAsia="Times New Roman" w:hAnsi="Times New Roman" w:cs="Times New Roman"/>
                <w:sz w:val="16"/>
                <w:szCs w:val="16"/>
                <w:lang w:eastAsia="en-GB"/>
              </w:rPr>
            </w:pPr>
            <w:r w:rsidRPr="00D4030C">
              <w:rPr>
                <w:rFonts w:ascii="Times New Roman" w:eastAsia="Times New Roman" w:hAnsi="Times New Roman" w:cs="Times New Roman"/>
                <w:sz w:val="16"/>
                <w:szCs w:val="16"/>
                <w:lang w:eastAsia="en-GB"/>
              </w:rPr>
              <w:t>Outcome</w:t>
            </w:r>
          </w:p>
          <w:p w14:paraId="45EBB5D1" w14:textId="77777777" w:rsidR="000D44CB" w:rsidRPr="00D4030C" w:rsidRDefault="000D44CB" w:rsidP="00D85A09">
            <w:pPr>
              <w:spacing w:after="0" w:line="240" w:lineRule="auto"/>
              <w:ind w:left="113" w:right="113"/>
              <w:rPr>
                <w:rFonts w:ascii="Times New Roman" w:eastAsia="Times New Roman" w:hAnsi="Times New Roman" w:cs="Times New Roman"/>
                <w:sz w:val="16"/>
                <w:szCs w:val="16"/>
                <w:lang w:eastAsia="en-GB"/>
              </w:rPr>
            </w:pPr>
          </w:p>
          <w:p w14:paraId="7EAAF048" w14:textId="77777777" w:rsidR="000D44CB" w:rsidRPr="00D4030C" w:rsidRDefault="000D44CB" w:rsidP="00D85A09">
            <w:pPr>
              <w:spacing w:after="0" w:line="240" w:lineRule="auto"/>
              <w:ind w:left="113" w:right="113"/>
              <w:jc w:val="center"/>
              <w:rPr>
                <w:rFonts w:ascii="Times New Roman" w:eastAsia="Times New Roman" w:hAnsi="Times New Roman" w:cs="Times New Roman"/>
                <w:sz w:val="16"/>
                <w:szCs w:val="16"/>
                <w:lang w:eastAsia="en-GB"/>
              </w:rPr>
            </w:pPr>
          </w:p>
        </w:tc>
        <w:tc>
          <w:tcPr>
            <w:tcW w:w="7382" w:type="dxa"/>
            <w:gridSpan w:val="8"/>
            <w:tcBorders>
              <w:top w:val="thinThickLargeGap" w:sz="24" w:space="0" w:color="auto"/>
              <w:left w:val="single" w:sz="6" w:space="0" w:color="auto"/>
              <w:bottom w:val="single" w:sz="6" w:space="0" w:color="auto"/>
              <w:right w:val="thickThinLargeGap" w:sz="24" w:space="0" w:color="auto"/>
            </w:tcBorders>
          </w:tcPr>
          <w:p w14:paraId="7ED106CB" w14:textId="77777777" w:rsidR="000D44CB" w:rsidRPr="00D4030C" w:rsidRDefault="000D44CB" w:rsidP="00D85A09">
            <w:pPr>
              <w:spacing w:after="0" w:line="240" w:lineRule="auto"/>
              <w:jc w:val="center"/>
              <w:rPr>
                <w:rFonts w:ascii="Times New Roman" w:eastAsia="Times New Roman" w:hAnsi="Times New Roman" w:cs="Times New Roman"/>
                <w:sz w:val="24"/>
                <w:szCs w:val="20"/>
                <w:lang w:eastAsia="en-GB"/>
              </w:rPr>
            </w:pPr>
            <w:r w:rsidRPr="00D4030C">
              <w:rPr>
                <w:rFonts w:ascii="Times New Roman" w:eastAsia="Times New Roman" w:hAnsi="Times New Roman" w:cs="Times New Roman"/>
                <w:sz w:val="24"/>
                <w:szCs w:val="20"/>
                <w:lang w:eastAsia="en-GB"/>
              </w:rPr>
              <w:t>GRADE</w:t>
            </w:r>
          </w:p>
        </w:tc>
      </w:tr>
      <w:tr w:rsidR="000D44CB" w:rsidRPr="00D4030C" w14:paraId="3CEA0E04" w14:textId="77777777" w:rsidTr="00C05311">
        <w:trPr>
          <w:cantSplit/>
        </w:trPr>
        <w:tc>
          <w:tcPr>
            <w:tcW w:w="2123" w:type="dxa"/>
            <w:vMerge/>
            <w:tcBorders>
              <w:top w:val="single" w:sz="6" w:space="0" w:color="auto"/>
              <w:left w:val="thinThickLargeGap" w:sz="24" w:space="0" w:color="auto"/>
              <w:bottom w:val="single" w:sz="6" w:space="0" w:color="auto"/>
              <w:right w:val="single" w:sz="4" w:space="0" w:color="auto"/>
            </w:tcBorders>
          </w:tcPr>
          <w:p w14:paraId="490E94E7"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p>
        </w:tc>
        <w:tc>
          <w:tcPr>
            <w:tcW w:w="540" w:type="dxa"/>
            <w:vMerge/>
            <w:tcBorders>
              <w:top w:val="single" w:sz="6" w:space="0" w:color="auto"/>
              <w:left w:val="single" w:sz="4" w:space="0" w:color="auto"/>
              <w:bottom w:val="single" w:sz="6" w:space="0" w:color="auto"/>
              <w:right w:val="single" w:sz="6" w:space="0" w:color="auto"/>
            </w:tcBorders>
          </w:tcPr>
          <w:p w14:paraId="4F734AD1"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p>
        </w:tc>
        <w:tc>
          <w:tcPr>
            <w:tcW w:w="1262" w:type="dxa"/>
            <w:tcBorders>
              <w:top w:val="single" w:sz="6" w:space="0" w:color="auto"/>
              <w:left w:val="single" w:sz="6" w:space="0" w:color="auto"/>
              <w:bottom w:val="single" w:sz="6" w:space="0" w:color="auto"/>
              <w:right w:val="single" w:sz="6" w:space="0" w:color="auto"/>
            </w:tcBorders>
          </w:tcPr>
          <w:p w14:paraId="150A1928" w14:textId="77777777" w:rsidR="000D44CB" w:rsidRPr="00D4030C" w:rsidRDefault="000D44CB" w:rsidP="00D85A09">
            <w:pPr>
              <w:spacing w:after="0" w:line="240" w:lineRule="auto"/>
              <w:jc w:val="center"/>
              <w:rPr>
                <w:rFonts w:ascii="Times New Roman" w:eastAsia="Times New Roman" w:hAnsi="Times New Roman" w:cs="Times New Roman"/>
                <w:sz w:val="18"/>
                <w:szCs w:val="18"/>
                <w:lang w:eastAsia="en-GB"/>
              </w:rPr>
            </w:pPr>
            <w:r w:rsidRPr="00D4030C">
              <w:rPr>
                <w:rFonts w:ascii="Times New Roman" w:eastAsia="Times New Roman" w:hAnsi="Times New Roman" w:cs="Times New Roman"/>
                <w:sz w:val="18"/>
                <w:szCs w:val="18"/>
                <w:lang w:eastAsia="en-GB"/>
              </w:rPr>
              <w:t>Unsatisfactory</w:t>
            </w:r>
          </w:p>
          <w:p w14:paraId="3F73D638"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- 39%</w:t>
            </w:r>
          </w:p>
        </w:tc>
        <w:tc>
          <w:tcPr>
            <w:tcW w:w="1350" w:type="dxa"/>
            <w:gridSpan w:val="2"/>
            <w:tcBorders>
              <w:top w:val="single" w:sz="6" w:space="0" w:color="auto"/>
              <w:left w:val="single" w:sz="6" w:space="0" w:color="auto"/>
              <w:bottom w:val="single" w:sz="6" w:space="0" w:color="auto"/>
              <w:right w:val="single" w:sz="6" w:space="0" w:color="auto"/>
            </w:tcBorders>
          </w:tcPr>
          <w:p w14:paraId="59EDEF25"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Satisfactory</w:t>
            </w:r>
          </w:p>
          <w:p w14:paraId="17FC3F40"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40 – 49%</w:t>
            </w:r>
          </w:p>
        </w:tc>
        <w:tc>
          <w:tcPr>
            <w:tcW w:w="1440" w:type="dxa"/>
            <w:tcBorders>
              <w:top w:val="single" w:sz="6" w:space="0" w:color="auto"/>
              <w:left w:val="single" w:sz="6" w:space="0" w:color="auto"/>
              <w:bottom w:val="single" w:sz="6" w:space="0" w:color="auto"/>
              <w:right w:val="single" w:sz="6" w:space="0" w:color="auto"/>
            </w:tcBorders>
          </w:tcPr>
          <w:p w14:paraId="431347CD"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Good</w:t>
            </w:r>
          </w:p>
          <w:p w14:paraId="55B65D3C"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50 – 59%</w:t>
            </w:r>
          </w:p>
        </w:tc>
        <w:tc>
          <w:tcPr>
            <w:tcW w:w="1440" w:type="dxa"/>
            <w:tcBorders>
              <w:top w:val="single" w:sz="6" w:space="0" w:color="auto"/>
              <w:left w:val="single" w:sz="6" w:space="0" w:color="auto"/>
              <w:bottom w:val="single" w:sz="6" w:space="0" w:color="auto"/>
              <w:right w:val="single" w:sz="6" w:space="0" w:color="auto"/>
            </w:tcBorders>
          </w:tcPr>
          <w:p w14:paraId="5023B7DD"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Very Good</w:t>
            </w:r>
          </w:p>
          <w:p w14:paraId="055176CD"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60 – 69%</w:t>
            </w:r>
          </w:p>
        </w:tc>
        <w:tc>
          <w:tcPr>
            <w:tcW w:w="1170" w:type="dxa"/>
            <w:gridSpan w:val="2"/>
            <w:tcBorders>
              <w:top w:val="single" w:sz="6" w:space="0" w:color="auto"/>
              <w:left w:val="single" w:sz="6" w:space="0" w:color="auto"/>
              <w:bottom w:val="single" w:sz="6" w:space="0" w:color="auto"/>
              <w:right w:val="single" w:sz="6" w:space="0" w:color="auto"/>
            </w:tcBorders>
          </w:tcPr>
          <w:p w14:paraId="21473DF6"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Excellent</w:t>
            </w:r>
          </w:p>
          <w:p w14:paraId="4520D5A4"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70% +</w:t>
            </w:r>
          </w:p>
          <w:p w14:paraId="17B0D52A"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75EE64E7" w14:textId="77777777" w:rsidR="000D44CB" w:rsidRPr="00D4030C" w:rsidRDefault="000D44CB" w:rsidP="00D85A09">
            <w:pPr>
              <w:spacing w:after="0" w:line="240" w:lineRule="auto"/>
              <w:rPr>
                <w:rFonts w:ascii="Times New Roman" w:eastAsia="Times New Roman" w:hAnsi="Times New Roman" w:cs="Times New Roman"/>
                <w:sz w:val="18"/>
                <w:szCs w:val="18"/>
                <w:lang w:eastAsia="en-GB"/>
              </w:rPr>
            </w:pPr>
          </w:p>
          <w:p w14:paraId="55A1D80B" w14:textId="77777777" w:rsidR="000D44CB" w:rsidRPr="00D4030C" w:rsidRDefault="000D44CB" w:rsidP="00D85A09">
            <w:pPr>
              <w:spacing w:after="0" w:line="240" w:lineRule="auto"/>
              <w:rPr>
                <w:rFonts w:ascii="Times New Roman" w:eastAsia="Times New Roman" w:hAnsi="Times New Roman" w:cs="Times New Roman"/>
                <w:sz w:val="18"/>
                <w:szCs w:val="18"/>
                <w:lang w:eastAsia="en-GB"/>
              </w:rPr>
            </w:pPr>
            <w:r w:rsidRPr="00D4030C">
              <w:rPr>
                <w:rFonts w:ascii="Times New Roman" w:eastAsia="Times New Roman" w:hAnsi="Times New Roman" w:cs="Times New Roman"/>
                <w:sz w:val="18"/>
                <w:szCs w:val="18"/>
                <w:lang w:eastAsia="en-GB"/>
              </w:rPr>
              <w:t xml:space="preserve">  %</w:t>
            </w:r>
          </w:p>
        </w:tc>
      </w:tr>
      <w:tr w:rsidR="000D44CB" w:rsidRPr="00D4030C" w14:paraId="437B1835" w14:textId="77777777" w:rsidTr="00C05311">
        <w:tc>
          <w:tcPr>
            <w:tcW w:w="2123" w:type="dxa"/>
            <w:tcBorders>
              <w:top w:val="single" w:sz="6" w:space="0" w:color="auto"/>
              <w:left w:val="thinThickLargeGap" w:sz="24" w:space="0" w:color="auto"/>
              <w:bottom w:val="single" w:sz="6" w:space="0" w:color="auto"/>
            </w:tcBorders>
          </w:tcPr>
          <w:p w14:paraId="7A287821" w14:textId="77777777" w:rsidR="000D44CB" w:rsidRPr="00D4030C" w:rsidRDefault="000D44CB" w:rsidP="00D85A09">
            <w:pPr>
              <w:spacing w:after="0" w:line="240" w:lineRule="auto"/>
              <w:ind w:left="-15"/>
              <w:rPr>
                <w:rFonts w:ascii="Times New Roman" w:eastAsia="Times New Roman" w:hAnsi="Times New Roman" w:cs="Times New Roman"/>
                <w:bCs/>
                <w:sz w:val="20"/>
                <w:szCs w:val="20"/>
                <w:lang w:eastAsia="en-GB"/>
              </w:rPr>
            </w:pPr>
            <w:r w:rsidRPr="00D4030C">
              <w:rPr>
                <w:rFonts w:ascii="Times New Roman" w:eastAsia="Times New Roman" w:hAnsi="Times New Roman" w:cs="Times New Roman"/>
                <w:bCs/>
                <w:sz w:val="20"/>
                <w:szCs w:val="20"/>
                <w:lang w:eastAsia="en-GB"/>
              </w:rPr>
              <w:t>Background knowledge and understanding of the chosen aspect of Health and Inclusion, setting the theme in appropriate context</w:t>
            </w:r>
          </w:p>
        </w:tc>
        <w:tc>
          <w:tcPr>
            <w:tcW w:w="540" w:type="dxa"/>
            <w:tcBorders>
              <w:top w:val="single" w:sz="6" w:space="0" w:color="auto"/>
              <w:bottom w:val="single" w:sz="6" w:space="0" w:color="auto"/>
              <w:right w:val="single" w:sz="6" w:space="0" w:color="auto"/>
            </w:tcBorders>
          </w:tcPr>
          <w:p w14:paraId="7D959188" w14:textId="77777777" w:rsidR="000D44CB" w:rsidRPr="00D4030C" w:rsidRDefault="000D44CB" w:rsidP="00D85A09">
            <w:pPr>
              <w:spacing w:after="0" w:line="240" w:lineRule="auto"/>
              <w:jc w:val="center"/>
              <w:rPr>
                <w:rFonts w:ascii="Times New Roman" w:eastAsia="Times New Roman" w:hAnsi="Times New Roman" w:cs="Times New Roman"/>
                <w:bCs/>
                <w:sz w:val="18"/>
                <w:szCs w:val="18"/>
                <w:lang w:eastAsia="en-GB"/>
              </w:rPr>
            </w:pPr>
          </w:p>
          <w:p w14:paraId="6DFCFEDF" w14:textId="77777777" w:rsidR="000D44CB" w:rsidRPr="00D4030C" w:rsidRDefault="000D44CB" w:rsidP="00D85A09">
            <w:pPr>
              <w:spacing w:after="0" w:line="240" w:lineRule="auto"/>
              <w:jc w:val="center"/>
              <w:rPr>
                <w:rFonts w:ascii="Times New Roman" w:eastAsia="Times New Roman" w:hAnsi="Times New Roman" w:cs="Times New Roman"/>
                <w:bCs/>
                <w:sz w:val="18"/>
                <w:szCs w:val="18"/>
                <w:lang w:eastAsia="en-GB"/>
              </w:rPr>
            </w:pPr>
            <w:r w:rsidRPr="00D4030C">
              <w:rPr>
                <w:rFonts w:ascii="Times New Roman" w:eastAsia="Times New Roman" w:hAnsi="Times New Roman" w:cs="Times New Roman"/>
                <w:bCs/>
                <w:sz w:val="18"/>
                <w:szCs w:val="18"/>
                <w:lang w:eastAsia="en-GB"/>
              </w:rPr>
              <w:t>3</w:t>
            </w:r>
          </w:p>
        </w:tc>
        <w:tc>
          <w:tcPr>
            <w:tcW w:w="1262" w:type="dxa"/>
            <w:tcBorders>
              <w:top w:val="single" w:sz="6" w:space="0" w:color="auto"/>
              <w:left w:val="single" w:sz="6" w:space="0" w:color="auto"/>
              <w:bottom w:val="single" w:sz="6" w:space="0" w:color="auto"/>
              <w:right w:val="single" w:sz="6" w:space="0" w:color="auto"/>
            </w:tcBorders>
          </w:tcPr>
          <w:p w14:paraId="1DCAA394" w14:textId="77777777" w:rsidR="000D44CB" w:rsidRPr="00D4030C" w:rsidRDefault="000D44CB" w:rsidP="00D85A09">
            <w:pPr>
              <w:spacing w:after="0" w:line="240" w:lineRule="auto"/>
              <w:jc w:val="center"/>
              <w:rPr>
                <w:rFonts w:ascii="Times New Roman" w:eastAsia="Times New Roman" w:hAnsi="Times New Roman" w:cs="Times New Roman"/>
                <w:b/>
                <w:sz w:val="18"/>
                <w:szCs w:val="18"/>
                <w:lang w:eastAsia="en-GB"/>
              </w:rPr>
            </w:pPr>
          </w:p>
          <w:p w14:paraId="01F23445" w14:textId="77777777" w:rsidR="000D44CB" w:rsidRPr="00D4030C" w:rsidRDefault="000D44CB" w:rsidP="00D85A09">
            <w:pPr>
              <w:spacing w:after="0" w:line="240" w:lineRule="auto"/>
              <w:jc w:val="center"/>
              <w:rPr>
                <w:rFonts w:ascii="Times New Roman" w:eastAsia="Times New Roman" w:hAnsi="Times New Roman" w:cs="Times New Roman"/>
                <w:b/>
                <w:sz w:val="18"/>
                <w:szCs w:val="1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43CBE3D4" w14:textId="77777777" w:rsidR="000D44CB" w:rsidRPr="00D4030C" w:rsidRDefault="000D44CB" w:rsidP="00D85A09">
            <w:pPr>
              <w:spacing w:after="0" w:line="240" w:lineRule="auto"/>
              <w:jc w:val="right"/>
              <w:rPr>
                <w:rFonts w:ascii="Times New Roman" w:eastAsia="Times New Roman" w:hAnsi="Times New Roman" w:cs="Times New Roman"/>
                <w:b/>
                <w:sz w:val="18"/>
                <w:szCs w:val="18"/>
                <w:lang w:eastAsia="en-GB"/>
              </w:rPr>
            </w:pPr>
          </w:p>
        </w:tc>
        <w:tc>
          <w:tcPr>
            <w:tcW w:w="1440" w:type="dxa"/>
            <w:tcBorders>
              <w:top w:val="single" w:sz="6" w:space="0" w:color="auto"/>
              <w:left w:val="single" w:sz="6" w:space="0" w:color="auto"/>
              <w:bottom w:val="single" w:sz="6" w:space="0" w:color="auto"/>
              <w:right w:val="single" w:sz="6" w:space="0" w:color="auto"/>
            </w:tcBorders>
          </w:tcPr>
          <w:p w14:paraId="7FF00EA9" w14:textId="77777777" w:rsidR="000D44CB" w:rsidRPr="00D4030C" w:rsidRDefault="000D44CB" w:rsidP="00D85A09">
            <w:pPr>
              <w:spacing w:after="0" w:line="240" w:lineRule="auto"/>
              <w:jc w:val="right"/>
              <w:rPr>
                <w:rFonts w:ascii="Times New Roman" w:eastAsia="Times New Roman" w:hAnsi="Times New Roman" w:cs="Times New Roman"/>
                <w:b/>
                <w:sz w:val="18"/>
                <w:szCs w:val="18"/>
                <w:lang w:eastAsia="en-GB"/>
              </w:rPr>
            </w:pPr>
          </w:p>
        </w:tc>
        <w:tc>
          <w:tcPr>
            <w:tcW w:w="1440" w:type="dxa"/>
            <w:tcBorders>
              <w:top w:val="single" w:sz="6" w:space="0" w:color="auto"/>
              <w:left w:val="single" w:sz="6" w:space="0" w:color="auto"/>
              <w:bottom w:val="single" w:sz="6" w:space="0" w:color="auto"/>
              <w:right w:val="single" w:sz="6" w:space="0" w:color="auto"/>
            </w:tcBorders>
          </w:tcPr>
          <w:p w14:paraId="376F67A6"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47E827B1" w14:textId="77777777" w:rsidR="000D44CB" w:rsidRPr="00D4030C" w:rsidRDefault="000D44CB" w:rsidP="00D85A09">
            <w:pPr>
              <w:spacing w:after="0" w:line="240" w:lineRule="auto"/>
              <w:jc w:val="center"/>
              <w:rPr>
                <w:rFonts w:ascii="Times New Roman" w:eastAsia="Times New Roman" w:hAnsi="Times New Roman" w:cs="Times New Roman"/>
                <w:b/>
                <w:sz w:val="18"/>
                <w:szCs w:val="1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304789B8" w14:textId="77777777" w:rsidR="000D44CB" w:rsidRPr="00D4030C" w:rsidRDefault="000D44CB" w:rsidP="00D85A09">
            <w:pPr>
              <w:spacing w:after="0" w:line="240" w:lineRule="auto"/>
              <w:rPr>
                <w:rFonts w:ascii="Times New Roman" w:eastAsia="Times New Roman" w:hAnsi="Times New Roman" w:cs="Times New Roman"/>
                <w:bCs/>
                <w:sz w:val="18"/>
                <w:szCs w:val="18"/>
                <w:lang w:eastAsia="en-GB"/>
              </w:rPr>
            </w:pPr>
            <w:r w:rsidRPr="00D4030C">
              <w:rPr>
                <w:rFonts w:ascii="Times New Roman" w:eastAsia="Times New Roman" w:hAnsi="Times New Roman" w:cs="Times New Roman"/>
                <w:bCs/>
                <w:sz w:val="18"/>
                <w:szCs w:val="18"/>
                <w:lang w:eastAsia="en-GB"/>
              </w:rPr>
              <w:t>30%</w:t>
            </w:r>
          </w:p>
        </w:tc>
      </w:tr>
      <w:tr w:rsidR="000D44CB" w:rsidRPr="00D4030C" w14:paraId="661311AC" w14:textId="77777777" w:rsidTr="00C05311">
        <w:tc>
          <w:tcPr>
            <w:tcW w:w="2123" w:type="dxa"/>
            <w:tcBorders>
              <w:top w:val="single" w:sz="6" w:space="0" w:color="auto"/>
              <w:left w:val="thinThickLargeGap" w:sz="24" w:space="0" w:color="auto"/>
              <w:bottom w:val="single" w:sz="6" w:space="0" w:color="auto"/>
              <w:right w:val="single" w:sz="4" w:space="0" w:color="auto"/>
            </w:tcBorders>
          </w:tcPr>
          <w:p w14:paraId="645C8437" w14:textId="77777777" w:rsidR="000D44CB" w:rsidRPr="00D4030C" w:rsidRDefault="000D44CB" w:rsidP="00D85A09">
            <w:pPr>
              <w:spacing w:after="0" w:line="240" w:lineRule="auto"/>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Ability to select, synthesise and evaluate appropriate sources relating to chosen theme</w:t>
            </w:r>
          </w:p>
        </w:tc>
        <w:tc>
          <w:tcPr>
            <w:tcW w:w="540" w:type="dxa"/>
            <w:tcBorders>
              <w:top w:val="single" w:sz="6" w:space="0" w:color="auto"/>
              <w:left w:val="single" w:sz="4" w:space="0" w:color="auto"/>
              <w:bottom w:val="single" w:sz="6" w:space="0" w:color="auto"/>
              <w:right w:val="single" w:sz="6" w:space="0" w:color="auto"/>
            </w:tcBorders>
          </w:tcPr>
          <w:p w14:paraId="4C491F73"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1</w:t>
            </w:r>
          </w:p>
        </w:tc>
        <w:tc>
          <w:tcPr>
            <w:tcW w:w="1262" w:type="dxa"/>
            <w:tcBorders>
              <w:top w:val="single" w:sz="6" w:space="0" w:color="auto"/>
              <w:left w:val="single" w:sz="6" w:space="0" w:color="auto"/>
              <w:bottom w:val="single" w:sz="6" w:space="0" w:color="auto"/>
              <w:right w:val="single" w:sz="6" w:space="0" w:color="auto"/>
            </w:tcBorders>
          </w:tcPr>
          <w:p w14:paraId="2C486714" w14:textId="77777777" w:rsidR="000D44CB" w:rsidRPr="00D4030C" w:rsidRDefault="000D44CB" w:rsidP="00D85A09">
            <w:pPr>
              <w:spacing w:after="0" w:line="240" w:lineRule="auto"/>
              <w:rPr>
                <w:rFonts w:ascii="Times New Roman" w:eastAsia="Times New Roman" w:hAnsi="Times New Roman" w:cs="Times New Roman"/>
                <w:b/>
                <w:sz w:val="28"/>
                <w:szCs w:val="28"/>
                <w:lang w:eastAsia="en-GB"/>
              </w:rPr>
            </w:pPr>
          </w:p>
          <w:p w14:paraId="70A73E1C"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5B069BD3" w14:textId="77777777" w:rsidR="000D44CB" w:rsidRPr="00D4030C" w:rsidRDefault="000D44CB" w:rsidP="00D85A09">
            <w:pPr>
              <w:spacing w:after="0" w:line="240" w:lineRule="auto"/>
              <w:jc w:val="right"/>
              <w:rPr>
                <w:rFonts w:ascii="Times New Roman" w:eastAsia="Times New Roman" w:hAnsi="Times New Roman" w:cs="Times New Roman"/>
                <w:b/>
                <w:sz w:val="28"/>
                <w:szCs w:val="28"/>
                <w:lang w:eastAsia="en-GB"/>
              </w:rPr>
            </w:pPr>
            <w:r w:rsidRPr="00D4030C">
              <w:rPr>
                <w:rFonts w:ascii="Times New Roman" w:eastAsia="Times New Roman" w:hAnsi="Times New Roman" w:cs="Times New Roman"/>
                <w:b/>
                <w:sz w:val="28"/>
                <w:szCs w:val="28"/>
                <w:lang w:eastAsia="en-GB"/>
              </w:rPr>
              <w:t xml:space="preserve"> </w:t>
            </w:r>
          </w:p>
        </w:tc>
        <w:tc>
          <w:tcPr>
            <w:tcW w:w="1440" w:type="dxa"/>
            <w:tcBorders>
              <w:top w:val="single" w:sz="6" w:space="0" w:color="auto"/>
              <w:left w:val="single" w:sz="6" w:space="0" w:color="auto"/>
              <w:bottom w:val="single" w:sz="6" w:space="0" w:color="auto"/>
              <w:right w:val="single" w:sz="6" w:space="0" w:color="auto"/>
            </w:tcBorders>
          </w:tcPr>
          <w:p w14:paraId="2794DDF9" w14:textId="77777777" w:rsidR="000D44CB" w:rsidRPr="00D4030C" w:rsidRDefault="000D44CB" w:rsidP="00D85A09">
            <w:pPr>
              <w:spacing w:after="0" w:line="240" w:lineRule="auto"/>
              <w:jc w:val="right"/>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151457A7"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p w14:paraId="48734C01"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0A378DE5"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p w14:paraId="104B4144"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32139496"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p>
          <w:p w14:paraId="343811E3"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r w:rsidRPr="00D4030C">
              <w:rPr>
                <w:rFonts w:ascii="Times New Roman" w:eastAsia="Times New Roman" w:hAnsi="Times New Roman" w:cs="Times New Roman"/>
                <w:sz w:val="18"/>
                <w:szCs w:val="20"/>
                <w:lang w:eastAsia="en-GB"/>
              </w:rPr>
              <w:t>30%</w:t>
            </w:r>
          </w:p>
        </w:tc>
      </w:tr>
      <w:tr w:rsidR="000D44CB" w:rsidRPr="00D4030C" w14:paraId="4DFCFDA6" w14:textId="77777777" w:rsidTr="00C05311">
        <w:tc>
          <w:tcPr>
            <w:tcW w:w="2123" w:type="dxa"/>
            <w:tcBorders>
              <w:top w:val="single" w:sz="6" w:space="0" w:color="auto"/>
              <w:left w:val="thinThickLargeGap" w:sz="24" w:space="0" w:color="auto"/>
              <w:bottom w:val="single" w:sz="6" w:space="0" w:color="auto"/>
              <w:right w:val="single" w:sz="4" w:space="0" w:color="auto"/>
            </w:tcBorders>
          </w:tcPr>
          <w:p w14:paraId="0499D605" w14:textId="77777777" w:rsidR="000D44CB" w:rsidRPr="00D4030C" w:rsidRDefault="000D44CB" w:rsidP="00D85A09">
            <w:pPr>
              <w:spacing w:after="0" w:line="240" w:lineRule="auto"/>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Evidence of independent research using a range of sources and the ability to present key findings clearly</w:t>
            </w:r>
          </w:p>
        </w:tc>
        <w:tc>
          <w:tcPr>
            <w:tcW w:w="540" w:type="dxa"/>
            <w:tcBorders>
              <w:top w:val="single" w:sz="6" w:space="0" w:color="auto"/>
              <w:left w:val="single" w:sz="4" w:space="0" w:color="auto"/>
              <w:bottom w:val="single" w:sz="6" w:space="0" w:color="auto"/>
              <w:right w:val="single" w:sz="6" w:space="0" w:color="auto"/>
            </w:tcBorders>
          </w:tcPr>
          <w:p w14:paraId="1CB42BD3"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1,2,3</w:t>
            </w:r>
          </w:p>
        </w:tc>
        <w:tc>
          <w:tcPr>
            <w:tcW w:w="1262" w:type="dxa"/>
            <w:tcBorders>
              <w:top w:val="single" w:sz="6" w:space="0" w:color="auto"/>
              <w:left w:val="single" w:sz="6" w:space="0" w:color="auto"/>
              <w:bottom w:val="single" w:sz="6" w:space="0" w:color="auto"/>
              <w:right w:val="single" w:sz="6" w:space="0" w:color="auto"/>
            </w:tcBorders>
          </w:tcPr>
          <w:p w14:paraId="4702055C"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33946DBE" w14:textId="77777777" w:rsidR="000D44CB" w:rsidRPr="00D4030C" w:rsidRDefault="000D44CB" w:rsidP="00D85A09">
            <w:pPr>
              <w:spacing w:after="0" w:line="240" w:lineRule="auto"/>
              <w:jc w:val="right"/>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6042EB43"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02484FFF"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2B319745"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2884FD4C"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p>
          <w:p w14:paraId="10F6252E"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r w:rsidRPr="00D4030C">
              <w:rPr>
                <w:rFonts w:ascii="Times New Roman" w:eastAsia="Times New Roman" w:hAnsi="Times New Roman" w:cs="Times New Roman"/>
                <w:sz w:val="18"/>
                <w:szCs w:val="20"/>
                <w:lang w:eastAsia="en-GB"/>
              </w:rPr>
              <w:t>30%</w:t>
            </w:r>
          </w:p>
        </w:tc>
      </w:tr>
      <w:tr w:rsidR="000D44CB" w:rsidRPr="00D4030C" w14:paraId="1578ED1E" w14:textId="77777777" w:rsidTr="00C05311">
        <w:tc>
          <w:tcPr>
            <w:tcW w:w="2123" w:type="dxa"/>
            <w:tcBorders>
              <w:top w:val="single" w:sz="6" w:space="0" w:color="auto"/>
              <w:left w:val="thinThickLargeGap" w:sz="24" w:space="0" w:color="auto"/>
              <w:bottom w:val="single" w:sz="6" w:space="0" w:color="auto"/>
              <w:right w:val="single" w:sz="4" w:space="0" w:color="auto"/>
            </w:tcBorders>
          </w:tcPr>
          <w:p w14:paraId="7D9B9C06" w14:textId="77777777" w:rsidR="000D44CB" w:rsidRPr="00D4030C" w:rsidRDefault="000D44CB" w:rsidP="00D85A09">
            <w:pPr>
              <w:spacing w:after="0" w:line="240" w:lineRule="auto"/>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Problem-solving skills in locating appropriate material within secondary sources, internet and primary material.</w:t>
            </w:r>
          </w:p>
        </w:tc>
        <w:tc>
          <w:tcPr>
            <w:tcW w:w="540" w:type="dxa"/>
            <w:tcBorders>
              <w:top w:val="single" w:sz="6" w:space="0" w:color="auto"/>
              <w:left w:val="single" w:sz="4" w:space="0" w:color="auto"/>
              <w:bottom w:val="single" w:sz="6" w:space="0" w:color="auto"/>
              <w:right w:val="single" w:sz="6" w:space="0" w:color="auto"/>
            </w:tcBorders>
          </w:tcPr>
          <w:p w14:paraId="55BD8066"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p>
          <w:p w14:paraId="61F3AA63" w14:textId="77777777" w:rsidR="000D44CB" w:rsidRPr="00D4030C" w:rsidRDefault="000D44CB" w:rsidP="00D85A09">
            <w:pPr>
              <w:spacing w:after="0" w:line="240" w:lineRule="auto"/>
              <w:jc w:val="center"/>
              <w:rPr>
                <w:rFonts w:ascii="Times New Roman" w:eastAsia="Times New Roman" w:hAnsi="Times New Roman" w:cs="Times New Roman"/>
                <w:sz w:val="20"/>
                <w:szCs w:val="20"/>
                <w:lang w:eastAsia="en-GB"/>
              </w:rPr>
            </w:pPr>
            <w:r w:rsidRPr="00D4030C">
              <w:rPr>
                <w:rFonts w:ascii="Times New Roman" w:eastAsia="Times New Roman" w:hAnsi="Times New Roman" w:cs="Times New Roman"/>
                <w:sz w:val="20"/>
                <w:szCs w:val="20"/>
                <w:lang w:eastAsia="en-GB"/>
              </w:rPr>
              <w:t>3</w:t>
            </w:r>
          </w:p>
        </w:tc>
        <w:tc>
          <w:tcPr>
            <w:tcW w:w="1262" w:type="dxa"/>
            <w:tcBorders>
              <w:top w:val="single" w:sz="6" w:space="0" w:color="auto"/>
              <w:left w:val="single" w:sz="6" w:space="0" w:color="auto"/>
              <w:bottom w:val="single" w:sz="6" w:space="0" w:color="auto"/>
              <w:right w:val="single" w:sz="6" w:space="0" w:color="auto"/>
            </w:tcBorders>
          </w:tcPr>
          <w:p w14:paraId="5BDC6FEE"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p w14:paraId="32BEE0BE"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350" w:type="dxa"/>
            <w:gridSpan w:val="2"/>
            <w:tcBorders>
              <w:top w:val="single" w:sz="6" w:space="0" w:color="auto"/>
              <w:left w:val="single" w:sz="6" w:space="0" w:color="auto"/>
              <w:bottom w:val="single" w:sz="6" w:space="0" w:color="auto"/>
              <w:right w:val="single" w:sz="6" w:space="0" w:color="auto"/>
            </w:tcBorders>
          </w:tcPr>
          <w:p w14:paraId="5FC0A659"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7CBA8F8D"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440" w:type="dxa"/>
            <w:tcBorders>
              <w:top w:val="single" w:sz="6" w:space="0" w:color="auto"/>
              <w:left w:val="single" w:sz="6" w:space="0" w:color="auto"/>
              <w:bottom w:val="single" w:sz="6" w:space="0" w:color="auto"/>
              <w:right w:val="single" w:sz="6" w:space="0" w:color="auto"/>
            </w:tcBorders>
          </w:tcPr>
          <w:p w14:paraId="1C2211A8"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1170" w:type="dxa"/>
            <w:gridSpan w:val="2"/>
            <w:tcBorders>
              <w:top w:val="single" w:sz="6" w:space="0" w:color="auto"/>
              <w:left w:val="single" w:sz="6" w:space="0" w:color="auto"/>
              <w:bottom w:val="single" w:sz="6" w:space="0" w:color="auto"/>
              <w:right w:val="single" w:sz="6" w:space="0" w:color="auto"/>
            </w:tcBorders>
          </w:tcPr>
          <w:p w14:paraId="620C1034"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p w14:paraId="03D6813F" w14:textId="77777777" w:rsidR="000D44CB" w:rsidRPr="00D4030C" w:rsidRDefault="000D44CB" w:rsidP="00D85A09">
            <w:pPr>
              <w:spacing w:after="0" w:line="240" w:lineRule="auto"/>
              <w:jc w:val="center"/>
              <w:rPr>
                <w:rFonts w:ascii="Times New Roman" w:eastAsia="Times New Roman" w:hAnsi="Times New Roman" w:cs="Times New Roman"/>
                <w:b/>
                <w:sz w:val="28"/>
                <w:szCs w:val="28"/>
                <w:lang w:eastAsia="en-GB"/>
              </w:rPr>
            </w:pPr>
          </w:p>
        </w:tc>
        <w:tc>
          <w:tcPr>
            <w:tcW w:w="720" w:type="dxa"/>
            <w:tcBorders>
              <w:top w:val="single" w:sz="6" w:space="0" w:color="auto"/>
              <w:left w:val="single" w:sz="6" w:space="0" w:color="auto"/>
              <w:bottom w:val="single" w:sz="6" w:space="0" w:color="auto"/>
              <w:right w:val="thickThinLargeGap" w:sz="24" w:space="0" w:color="auto"/>
            </w:tcBorders>
          </w:tcPr>
          <w:p w14:paraId="57290602"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p>
          <w:p w14:paraId="5BD85670"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r w:rsidRPr="00D4030C">
              <w:rPr>
                <w:rFonts w:ascii="Times New Roman" w:eastAsia="Times New Roman" w:hAnsi="Times New Roman" w:cs="Times New Roman"/>
                <w:sz w:val="18"/>
                <w:szCs w:val="20"/>
                <w:lang w:eastAsia="en-GB"/>
              </w:rPr>
              <w:t>10%</w:t>
            </w:r>
          </w:p>
        </w:tc>
      </w:tr>
      <w:tr w:rsidR="000D44CB" w:rsidRPr="00D4030C" w14:paraId="3E4CB84D" w14:textId="77777777" w:rsidTr="00C05311">
        <w:tc>
          <w:tcPr>
            <w:tcW w:w="9325" w:type="dxa"/>
            <w:gridSpan w:val="9"/>
            <w:tcBorders>
              <w:top w:val="nil"/>
              <w:left w:val="thinThickLargeGap" w:sz="24" w:space="0" w:color="auto"/>
              <w:bottom w:val="single" w:sz="6" w:space="0" w:color="auto"/>
              <w:right w:val="single" w:sz="4" w:space="0" w:color="auto"/>
            </w:tcBorders>
            <w:vAlign w:val="center"/>
          </w:tcPr>
          <w:p w14:paraId="5B2D56FD" w14:textId="77777777" w:rsidR="000D44CB" w:rsidRPr="00D4030C" w:rsidRDefault="000D44CB" w:rsidP="00D85A09">
            <w:pPr>
              <w:spacing w:after="0" w:line="240" w:lineRule="auto"/>
              <w:rPr>
                <w:rFonts w:ascii="Times New Roman" w:eastAsia="Times New Roman" w:hAnsi="Times New Roman" w:cs="Times New Roman"/>
                <w:i/>
                <w:sz w:val="18"/>
                <w:szCs w:val="20"/>
                <w:lang w:eastAsia="en-GB"/>
              </w:rPr>
            </w:pPr>
            <w:r w:rsidRPr="00D4030C">
              <w:rPr>
                <w:rFonts w:ascii="Times New Roman" w:eastAsia="Times New Roman" w:hAnsi="Times New Roman" w:cs="Times New Roman"/>
                <w:i/>
                <w:sz w:val="18"/>
                <w:szCs w:val="18"/>
                <w:lang w:eastAsia="en-GB"/>
              </w:rPr>
              <w:t xml:space="preserve">It is expected that students will present work that is proof read and follows the </w:t>
            </w:r>
            <w:r w:rsidRPr="00D4030C">
              <w:rPr>
                <w:rFonts w:ascii="Times New Roman" w:eastAsia="Times New Roman" w:hAnsi="Times New Roman" w:cs="Times New Roman"/>
                <w:b/>
                <w:bCs/>
                <w:i/>
                <w:sz w:val="18"/>
                <w:szCs w:val="18"/>
                <w:u w:val="single"/>
                <w:lang w:eastAsia="en-GB"/>
              </w:rPr>
              <w:t>School Reference Guide</w:t>
            </w:r>
            <w:r w:rsidRPr="00D4030C">
              <w:rPr>
                <w:rFonts w:ascii="Times New Roman" w:eastAsia="Times New Roman" w:hAnsi="Times New Roman" w:cs="Times New Roman"/>
                <w:i/>
                <w:sz w:val="18"/>
                <w:szCs w:val="18"/>
                <w:lang w:eastAsia="en-GB"/>
              </w:rPr>
              <w:t xml:space="preserve"> and </w:t>
            </w:r>
            <w:r w:rsidRPr="00D4030C">
              <w:rPr>
                <w:rFonts w:ascii="Times New Roman" w:eastAsia="Times New Roman" w:hAnsi="Times New Roman" w:cs="Times New Roman"/>
                <w:b/>
                <w:i/>
                <w:sz w:val="18"/>
                <w:szCs w:val="18"/>
                <w:u w:val="single"/>
                <w:lang w:eastAsia="en-GB"/>
              </w:rPr>
              <w:t xml:space="preserve">Assessment Checklist. </w:t>
            </w:r>
            <w:proofErr w:type="gramStart"/>
            <w:r w:rsidR="00C05311">
              <w:rPr>
                <w:rFonts w:ascii="Times New Roman" w:eastAsia="Times New Roman" w:hAnsi="Times New Roman" w:cs="Times New Roman"/>
                <w:i/>
                <w:sz w:val="18"/>
                <w:szCs w:val="18"/>
                <w:lang w:eastAsia="en-GB"/>
              </w:rPr>
              <w:t>Th</w:t>
            </w:r>
            <w:r w:rsidRPr="00D4030C">
              <w:rPr>
                <w:rFonts w:ascii="Times New Roman" w:eastAsia="Times New Roman" w:hAnsi="Times New Roman" w:cs="Times New Roman"/>
                <w:i/>
                <w:sz w:val="18"/>
                <w:szCs w:val="18"/>
                <w:lang w:eastAsia="en-GB"/>
              </w:rPr>
              <w:t>erefore</w:t>
            </w:r>
            <w:proofErr w:type="gramEnd"/>
            <w:r w:rsidRPr="00D4030C">
              <w:rPr>
                <w:rFonts w:ascii="Times New Roman" w:eastAsia="Times New Roman" w:hAnsi="Times New Roman" w:cs="Times New Roman"/>
                <w:i/>
                <w:sz w:val="18"/>
                <w:szCs w:val="18"/>
                <w:lang w:eastAsia="en-GB"/>
              </w:rPr>
              <w:t xml:space="preserve"> a range of 0 – 10 marks will be deducted for poor </w:t>
            </w:r>
            <w:r w:rsidRPr="00D4030C">
              <w:rPr>
                <w:rFonts w:ascii="Times New Roman" w:eastAsia="Times New Roman" w:hAnsi="Times New Roman" w:cs="Times New Roman"/>
                <w:bCs/>
                <w:i/>
                <w:sz w:val="18"/>
                <w:szCs w:val="18"/>
                <w:lang w:eastAsia="en-GB"/>
              </w:rPr>
              <w:t>referencing</w:t>
            </w:r>
            <w:r w:rsidRPr="00D4030C">
              <w:rPr>
                <w:rFonts w:ascii="Times New Roman" w:eastAsia="Times New Roman" w:hAnsi="Times New Roman" w:cs="Times New Roman"/>
                <w:i/>
                <w:sz w:val="18"/>
                <w:szCs w:val="18"/>
                <w:lang w:eastAsia="en-GB"/>
              </w:rPr>
              <w:t>, spelling, grammar, punctuation, and presentation</w:t>
            </w:r>
          </w:p>
        </w:tc>
        <w:tc>
          <w:tcPr>
            <w:tcW w:w="720" w:type="dxa"/>
            <w:tcBorders>
              <w:top w:val="nil"/>
              <w:left w:val="single" w:sz="4" w:space="0" w:color="auto"/>
              <w:bottom w:val="single" w:sz="6" w:space="0" w:color="auto"/>
              <w:right w:val="thickThinLargeGap" w:sz="24" w:space="0" w:color="auto"/>
            </w:tcBorders>
            <w:vAlign w:val="center"/>
          </w:tcPr>
          <w:p w14:paraId="756EFF80" w14:textId="77777777" w:rsidR="000D44CB" w:rsidRPr="00D4030C" w:rsidRDefault="000D44CB" w:rsidP="00D85A09">
            <w:pPr>
              <w:spacing w:after="0" w:line="240" w:lineRule="auto"/>
              <w:rPr>
                <w:rFonts w:ascii="Times New Roman" w:eastAsia="Times New Roman" w:hAnsi="Times New Roman" w:cs="Times New Roman"/>
                <w:sz w:val="18"/>
                <w:szCs w:val="20"/>
                <w:lang w:eastAsia="en-GB"/>
              </w:rPr>
            </w:pPr>
            <w:r w:rsidRPr="00D4030C">
              <w:rPr>
                <w:rFonts w:ascii="Times New Roman" w:eastAsia="Times New Roman" w:hAnsi="Times New Roman" w:cs="Times New Roman"/>
                <w:sz w:val="18"/>
                <w:szCs w:val="20"/>
                <w:lang w:eastAsia="en-GB"/>
              </w:rPr>
              <w:t>0/10</w:t>
            </w:r>
          </w:p>
        </w:tc>
      </w:tr>
      <w:tr w:rsidR="000D44CB" w:rsidRPr="00D4030C" w14:paraId="7331F03D" w14:textId="77777777" w:rsidTr="00C05311">
        <w:trPr>
          <w:cantSplit/>
          <w:trHeight w:val="3915"/>
        </w:trPr>
        <w:tc>
          <w:tcPr>
            <w:tcW w:w="10045" w:type="dxa"/>
            <w:gridSpan w:val="10"/>
            <w:tcBorders>
              <w:top w:val="single" w:sz="6" w:space="0" w:color="auto"/>
              <w:left w:val="thinThickLargeGap" w:sz="24" w:space="0" w:color="auto"/>
              <w:bottom w:val="single" w:sz="4" w:space="0" w:color="auto"/>
              <w:right w:val="thickThinLargeGap" w:sz="24" w:space="0" w:color="auto"/>
            </w:tcBorders>
          </w:tcPr>
          <w:p w14:paraId="204743E8" w14:textId="77777777" w:rsidR="000D44CB" w:rsidRPr="00D4030C" w:rsidRDefault="000D44CB" w:rsidP="00C05311">
            <w:pPr>
              <w:tabs>
                <w:tab w:val="left" w:pos="9829"/>
              </w:tabs>
              <w:spacing w:after="0" w:line="240" w:lineRule="auto"/>
              <w:rPr>
                <w:rFonts w:ascii="Times New Roman" w:eastAsia="Times New Roman" w:hAnsi="Times New Roman" w:cs="Times New Roman"/>
                <w:sz w:val="24"/>
                <w:szCs w:val="20"/>
                <w:lang w:eastAsia="en-GB"/>
              </w:rPr>
            </w:pPr>
          </w:p>
          <w:p w14:paraId="6904DE44"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r w:rsidRPr="00D4030C">
              <w:rPr>
                <w:rFonts w:ascii="Times New Roman" w:eastAsia="Times New Roman" w:hAnsi="Times New Roman" w:cs="Times New Roman"/>
                <w:sz w:val="24"/>
                <w:szCs w:val="20"/>
                <w:lang w:eastAsia="en-GB"/>
              </w:rPr>
              <w:t>TUTOR COMMENTS:</w:t>
            </w:r>
          </w:p>
          <w:p w14:paraId="7ACFBF60" w14:textId="77777777" w:rsidR="000D44CB" w:rsidRPr="00D4030C" w:rsidRDefault="000D44CB" w:rsidP="00D85A09">
            <w:pPr>
              <w:spacing w:after="0" w:line="240" w:lineRule="auto"/>
              <w:ind w:firstLine="281"/>
              <w:rPr>
                <w:rFonts w:ascii="Times New Roman" w:eastAsia="Times New Roman" w:hAnsi="Times New Roman" w:cs="Times New Roman"/>
                <w:sz w:val="24"/>
                <w:szCs w:val="20"/>
                <w:lang w:eastAsia="en-GB"/>
              </w:rPr>
            </w:pPr>
          </w:p>
          <w:p w14:paraId="0EEDBC91"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p>
          <w:p w14:paraId="5167AF5C" w14:textId="77777777" w:rsidR="000D44CB" w:rsidRPr="00D4030C" w:rsidRDefault="000D44CB" w:rsidP="00D85A09">
            <w:pPr>
              <w:spacing w:after="0" w:line="240" w:lineRule="auto"/>
              <w:rPr>
                <w:rFonts w:ascii="Times New Roman" w:eastAsia="Times New Roman" w:hAnsi="Times New Roman" w:cs="Times New Roman"/>
                <w:sz w:val="24"/>
                <w:szCs w:val="20"/>
                <w:lang w:eastAsia="en-GB"/>
              </w:rPr>
            </w:pPr>
          </w:p>
          <w:p w14:paraId="11BF4E77" w14:textId="77777777" w:rsidR="000D44CB" w:rsidRPr="00D4030C" w:rsidRDefault="000D44CB" w:rsidP="00C05311">
            <w:pPr>
              <w:tabs>
                <w:tab w:val="left" w:pos="10117"/>
              </w:tabs>
              <w:spacing w:after="0" w:line="240" w:lineRule="auto"/>
              <w:rPr>
                <w:rFonts w:ascii="Times New Roman" w:eastAsia="Times New Roman" w:hAnsi="Times New Roman" w:cs="Times New Roman"/>
                <w:sz w:val="24"/>
                <w:szCs w:val="20"/>
                <w:lang w:eastAsia="en-GB"/>
              </w:rPr>
            </w:pPr>
          </w:p>
        </w:tc>
      </w:tr>
      <w:tr w:rsidR="000D44CB" w:rsidRPr="00D4030C" w14:paraId="24955D43" w14:textId="77777777" w:rsidTr="00C05311">
        <w:trPr>
          <w:cantSplit/>
          <w:trHeight w:val="365"/>
        </w:trPr>
        <w:tc>
          <w:tcPr>
            <w:tcW w:w="2663" w:type="dxa"/>
            <w:gridSpan w:val="2"/>
            <w:tcBorders>
              <w:left w:val="thinThickLargeGap" w:sz="24" w:space="0" w:color="auto"/>
              <w:bottom w:val="thickThinLargeGap" w:sz="24" w:space="0" w:color="auto"/>
            </w:tcBorders>
          </w:tcPr>
          <w:p w14:paraId="5DDA3929" w14:textId="77777777" w:rsidR="000D44CB" w:rsidRPr="00D4030C" w:rsidRDefault="00C05311" w:rsidP="00D85A09">
            <w:pPr>
              <w:spacing w:after="0" w:line="240" w:lineRule="auto"/>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 xml:space="preserve"> Submission date: 7/4/15</w:t>
            </w:r>
          </w:p>
          <w:p w14:paraId="17CFD468" w14:textId="77777777" w:rsidR="000D44CB" w:rsidRPr="00D4030C" w:rsidRDefault="00C05311" w:rsidP="00D85A09">
            <w:pPr>
              <w:spacing w:after="0" w:line="240" w:lineRule="auto"/>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 xml:space="preserve">via </w:t>
            </w:r>
            <w:proofErr w:type="spellStart"/>
            <w:r>
              <w:rPr>
                <w:rFonts w:ascii="Times New Roman" w:eastAsia="Times New Roman" w:hAnsi="Times New Roman" w:cs="Times New Roman"/>
                <w:bCs/>
                <w:sz w:val="18"/>
                <w:szCs w:val="18"/>
                <w:lang w:eastAsia="en-GB"/>
              </w:rPr>
              <w:t>Turnitin</w:t>
            </w:r>
            <w:proofErr w:type="spellEnd"/>
            <w:r>
              <w:rPr>
                <w:rFonts w:ascii="Times New Roman" w:eastAsia="Times New Roman" w:hAnsi="Times New Roman" w:cs="Times New Roman"/>
                <w:bCs/>
                <w:sz w:val="18"/>
                <w:szCs w:val="18"/>
                <w:lang w:eastAsia="en-GB"/>
              </w:rPr>
              <w:t xml:space="preserve"> </w:t>
            </w:r>
          </w:p>
        </w:tc>
        <w:tc>
          <w:tcPr>
            <w:tcW w:w="2425" w:type="dxa"/>
            <w:gridSpan w:val="2"/>
            <w:tcBorders>
              <w:bottom w:val="thickThinLargeGap" w:sz="24" w:space="0" w:color="auto"/>
            </w:tcBorders>
          </w:tcPr>
          <w:p w14:paraId="1B144C96" w14:textId="77777777" w:rsidR="000D44CB" w:rsidRPr="00D4030C" w:rsidRDefault="00C05311" w:rsidP="00D85A09">
            <w:pPr>
              <w:spacing w:after="0" w:line="240" w:lineRule="auto"/>
              <w:rPr>
                <w:rFonts w:ascii="Times New Roman" w:eastAsia="Times New Roman" w:hAnsi="Times New Roman" w:cs="Times New Roman"/>
                <w:bCs/>
                <w:sz w:val="18"/>
                <w:szCs w:val="18"/>
                <w:lang w:eastAsia="en-GB"/>
              </w:rPr>
            </w:pPr>
            <w:r>
              <w:rPr>
                <w:rFonts w:ascii="Times New Roman" w:eastAsia="Times New Roman" w:hAnsi="Times New Roman" w:cs="Times New Roman"/>
                <w:bCs/>
                <w:sz w:val="18"/>
                <w:szCs w:val="18"/>
                <w:lang w:eastAsia="en-GB"/>
              </w:rPr>
              <w:t>Return date: 17</w:t>
            </w:r>
          </w:p>
          <w:p w14:paraId="74CACFCF" w14:textId="77777777" w:rsidR="000D44CB" w:rsidRPr="00D4030C" w:rsidRDefault="000D44CB" w:rsidP="00D85A09">
            <w:pPr>
              <w:spacing w:after="0" w:line="240" w:lineRule="auto"/>
              <w:rPr>
                <w:rFonts w:ascii="Times New Roman" w:eastAsia="Times New Roman" w:hAnsi="Times New Roman" w:cs="Times New Roman"/>
                <w:bCs/>
                <w:sz w:val="18"/>
                <w:szCs w:val="18"/>
                <w:lang w:eastAsia="en-GB"/>
              </w:rPr>
            </w:pPr>
            <w:r w:rsidRPr="00D4030C">
              <w:rPr>
                <w:rFonts w:ascii="Times New Roman" w:eastAsia="Times New Roman" w:hAnsi="Times New Roman" w:cs="Times New Roman"/>
                <w:bCs/>
                <w:sz w:val="18"/>
                <w:szCs w:val="18"/>
                <w:lang w:eastAsia="en-GB"/>
              </w:rPr>
              <w:t>(at least within 4 weeks)</w:t>
            </w:r>
          </w:p>
        </w:tc>
        <w:tc>
          <w:tcPr>
            <w:tcW w:w="3598" w:type="dxa"/>
            <w:gridSpan w:val="4"/>
            <w:tcBorders>
              <w:bottom w:val="thickThinLargeGap" w:sz="24" w:space="0" w:color="auto"/>
            </w:tcBorders>
          </w:tcPr>
          <w:p w14:paraId="239336AE" w14:textId="77777777" w:rsidR="000D44CB" w:rsidRPr="00D4030C" w:rsidRDefault="000D44CB" w:rsidP="00D85A09">
            <w:pPr>
              <w:spacing w:after="0" w:line="240" w:lineRule="auto"/>
              <w:rPr>
                <w:rFonts w:ascii="Times New Roman" w:eastAsia="Times New Roman" w:hAnsi="Times New Roman" w:cs="Times New Roman"/>
                <w:bCs/>
                <w:sz w:val="18"/>
                <w:szCs w:val="18"/>
                <w:lang w:eastAsia="en-GB"/>
              </w:rPr>
            </w:pPr>
            <w:r w:rsidRPr="00D4030C">
              <w:rPr>
                <w:rFonts w:ascii="Times New Roman" w:eastAsia="Times New Roman" w:hAnsi="Times New Roman" w:cs="Times New Roman"/>
                <w:bCs/>
                <w:sz w:val="18"/>
                <w:szCs w:val="18"/>
                <w:lang w:eastAsia="en-GB"/>
              </w:rPr>
              <w:t xml:space="preserve">Tutor: </w:t>
            </w:r>
            <w:proofErr w:type="spellStart"/>
            <w:r w:rsidRPr="00D4030C">
              <w:rPr>
                <w:rFonts w:ascii="Times New Roman" w:eastAsia="Times New Roman" w:hAnsi="Times New Roman" w:cs="Times New Roman"/>
                <w:bCs/>
                <w:sz w:val="18"/>
                <w:szCs w:val="18"/>
                <w:lang w:eastAsia="en-GB"/>
              </w:rPr>
              <w:t>C.</w:t>
            </w:r>
            <w:proofErr w:type="gramStart"/>
            <w:r w:rsidRPr="00D4030C">
              <w:rPr>
                <w:rFonts w:ascii="Times New Roman" w:eastAsia="Times New Roman" w:hAnsi="Times New Roman" w:cs="Times New Roman"/>
                <w:bCs/>
                <w:sz w:val="18"/>
                <w:szCs w:val="18"/>
                <w:lang w:eastAsia="en-GB"/>
              </w:rPr>
              <w:t>R.Davies</w:t>
            </w:r>
            <w:proofErr w:type="spellEnd"/>
            <w:proofErr w:type="gramEnd"/>
          </w:p>
        </w:tc>
        <w:tc>
          <w:tcPr>
            <w:tcW w:w="1359" w:type="dxa"/>
            <w:gridSpan w:val="2"/>
            <w:tcBorders>
              <w:bottom w:val="thickThinLargeGap" w:sz="24" w:space="0" w:color="auto"/>
              <w:right w:val="thickThinLargeGap" w:sz="24" w:space="0" w:color="auto"/>
            </w:tcBorders>
          </w:tcPr>
          <w:p w14:paraId="61A57C10" w14:textId="77777777" w:rsidR="000D44CB" w:rsidRPr="00D4030C" w:rsidRDefault="000D44CB" w:rsidP="00D85A09">
            <w:pPr>
              <w:spacing w:after="0" w:line="240" w:lineRule="auto"/>
              <w:rPr>
                <w:rFonts w:ascii="Times New Roman" w:eastAsia="Times New Roman" w:hAnsi="Times New Roman" w:cs="Times New Roman"/>
                <w:bCs/>
                <w:sz w:val="18"/>
                <w:szCs w:val="18"/>
                <w:lang w:eastAsia="en-GB"/>
              </w:rPr>
            </w:pPr>
          </w:p>
        </w:tc>
      </w:tr>
    </w:tbl>
    <w:p w14:paraId="112798F4" w14:textId="77777777" w:rsidR="000D44CB" w:rsidRPr="00D4030C" w:rsidRDefault="000D44CB" w:rsidP="000D44CB">
      <w:pPr>
        <w:spacing w:after="0" w:line="240" w:lineRule="auto"/>
        <w:rPr>
          <w:rFonts w:ascii="Times New Roman" w:eastAsia="Times New Roman" w:hAnsi="Times New Roman" w:cs="Times New Roman"/>
          <w:sz w:val="24"/>
          <w:szCs w:val="20"/>
          <w:lang w:eastAsia="en-GB"/>
        </w:rPr>
      </w:pPr>
    </w:p>
    <w:p w14:paraId="2A68B7DB" w14:textId="77777777" w:rsidR="00A949B3" w:rsidRDefault="00A949B3" w:rsidP="000D44CB">
      <w:pPr>
        <w:rPr>
          <w:rFonts w:ascii="Times New Roman" w:hAnsi="Times New Roman" w:cs="Times New Roman"/>
          <w:sz w:val="28"/>
          <w:szCs w:val="28"/>
          <w:u w:val="single"/>
        </w:rPr>
      </w:pPr>
    </w:p>
    <w:p w14:paraId="3723724D" w14:textId="0E0329D6" w:rsidR="000D44CB" w:rsidRPr="00851A40" w:rsidRDefault="00851A40" w:rsidP="000D44CB">
      <w:pPr>
        <w:rPr>
          <w:rFonts w:ascii="Times New Roman" w:hAnsi="Times New Roman" w:cs="Times New Roman"/>
          <w:sz w:val="28"/>
          <w:szCs w:val="28"/>
          <w:u w:val="single"/>
        </w:rPr>
      </w:pPr>
      <w:r w:rsidRPr="00851A40">
        <w:rPr>
          <w:rFonts w:ascii="Times New Roman" w:hAnsi="Times New Roman" w:cs="Times New Roman"/>
          <w:sz w:val="28"/>
          <w:szCs w:val="28"/>
          <w:u w:val="single"/>
        </w:rPr>
        <w:t>Health and Social Inclusion</w:t>
      </w:r>
    </w:p>
    <w:p w14:paraId="281D13DF" w14:textId="77777777" w:rsidR="00E04E00" w:rsidRPr="00130749" w:rsidRDefault="00E04E00" w:rsidP="00E04E00">
      <w:pPr>
        <w:spacing w:line="360" w:lineRule="auto"/>
        <w:rPr>
          <w:rFonts w:ascii="Times New Roman" w:hAnsi="Times New Roman" w:cs="Times New Roman"/>
          <w:sz w:val="28"/>
          <w:szCs w:val="28"/>
          <w:u w:val="single"/>
        </w:rPr>
      </w:pPr>
      <w:r w:rsidRPr="00130749">
        <w:rPr>
          <w:rFonts w:ascii="Times New Roman" w:hAnsi="Times New Roman" w:cs="Times New Roman"/>
          <w:sz w:val="28"/>
          <w:szCs w:val="28"/>
          <w:u w:val="single"/>
        </w:rPr>
        <w:t>Introduction</w:t>
      </w:r>
    </w:p>
    <w:p w14:paraId="7E900DBA" w14:textId="5350DBE4"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In the most basic of terms, it is often found that one’s perceived health is not equal to one’s actual health, and perceived health varies according to the individual due to several factors which will be explored in more detail throughout this paper. The act of being healthy will mean different things to different people, but a clear definition has been constructed: ‘Health is a state of complete physical, mental and social well-being and not merely the absence of disease or infirmity’ (WHO, 1948; Smith, Tang and Nutbeam, 2006). This source states that </w:t>
      </w:r>
      <w:proofErr w:type="gramStart"/>
      <w:r w:rsidRPr="00E04E00">
        <w:rPr>
          <w:rFonts w:ascii="Times New Roman" w:hAnsi="Times New Roman" w:cs="Times New Roman"/>
          <w:sz w:val="24"/>
          <w:szCs w:val="24"/>
        </w:rPr>
        <w:t>in order to</w:t>
      </w:r>
      <w:proofErr w:type="gramEnd"/>
      <w:r w:rsidRPr="00E04E00">
        <w:rPr>
          <w:rFonts w:ascii="Times New Roman" w:hAnsi="Times New Roman" w:cs="Times New Roman"/>
          <w:sz w:val="24"/>
          <w:szCs w:val="24"/>
        </w:rPr>
        <w:t xml:space="preserve"> call one’s self “healthy” one must ensure that they are not only free of illness or injury of either a physical or mental nature, but that they are also socially apt in a group or club. Some may also debate the above definition of health, claiming that despite having a certain injury or disease they are in fact still “healthy” because they eat well, still </w:t>
      </w:r>
      <w:proofErr w:type="gramStart"/>
      <w:r w:rsidRPr="00E04E00">
        <w:rPr>
          <w:rFonts w:ascii="Times New Roman" w:hAnsi="Times New Roman" w:cs="Times New Roman"/>
          <w:sz w:val="24"/>
          <w:szCs w:val="24"/>
        </w:rPr>
        <w:t>have the ability to</w:t>
      </w:r>
      <w:proofErr w:type="gramEnd"/>
      <w:r w:rsidRPr="00E04E00">
        <w:rPr>
          <w:rFonts w:ascii="Times New Roman" w:hAnsi="Times New Roman" w:cs="Times New Roman"/>
          <w:sz w:val="24"/>
          <w:szCs w:val="24"/>
        </w:rPr>
        <w:t xml:space="preserve"> exercise, etc. The “but” in the equation will vary depending on the specific person and their level of understanding of health. Even the characterisation of illnesses and health problems can vary from person to person depending on certain traits, beliefs or upbringings. It is widely thought that ‘perceived health may be “a common feature” which links various adverse psychosocial states such as social isolation, negative life events and job stress’ (Kaplan and Camacho, 1983; Idler and Benyamini, 1997). Different people will have differing health ideals and view their health differently to another’s. What one person may characterize as a serious health issue, another may feel is not significant, or not serious enough to seek medical, if any help; or said individual may not have the ability to comprehend that their personal situation/health is in anyway </w:t>
      </w:r>
      <w:r w:rsidRPr="00E04E00">
        <w:rPr>
          <w:rFonts w:ascii="Times New Roman" w:hAnsi="Times New Roman" w:cs="Times New Roman"/>
          <w:sz w:val="24"/>
          <w:szCs w:val="24"/>
        </w:rPr>
        <w:lastRenderedPageBreak/>
        <w:t xml:space="preserve">damaging. Again, the factors that will be listed below will influence this phenomenon. Not only can descriptions of health and illness change depending on the person, they can also vary with time, as indicated in </w:t>
      </w:r>
      <w:r w:rsidR="005D2D07">
        <w:rPr>
          <w:rFonts w:ascii="Times New Roman" w:hAnsi="Times New Roman" w:cs="Times New Roman"/>
          <w:sz w:val="24"/>
          <w:szCs w:val="24"/>
        </w:rPr>
        <w:t xml:space="preserve">a journal article </w:t>
      </w:r>
      <w:r w:rsidRPr="00E04E00">
        <w:rPr>
          <w:rFonts w:ascii="Times New Roman" w:hAnsi="Times New Roman" w:cs="Times New Roman"/>
          <w:sz w:val="24"/>
          <w:szCs w:val="24"/>
        </w:rPr>
        <w:t>which postulates that within the last 200 years there has been a shift in the way that illness can be defined, with the revelation of varying mental disorders (Manderscheid et al., 2010). Although there is overall health, certain components can be broken down and defined or explained themselves. For example, ‘wellness refers to the degree to which one feels positive and enthusiastic about oneself and life, whereas illness refers to the presence of disease’ (Manderscheid et al., 2010). Given the high expectations required to be in overall good health, it would not be illogical to postulate that perhaps no one is healthy or of good health, or that the number of people whose physical, mental and social well-being is of a good level is extremely small. Many studies have indicated individual’s self-doubt and distaste for their current situation whatever that may be, and there are countless people suffering from some form of physical or mental block. In a consensus conducted in 2001, looking at the lay beliefs of health of individuals in England and Wales there were large percentages who considered themselves to be in bad health (Davies, 2018). The many variables can also influence each other i.e. a problem in any area of health can have a negative impact on the other areas of health e.g. dissatisfaction with one’s social life can cause one’s mental health to deteriorate and cause the individual to overeat as a coping mechanism, resulting in obesity (Manderscheid et al., 2010).</w:t>
      </w:r>
    </w:p>
    <w:p w14:paraId="776B8FDA" w14:textId="77777777"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In this paper, the area of health that will be concentrated on for the most part is obesity. There is a clear relationship between one’s position in society and one’s health, especially concerning weight and obesity (Black Report 6 Explanation of Health Inequalities, 1980). This relationship will be explored in more detail throughout this paper.  </w:t>
      </w:r>
    </w:p>
    <w:p w14:paraId="2018756C" w14:textId="2B87E723" w:rsidR="00E04E00" w:rsidRPr="000E03C0" w:rsidRDefault="000E03C0" w:rsidP="00E04E00">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Impact of s</w:t>
      </w:r>
      <w:r w:rsidRPr="000E03C0">
        <w:rPr>
          <w:rFonts w:ascii="Times New Roman" w:hAnsi="Times New Roman" w:cs="Times New Roman"/>
          <w:sz w:val="28"/>
          <w:szCs w:val="28"/>
          <w:u w:val="single"/>
        </w:rPr>
        <w:t>ocial class</w:t>
      </w:r>
    </w:p>
    <w:p w14:paraId="655D7F48" w14:textId="46C255E8" w:rsidR="00E04E00" w:rsidRPr="00E04E00" w:rsidRDefault="000E03C0" w:rsidP="00E04E0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04E00" w:rsidRPr="00E04E00">
        <w:rPr>
          <w:rFonts w:ascii="Times New Roman" w:hAnsi="Times New Roman" w:cs="Times New Roman"/>
          <w:sz w:val="24"/>
          <w:szCs w:val="24"/>
        </w:rPr>
        <w:t xml:space="preserve">Different social classes will have different opinions, beliefs and behaviours. There will be some cross over between groups, but the core beliefs and behaviours within groups are generally similar. Within the realm of social class is a hierarchy which is primarily decided by the job one has. It is as follows: professional (I), manager/technical, skilled non-manual, skilled manual, partly skilled manual, unskilled manual (V) (Davies, 2018). The first being the highest social class, and the last being the lowest. Naturally, the more skill, time or knowledge a job requires, the higher paying it will be. Obviously, there will be a small number of anomalies that exist in the real world, but the above general rule applies. </w:t>
      </w:r>
    </w:p>
    <w:p w14:paraId="4EE8DF32" w14:textId="4E8EE05A"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lastRenderedPageBreak/>
        <w:t>It is often found that the best educated, with the most money will also have the best levels of health, or the best chances of having any given health problem eradicated or minimised quickly because they are able to afford private medical care, among other reasons. There is evidence stating ‘Private hospitals treat patients with fewer comorbidities and past hospitalisations. Controlling for observed patient characteristics and treatment type, private hospitals have fewer emergency readmissions’ (Moscelli et al., 2017). Those who make use of private healthcare are generally of better health to begin with and are much less likely to require readmissions. This demonstrates the observation, ‘Proportional increases in income are associated with equal proportional decreases in mortality throughout the income distribution’ (Deaton, 2002). The ability to pay for faster and possibly better medical care will decrease rates of mortality, which will benefit those with the means to do so. However, for those in a lower social class, of lower wealth who are unable to afford basic amenities, healthcare will be more difficult to come by regarding immediateness of treatment. The Black Report (1980) explains this in terms of mortality rates between the classes, stating that throughout each age bracket, the lowest social class (V) have higher mortality rates than the highest social class (I). The difference in mortality rates varies throughout the years: twice as many dying at birth; 4-5times as many dying at ~1 year; 1.5-2 times during childhood and adolescence (Black Report 6</w:t>
      </w:r>
      <w:r w:rsidR="00572938">
        <w:rPr>
          <w:rFonts w:ascii="Times New Roman" w:hAnsi="Times New Roman" w:cs="Times New Roman"/>
          <w:sz w:val="24"/>
          <w:szCs w:val="24"/>
        </w:rPr>
        <w:t xml:space="preserve"> Explanation of Health Inequalities</w:t>
      </w:r>
      <w:r w:rsidRPr="00E04E00">
        <w:rPr>
          <w:rFonts w:ascii="Times New Roman" w:hAnsi="Times New Roman" w:cs="Times New Roman"/>
          <w:sz w:val="24"/>
          <w:szCs w:val="24"/>
        </w:rPr>
        <w:t>, 1980). The statistics are less specific from adulthood, but mortality rate increases once more in early adulthood, before dropping in middle and old age (Black Report 6</w:t>
      </w:r>
      <w:r w:rsidR="00572938">
        <w:rPr>
          <w:rFonts w:ascii="Times New Roman" w:hAnsi="Times New Roman" w:cs="Times New Roman"/>
          <w:sz w:val="24"/>
          <w:szCs w:val="24"/>
        </w:rPr>
        <w:t xml:space="preserve"> Explanation of Health Inequalities</w:t>
      </w:r>
      <w:r w:rsidRPr="00E04E00">
        <w:rPr>
          <w:rFonts w:ascii="Times New Roman" w:hAnsi="Times New Roman" w:cs="Times New Roman"/>
          <w:sz w:val="24"/>
          <w:szCs w:val="24"/>
        </w:rPr>
        <w:t xml:space="preserve">, 1980). While there is evidence to suggest that mortality rates in the lowest classes have either fallen or remained consistent to those reported thirty years ago (Joseph Rowntree Foundation, 2010), this does not mean that the population in question is any healthier, it may be the great strides we have made in medicine that is keeping this </w:t>
      </w:r>
      <w:r w:rsidR="00900C29">
        <w:rPr>
          <w:rFonts w:ascii="Times New Roman" w:hAnsi="Times New Roman" w:cs="Times New Roman"/>
          <w:sz w:val="24"/>
          <w:szCs w:val="24"/>
        </w:rPr>
        <w:t>section</w:t>
      </w:r>
      <w:r w:rsidRPr="00E04E00">
        <w:rPr>
          <w:rFonts w:ascii="Times New Roman" w:hAnsi="Times New Roman" w:cs="Times New Roman"/>
          <w:sz w:val="24"/>
          <w:szCs w:val="24"/>
        </w:rPr>
        <w:t xml:space="preserve"> of the population alive. There is evidence to suggest that those from working class backgrounds will make use of GP facilities more frequently than those from middle class backgrounds, but the quality of care may be lower (Black Report 6</w:t>
      </w:r>
      <w:r w:rsidR="00572938">
        <w:rPr>
          <w:rFonts w:ascii="Times New Roman" w:hAnsi="Times New Roman" w:cs="Times New Roman"/>
          <w:sz w:val="24"/>
          <w:szCs w:val="24"/>
        </w:rPr>
        <w:t xml:space="preserve"> Explanation of Health Inequalities</w:t>
      </w:r>
      <w:r w:rsidRPr="00E04E00">
        <w:rPr>
          <w:rFonts w:ascii="Times New Roman" w:hAnsi="Times New Roman" w:cs="Times New Roman"/>
          <w:sz w:val="24"/>
          <w:szCs w:val="24"/>
        </w:rPr>
        <w:t xml:space="preserve">, 1980). This source strongly suggests that social class, and therefore wealth have a strong relationship with health. </w:t>
      </w:r>
    </w:p>
    <w:p w14:paraId="56C76C89" w14:textId="77777777"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Personal wealth and the wealth of an area will both have a similar impact on one’s health. For example, a study conducted investigating the prescription of antidepressants found that the largest number of prescription use occurred in some of the most deprived areas in Britain, with the majority being in the Welsh valleys (Health Solutions Wales, 2009; Davies, 2018). This occurrence happened because there was a lack of health services in those areas, especially of counselling facilities (Health Solutions Wales, 2009; Davies, 2018). It is not only the more </w:t>
      </w:r>
      <w:r w:rsidRPr="00E04E00">
        <w:rPr>
          <w:rFonts w:ascii="Times New Roman" w:hAnsi="Times New Roman" w:cs="Times New Roman"/>
          <w:sz w:val="24"/>
          <w:szCs w:val="24"/>
        </w:rPr>
        <w:lastRenderedPageBreak/>
        <w:t xml:space="preserve">deprived the individual the lower the standard of care that will be received. The relationship between depravity and healthcare translates to larger areas so that the areas with the largest depravity rates will also have the lowest standards of care available to them. Providing medication and medication only will not provide any long-term solutions and could cause the individual to develop an addiction. Without private medical care an addiction would become much more difficult to teat, creating a vicious cycle of problems for the individual in a deprived area. </w:t>
      </w:r>
    </w:p>
    <w:p w14:paraId="60C72A34" w14:textId="77777777" w:rsidR="001D6132"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The above phenomenon can be observed in many places around Britain, Wales especially and for many different aspects of health. It is often found that the areas with the highest rates of poverty will also have the highest rates of obesity (Public Health England, 2016; Dorling, 2013; Leahey et al., 2018). As has already been explained, members of a higher social class will generally be more intelligent and have more money. The combination of education and wealth often create a better level of health in individuals. Not only are these individuals more aware of the health benefits and drawbacks associated with certain health behaviours, they are also more able to provide themselves with the relevant tools to live a healthier lifestyle. Healthier, less calorie-dense food is often seen to be more expensive than unhealthy, calorie-dense food and is less commonly on offer (Laska et al., 2018) which further decreases incentive. Some members in society don’t have the relevant skills to cook properly making consuming healthier food much more difficult. Gym and club memberships and exercise equipment including but not limited to appropriate clothing and footwear, weights, instructor all have a cost which some are unable to afford. Maintaining a healthy weight and BMI score requires consumption of certain foods, and involvement in physical activity to burn off excess calories (NHS Wales, 2016). Those without the means can find it more difficult to do so, and thus one’s chances of becoming and remaining obese are very high. </w:t>
      </w:r>
    </w:p>
    <w:p w14:paraId="1532436A" w14:textId="20353689" w:rsidR="00E04E00" w:rsidRDefault="00E04E00" w:rsidP="00E04E00">
      <w:pPr>
        <w:spacing w:line="360" w:lineRule="auto"/>
        <w:rPr>
          <w:rFonts w:ascii="Times New Roman" w:hAnsi="Times New Roman" w:cs="Times New Roman"/>
          <w:sz w:val="28"/>
          <w:szCs w:val="28"/>
          <w:u w:val="single"/>
        </w:rPr>
      </w:pPr>
      <w:r w:rsidRPr="001D6132">
        <w:rPr>
          <w:rFonts w:ascii="Times New Roman" w:hAnsi="Times New Roman" w:cs="Times New Roman"/>
          <w:sz w:val="28"/>
          <w:szCs w:val="28"/>
          <w:u w:val="single"/>
        </w:rPr>
        <w:t xml:space="preserve">Health prevention strategies </w:t>
      </w:r>
    </w:p>
    <w:p w14:paraId="3479E622" w14:textId="0F4E9908" w:rsidR="00A949B3" w:rsidRPr="00A949B3" w:rsidRDefault="00A949B3" w:rsidP="00E04E00">
      <w:pPr>
        <w:spacing w:line="360" w:lineRule="auto"/>
        <w:rPr>
          <w:rFonts w:ascii="Times New Roman" w:hAnsi="Times New Roman" w:cs="Times New Roman"/>
          <w:sz w:val="28"/>
          <w:szCs w:val="28"/>
          <w:u w:val="single"/>
        </w:rPr>
      </w:pPr>
      <w:r w:rsidRPr="00A949B3">
        <w:rPr>
          <w:rFonts w:ascii="Times New Roman" w:hAnsi="Times New Roman" w:cs="Times New Roman"/>
          <w:sz w:val="28"/>
          <w:szCs w:val="28"/>
          <w:u w:val="single"/>
        </w:rPr>
        <w:t>Smoking Tax</w:t>
      </w:r>
    </w:p>
    <w:p w14:paraId="4450ECAF" w14:textId="4624ED7E"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For </w:t>
      </w:r>
      <w:proofErr w:type="gramStart"/>
      <w:r w:rsidRPr="00E04E00">
        <w:rPr>
          <w:rFonts w:ascii="Times New Roman" w:hAnsi="Times New Roman" w:cs="Times New Roman"/>
          <w:sz w:val="24"/>
          <w:szCs w:val="24"/>
        </w:rPr>
        <w:t>a brief moment</w:t>
      </w:r>
      <w:proofErr w:type="gramEnd"/>
      <w:r w:rsidRPr="00E04E00">
        <w:rPr>
          <w:rFonts w:ascii="Times New Roman" w:hAnsi="Times New Roman" w:cs="Times New Roman"/>
          <w:sz w:val="24"/>
          <w:szCs w:val="24"/>
        </w:rPr>
        <w:t xml:space="preserve">, let’s take the attention away from obesity, and focus on smoking. The cigarette or smoking tax is an example of a health prevention strategy that did not go to plan. The government hoped that rising the price of cigarettes would deter smokers resulting in better health for the nation. However, any individuals in a higher social class that continued to smoke would still be able to afford cigarettes very easily, and the lowest social classes which the strategy was aimed at continued to purchase cigarettes/tobacco. One study found, ‘half as many </w:t>
      </w:r>
      <w:r w:rsidRPr="00E04E00">
        <w:rPr>
          <w:rFonts w:ascii="Times New Roman" w:hAnsi="Times New Roman" w:cs="Times New Roman"/>
          <w:sz w:val="24"/>
          <w:szCs w:val="24"/>
        </w:rPr>
        <w:lastRenderedPageBreak/>
        <w:t xml:space="preserve">professional men (social class 1) smoke as do unskilled working (social class 5) and mortality from smoking related disease is becoming a predominantly lower social class problem’ (Townsend, 1987). This occurrence is not only prominent in Britain, it is in fact a worldwide phenomenon (WHO, 2004).  Although in theory increasing the tax of cigarettes should hit the lowest social class the hardest and put an end to smoking, </w:t>
      </w:r>
      <w:proofErr w:type="gramStart"/>
      <w:r w:rsidRPr="00E04E00">
        <w:rPr>
          <w:rFonts w:ascii="Times New Roman" w:hAnsi="Times New Roman" w:cs="Times New Roman"/>
          <w:sz w:val="24"/>
          <w:szCs w:val="24"/>
        </w:rPr>
        <w:t>in reality this</w:t>
      </w:r>
      <w:proofErr w:type="gramEnd"/>
      <w:r w:rsidRPr="00E04E00">
        <w:rPr>
          <w:rFonts w:ascii="Times New Roman" w:hAnsi="Times New Roman" w:cs="Times New Roman"/>
          <w:sz w:val="24"/>
          <w:szCs w:val="24"/>
        </w:rPr>
        <w:t xml:space="preserve"> was not the case, ‘the results suggest that smokers of lower social class may be more responsive to tax changes and that cigarette tax increases may not be regressive’ (Townsend, 1987). The policy in </w:t>
      </w:r>
      <w:proofErr w:type="gramStart"/>
      <w:r w:rsidRPr="00E04E00">
        <w:rPr>
          <w:rFonts w:ascii="Times New Roman" w:hAnsi="Times New Roman" w:cs="Times New Roman"/>
          <w:sz w:val="24"/>
          <w:szCs w:val="24"/>
        </w:rPr>
        <w:t>the majority of</w:t>
      </w:r>
      <w:proofErr w:type="gramEnd"/>
      <w:r w:rsidRPr="00E04E00">
        <w:rPr>
          <w:rFonts w:ascii="Times New Roman" w:hAnsi="Times New Roman" w:cs="Times New Roman"/>
          <w:sz w:val="24"/>
          <w:szCs w:val="24"/>
        </w:rPr>
        <w:t xml:space="preserve"> cases has actually had the opposite effect to what the government(s) were hoping for, creating a “vicious cycle” (WHO, 2004). Most smokers in the lower class have continued to purchase cigarettes despite the price increase and instead chose not to purchase essential products and services; in Britain this may include products such as fruit and vegetables, suitable clothing (including new school uniform for children), medicine etc. Yet again this negative mindset and way of spending is seen elsewhere, as indicated by The World Health Organisation who state, ‘For the poor, money spent on tobacco is money not spent on </w:t>
      </w:r>
      <w:proofErr w:type="gramStart"/>
      <w:r w:rsidRPr="00E04E00">
        <w:rPr>
          <w:rFonts w:ascii="Times New Roman" w:hAnsi="Times New Roman" w:cs="Times New Roman"/>
          <w:sz w:val="24"/>
          <w:szCs w:val="24"/>
        </w:rPr>
        <w:t>basic necessities</w:t>
      </w:r>
      <w:proofErr w:type="gramEnd"/>
      <w:r w:rsidRPr="00E04E00">
        <w:rPr>
          <w:rFonts w:ascii="Times New Roman" w:hAnsi="Times New Roman" w:cs="Times New Roman"/>
          <w:sz w:val="24"/>
          <w:szCs w:val="24"/>
        </w:rPr>
        <w:t>, such as food, shelter, education and health care’ (WHO, 2004). The same source sums up the effects of the smoking tax and smoking in general, ‘Tobacco tends to be consumed by those who are poorer. In turn, it contributes to poverty through loss of income, loss of productivity, disease and death. Together, tobacco and poverty form a vicious circle from which it is often difficult to escape’ (WHO, 2004).</w:t>
      </w:r>
      <w:r w:rsidR="007A1E70">
        <w:rPr>
          <w:rFonts w:ascii="Times New Roman" w:hAnsi="Times New Roman" w:cs="Times New Roman"/>
          <w:sz w:val="24"/>
          <w:szCs w:val="24"/>
        </w:rPr>
        <w:t xml:space="preserve"> This reinforces the belief that social class can have a direct </w:t>
      </w:r>
      <w:r w:rsidR="005D6933">
        <w:rPr>
          <w:rFonts w:ascii="Times New Roman" w:hAnsi="Times New Roman" w:cs="Times New Roman"/>
          <w:sz w:val="24"/>
          <w:szCs w:val="24"/>
        </w:rPr>
        <w:t xml:space="preserve">impact </w:t>
      </w:r>
      <w:r w:rsidR="007A1E70">
        <w:rPr>
          <w:rFonts w:ascii="Times New Roman" w:hAnsi="Times New Roman" w:cs="Times New Roman"/>
          <w:sz w:val="24"/>
          <w:szCs w:val="24"/>
        </w:rPr>
        <w:t>on one’s health</w:t>
      </w:r>
      <w:r w:rsidR="00AD02FE">
        <w:rPr>
          <w:rFonts w:ascii="Times New Roman" w:hAnsi="Times New Roman" w:cs="Times New Roman"/>
          <w:sz w:val="24"/>
          <w:szCs w:val="24"/>
        </w:rPr>
        <w:t xml:space="preserve"> (The Black Report 6 Explanation of Health Inequalities)</w:t>
      </w:r>
      <w:r w:rsidR="007A1E70">
        <w:rPr>
          <w:rFonts w:ascii="Times New Roman" w:hAnsi="Times New Roman" w:cs="Times New Roman"/>
          <w:sz w:val="24"/>
          <w:szCs w:val="24"/>
        </w:rPr>
        <w:t xml:space="preserve">. </w:t>
      </w:r>
    </w:p>
    <w:p w14:paraId="015EACFB" w14:textId="046507FC" w:rsidR="00A949B3" w:rsidRPr="00A949B3" w:rsidRDefault="00A949B3" w:rsidP="00E04E00">
      <w:pPr>
        <w:spacing w:line="360" w:lineRule="auto"/>
        <w:rPr>
          <w:rFonts w:ascii="Times New Roman" w:hAnsi="Times New Roman" w:cs="Times New Roman"/>
          <w:sz w:val="28"/>
          <w:szCs w:val="28"/>
          <w:u w:val="single"/>
        </w:rPr>
      </w:pPr>
      <w:r w:rsidRPr="00A949B3">
        <w:rPr>
          <w:rFonts w:ascii="Times New Roman" w:hAnsi="Times New Roman" w:cs="Times New Roman"/>
          <w:sz w:val="28"/>
          <w:szCs w:val="28"/>
          <w:u w:val="single"/>
        </w:rPr>
        <w:t>Change 4 Life Wales</w:t>
      </w:r>
    </w:p>
    <w:p w14:paraId="6F94D1BC" w14:textId="03EB9FD0"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Change for life Wales is a campaign aimed at decreasing obesity levels in Wales. The campaigns main objectives include encouraging the public to consume less fat, get more active and eat five portions of fruit and vegetables a day (Change 4 Life Wales, 2009). All of these can be considered positive objectives to encourage the public to live healthier lifestyles however, there are also many issues with the campaign. Firstly, it would be impossible to find statistics on the effectiveness of the specific health prevention strategy because it is not monitored. It would be extremely difficult to calculate how many people have seen the advertisement, and from that how many chose to make a change to their behaviour in order to lose weight, and in turn, improve their health. There is no mention of sugar on the homepage in the objectives section, which is causing many problems in the development of diabetes which 7% of the Welsh public are being treated for with an estimated extra few thousand being affected who have not yet been diagnosed (NHS Wales, 2016). Consuming large volumes of sugar without performing </w:t>
      </w:r>
      <w:r w:rsidRPr="00E04E00">
        <w:rPr>
          <w:rFonts w:ascii="Times New Roman" w:hAnsi="Times New Roman" w:cs="Times New Roman"/>
          <w:sz w:val="24"/>
          <w:szCs w:val="24"/>
        </w:rPr>
        <w:lastRenderedPageBreak/>
        <w:t>appropriate levels of physical activity is widely known to cause weight gain and thus lead to obesity. Decreasing one’s sugar intake has been advertised in the past few years, but it is still not at the forefront of the organisation’s aims, or at least it does not appear this way considering there is very little information about sugar on the website. An update is clearly required. Diabetes is strongly linked to obesity (Caspard et al., 2018) and as was indicated above many are not aware they have it (NHS Wales, 2016) if a sufficient amount of information is not provided regarding sugar intake those at risk of developing it</w:t>
      </w:r>
      <w:r w:rsidR="007E5738">
        <w:rPr>
          <w:rFonts w:ascii="Times New Roman" w:hAnsi="Times New Roman" w:cs="Times New Roman"/>
          <w:sz w:val="24"/>
          <w:szCs w:val="24"/>
        </w:rPr>
        <w:t xml:space="preserve"> </w:t>
      </w:r>
      <w:r w:rsidRPr="00E04E00">
        <w:rPr>
          <w:rFonts w:ascii="Times New Roman" w:hAnsi="Times New Roman" w:cs="Times New Roman"/>
          <w:sz w:val="24"/>
          <w:szCs w:val="24"/>
        </w:rPr>
        <w:t>may go untreated causing multiple issues in the future</w:t>
      </w:r>
      <w:r w:rsidR="00C10D04">
        <w:rPr>
          <w:rFonts w:ascii="Times New Roman" w:hAnsi="Times New Roman" w:cs="Times New Roman"/>
          <w:sz w:val="24"/>
          <w:szCs w:val="24"/>
        </w:rPr>
        <w:t xml:space="preserve"> for both the NHS and the individual. </w:t>
      </w:r>
    </w:p>
    <w:p w14:paraId="3B3F032C" w14:textId="0F5048BE"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 The above campaign is generally advertised on the television which may mean it is more likely to be viewed by the target audience, however, many people now have televisions which allow fast forwarding through advertisements, in which case the advert would not be seen. The whole idea behind this campaign involves a great deal of intrinsic motivation i.e. a want to better one’s health, which many people living in Wales clearly do not have with 21% of all Welsh adults being obese and national health boards expecting that figure to double by 2050 (NHS Wales, 2016). It is likely that the audience this scheme is trying to reach will be the least motivated </w:t>
      </w:r>
      <w:r w:rsidR="00C06366">
        <w:rPr>
          <w:rFonts w:ascii="Times New Roman" w:hAnsi="Times New Roman" w:cs="Times New Roman"/>
          <w:sz w:val="24"/>
          <w:szCs w:val="24"/>
        </w:rPr>
        <w:t>to improve their health</w:t>
      </w:r>
      <w:r w:rsidRPr="00E04E00">
        <w:rPr>
          <w:rFonts w:ascii="Times New Roman" w:hAnsi="Times New Roman" w:cs="Times New Roman"/>
          <w:sz w:val="24"/>
          <w:szCs w:val="24"/>
        </w:rPr>
        <w:t xml:space="preserve">. </w:t>
      </w:r>
      <w:proofErr w:type="gramStart"/>
      <w:r w:rsidRPr="00E04E00">
        <w:rPr>
          <w:rFonts w:ascii="Times New Roman" w:hAnsi="Times New Roman" w:cs="Times New Roman"/>
          <w:sz w:val="24"/>
          <w:szCs w:val="24"/>
        </w:rPr>
        <w:t>The majority of</w:t>
      </w:r>
      <w:proofErr w:type="gramEnd"/>
      <w:r w:rsidRPr="00E04E00">
        <w:rPr>
          <w:rFonts w:ascii="Times New Roman" w:hAnsi="Times New Roman" w:cs="Times New Roman"/>
          <w:sz w:val="24"/>
          <w:szCs w:val="24"/>
        </w:rPr>
        <w:t xml:space="preserve"> people who are serious about attaining and maintaining a healthy weight and lifestyle would already have </w:t>
      </w:r>
      <w:r w:rsidR="00C06366">
        <w:rPr>
          <w:rFonts w:ascii="Times New Roman" w:hAnsi="Times New Roman" w:cs="Times New Roman"/>
          <w:sz w:val="24"/>
          <w:szCs w:val="24"/>
        </w:rPr>
        <w:t>measures put</w:t>
      </w:r>
      <w:r w:rsidRPr="00E04E00">
        <w:rPr>
          <w:rFonts w:ascii="Times New Roman" w:hAnsi="Times New Roman" w:cs="Times New Roman"/>
          <w:sz w:val="24"/>
          <w:szCs w:val="24"/>
        </w:rPr>
        <w:t xml:space="preserve"> in place to </w:t>
      </w:r>
      <w:r w:rsidR="00C06366">
        <w:rPr>
          <w:rFonts w:ascii="Times New Roman" w:hAnsi="Times New Roman" w:cs="Times New Roman"/>
          <w:sz w:val="24"/>
          <w:szCs w:val="24"/>
        </w:rPr>
        <w:t xml:space="preserve">achieve this. </w:t>
      </w:r>
    </w:p>
    <w:p w14:paraId="7B697BC8" w14:textId="6A647083"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 While this campaign may not prevent or eradicate obesity completely, it could induce adults and parents to re-consider their eating and exercise habits making positive changes for themselves and their children.  Most food consumed by children is dependent on the food the parents provide them with. Unhealthy parents generally breed unhealthy children (Black Report 6, 1980; Dorling, 2013). If parents can improve their personal health, it is likely the health of their children will benefit by proxy. The website specifically contains a ‘families’ section which encourages parents to get their children involved in the scheme and provides information about how to make family meal times better, and common mistakes to avoid. The idea of making portions specific to the person i.e. not giving children the same amount as parents which is especially good where child obesity is concerned as it reduces energy intake for children. However, the portion sizes are not specific which could pose a problem. If an entire family who is currently obese were to follow the advice provided by Change for life Wales, who do not understand the concept of portion sizes, simply encouraging families to </w:t>
      </w:r>
      <w:r w:rsidR="001F259D" w:rsidRPr="00E04E00">
        <w:rPr>
          <w:rFonts w:ascii="Times New Roman" w:hAnsi="Times New Roman" w:cs="Times New Roman"/>
          <w:sz w:val="24"/>
          <w:szCs w:val="24"/>
        </w:rPr>
        <w:t>provide</w:t>
      </w:r>
      <w:r w:rsidRPr="00E04E00">
        <w:rPr>
          <w:rFonts w:ascii="Times New Roman" w:hAnsi="Times New Roman" w:cs="Times New Roman"/>
          <w:sz w:val="24"/>
          <w:szCs w:val="24"/>
        </w:rPr>
        <w:t xml:space="preserve"> their children with slightly smaller portions than themselves may not be that helpful realistically. This may also encourage parents to give their children less fruit and vegetables if they do not already know what a normal portion of fruit and vegetables looks like. Several recipes are provided </w:t>
      </w:r>
      <w:r w:rsidRPr="00E04E00">
        <w:rPr>
          <w:rFonts w:ascii="Times New Roman" w:hAnsi="Times New Roman" w:cs="Times New Roman"/>
          <w:sz w:val="24"/>
          <w:szCs w:val="24"/>
        </w:rPr>
        <w:lastRenderedPageBreak/>
        <w:t xml:space="preserve">which involve fresh ingredients to encourage families to consume less processed foods. However, within the recipe section is </w:t>
      </w:r>
      <w:proofErr w:type="gramStart"/>
      <w:r w:rsidRPr="00E04E00">
        <w:rPr>
          <w:rFonts w:ascii="Times New Roman" w:hAnsi="Times New Roman" w:cs="Times New Roman"/>
          <w:sz w:val="24"/>
          <w:szCs w:val="24"/>
        </w:rPr>
        <w:t>a number of</w:t>
      </w:r>
      <w:proofErr w:type="gramEnd"/>
      <w:r w:rsidRPr="00E04E00">
        <w:rPr>
          <w:rFonts w:ascii="Times New Roman" w:hAnsi="Times New Roman" w:cs="Times New Roman"/>
          <w:sz w:val="24"/>
          <w:szCs w:val="24"/>
        </w:rPr>
        <w:t xml:space="preserve"> dessert recipes. This may encourage families to overeat, consuming excess calories which would ultimately end in weight gain. It appears that the website needs to attempt to better cater for people who are completely new to healthy </w:t>
      </w:r>
      <w:r w:rsidR="001F259D" w:rsidRPr="00E04E00">
        <w:rPr>
          <w:rFonts w:ascii="Times New Roman" w:hAnsi="Times New Roman" w:cs="Times New Roman"/>
          <w:sz w:val="24"/>
          <w:szCs w:val="24"/>
        </w:rPr>
        <w:t>eating and</w:t>
      </w:r>
      <w:r w:rsidRPr="00E04E00">
        <w:rPr>
          <w:rFonts w:ascii="Times New Roman" w:hAnsi="Times New Roman" w:cs="Times New Roman"/>
          <w:sz w:val="24"/>
          <w:szCs w:val="24"/>
        </w:rPr>
        <w:t xml:space="preserve"> bring in more basic</w:t>
      </w:r>
      <w:r w:rsidR="001F259D">
        <w:rPr>
          <w:rFonts w:ascii="Times New Roman" w:hAnsi="Times New Roman" w:cs="Times New Roman"/>
          <w:sz w:val="24"/>
          <w:szCs w:val="24"/>
        </w:rPr>
        <w:t xml:space="preserve"> information</w:t>
      </w:r>
      <w:r w:rsidRPr="00E04E00">
        <w:rPr>
          <w:rFonts w:ascii="Times New Roman" w:hAnsi="Times New Roman" w:cs="Times New Roman"/>
          <w:sz w:val="24"/>
          <w:szCs w:val="24"/>
        </w:rPr>
        <w:t xml:space="preserve"> such as correct portion sizes of each </w:t>
      </w:r>
      <w:r w:rsidR="004A38DF" w:rsidRPr="00E04E00">
        <w:rPr>
          <w:rFonts w:ascii="Times New Roman" w:hAnsi="Times New Roman" w:cs="Times New Roman"/>
          <w:sz w:val="24"/>
          <w:szCs w:val="24"/>
        </w:rPr>
        <w:t>macronutrient</w:t>
      </w:r>
      <w:r w:rsidR="004A38DF">
        <w:rPr>
          <w:rFonts w:ascii="Times New Roman" w:hAnsi="Times New Roman" w:cs="Times New Roman"/>
          <w:sz w:val="24"/>
          <w:szCs w:val="24"/>
        </w:rPr>
        <w:t xml:space="preserve">, </w:t>
      </w:r>
      <w:r w:rsidR="004A38DF" w:rsidRPr="00E04E00">
        <w:rPr>
          <w:rFonts w:ascii="Times New Roman" w:hAnsi="Times New Roman" w:cs="Times New Roman"/>
          <w:sz w:val="24"/>
          <w:szCs w:val="24"/>
        </w:rPr>
        <w:t>what</w:t>
      </w:r>
      <w:r w:rsidR="001F259D">
        <w:rPr>
          <w:rFonts w:ascii="Times New Roman" w:hAnsi="Times New Roman" w:cs="Times New Roman"/>
          <w:sz w:val="24"/>
          <w:szCs w:val="24"/>
        </w:rPr>
        <w:t xml:space="preserve"> foods to avoid</w:t>
      </w:r>
      <w:r w:rsidR="00AB394B">
        <w:rPr>
          <w:rFonts w:ascii="Times New Roman" w:hAnsi="Times New Roman" w:cs="Times New Roman"/>
          <w:sz w:val="24"/>
          <w:szCs w:val="24"/>
        </w:rPr>
        <w:t xml:space="preserve">, </w:t>
      </w:r>
      <w:r w:rsidR="00486A6A">
        <w:rPr>
          <w:rFonts w:ascii="Times New Roman" w:hAnsi="Times New Roman" w:cs="Times New Roman"/>
          <w:sz w:val="24"/>
          <w:szCs w:val="24"/>
        </w:rPr>
        <w:t xml:space="preserve">among other things that will provide the individual with the knowledge and skills to make and consume healthier food. </w:t>
      </w:r>
    </w:p>
    <w:p w14:paraId="60A5BF35" w14:textId="77777777" w:rsidR="001D6132"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While this is not necessarily a widely used health-prevention strategy, it seemed appropriate to include an explanation abbot the use of money as reward for weight loss. Earlier this year a study was published which examined the effects of cash incentives </w:t>
      </w:r>
      <w:proofErr w:type="gramStart"/>
      <w:r w:rsidRPr="00E04E00">
        <w:rPr>
          <w:rFonts w:ascii="Times New Roman" w:hAnsi="Times New Roman" w:cs="Times New Roman"/>
          <w:sz w:val="24"/>
          <w:szCs w:val="24"/>
        </w:rPr>
        <w:t>as a way to</w:t>
      </w:r>
      <w:proofErr w:type="gramEnd"/>
      <w:r w:rsidRPr="00E04E00">
        <w:rPr>
          <w:rFonts w:ascii="Times New Roman" w:hAnsi="Times New Roman" w:cs="Times New Roman"/>
          <w:sz w:val="24"/>
          <w:szCs w:val="24"/>
        </w:rPr>
        <w:t xml:space="preserve"> improve weight loss specifically in women from deprived areas (Leahey et al., 2018). Two groups of women were provided with internet behaviour weight loss treatment either on its own or with the addition of cash incentives (Leahey et al., 2018). Women were found to lose significantly more weight when provided with money as well as internet weight loss assistance (Leahey et al., 2018). However, this was only true if they came from low-income, deprived backgrounds (Leahey et al., 2018). The results of this study indicate that the use of cash incentives may be an effective way to increase weight loss in obese individuals from deprived backgrounds. There is the question however of whether this would be a long-term solution and whether those who could qualify for this scheme would gain weight intentionally so that they can get paid to lose it again. </w:t>
      </w:r>
    </w:p>
    <w:p w14:paraId="3E209291" w14:textId="0E90B613" w:rsidR="00E04E00" w:rsidRPr="001D6132" w:rsidRDefault="00E04E00" w:rsidP="00E04E00">
      <w:pPr>
        <w:spacing w:line="360" w:lineRule="auto"/>
        <w:rPr>
          <w:rFonts w:ascii="Times New Roman" w:hAnsi="Times New Roman" w:cs="Times New Roman"/>
          <w:sz w:val="24"/>
          <w:szCs w:val="24"/>
          <w:u w:val="single"/>
        </w:rPr>
      </w:pPr>
      <w:r w:rsidRPr="001D6132">
        <w:rPr>
          <w:rFonts w:ascii="Times New Roman" w:hAnsi="Times New Roman" w:cs="Times New Roman"/>
          <w:sz w:val="28"/>
          <w:szCs w:val="28"/>
          <w:u w:val="single"/>
        </w:rPr>
        <w:t xml:space="preserve">Circumstances </w:t>
      </w:r>
    </w:p>
    <w:p w14:paraId="17AC678E" w14:textId="78F6108B" w:rsidR="00851A4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Whilst sex, age and genetics will have an uncontrollable </w:t>
      </w:r>
      <w:r w:rsidR="001D6132" w:rsidRPr="00E04E00">
        <w:rPr>
          <w:rFonts w:ascii="Times New Roman" w:hAnsi="Times New Roman" w:cs="Times New Roman"/>
          <w:sz w:val="24"/>
          <w:szCs w:val="24"/>
        </w:rPr>
        <w:t>effect</w:t>
      </w:r>
      <w:r w:rsidRPr="00E04E00">
        <w:rPr>
          <w:rFonts w:ascii="Times New Roman" w:hAnsi="Times New Roman" w:cs="Times New Roman"/>
          <w:sz w:val="24"/>
          <w:szCs w:val="24"/>
        </w:rPr>
        <w:t xml:space="preserve"> on health, some of the largest impacts individuals will face will be dependent on lifestyle factors i.e. what we choose to do with our lives; our behaviour (Whitehead</w:t>
      </w:r>
      <w:r w:rsidR="00020349">
        <w:rPr>
          <w:rFonts w:ascii="Times New Roman" w:hAnsi="Times New Roman" w:cs="Times New Roman"/>
          <w:sz w:val="24"/>
          <w:szCs w:val="24"/>
        </w:rPr>
        <w:t xml:space="preserve"> and Dahlgren</w:t>
      </w:r>
      <w:r w:rsidRPr="00E04E00">
        <w:rPr>
          <w:rFonts w:ascii="Times New Roman" w:hAnsi="Times New Roman" w:cs="Times New Roman"/>
          <w:sz w:val="24"/>
          <w:szCs w:val="24"/>
        </w:rPr>
        <w:t xml:space="preserve">, </w:t>
      </w:r>
      <w:r w:rsidR="00672910">
        <w:rPr>
          <w:rFonts w:ascii="Times New Roman" w:hAnsi="Times New Roman" w:cs="Times New Roman"/>
          <w:sz w:val="24"/>
          <w:szCs w:val="24"/>
        </w:rPr>
        <w:t>1991</w:t>
      </w:r>
      <w:r w:rsidRPr="00E04E00">
        <w:rPr>
          <w:rFonts w:ascii="Times New Roman" w:hAnsi="Times New Roman" w:cs="Times New Roman"/>
          <w:sz w:val="24"/>
          <w:szCs w:val="24"/>
        </w:rPr>
        <w:t xml:space="preserve">). </w:t>
      </w:r>
    </w:p>
    <w:p w14:paraId="12E58AED" w14:textId="130C8AC4" w:rsidR="00A949B3" w:rsidRPr="00A949B3" w:rsidRDefault="00A949B3" w:rsidP="00E04E00">
      <w:pPr>
        <w:spacing w:line="360" w:lineRule="auto"/>
        <w:rPr>
          <w:rFonts w:ascii="Times New Roman" w:hAnsi="Times New Roman" w:cs="Times New Roman"/>
          <w:sz w:val="28"/>
          <w:szCs w:val="28"/>
          <w:u w:val="single"/>
        </w:rPr>
      </w:pPr>
      <w:r w:rsidRPr="00A949B3">
        <w:rPr>
          <w:rFonts w:ascii="Times New Roman" w:hAnsi="Times New Roman" w:cs="Times New Roman"/>
          <w:sz w:val="28"/>
          <w:szCs w:val="28"/>
          <w:u w:val="single"/>
        </w:rPr>
        <w:t>Behaviour model</w:t>
      </w:r>
    </w:p>
    <w:p w14:paraId="02A3A8A2" w14:textId="75BD4F2E" w:rsidR="00E04E00" w:rsidRPr="00E04E00" w:rsidRDefault="00110C98" w:rsidP="00E04E00">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156BD10" wp14:editId="791ED36E">
            <wp:extent cx="4876165" cy="339979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76165" cy="3399790"/>
                    </a:xfrm>
                    <a:prstGeom prst="rect">
                      <a:avLst/>
                    </a:prstGeom>
                    <a:noFill/>
                  </pic:spPr>
                </pic:pic>
              </a:graphicData>
            </a:graphic>
          </wp:inline>
        </w:drawing>
      </w:r>
    </w:p>
    <w:p w14:paraId="5B890E2A" w14:textId="5A400158"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The most basic lifestyle factors will include diet, smoking, sedentary lifestyle, alcohol consumption and body mass index (BMI) (Pazoki, et al., 2018). An unhealthy diet can lead to many other health problems and affect BMI. Unhealthy diets can cause weight gain which increases BMI, especially when paired with a sedentary lifestyle; all these factors combined have very strong links with the development of both cardiovascular disease and diabetes (Ssewanyana et al., 2018). Each individual lifestyle factor on its own can negatively affect morbidity. Following on from an unhealthy diet, eating high volumes of salt and salt-containing food specifically can cause the development of hypertension which is a highly recognised fact (Alves et al., 2018) and is said to be ‘the leading risk factor for cardiovascular disease’ (Tay et al., 2018). Obesity is currently one of the biggest issues in health, in Wales especially. Most of the lifestyle factors listed above have impacted upon this. Childhood obesity is rising with around 1 in 5 obese children at age 5, the majority of which will be in the lowest social group in society (Public Health England, 2016). A strong correlation between social class and childhood obesity has been identified, with the most obese children, both the extent to which they are obese and the largest numbers, living in the most deprived areas (Public Health England, 2016). While the majority of statistics explaining the extent of the obesity problem were derived from Public Health England, and therefore statistics were based on the population of England, the statistics are very similar, however numbers in Wales will be higher, for example child obesity levels in England were reported </w:t>
      </w:r>
      <w:r w:rsidR="00321D7A">
        <w:rPr>
          <w:rFonts w:ascii="Times New Roman" w:hAnsi="Times New Roman" w:cs="Times New Roman"/>
          <w:sz w:val="24"/>
          <w:szCs w:val="24"/>
        </w:rPr>
        <w:t>amongst approximately one in ten reception children</w:t>
      </w:r>
      <w:r w:rsidR="005C2A36">
        <w:rPr>
          <w:rFonts w:ascii="Times New Roman" w:hAnsi="Times New Roman" w:cs="Times New Roman"/>
          <w:sz w:val="24"/>
          <w:szCs w:val="24"/>
        </w:rPr>
        <w:t>; and</w:t>
      </w:r>
      <w:r w:rsidR="00321D7A">
        <w:rPr>
          <w:rFonts w:ascii="Times New Roman" w:hAnsi="Times New Roman" w:cs="Times New Roman"/>
          <w:sz w:val="24"/>
          <w:szCs w:val="24"/>
        </w:rPr>
        <w:t xml:space="preserve"> one in six year 6 children</w:t>
      </w:r>
      <w:r w:rsidR="001D4AEC">
        <w:rPr>
          <w:rFonts w:ascii="Times New Roman" w:hAnsi="Times New Roman" w:cs="Times New Roman"/>
          <w:sz w:val="24"/>
          <w:szCs w:val="24"/>
        </w:rPr>
        <w:t xml:space="preserve"> (Public Health England, 2016)</w:t>
      </w:r>
      <w:r w:rsidR="005C2A36">
        <w:rPr>
          <w:rFonts w:ascii="Times New Roman" w:hAnsi="Times New Roman" w:cs="Times New Roman"/>
          <w:sz w:val="24"/>
          <w:szCs w:val="24"/>
        </w:rPr>
        <w:t xml:space="preserve">; </w:t>
      </w:r>
      <w:r w:rsidRPr="00E04E00">
        <w:rPr>
          <w:rFonts w:ascii="Times New Roman" w:hAnsi="Times New Roman" w:cs="Times New Roman"/>
          <w:sz w:val="24"/>
          <w:szCs w:val="24"/>
        </w:rPr>
        <w:t xml:space="preserve">while levels in Wales were </w:t>
      </w:r>
      <w:r w:rsidR="00A55C0E">
        <w:rPr>
          <w:rFonts w:ascii="Times New Roman" w:hAnsi="Times New Roman" w:cs="Times New Roman"/>
          <w:sz w:val="24"/>
          <w:szCs w:val="24"/>
        </w:rPr>
        <w:t>higher with one in eight reception children being classed as obese (</w:t>
      </w:r>
      <w:r w:rsidR="00210683">
        <w:rPr>
          <w:rFonts w:ascii="Times New Roman" w:hAnsi="Times New Roman" w:cs="Times New Roman"/>
          <w:sz w:val="24"/>
          <w:szCs w:val="24"/>
        </w:rPr>
        <w:t>National Assembly for Wales</w:t>
      </w:r>
      <w:r w:rsidR="00205D8C">
        <w:rPr>
          <w:rFonts w:ascii="Times New Roman" w:hAnsi="Times New Roman" w:cs="Times New Roman"/>
          <w:sz w:val="24"/>
          <w:szCs w:val="24"/>
        </w:rPr>
        <w:t>, 2014)</w:t>
      </w:r>
      <w:r w:rsidRPr="00E04E00">
        <w:rPr>
          <w:rFonts w:ascii="Times New Roman" w:hAnsi="Times New Roman" w:cs="Times New Roman"/>
          <w:sz w:val="24"/>
          <w:szCs w:val="24"/>
        </w:rPr>
        <w:t xml:space="preserve">. In </w:t>
      </w:r>
      <w:r w:rsidRPr="00E04E00">
        <w:rPr>
          <w:rFonts w:ascii="Times New Roman" w:hAnsi="Times New Roman" w:cs="Times New Roman"/>
          <w:sz w:val="24"/>
          <w:szCs w:val="24"/>
        </w:rPr>
        <w:lastRenderedPageBreak/>
        <w:t xml:space="preserve">addition, despite the fact the statistics above also focus on childhood obesity, it is very common for obese children and adolescents to continue their unhealthy behaviours i.e. unhealthy eating and a distaste to involvement in physical activity will continue into adulthood (Dehghan, Akhtar-Danesh and Merchant, 2005). </w:t>
      </w:r>
    </w:p>
    <w:p w14:paraId="33F14DC2" w14:textId="2AB877ED"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Lifestyle factors are a choice (Davison et al., 1992) this has been made very clear, however there will be certain events which make the choice to make better decisions regarding one’s health more difficult. This was explained in the </w:t>
      </w:r>
      <w:r w:rsidR="004A38DF">
        <w:rPr>
          <w:rFonts w:ascii="Times New Roman" w:hAnsi="Times New Roman" w:cs="Times New Roman"/>
          <w:sz w:val="24"/>
          <w:szCs w:val="24"/>
        </w:rPr>
        <w:t xml:space="preserve">‘Impact of class’ </w:t>
      </w:r>
      <w:r w:rsidRPr="00E04E00">
        <w:rPr>
          <w:rFonts w:ascii="Times New Roman" w:hAnsi="Times New Roman" w:cs="Times New Roman"/>
          <w:sz w:val="24"/>
          <w:szCs w:val="24"/>
        </w:rPr>
        <w:t xml:space="preserve">section. In the most basic of terms, the amount of money one has will impact their health as it will dictate </w:t>
      </w:r>
      <w:r w:rsidR="00892ECB" w:rsidRPr="00E04E00">
        <w:rPr>
          <w:rFonts w:ascii="Times New Roman" w:hAnsi="Times New Roman" w:cs="Times New Roman"/>
          <w:sz w:val="24"/>
          <w:szCs w:val="24"/>
        </w:rPr>
        <w:t>most of</w:t>
      </w:r>
      <w:r w:rsidRPr="00E04E00">
        <w:rPr>
          <w:rFonts w:ascii="Times New Roman" w:hAnsi="Times New Roman" w:cs="Times New Roman"/>
          <w:sz w:val="24"/>
          <w:szCs w:val="24"/>
        </w:rPr>
        <w:t xml:space="preserve"> what food, clothing, access to exercise facilities/clean housing</w:t>
      </w:r>
      <w:r w:rsidR="009C2C75">
        <w:rPr>
          <w:rFonts w:ascii="Times New Roman" w:hAnsi="Times New Roman" w:cs="Times New Roman"/>
          <w:sz w:val="24"/>
          <w:szCs w:val="24"/>
        </w:rPr>
        <w:t>/clean water</w:t>
      </w:r>
      <w:r w:rsidR="008A2C8A">
        <w:rPr>
          <w:rFonts w:ascii="Times New Roman" w:hAnsi="Times New Roman" w:cs="Times New Roman"/>
          <w:sz w:val="24"/>
          <w:szCs w:val="24"/>
        </w:rPr>
        <w:t xml:space="preserve"> etc. </w:t>
      </w:r>
      <w:r w:rsidRPr="00E04E00">
        <w:rPr>
          <w:rFonts w:ascii="Times New Roman" w:hAnsi="Times New Roman" w:cs="Times New Roman"/>
          <w:sz w:val="24"/>
          <w:szCs w:val="24"/>
        </w:rPr>
        <w:t xml:space="preserve">can be afforded.  </w:t>
      </w:r>
    </w:p>
    <w:p w14:paraId="4B40D68E" w14:textId="77777777"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 It is a well-known fact that smoking increases one’s chance of developing lung cancer, having been reported as being the foremost cause of 79% of female and 90% of male lung cancer cases (</w:t>
      </w:r>
      <w:proofErr w:type="spellStart"/>
      <w:r w:rsidRPr="00E04E00">
        <w:rPr>
          <w:rFonts w:ascii="Times New Roman" w:hAnsi="Times New Roman" w:cs="Times New Roman"/>
          <w:sz w:val="24"/>
          <w:szCs w:val="24"/>
        </w:rPr>
        <w:t>Ozlu</w:t>
      </w:r>
      <w:proofErr w:type="spellEnd"/>
      <w:r w:rsidRPr="00E04E00">
        <w:rPr>
          <w:rFonts w:ascii="Times New Roman" w:hAnsi="Times New Roman" w:cs="Times New Roman"/>
          <w:sz w:val="24"/>
          <w:szCs w:val="24"/>
        </w:rPr>
        <w:t xml:space="preserve"> and Bulbul, 2005). Smoking can also lead to a more sedentary lifestyle, with evidence suggesting that smoking can reduce one’s involvement in physical activity and personal levels of physical endurance (Conway and Cronan, 1992). A domino effect often results: smoking makes exercise more difficult encouraging a sedentary lifestyle, increasing BMI, further decreasing one’s ability to exercise which increases one’s chance of developing various cancers. An individual’s living situation i.e. the area and </w:t>
      </w:r>
      <w:proofErr w:type="gramStart"/>
      <w:r w:rsidRPr="00E04E00">
        <w:rPr>
          <w:rFonts w:ascii="Times New Roman" w:hAnsi="Times New Roman" w:cs="Times New Roman"/>
          <w:sz w:val="24"/>
          <w:szCs w:val="24"/>
        </w:rPr>
        <w:t>whether or not</w:t>
      </w:r>
      <w:proofErr w:type="gramEnd"/>
      <w:r w:rsidRPr="00E04E00">
        <w:rPr>
          <w:rFonts w:ascii="Times New Roman" w:hAnsi="Times New Roman" w:cs="Times New Roman"/>
          <w:sz w:val="24"/>
          <w:szCs w:val="24"/>
        </w:rPr>
        <w:t xml:space="preserve"> it is classed as being deprived and one’s education will also impact one’s decision to take up smoking which is more prominent in people who have low incomes as has been identified in the literature. </w:t>
      </w:r>
    </w:p>
    <w:p w14:paraId="1173DF94" w14:textId="77777777"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Alcohol consumption has many negative impacts including malnutrition, mainly B-vitamin deficiencies (Cook, Hallwood and Thompson, 1998) which can cause numerous problems with basic bodily functions making it more difficult to regain a somewhat decent level of health. A clear relationship has been established between alcohol consumption and smoking (Reiss, Quintal and Lourenco, 2018; Bobo and Husten, 2000). This relationship is increased when drinking to excess; one study found individuals who binge drink are also more likely to smoke (Bobo and Husten, 2000). Both are negative behaviours which, when performed in unison can cause numerous health problems in the future.   </w:t>
      </w:r>
    </w:p>
    <w:p w14:paraId="2554EA03" w14:textId="1B42FCC5" w:rsidR="00E04E00" w:rsidRPr="00E04E00"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 xml:space="preserve">All the lifestyle factors mentioned are common unhealthy behaviours which individuals take part in who either care very little about their health or are not educated enough to comprehend how these unhealthy behaviours will affect them. It is largely understood that individuals with co-morbidities who are unable to explain why they have their specific co-morbidities are generally less educated than those who do (Timmermans et al., 2018). This is not always necessarily because of the general lower level of intelligence but also because they may not have </w:t>
      </w:r>
      <w:r w:rsidRPr="00E04E00">
        <w:rPr>
          <w:rFonts w:ascii="Times New Roman" w:hAnsi="Times New Roman" w:cs="Times New Roman"/>
          <w:sz w:val="24"/>
          <w:szCs w:val="24"/>
        </w:rPr>
        <w:lastRenderedPageBreak/>
        <w:t xml:space="preserve">been properly educated on their behaviour i.e. exactly how and why eating </w:t>
      </w:r>
      <w:r w:rsidR="00F74709">
        <w:rPr>
          <w:rFonts w:ascii="Times New Roman" w:hAnsi="Times New Roman" w:cs="Times New Roman"/>
          <w:sz w:val="24"/>
          <w:szCs w:val="24"/>
        </w:rPr>
        <w:t>a take away meal</w:t>
      </w:r>
      <w:r w:rsidRPr="00E04E00">
        <w:rPr>
          <w:rFonts w:ascii="Times New Roman" w:hAnsi="Times New Roman" w:cs="Times New Roman"/>
          <w:sz w:val="24"/>
          <w:szCs w:val="24"/>
        </w:rPr>
        <w:t xml:space="preserve"> instead of </w:t>
      </w:r>
      <w:r w:rsidR="00F74709">
        <w:rPr>
          <w:rFonts w:ascii="Times New Roman" w:hAnsi="Times New Roman" w:cs="Times New Roman"/>
          <w:sz w:val="24"/>
          <w:szCs w:val="24"/>
        </w:rPr>
        <w:t>a freshly made salad for example,</w:t>
      </w:r>
      <w:r w:rsidRPr="00E04E00">
        <w:rPr>
          <w:rFonts w:ascii="Times New Roman" w:hAnsi="Times New Roman" w:cs="Times New Roman"/>
          <w:sz w:val="24"/>
          <w:szCs w:val="24"/>
        </w:rPr>
        <w:t xml:space="preserve"> is going to negatively affect them over a prolonged time. </w:t>
      </w:r>
    </w:p>
    <w:p w14:paraId="65E4CD83" w14:textId="5CAF61C6" w:rsidR="000D44CB" w:rsidRDefault="00E04E00" w:rsidP="00E04E00">
      <w:pPr>
        <w:spacing w:line="360" w:lineRule="auto"/>
        <w:rPr>
          <w:rFonts w:ascii="Times New Roman" w:hAnsi="Times New Roman" w:cs="Times New Roman"/>
          <w:sz w:val="24"/>
          <w:szCs w:val="24"/>
        </w:rPr>
      </w:pPr>
      <w:r w:rsidRPr="00E04E00">
        <w:rPr>
          <w:rFonts w:ascii="Times New Roman" w:hAnsi="Times New Roman" w:cs="Times New Roman"/>
          <w:sz w:val="24"/>
          <w:szCs w:val="24"/>
        </w:rPr>
        <w:t>Lifestyle factors and social class can sometimes form a vicious cycle in themselves. A publication produced by Public Health England found that some lifestyle factors can be further impacted by social class; ‘People of lower socioeconomic status show greater susceptibility to the harmful effects of alcohol and are more likely to die or suffer from a disease relating to their alcohol use’ (2016). Not only are individuals of a lower class more at risk when taking part in certain activities, they are more likely to develop an illness or disease than an individual of a higher class even when the behaviours mimic each other; ‘disadvantaged populations who drink the same or lower levels of alcohol, experience greater alcohol-related harm than more affluent populations’ (Public Health England, 2016). In the Rowntree report, a document assessing how poverty and social exclusion can affect individuals in the UK, it was stated that ‘The risk of mental illness for someone in the poorest fifth of the population is around twice the average’ (Joseph Rowntree Foundation, 2010). These sources demonstrate how certain factors can combine and impact one’s health and wellbeing i.e. any negative lifestyle factor will have a negative impact on an individual; this impact will be greater if the individual is of a low or lowest social class. This rule, can be transferred across many areas, of which begin in childhood, ‘Effects of children's self-control could be disentangled from their intelligence and social class’ (Moffitt, et al., 2011). Therefore, social class can have huge impacts on the rest of one’s life. For example, the extent of a child’s obesity status could extend from not only the lack of money and intelligence they have due to their lower ranking among the social classes but also because they cannot physically control their appetite, making them believe they are hungry more often and not possess the self-control needed not to consume unnecessary calories, sugar and fat.</w:t>
      </w:r>
    </w:p>
    <w:p w14:paraId="267474CF" w14:textId="565FCBA1" w:rsidR="003F51AD" w:rsidRPr="003F51AD" w:rsidRDefault="003F51AD" w:rsidP="00E04E00">
      <w:pPr>
        <w:spacing w:line="360" w:lineRule="auto"/>
        <w:rPr>
          <w:rFonts w:ascii="Times New Roman" w:hAnsi="Times New Roman" w:cs="Times New Roman"/>
          <w:sz w:val="24"/>
          <w:szCs w:val="24"/>
        </w:rPr>
      </w:pPr>
      <w:r w:rsidRPr="003F51AD">
        <w:rPr>
          <w:rFonts w:ascii="Times New Roman" w:hAnsi="Times New Roman" w:cs="Times New Roman"/>
          <w:sz w:val="24"/>
          <w:szCs w:val="24"/>
        </w:rPr>
        <w:t xml:space="preserve">Word count: </w:t>
      </w:r>
      <w:r>
        <w:rPr>
          <w:rFonts w:ascii="Times New Roman" w:hAnsi="Times New Roman" w:cs="Times New Roman"/>
          <w:sz w:val="24"/>
          <w:szCs w:val="24"/>
        </w:rPr>
        <w:t>41</w:t>
      </w:r>
      <w:r w:rsidR="00B33515">
        <w:rPr>
          <w:rFonts w:ascii="Times New Roman" w:hAnsi="Times New Roman" w:cs="Times New Roman"/>
          <w:sz w:val="24"/>
          <w:szCs w:val="24"/>
        </w:rPr>
        <w:t>31</w:t>
      </w:r>
      <w:r>
        <w:rPr>
          <w:rFonts w:ascii="Times New Roman" w:hAnsi="Times New Roman" w:cs="Times New Roman"/>
          <w:sz w:val="24"/>
          <w:szCs w:val="24"/>
        </w:rPr>
        <w:t xml:space="preserve">. </w:t>
      </w:r>
      <w:bookmarkStart w:id="0" w:name="_GoBack"/>
      <w:bookmarkEnd w:id="0"/>
    </w:p>
    <w:p w14:paraId="4F46CE3B" w14:textId="76E76757" w:rsidR="00D412E0" w:rsidRDefault="00D412E0" w:rsidP="00E04E00">
      <w:pPr>
        <w:spacing w:line="360" w:lineRule="auto"/>
        <w:rPr>
          <w:rFonts w:ascii="Times New Roman" w:hAnsi="Times New Roman" w:cs="Times New Roman"/>
          <w:sz w:val="28"/>
          <w:szCs w:val="28"/>
          <w:u w:val="single"/>
        </w:rPr>
      </w:pPr>
      <w:r w:rsidRPr="00D412E0">
        <w:rPr>
          <w:rFonts w:ascii="Times New Roman" w:hAnsi="Times New Roman" w:cs="Times New Roman"/>
          <w:sz w:val="28"/>
          <w:szCs w:val="28"/>
          <w:u w:val="single"/>
        </w:rPr>
        <w:t xml:space="preserve">Reference List </w:t>
      </w:r>
    </w:p>
    <w:p w14:paraId="0A2A6766" w14:textId="77777777" w:rsidR="004A38DF" w:rsidRPr="00D412E0" w:rsidRDefault="004A38DF" w:rsidP="00D412E0">
      <w:pPr>
        <w:spacing w:line="360" w:lineRule="auto"/>
        <w:rPr>
          <w:rFonts w:ascii="Times New Roman" w:hAnsi="Times New Roman" w:cs="Times New Roman"/>
          <w:sz w:val="24"/>
          <w:szCs w:val="24"/>
        </w:rPr>
      </w:pPr>
      <w:r w:rsidRPr="00D412E0">
        <w:rPr>
          <w:rFonts w:ascii="Times New Roman" w:hAnsi="Times New Roman" w:cs="Times New Roman"/>
          <w:sz w:val="24"/>
          <w:szCs w:val="24"/>
        </w:rPr>
        <w:t xml:space="preserve">Alves, E., Costa, A.R., Moura-Ferreira, P., Azevedo, A. and </w:t>
      </w:r>
      <w:proofErr w:type="spellStart"/>
      <w:r w:rsidRPr="00D412E0">
        <w:rPr>
          <w:rFonts w:ascii="Times New Roman" w:hAnsi="Times New Roman" w:cs="Times New Roman"/>
          <w:sz w:val="24"/>
          <w:szCs w:val="24"/>
        </w:rPr>
        <w:t>Lunet</w:t>
      </w:r>
      <w:proofErr w:type="spellEnd"/>
      <w:r w:rsidRPr="00D412E0">
        <w:rPr>
          <w:rFonts w:ascii="Times New Roman" w:hAnsi="Times New Roman" w:cs="Times New Roman"/>
          <w:sz w:val="24"/>
          <w:szCs w:val="24"/>
        </w:rPr>
        <w:t>, N.</w:t>
      </w:r>
      <w:r>
        <w:rPr>
          <w:rFonts w:ascii="Times New Roman" w:hAnsi="Times New Roman" w:cs="Times New Roman"/>
          <w:sz w:val="24"/>
          <w:szCs w:val="24"/>
        </w:rPr>
        <w:t xml:space="preserve"> (</w:t>
      </w:r>
      <w:r w:rsidRPr="00D412E0">
        <w:rPr>
          <w:rFonts w:ascii="Times New Roman" w:hAnsi="Times New Roman" w:cs="Times New Roman"/>
          <w:sz w:val="24"/>
          <w:szCs w:val="24"/>
        </w:rPr>
        <w:t>2018</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Health-related knowledge on hypertension among the Portuguese population: results from a population-based survey</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192E3C">
        <w:rPr>
          <w:rFonts w:ascii="Times New Roman" w:hAnsi="Times New Roman" w:cs="Times New Roman"/>
          <w:i/>
          <w:sz w:val="24"/>
          <w:szCs w:val="24"/>
        </w:rPr>
        <w:t>Blood Pressure</w:t>
      </w:r>
      <w:r w:rsidRPr="00D412E0">
        <w:rPr>
          <w:rFonts w:ascii="Times New Roman" w:hAnsi="Times New Roman" w:cs="Times New Roman"/>
          <w:sz w:val="24"/>
          <w:szCs w:val="24"/>
        </w:rPr>
        <w:t xml:space="preserve">, pp.1-6. </w:t>
      </w:r>
    </w:p>
    <w:p w14:paraId="17CD7A0A" w14:textId="77777777" w:rsidR="004A38DF" w:rsidRPr="00D412E0" w:rsidRDefault="004A38DF" w:rsidP="00D412E0">
      <w:pPr>
        <w:spacing w:line="360" w:lineRule="auto"/>
        <w:rPr>
          <w:rFonts w:ascii="Times New Roman" w:hAnsi="Times New Roman" w:cs="Times New Roman"/>
          <w:sz w:val="24"/>
          <w:szCs w:val="24"/>
        </w:rPr>
      </w:pPr>
      <w:r w:rsidRPr="00D412E0">
        <w:rPr>
          <w:rFonts w:ascii="Times New Roman" w:hAnsi="Times New Roman" w:cs="Times New Roman"/>
          <w:sz w:val="24"/>
          <w:szCs w:val="24"/>
        </w:rPr>
        <w:t>Bobo, J.K. and Husten, C.</w:t>
      </w:r>
      <w:r>
        <w:rPr>
          <w:rFonts w:ascii="Times New Roman" w:hAnsi="Times New Roman" w:cs="Times New Roman"/>
          <w:sz w:val="24"/>
          <w:szCs w:val="24"/>
        </w:rPr>
        <w:t xml:space="preserve"> (</w:t>
      </w:r>
      <w:r w:rsidRPr="00D412E0">
        <w:rPr>
          <w:rFonts w:ascii="Times New Roman" w:hAnsi="Times New Roman" w:cs="Times New Roman"/>
          <w:sz w:val="24"/>
          <w:szCs w:val="24"/>
        </w:rPr>
        <w:t>2000</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Sociocultural influences on smoking and drinking</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192E3C">
        <w:rPr>
          <w:rFonts w:ascii="Times New Roman" w:hAnsi="Times New Roman" w:cs="Times New Roman"/>
          <w:i/>
          <w:sz w:val="24"/>
          <w:szCs w:val="24"/>
        </w:rPr>
        <w:t>Alcohol Research and Health</w:t>
      </w:r>
      <w:r w:rsidRPr="00D412E0">
        <w:rPr>
          <w:rFonts w:ascii="Times New Roman" w:hAnsi="Times New Roman" w:cs="Times New Roman"/>
          <w:sz w:val="24"/>
          <w:szCs w:val="24"/>
        </w:rPr>
        <w:t>, 24(4), pp.225-232.</w:t>
      </w:r>
    </w:p>
    <w:p w14:paraId="40CF9E23" w14:textId="77777777" w:rsidR="004A38DF" w:rsidRDefault="004A38DF" w:rsidP="00D412E0">
      <w:pPr>
        <w:spacing w:line="360" w:lineRule="auto"/>
        <w:rPr>
          <w:rFonts w:ascii="Times New Roman" w:hAnsi="Times New Roman" w:cs="Times New Roman"/>
          <w:sz w:val="24"/>
          <w:szCs w:val="24"/>
        </w:rPr>
      </w:pPr>
      <w:proofErr w:type="spellStart"/>
      <w:r w:rsidRPr="00D412E0">
        <w:rPr>
          <w:rFonts w:ascii="Times New Roman" w:hAnsi="Times New Roman" w:cs="Times New Roman"/>
          <w:sz w:val="24"/>
          <w:szCs w:val="24"/>
        </w:rPr>
        <w:lastRenderedPageBreak/>
        <w:t>Caspard</w:t>
      </w:r>
      <w:proofErr w:type="spellEnd"/>
      <w:r w:rsidRPr="00D412E0">
        <w:rPr>
          <w:rFonts w:ascii="Times New Roman" w:hAnsi="Times New Roman" w:cs="Times New Roman"/>
          <w:sz w:val="24"/>
          <w:szCs w:val="24"/>
        </w:rPr>
        <w:t>, H., Jabbour, S., Hammar, N., Fenici, P., Sheehan, J.J. and Kosiborod, M.</w:t>
      </w:r>
      <w:r>
        <w:rPr>
          <w:rFonts w:ascii="Times New Roman" w:hAnsi="Times New Roman" w:cs="Times New Roman"/>
          <w:sz w:val="24"/>
          <w:szCs w:val="24"/>
        </w:rPr>
        <w:t xml:space="preserve"> (</w:t>
      </w:r>
      <w:r w:rsidRPr="00D412E0">
        <w:rPr>
          <w:rFonts w:ascii="Times New Roman" w:hAnsi="Times New Roman" w:cs="Times New Roman"/>
          <w:sz w:val="24"/>
          <w:szCs w:val="24"/>
        </w:rPr>
        <w:t>2018</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Recent trends in the prevalence of type 2 diabetes and the association with abdominal obesity lead to growing health disparities in the USA: An analysis of the NHANES surveys from 1999 to 2014</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E74317">
        <w:rPr>
          <w:rFonts w:ascii="Times New Roman" w:hAnsi="Times New Roman" w:cs="Times New Roman"/>
          <w:i/>
          <w:sz w:val="24"/>
          <w:szCs w:val="24"/>
        </w:rPr>
        <w:t>Diabetes, Obesity and Metabolism</w:t>
      </w:r>
      <w:r w:rsidRPr="00D412E0">
        <w:rPr>
          <w:rFonts w:ascii="Times New Roman" w:hAnsi="Times New Roman" w:cs="Times New Roman"/>
          <w:sz w:val="24"/>
          <w:szCs w:val="24"/>
        </w:rPr>
        <w:t>, 20(3), pp.667-671.</w:t>
      </w:r>
    </w:p>
    <w:p w14:paraId="77F269A5" w14:textId="77777777" w:rsidR="004A38DF" w:rsidRPr="00D412E0" w:rsidRDefault="004A38DF" w:rsidP="00D412E0">
      <w:pPr>
        <w:spacing w:line="360" w:lineRule="auto"/>
        <w:rPr>
          <w:rFonts w:ascii="Times New Roman" w:hAnsi="Times New Roman" w:cs="Times New Roman"/>
          <w:sz w:val="24"/>
          <w:szCs w:val="24"/>
        </w:rPr>
      </w:pPr>
      <w:r w:rsidRPr="00D412E0">
        <w:rPr>
          <w:rFonts w:ascii="Times New Roman" w:hAnsi="Times New Roman" w:cs="Times New Roman"/>
          <w:sz w:val="24"/>
          <w:szCs w:val="24"/>
        </w:rPr>
        <w:t>Change 4 Life Wales (2009) Available at: http://change4lifewales.org.uk/?lang=en (Accessed: 10 April 2018).</w:t>
      </w:r>
    </w:p>
    <w:p w14:paraId="29CBE357" w14:textId="77777777" w:rsidR="004A38DF" w:rsidRPr="00D412E0" w:rsidRDefault="004A38DF" w:rsidP="00D412E0">
      <w:pPr>
        <w:spacing w:line="360" w:lineRule="auto"/>
        <w:rPr>
          <w:rFonts w:ascii="Times New Roman" w:hAnsi="Times New Roman" w:cs="Times New Roman"/>
          <w:sz w:val="24"/>
          <w:szCs w:val="24"/>
        </w:rPr>
      </w:pPr>
      <w:r w:rsidRPr="00D412E0">
        <w:rPr>
          <w:rFonts w:ascii="Times New Roman" w:hAnsi="Times New Roman" w:cs="Times New Roman"/>
          <w:sz w:val="24"/>
          <w:szCs w:val="24"/>
        </w:rPr>
        <w:t xml:space="preserve">Conway, T.L. and </w:t>
      </w:r>
      <w:proofErr w:type="spellStart"/>
      <w:r w:rsidRPr="00D412E0">
        <w:rPr>
          <w:rFonts w:ascii="Times New Roman" w:hAnsi="Times New Roman" w:cs="Times New Roman"/>
          <w:sz w:val="24"/>
          <w:szCs w:val="24"/>
        </w:rPr>
        <w:t>Cronan</w:t>
      </w:r>
      <w:proofErr w:type="spellEnd"/>
      <w:r w:rsidRPr="00D412E0">
        <w:rPr>
          <w:rFonts w:ascii="Times New Roman" w:hAnsi="Times New Roman" w:cs="Times New Roman"/>
          <w:sz w:val="24"/>
          <w:szCs w:val="24"/>
        </w:rPr>
        <w:t>, T.A.</w:t>
      </w:r>
      <w:r>
        <w:rPr>
          <w:rFonts w:ascii="Times New Roman" w:hAnsi="Times New Roman" w:cs="Times New Roman"/>
          <w:sz w:val="24"/>
          <w:szCs w:val="24"/>
        </w:rPr>
        <w:t xml:space="preserve"> (</w:t>
      </w:r>
      <w:r w:rsidRPr="00D412E0">
        <w:rPr>
          <w:rFonts w:ascii="Times New Roman" w:hAnsi="Times New Roman" w:cs="Times New Roman"/>
          <w:sz w:val="24"/>
          <w:szCs w:val="24"/>
        </w:rPr>
        <w:t>1992</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Smoking, exercise, and physical fitness</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BB6C36">
        <w:rPr>
          <w:rFonts w:ascii="Times New Roman" w:hAnsi="Times New Roman" w:cs="Times New Roman"/>
          <w:i/>
          <w:sz w:val="24"/>
          <w:szCs w:val="24"/>
        </w:rPr>
        <w:t>Preventive</w:t>
      </w:r>
      <w:r w:rsidRPr="00D412E0">
        <w:rPr>
          <w:rFonts w:ascii="Times New Roman" w:hAnsi="Times New Roman" w:cs="Times New Roman"/>
          <w:sz w:val="24"/>
          <w:szCs w:val="24"/>
        </w:rPr>
        <w:t xml:space="preserve"> </w:t>
      </w:r>
      <w:r w:rsidRPr="00BB6C36">
        <w:rPr>
          <w:rFonts w:ascii="Times New Roman" w:hAnsi="Times New Roman" w:cs="Times New Roman"/>
          <w:i/>
          <w:sz w:val="24"/>
          <w:szCs w:val="24"/>
        </w:rPr>
        <w:t>Medicine</w:t>
      </w:r>
      <w:r w:rsidRPr="00D412E0">
        <w:rPr>
          <w:rFonts w:ascii="Times New Roman" w:hAnsi="Times New Roman" w:cs="Times New Roman"/>
          <w:sz w:val="24"/>
          <w:szCs w:val="24"/>
        </w:rPr>
        <w:t>, 21(6), pp.723-734.</w:t>
      </w:r>
    </w:p>
    <w:p w14:paraId="0DDD58F3" w14:textId="77777777" w:rsidR="004A38DF" w:rsidRPr="00D412E0" w:rsidRDefault="004A38DF" w:rsidP="00D412E0">
      <w:pPr>
        <w:spacing w:line="360" w:lineRule="auto"/>
        <w:rPr>
          <w:rFonts w:ascii="Times New Roman" w:hAnsi="Times New Roman" w:cs="Times New Roman"/>
          <w:sz w:val="24"/>
          <w:szCs w:val="24"/>
        </w:rPr>
      </w:pPr>
      <w:r w:rsidRPr="00D412E0">
        <w:rPr>
          <w:rFonts w:ascii="Times New Roman" w:hAnsi="Times New Roman" w:cs="Times New Roman"/>
          <w:sz w:val="24"/>
          <w:szCs w:val="24"/>
        </w:rPr>
        <w:t xml:space="preserve">Cook, C.C., </w:t>
      </w:r>
      <w:proofErr w:type="spellStart"/>
      <w:r w:rsidRPr="00D412E0">
        <w:rPr>
          <w:rFonts w:ascii="Times New Roman" w:hAnsi="Times New Roman" w:cs="Times New Roman"/>
          <w:sz w:val="24"/>
          <w:szCs w:val="24"/>
        </w:rPr>
        <w:t>Hallwood</w:t>
      </w:r>
      <w:proofErr w:type="spellEnd"/>
      <w:r w:rsidRPr="00D412E0">
        <w:rPr>
          <w:rFonts w:ascii="Times New Roman" w:hAnsi="Times New Roman" w:cs="Times New Roman"/>
          <w:sz w:val="24"/>
          <w:szCs w:val="24"/>
        </w:rPr>
        <w:t>, P.M. and Thomson, A.D.</w:t>
      </w:r>
      <w:r>
        <w:rPr>
          <w:rFonts w:ascii="Times New Roman" w:hAnsi="Times New Roman" w:cs="Times New Roman"/>
          <w:sz w:val="24"/>
          <w:szCs w:val="24"/>
        </w:rPr>
        <w:t xml:space="preserve"> (</w:t>
      </w:r>
      <w:r w:rsidRPr="00D412E0">
        <w:rPr>
          <w:rFonts w:ascii="Times New Roman" w:hAnsi="Times New Roman" w:cs="Times New Roman"/>
          <w:sz w:val="24"/>
          <w:szCs w:val="24"/>
        </w:rPr>
        <w:t>1998</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B vitamin deficiency and neuropsychiatric syndromes in alcohol misuse</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BE3A80">
        <w:rPr>
          <w:rFonts w:ascii="Times New Roman" w:hAnsi="Times New Roman" w:cs="Times New Roman"/>
          <w:i/>
          <w:sz w:val="24"/>
          <w:szCs w:val="24"/>
        </w:rPr>
        <w:t>Alcohol and Alcoholism</w:t>
      </w:r>
      <w:r w:rsidRPr="00D412E0">
        <w:rPr>
          <w:rFonts w:ascii="Times New Roman" w:hAnsi="Times New Roman" w:cs="Times New Roman"/>
          <w:sz w:val="24"/>
          <w:szCs w:val="24"/>
        </w:rPr>
        <w:t>, 33(4), pp.317-336.</w:t>
      </w:r>
    </w:p>
    <w:p w14:paraId="7FAA1BAB" w14:textId="77777777" w:rsidR="004A38DF" w:rsidRPr="00D412E0" w:rsidRDefault="004A38DF" w:rsidP="00D412E0">
      <w:pPr>
        <w:spacing w:line="360" w:lineRule="auto"/>
        <w:rPr>
          <w:rFonts w:ascii="Times New Roman" w:hAnsi="Times New Roman" w:cs="Times New Roman"/>
          <w:sz w:val="24"/>
          <w:szCs w:val="24"/>
        </w:rPr>
      </w:pPr>
      <w:r>
        <w:rPr>
          <w:rFonts w:ascii="Times New Roman" w:hAnsi="Times New Roman" w:cs="Times New Roman"/>
          <w:sz w:val="24"/>
          <w:szCs w:val="24"/>
        </w:rPr>
        <w:t xml:space="preserve">Davies, C. (2018) What does health mean? [Lecture to Year 3], SHSS6072: Health and Social Inclusion. University of Wales Trinity St David. 29 January. </w:t>
      </w:r>
    </w:p>
    <w:p w14:paraId="3BF47492" w14:textId="77777777" w:rsidR="004A38DF" w:rsidRDefault="004A38DF" w:rsidP="00D412E0">
      <w:pPr>
        <w:spacing w:line="360" w:lineRule="auto"/>
        <w:rPr>
          <w:rFonts w:ascii="Times New Roman" w:hAnsi="Times New Roman" w:cs="Times New Roman"/>
          <w:sz w:val="24"/>
          <w:szCs w:val="24"/>
        </w:rPr>
      </w:pPr>
      <w:r w:rsidRPr="00D37A4C">
        <w:rPr>
          <w:rFonts w:ascii="Times New Roman" w:hAnsi="Times New Roman" w:cs="Times New Roman"/>
          <w:sz w:val="24"/>
          <w:szCs w:val="24"/>
        </w:rPr>
        <w:t xml:space="preserve">Deaton, A. </w:t>
      </w:r>
      <w:r>
        <w:rPr>
          <w:rFonts w:ascii="Times New Roman" w:hAnsi="Times New Roman" w:cs="Times New Roman"/>
          <w:sz w:val="24"/>
          <w:szCs w:val="24"/>
        </w:rPr>
        <w:t>(</w:t>
      </w:r>
      <w:r w:rsidRPr="00D37A4C">
        <w:rPr>
          <w:rFonts w:ascii="Times New Roman" w:hAnsi="Times New Roman" w:cs="Times New Roman"/>
          <w:sz w:val="24"/>
          <w:szCs w:val="24"/>
        </w:rPr>
        <w:t>2002</w:t>
      </w:r>
      <w:r>
        <w:rPr>
          <w:rFonts w:ascii="Times New Roman" w:hAnsi="Times New Roman" w:cs="Times New Roman"/>
          <w:sz w:val="24"/>
          <w:szCs w:val="24"/>
        </w:rPr>
        <w:t>)</w:t>
      </w:r>
      <w:r w:rsidRPr="00D37A4C">
        <w:rPr>
          <w:rFonts w:ascii="Times New Roman" w:hAnsi="Times New Roman" w:cs="Times New Roman"/>
          <w:sz w:val="24"/>
          <w:szCs w:val="24"/>
        </w:rPr>
        <w:t xml:space="preserve"> </w:t>
      </w:r>
      <w:r>
        <w:rPr>
          <w:rFonts w:ascii="Times New Roman" w:hAnsi="Times New Roman" w:cs="Times New Roman"/>
          <w:sz w:val="24"/>
          <w:szCs w:val="24"/>
        </w:rPr>
        <w:t>‘</w:t>
      </w:r>
      <w:r w:rsidRPr="00D37A4C">
        <w:rPr>
          <w:rFonts w:ascii="Times New Roman" w:hAnsi="Times New Roman" w:cs="Times New Roman"/>
          <w:sz w:val="24"/>
          <w:szCs w:val="24"/>
        </w:rPr>
        <w:t>Policy implications of the gradient of health and wealth</w:t>
      </w:r>
      <w:r>
        <w:rPr>
          <w:rFonts w:ascii="Times New Roman" w:hAnsi="Times New Roman" w:cs="Times New Roman"/>
          <w:sz w:val="24"/>
          <w:szCs w:val="24"/>
        </w:rPr>
        <w:t xml:space="preserve">’, </w:t>
      </w:r>
      <w:r w:rsidRPr="00D37A4C">
        <w:rPr>
          <w:rFonts w:ascii="Times New Roman" w:hAnsi="Times New Roman" w:cs="Times New Roman"/>
          <w:i/>
          <w:sz w:val="24"/>
          <w:szCs w:val="24"/>
        </w:rPr>
        <w:t>Health Affairs</w:t>
      </w:r>
      <w:r w:rsidRPr="00D37A4C">
        <w:rPr>
          <w:rFonts w:ascii="Times New Roman" w:hAnsi="Times New Roman" w:cs="Times New Roman"/>
          <w:sz w:val="24"/>
          <w:szCs w:val="24"/>
        </w:rPr>
        <w:t>, 21(2), pp.13-30.</w:t>
      </w:r>
    </w:p>
    <w:p w14:paraId="2C28CBD9" w14:textId="77777777" w:rsidR="004A38DF" w:rsidRPr="00D412E0" w:rsidRDefault="004A38DF" w:rsidP="00D412E0">
      <w:pPr>
        <w:spacing w:line="360" w:lineRule="auto"/>
        <w:rPr>
          <w:rFonts w:ascii="Times New Roman" w:hAnsi="Times New Roman" w:cs="Times New Roman"/>
          <w:sz w:val="24"/>
          <w:szCs w:val="24"/>
        </w:rPr>
      </w:pPr>
      <w:proofErr w:type="spellStart"/>
      <w:r w:rsidRPr="00D412E0">
        <w:rPr>
          <w:rFonts w:ascii="Times New Roman" w:hAnsi="Times New Roman" w:cs="Times New Roman"/>
          <w:sz w:val="24"/>
          <w:szCs w:val="24"/>
        </w:rPr>
        <w:t>Dehghan</w:t>
      </w:r>
      <w:proofErr w:type="spellEnd"/>
      <w:r w:rsidRPr="00D412E0">
        <w:rPr>
          <w:rFonts w:ascii="Times New Roman" w:hAnsi="Times New Roman" w:cs="Times New Roman"/>
          <w:sz w:val="24"/>
          <w:szCs w:val="24"/>
        </w:rPr>
        <w:t>, M., Akhtar-Danesh, N. and Merchant, A.T.</w:t>
      </w:r>
      <w:r>
        <w:rPr>
          <w:rFonts w:ascii="Times New Roman" w:hAnsi="Times New Roman" w:cs="Times New Roman"/>
          <w:sz w:val="24"/>
          <w:szCs w:val="24"/>
        </w:rPr>
        <w:t xml:space="preserve"> (</w:t>
      </w:r>
      <w:r w:rsidRPr="00D412E0">
        <w:rPr>
          <w:rFonts w:ascii="Times New Roman" w:hAnsi="Times New Roman" w:cs="Times New Roman"/>
          <w:sz w:val="24"/>
          <w:szCs w:val="24"/>
        </w:rPr>
        <w:t>2005</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Childhood obesity, prevalence and prevention</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06150F">
        <w:rPr>
          <w:rFonts w:ascii="Times New Roman" w:hAnsi="Times New Roman" w:cs="Times New Roman"/>
          <w:i/>
          <w:sz w:val="24"/>
          <w:szCs w:val="24"/>
        </w:rPr>
        <w:t>Nutrition Journal</w:t>
      </w:r>
      <w:r w:rsidRPr="00D412E0">
        <w:rPr>
          <w:rFonts w:ascii="Times New Roman" w:hAnsi="Times New Roman" w:cs="Times New Roman"/>
          <w:sz w:val="24"/>
          <w:szCs w:val="24"/>
        </w:rPr>
        <w:t>, 4(1), p.24.</w:t>
      </w:r>
    </w:p>
    <w:p w14:paraId="34211043" w14:textId="77777777" w:rsidR="004A38DF" w:rsidRDefault="004A38DF" w:rsidP="00D412E0">
      <w:pPr>
        <w:spacing w:line="360" w:lineRule="auto"/>
        <w:rPr>
          <w:rFonts w:ascii="Times New Roman" w:hAnsi="Times New Roman" w:cs="Times New Roman"/>
          <w:sz w:val="24"/>
          <w:szCs w:val="24"/>
        </w:rPr>
      </w:pPr>
      <w:r w:rsidRPr="00645694">
        <w:rPr>
          <w:rFonts w:ascii="Times New Roman" w:hAnsi="Times New Roman" w:cs="Times New Roman"/>
          <w:sz w:val="24"/>
          <w:szCs w:val="24"/>
        </w:rPr>
        <w:t xml:space="preserve">Idler, E.L. and </w:t>
      </w:r>
      <w:proofErr w:type="spellStart"/>
      <w:r w:rsidRPr="00645694">
        <w:rPr>
          <w:rFonts w:ascii="Times New Roman" w:hAnsi="Times New Roman" w:cs="Times New Roman"/>
          <w:sz w:val="24"/>
          <w:szCs w:val="24"/>
        </w:rPr>
        <w:t>Benyamini</w:t>
      </w:r>
      <w:proofErr w:type="spellEnd"/>
      <w:r w:rsidRPr="00645694">
        <w:rPr>
          <w:rFonts w:ascii="Times New Roman" w:hAnsi="Times New Roman" w:cs="Times New Roman"/>
          <w:sz w:val="24"/>
          <w:szCs w:val="24"/>
        </w:rPr>
        <w:t xml:space="preserve">, Y. (1997) ‘Self-rated health and mortality: a review of twenty-seven community studies’, </w:t>
      </w:r>
      <w:r w:rsidRPr="00645694">
        <w:rPr>
          <w:rFonts w:ascii="Times New Roman" w:hAnsi="Times New Roman" w:cs="Times New Roman"/>
          <w:i/>
          <w:sz w:val="24"/>
          <w:szCs w:val="24"/>
        </w:rPr>
        <w:t>Journal of Health and Social Behaviour</w:t>
      </w:r>
      <w:r w:rsidRPr="00645694">
        <w:rPr>
          <w:rFonts w:ascii="Times New Roman" w:hAnsi="Times New Roman" w:cs="Times New Roman"/>
          <w:sz w:val="24"/>
          <w:szCs w:val="24"/>
        </w:rPr>
        <w:t>, pp.21-37.</w:t>
      </w:r>
    </w:p>
    <w:p w14:paraId="7379984D" w14:textId="77777777" w:rsidR="004A38DF" w:rsidRPr="00D412E0" w:rsidRDefault="004A38DF" w:rsidP="00D412E0">
      <w:pPr>
        <w:spacing w:line="360" w:lineRule="auto"/>
        <w:rPr>
          <w:rFonts w:ascii="Times New Roman" w:hAnsi="Times New Roman" w:cs="Times New Roman"/>
          <w:sz w:val="24"/>
          <w:szCs w:val="24"/>
        </w:rPr>
      </w:pPr>
      <w:r w:rsidRPr="00D412E0">
        <w:rPr>
          <w:rFonts w:ascii="Times New Roman" w:hAnsi="Times New Roman" w:cs="Times New Roman"/>
          <w:sz w:val="24"/>
          <w:szCs w:val="24"/>
        </w:rPr>
        <w:t xml:space="preserve">Joseph Rowntree Foundation (2010) </w:t>
      </w:r>
      <w:r w:rsidRPr="008A7263">
        <w:rPr>
          <w:rFonts w:ascii="Times New Roman" w:hAnsi="Times New Roman" w:cs="Times New Roman"/>
          <w:i/>
          <w:sz w:val="24"/>
          <w:szCs w:val="24"/>
        </w:rPr>
        <w:t>Monitoring Policy and Social Exclusion 2010</w:t>
      </w:r>
      <w:r w:rsidRPr="00D412E0">
        <w:rPr>
          <w:rFonts w:ascii="Times New Roman" w:hAnsi="Times New Roman" w:cs="Times New Roman"/>
          <w:sz w:val="24"/>
          <w:szCs w:val="24"/>
        </w:rPr>
        <w:t xml:space="preserve">. Available at: https://moodle.uwtsd.ac.uk/pluginfile.php/34503/mod_resource/content/1/poverty-social-exclusion-2010-summary.pdf (Accessed: 18 April 2018). </w:t>
      </w:r>
    </w:p>
    <w:p w14:paraId="1AD4CA7F" w14:textId="77777777" w:rsidR="004A38DF" w:rsidRPr="00D412E0" w:rsidRDefault="004A38DF" w:rsidP="00D412E0">
      <w:pPr>
        <w:spacing w:line="360" w:lineRule="auto"/>
        <w:rPr>
          <w:rFonts w:ascii="Times New Roman" w:hAnsi="Times New Roman" w:cs="Times New Roman"/>
          <w:sz w:val="24"/>
          <w:szCs w:val="24"/>
        </w:rPr>
      </w:pPr>
      <w:r w:rsidRPr="00D412E0">
        <w:rPr>
          <w:rFonts w:ascii="Times New Roman" w:hAnsi="Times New Roman" w:cs="Times New Roman"/>
          <w:sz w:val="24"/>
          <w:szCs w:val="24"/>
        </w:rPr>
        <w:t xml:space="preserve">Laska, M.N., </w:t>
      </w:r>
      <w:proofErr w:type="spellStart"/>
      <w:r w:rsidRPr="00D412E0">
        <w:rPr>
          <w:rFonts w:ascii="Times New Roman" w:hAnsi="Times New Roman" w:cs="Times New Roman"/>
          <w:sz w:val="24"/>
          <w:szCs w:val="24"/>
        </w:rPr>
        <w:t>Sindberg</w:t>
      </w:r>
      <w:proofErr w:type="spellEnd"/>
      <w:r w:rsidRPr="00D412E0">
        <w:rPr>
          <w:rFonts w:ascii="Times New Roman" w:hAnsi="Times New Roman" w:cs="Times New Roman"/>
          <w:sz w:val="24"/>
          <w:szCs w:val="24"/>
        </w:rPr>
        <w:t xml:space="preserve">, L.S., Ayala, G.X., D'Angelo, H., Horton, L.A., Ribisl, K.M., Kharmats, A., Olson, C. and Gittelsohn, J. </w:t>
      </w:r>
      <w:r>
        <w:rPr>
          <w:rFonts w:ascii="Times New Roman" w:hAnsi="Times New Roman" w:cs="Times New Roman"/>
          <w:sz w:val="24"/>
          <w:szCs w:val="24"/>
        </w:rPr>
        <w:t>(</w:t>
      </w:r>
      <w:r w:rsidRPr="00D412E0">
        <w:rPr>
          <w:rFonts w:ascii="Times New Roman" w:hAnsi="Times New Roman" w:cs="Times New Roman"/>
          <w:sz w:val="24"/>
          <w:szCs w:val="24"/>
        </w:rPr>
        <w:t>201</w:t>
      </w:r>
      <w:r>
        <w:rPr>
          <w:rFonts w:ascii="Times New Roman" w:hAnsi="Times New Roman" w:cs="Times New Roman"/>
          <w:sz w:val="24"/>
          <w:szCs w:val="24"/>
        </w:rPr>
        <w:t>8)</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Agreements between small food store retailers and their suppliers: Incentivizing unhealthy foods and beverages in four urban settings</w:t>
      </w:r>
      <w:r>
        <w:rPr>
          <w:rFonts w:ascii="Times New Roman" w:hAnsi="Times New Roman" w:cs="Times New Roman"/>
          <w:sz w:val="24"/>
          <w:szCs w:val="24"/>
        </w:rPr>
        <w:t xml:space="preserve">’, </w:t>
      </w:r>
      <w:r w:rsidRPr="00233D28">
        <w:rPr>
          <w:rFonts w:ascii="Times New Roman" w:hAnsi="Times New Roman" w:cs="Times New Roman"/>
          <w:i/>
          <w:sz w:val="24"/>
          <w:szCs w:val="24"/>
        </w:rPr>
        <w:t>Food Policy</w:t>
      </w:r>
      <w:r w:rsidRPr="00D412E0">
        <w:rPr>
          <w:rFonts w:ascii="Times New Roman" w:hAnsi="Times New Roman" w:cs="Times New Roman"/>
          <w:sz w:val="24"/>
          <w:szCs w:val="24"/>
        </w:rPr>
        <w:t xml:space="preserve">. </w:t>
      </w:r>
    </w:p>
    <w:p w14:paraId="70691BD0" w14:textId="77777777" w:rsidR="004A38DF" w:rsidRPr="00D412E0" w:rsidRDefault="004A38DF" w:rsidP="00D412E0">
      <w:pPr>
        <w:spacing w:line="360" w:lineRule="auto"/>
        <w:rPr>
          <w:rFonts w:ascii="Times New Roman" w:hAnsi="Times New Roman" w:cs="Times New Roman"/>
          <w:sz w:val="24"/>
          <w:szCs w:val="24"/>
        </w:rPr>
      </w:pPr>
      <w:proofErr w:type="spellStart"/>
      <w:r w:rsidRPr="00D412E0">
        <w:rPr>
          <w:rFonts w:ascii="Times New Roman" w:hAnsi="Times New Roman" w:cs="Times New Roman"/>
          <w:sz w:val="24"/>
          <w:szCs w:val="24"/>
        </w:rPr>
        <w:t>Leahey</w:t>
      </w:r>
      <w:proofErr w:type="spellEnd"/>
      <w:r w:rsidRPr="00D412E0">
        <w:rPr>
          <w:rFonts w:ascii="Times New Roman" w:hAnsi="Times New Roman" w:cs="Times New Roman"/>
          <w:sz w:val="24"/>
          <w:szCs w:val="24"/>
        </w:rPr>
        <w:t xml:space="preserve">, T.M., LaRose, J.G., Mitchell, M.S., Gilder, C.M. and Wing, R.R. </w:t>
      </w:r>
      <w:r>
        <w:rPr>
          <w:rFonts w:ascii="Times New Roman" w:hAnsi="Times New Roman" w:cs="Times New Roman"/>
          <w:sz w:val="24"/>
          <w:szCs w:val="24"/>
        </w:rPr>
        <w:t>(</w:t>
      </w:r>
      <w:r w:rsidRPr="00D412E0">
        <w:rPr>
          <w:rFonts w:ascii="Times New Roman" w:hAnsi="Times New Roman" w:cs="Times New Roman"/>
          <w:sz w:val="24"/>
          <w:szCs w:val="24"/>
        </w:rPr>
        <w:t>2018</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 xml:space="preserve">Small Incentives Improve Weight Loss in Women </w:t>
      </w:r>
      <w:proofErr w:type="gramStart"/>
      <w:r w:rsidRPr="00D412E0">
        <w:rPr>
          <w:rFonts w:ascii="Times New Roman" w:hAnsi="Times New Roman" w:cs="Times New Roman"/>
          <w:sz w:val="24"/>
          <w:szCs w:val="24"/>
        </w:rPr>
        <w:t>From</w:t>
      </w:r>
      <w:proofErr w:type="gramEnd"/>
      <w:r w:rsidRPr="00D412E0">
        <w:rPr>
          <w:rFonts w:ascii="Times New Roman" w:hAnsi="Times New Roman" w:cs="Times New Roman"/>
          <w:sz w:val="24"/>
          <w:szCs w:val="24"/>
        </w:rPr>
        <w:t xml:space="preserve"> Disadvantaged Backgrounds</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233D28">
        <w:rPr>
          <w:rFonts w:ascii="Times New Roman" w:hAnsi="Times New Roman" w:cs="Times New Roman"/>
          <w:i/>
          <w:sz w:val="24"/>
          <w:szCs w:val="24"/>
        </w:rPr>
        <w:t xml:space="preserve">American Journal of Preventive Medicine. </w:t>
      </w:r>
    </w:p>
    <w:p w14:paraId="0B5CE4D0" w14:textId="77777777" w:rsidR="004A38DF" w:rsidRPr="00D412E0" w:rsidRDefault="004A38DF" w:rsidP="00D412E0">
      <w:pPr>
        <w:spacing w:line="360" w:lineRule="auto"/>
        <w:rPr>
          <w:rFonts w:ascii="Times New Roman" w:hAnsi="Times New Roman" w:cs="Times New Roman"/>
          <w:sz w:val="24"/>
          <w:szCs w:val="24"/>
        </w:rPr>
      </w:pPr>
      <w:proofErr w:type="spellStart"/>
      <w:r w:rsidRPr="00D412E0">
        <w:rPr>
          <w:rFonts w:ascii="Times New Roman" w:hAnsi="Times New Roman" w:cs="Times New Roman"/>
          <w:sz w:val="24"/>
          <w:szCs w:val="24"/>
        </w:rPr>
        <w:t>Manderscheid</w:t>
      </w:r>
      <w:proofErr w:type="spellEnd"/>
      <w:r w:rsidRPr="00D412E0">
        <w:rPr>
          <w:rFonts w:ascii="Times New Roman" w:hAnsi="Times New Roman" w:cs="Times New Roman"/>
          <w:sz w:val="24"/>
          <w:szCs w:val="24"/>
        </w:rPr>
        <w:t xml:space="preserve">, R.W., </w:t>
      </w:r>
      <w:proofErr w:type="spellStart"/>
      <w:r w:rsidRPr="00D412E0">
        <w:rPr>
          <w:rFonts w:ascii="Times New Roman" w:hAnsi="Times New Roman" w:cs="Times New Roman"/>
          <w:sz w:val="24"/>
          <w:szCs w:val="24"/>
        </w:rPr>
        <w:t>Ryff</w:t>
      </w:r>
      <w:proofErr w:type="spellEnd"/>
      <w:r w:rsidRPr="00D412E0">
        <w:rPr>
          <w:rFonts w:ascii="Times New Roman" w:hAnsi="Times New Roman" w:cs="Times New Roman"/>
          <w:sz w:val="24"/>
          <w:szCs w:val="24"/>
        </w:rPr>
        <w:t xml:space="preserve">, C.D., Freeman, E.J., McKnight-Eily, L.R., Dhingra, S. and Strine, T.W. </w:t>
      </w:r>
      <w:r>
        <w:rPr>
          <w:rFonts w:ascii="Times New Roman" w:hAnsi="Times New Roman" w:cs="Times New Roman"/>
          <w:sz w:val="24"/>
          <w:szCs w:val="24"/>
        </w:rPr>
        <w:t>(</w:t>
      </w:r>
      <w:r w:rsidRPr="00D412E0">
        <w:rPr>
          <w:rFonts w:ascii="Times New Roman" w:hAnsi="Times New Roman" w:cs="Times New Roman"/>
          <w:sz w:val="24"/>
          <w:szCs w:val="24"/>
        </w:rPr>
        <w:t>2010</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Peer reviewed: Evolving definitions of mental illness and wellness</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88186C">
        <w:rPr>
          <w:rFonts w:ascii="Times New Roman" w:hAnsi="Times New Roman" w:cs="Times New Roman"/>
          <w:i/>
          <w:sz w:val="24"/>
          <w:szCs w:val="24"/>
        </w:rPr>
        <w:t>Preventing</w:t>
      </w:r>
      <w:r w:rsidRPr="00D412E0">
        <w:rPr>
          <w:rFonts w:ascii="Times New Roman" w:hAnsi="Times New Roman" w:cs="Times New Roman"/>
          <w:sz w:val="24"/>
          <w:szCs w:val="24"/>
        </w:rPr>
        <w:t xml:space="preserve"> </w:t>
      </w:r>
      <w:r w:rsidRPr="0088186C">
        <w:rPr>
          <w:rFonts w:ascii="Times New Roman" w:hAnsi="Times New Roman" w:cs="Times New Roman"/>
          <w:i/>
          <w:sz w:val="24"/>
          <w:szCs w:val="24"/>
        </w:rPr>
        <w:t>Chronic Disease</w:t>
      </w:r>
      <w:r w:rsidRPr="00D412E0">
        <w:rPr>
          <w:rFonts w:ascii="Times New Roman" w:hAnsi="Times New Roman" w:cs="Times New Roman"/>
          <w:sz w:val="24"/>
          <w:szCs w:val="24"/>
        </w:rPr>
        <w:t>, 7(1).</w:t>
      </w:r>
    </w:p>
    <w:p w14:paraId="05C2C8EC" w14:textId="77777777" w:rsidR="004A38DF" w:rsidRDefault="004A38DF" w:rsidP="00D412E0">
      <w:pPr>
        <w:spacing w:line="360" w:lineRule="auto"/>
        <w:rPr>
          <w:rFonts w:ascii="Times New Roman" w:hAnsi="Times New Roman" w:cs="Times New Roman"/>
          <w:sz w:val="24"/>
          <w:szCs w:val="24"/>
        </w:rPr>
      </w:pPr>
      <w:r w:rsidRPr="00183452">
        <w:rPr>
          <w:rFonts w:ascii="Times New Roman" w:hAnsi="Times New Roman" w:cs="Times New Roman"/>
          <w:sz w:val="24"/>
          <w:szCs w:val="24"/>
        </w:rPr>
        <w:lastRenderedPageBreak/>
        <w:t xml:space="preserve">Moffitt, T.E., </w:t>
      </w:r>
      <w:proofErr w:type="spellStart"/>
      <w:r w:rsidRPr="00183452">
        <w:rPr>
          <w:rFonts w:ascii="Times New Roman" w:hAnsi="Times New Roman" w:cs="Times New Roman"/>
          <w:sz w:val="24"/>
          <w:szCs w:val="24"/>
        </w:rPr>
        <w:t>Arseneault</w:t>
      </w:r>
      <w:proofErr w:type="spellEnd"/>
      <w:r w:rsidRPr="00183452">
        <w:rPr>
          <w:rFonts w:ascii="Times New Roman" w:hAnsi="Times New Roman" w:cs="Times New Roman"/>
          <w:sz w:val="24"/>
          <w:szCs w:val="24"/>
        </w:rPr>
        <w:t>, L., Belsky, D., Dickson, N., Hancox, R.J., Harrington, H., Houts, R., Poulton, R., Roberts, B.W., Ross, S. and Sears, M.R.</w:t>
      </w:r>
      <w:r>
        <w:rPr>
          <w:rFonts w:ascii="Times New Roman" w:hAnsi="Times New Roman" w:cs="Times New Roman"/>
          <w:sz w:val="24"/>
          <w:szCs w:val="24"/>
        </w:rPr>
        <w:t xml:space="preserve"> (</w:t>
      </w:r>
      <w:r w:rsidRPr="00183452">
        <w:rPr>
          <w:rFonts w:ascii="Times New Roman" w:hAnsi="Times New Roman" w:cs="Times New Roman"/>
          <w:sz w:val="24"/>
          <w:szCs w:val="24"/>
        </w:rPr>
        <w:t>2011</w:t>
      </w:r>
      <w:r>
        <w:rPr>
          <w:rFonts w:ascii="Times New Roman" w:hAnsi="Times New Roman" w:cs="Times New Roman"/>
          <w:sz w:val="24"/>
          <w:szCs w:val="24"/>
        </w:rPr>
        <w:t>)</w:t>
      </w:r>
      <w:r w:rsidRPr="00183452">
        <w:rPr>
          <w:rFonts w:ascii="Times New Roman" w:hAnsi="Times New Roman" w:cs="Times New Roman"/>
          <w:sz w:val="24"/>
          <w:szCs w:val="24"/>
        </w:rPr>
        <w:t xml:space="preserve"> </w:t>
      </w:r>
      <w:r>
        <w:rPr>
          <w:rFonts w:ascii="Times New Roman" w:hAnsi="Times New Roman" w:cs="Times New Roman"/>
          <w:sz w:val="24"/>
          <w:szCs w:val="24"/>
        </w:rPr>
        <w:t>‘</w:t>
      </w:r>
      <w:r w:rsidRPr="00183452">
        <w:rPr>
          <w:rFonts w:ascii="Times New Roman" w:hAnsi="Times New Roman" w:cs="Times New Roman"/>
          <w:sz w:val="24"/>
          <w:szCs w:val="24"/>
        </w:rPr>
        <w:t>A gradient of childhood self-control predicts health, wealth, and public safety</w:t>
      </w:r>
      <w:r>
        <w:rPr>
          <w:rFonts w:ascii="Times New Roman" w:hAnsi="Times New Roman" w:cs="Times New Roman"/>
          <w:sz w:val="24"/>
          <w:szCs w:val="24"/>
        </w:rPr>
        <w:t xml:space="preserve">’, </w:t>
      </w:r>
      <w:r w:rsidRPr="00183452">
        <w:rPr>
          <w:rFonts w:ascii="Times New Roman" w:hAnsi="Times New Roman" w:cs="Times New Roman"/>
          <w:i/>
          <w:sz w:val="24"/>
          <w:szCs w:val="24"/>
        </w:rPr>
        <w:t>Proceedings of the National Academy of Sciences</w:t>
      </w:r>
      <w:r w:rsidRPr="00183452">
        <w:rPr>
          <w:rFonts w:ascii="Times New Roman" w:hAnsi="Times New Roman" w:cs="Times New Roman"/>
          <w:sz w:val="24"/>
          <w:szCs w:val="24"/>
        </w:rPr>
        <w:t>, 108(7), pp.2693-2698.</w:t>
      </w:r>
    </w:p>
    <w:p w14:paraId="1CA2B28B" w14:textId="77777777" w:rsidR="004A38DF" w:rsidRDefault="004A38DF" w:rsidP="00D412E0">
      <w:pPr>
        <w:spacing w:line="360" w:lineRule="auto"/>
        <w:rPr>
          <w:rFonts w:ascii="Times New Roman" w:hAnsi="Times New Roman" w:cs="Times New Roman"/>
          <w:sz w:val="24"/>
          <w:szCs w:val="24"/>
        </w:rPr>
      </w:pPr>
      <w:r>
        <w:rPr>
          <w:rFonts w:ascii="Times New Roman" w:hAnsi="Times New Roman" w:cs="Times New Roman"/>
          <w:sz w:val="24"/>
          <w:szCs w:val="24"/>
        </w:rPr>
        <w:t xml:space="preserve">National Assembly for Wales (2014) </w:t>
      </w:r>
      <w:r w:rsidRPr="008A7263">
        <w:rPr>
          <w:rFonts w:ascii="Times New Roman" w:hAnsi="Times New Roman" w:cs="Times New Roman"/>
          <w:i/>
          <w:sz w:val="24"/>
          <w:szCs w:val="24"/>
        </w:rPr>
        <w:t>Inquiry into Childhood Obesity</w:t>
      </w:r>
      <w:r>
        <w:rPr>
          <w:rFonts w:ascii="Times New Roman" w:hAnsi="Times New Roman" w:cs="Times New Roman"/>
          <w:sz w:val="24"/>
          <w:szCs w:val="24"/>
        </w:rPr>
        <w:t xml:space="preserve">. Available at: </w:t>
      </w:r>
      <w:hyperlink r:id="rId7" w:history="1">
        <w:r w:rsidRPr="0006692F">
          <w:rPr>
            <w:rStyle w:val="Hyperlink"/>
            <w:rFonts w:ascii="Times New Roman" w:hAnsi="Times New Roman" w:cs="Times New Roman"/>
            <w:sz w:val="24"/>
            <w:szCs w:val="24"/>
          </w:rPr>
          <w:t>https://moodle.uwtsd.ac.uk/pluginfile.php/34539/mod_resource/content/1/Inquiry%20into%20Child%20Obesity.pdf</w:t>
        </w:r>
      </w:hyperlink>
      <w:r>
        <w:rPr>
          <w:rFonts w:ascii="Times New Roman" w:hAnsi="Times New Roman" w:cs="Times New Roman"/>
          <w:sz w:val="24"/>
          <w:szCs w:val="24"/>
        </w:rPr>
        <w:t xml:space="preserve">. Accessed: 19 April 2018. </w:t>
      </w:r>
    </w:p>
    <w:p w14:paraId="28A849CD" w14:textId="77777777" w:rsidR="004A38DF" w:rsidRPr="00D412E0" w:rsidRDefault="004A38DF" w:rsidP="00D412E0">
      <w:pPr>
        <w:spacing w:line="360" w:lineRule="auto"/>
        <w:rPr>
          <w:rFonts w:ascii="Times New Roman" w:hAnsi="Times New Roman" w:cs="Times New Roman"/>
          <w:sz w:val="24"/>
          <w:szCs w:val="24"/>
        </w:rPr>
      </w:pPr>
      <w:r w:rsidRPr="00D412E0">
        <w:rPr>
          <w:rFonts w:ascii="Times New Roman" w:hAnsi="Times New Roman" w:cs="Times New Roman"/>
          <w:sz w:val="24"/>
          <w:szCs w:val="24"/>
        </w:rPr>
        <w:t>NHS Wales (2016) Available at: http://www.wales.nhs.uk/sitesplus/888/page/52135 (Accessed: 10 April 2018).</w:t>
      </w:r>
    </w:p>
    <w:p w14:paraId="5B240600" w14:textId="77777777" w:rsidR="004A38DF" w:rsidRPr="00D412E0" w:rsidRDefault="004A38DF" w:rsidP="00D412E0">
      <w:pPr>
        <w:spacing w:line="360" w:lineRule="auto"/>
        <w:rPr>
          <w:rFonts w:ascii="Times New Roman" w:hAnsi="Times New Roman" w:cs="Times New Roman"/>
          <w:sz w:val="24"/>
          <w:szCs w:val="24"/>
        </w:rPr>
      </w:pPr>
      <w:proofErr w:type="spellStart"/>
      <w:r w:rsidRPr="00D412E0">
        <w:rPr>
          <w:rFonts w:ascii="Times New Roman" w:hAnsi="Times New Roman" w:cs="Times New Roman"/>
          <w:sz w:val="24"/>
          <w:szCs w:val="24"/>
        </w:rPr>
        <w:t>Özlü</w:t>
      </w:r>
      <w:proofErr w:type="spellEnd"/>
      <w:r w:rsidRPr="00D412E0">
        <w:rPr>
          <w:rFonts w:ascii="Times New Roman" w:hAnsi="Times New Roman" w:cs="Times New Roman"/>
          <w:sz w:val="24"/>
          <w:szCs w:val="24"/>
        </w:rPr>
        <w:t>, T. and Bülbül, Y.</w:t>
      </w:r>
      <w:r>
        <w:rPr>
          <w:rFonts w:ascii="Times New Roman" w:hAnsi="Times New Roman" w:cs="Times New Roman"/>
          <w:sz w:val="24"/>
          <w:szCs w:val="24"/>
        </w:rPr>
        <w:t xml:space="preserve"> (</w:t>
      </w:r>
      <w:r w:rsidRPr="00D412E0">
        <w:rPr>
          <w:rFonts w:ascii="Times New Roman" w:hAnsi="Times New Roman" w:cs="Times New Roman"/>
          <w:sz w:val="24"/>
          <w:szCs w:val="24"/>
        </w:rPr>
        <w:t>2005</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Smoking and lung cancer</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CF42FC">
        <w:rPr>
          <w:rFonts w:ascii="Times New Roman" w:hAnsi="Times New Roman" w:cs="Times New Roman"/>
          <w:i/>
          <w:sz w:val="24"/>
          <w:szCs w:val="24"/>
        </w:rPr>
        <w:t>Tüberküloz ve Toraks Dergisi,</w:t>
      </w:r>
      <w:r w:rsidRPr="00D412E0">
        <w:rPr>
          <w:rFonts w:ascii="Times New Roman" w:hAnsi="Times New Roman" w:cs="Times New Roman"/>
          <w:sz w:val="24"/>
          <w:szCs w:val="24"/>
        </w:rPr>
        <w:t xml:space="preserve"> 53(2), pp.200-209.</w:t>
      </w:r>
    </w:p>
    <w:p w14:paraId="1007279D" w14:textId="77777777" w:rsidR="004A38DF" w:rsidRPr="00D412E0" w:rsidRDefault="004A38DF" w:rsidP="00D412E0">
      <w:pPr>
        <w:spacing w:line="360" w:lineRule="auto"/>
        <w:rPr>
          <w:rFonts w:ascii="Times New Roman" w:hAnsi="Times New Roman" w:cs="Times New Roman"/>
          <w:sz w:val="24"/>
          <w:szCs w:val="24"/>
        </w:rPr>
      </w:pPr>
      <w:proofErr w:type="spellStart"/>
      <w:r w:rsidRPr="00D412E0">
        <w:rPr>
          <w:rFonts w:ascii="Times New Roman" w:hAnsi="Times New Roman" w:cs="Times New Roman"/>
          <w:sz w:val="24"/>
          <w:szCs w:val="24"/>
        </w:rPr>
        <w:t>Pazoki</w:t>
      </w:r>
      <w:proofErr w:type="spellEnd"/>
      <w:r w:rsidRPr="00D412E0">
        <w:rPr>
          <w:rFonts w:ascii="Times New Roman" w:hAnsi="Times New Roman" w:cs="Times New Roman"/>
          <w:sz w:val="24"/>
          <w:szCs w:val="24"/>
        </w:rPr>
        <w:t>, R., Dehghan, A., Evangelou, E., Warren, H., Gao, H., Caulfield, M., Elliott, P. and Tzoulaki, I.</w:t>
      </w:r>
      <w:r>
        <w:rPr>
          <w:rFonts w:ascii="Times New Roman" w:hAnsi="Times New Roman" w:cs="Times New Roman"/>
          <w:sz w:val="24"/>
          <w:szCs w:val="24"/>
        </w:rPr>
        <w:t xml:space="preserve"> (</w:t>
      </w:r>
      <w:r w:rsidRPr="00D412E0">
        <w:rPr>
          <w:rFonts w:ascii="Times New Roman" w:hAnsi="Times New Roman" w:cs="Times New Roman"/>
          <w:sz w:val="24"/>
          <w:szCs w:val="24"/>
        </w:rPr>
        <w:t>2018</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Genetic predisposition to high blood pressure and lifestyle factors: associations with midlife blood pressure levels and cardiovascular events</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614B92">
        <w:rPr>
          <w:rFonts w:ascii="Times New Roman" w:hAnsi="Times New Roman" w:cs="Times New Roman"/>
          <w:i/>
          <w:sz w:val="24"/>
          <w:szCs w:val="24"/>
        </w:rPr>
        <w:t>Circulation</w:t>
      </w:r>
      <w:r w:rsidRPr="00D412E0">
        <w:rPr>
          <w:rFonts w:ascii="Times New Roman" w:hAnsi="Times New Roman" w:cs="Times New Roman"/>
          <w:sz w:val="24"/>
          <w:szCs w:val="24"/>
        </w:rPr>
        <w:t>, 137(7), pp.653-661.</w:t>
      </w:r>
    </w:p>
    <w:p w14:paraId="7D875DF1" w14:textId="77777777" w:rsidR="004A38DF" w:rsidRPr="00D412E0" w:rsidRDefault="004A38DF" w:rsidP="00D412E0">
      <w:pPr>
        <w:spacing w:line="360" w:lineRule="auto"/>
        <w:rPr>
          <w:rFonts w:ascii="Times New Roman" w:hAnsi="Times New Roman" w:cs="Times New Roman"/>
          <w:sz w:val="24"/>
          <w:szCs w:val="24"/>
        </w:rPr>
      </w:pPr>
      <w:r w:rsidRPr="00D412E0">
        <w:rPr>
          <w:rFonts w:ascii="Times New Roman" w:hAnsi="Times New Roman" w:cs="Times New Roman"/>
          <w:sz w:val="24"/>
          <w:szCs w:val="24"/>
        </w:rPr>
        <w:t xml:space="preserve">Public Health England (2016) </w:t>
      </w:r>
      <w:r w:rsidRPr="008A7263">
        <w:rPr>
          <w:rFonts w:ascii="Times New Roman" w:hAnsi="Times New Roman" w:cs="Times New Roman"/>
          <w:i/>
          <w:sz w:val="24"/>
          <w:szCs w:val="24"/>
        </w:rPr>
        <w:t>The public health burden of alcohol and the effectiveness of and cost-effectiveness of alcohol control policies</w:t>
      </w:r>
      <w:r w:rsidRPr="00D412E0">
        <w:rPr>
          <w:rFonts w:ascii="Times New Roman" w:hAnsi="Times New Roman" w:cs="Times New Roman"/>
          <w:sz w:val="24"/>
          <w:szCs w:val="24"/>
        </w:rPr>
        <w:t>. Available at: https://www.gov.uk/government/uploads/system/uploads/attachment_data/file/583047/alcohol_public_health_burden_evidence_review.pdf (Accessed: 10 March 2018).</w:t>
      </w:r>
    </w:p>
    <w:p w14:paraId="4D2BD153" w14:textId="77777777" w:rsidR="004A38DF" w:rsidRPr="00D412E0" w:rsidRDefault="004A38DF" w:rsidP="00D412E0">
      <w:pPr>
        <w:spacing w:line="360" w:lineRule="auto"/>
        <w:rPr>
          <w:rFonts w:ascii="Times New Roman" w:hAnsi="Times New Roman" w:cs="Times New Roman"/>
          <w:sz w:val="24"/>
          <w:szCs w:val="24"/>
        </w:rPr>
      </w:pPr>
      <w:r w:rsidRPr="00D412E0">
        <w:rPr>
          <w:rFonts w:ascii="Times New Roman" w:hAnsi="Times New Roman" w:cs="Times New Roman"/>
          <w:sz w:val="24"/>
          <w:szCs w:val="24"/>
        </w:rPr>
        <w:t>Reis, A.M., Quintal, C. and Lourenço, Ó.</w:t>
      </w:r>
      <w:r>
        <w:rPr>
          <w:rFonts w:ascii="Times New Roman" w:hAnsi="Times New Roman" w:cs="Times New Roman"/>
          <w:sz w:val="24"/>
          <w:szCs w:val="24"/>
        </w:rPr>
        <w:t xml:space="preserve"> (</w:t>
      </w:r>
      <w:r w:rsidRPr="00D412E0">
        <w:rPr>
          <w:rFonts w:ascii="Times New Roman" w:hAnsi="Times New Roman" w:cs="Times New Roman"/>
          <w:sz w:val="24"/>
          <w:szCs w:val="24"/>
        </w:rPr>
        <w:t>2018</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Killing two birds with one stone? Association between tobacco and alcohol consumption</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8B24B0">
        <w:rPr>
          <w:rFonts w:ascii="Times New Roman" w:hAnsi="Times New Roman" w:cs="Times New Roman"/>
          <w:i/>
          <w:sz w:val="24"/>
          <w:szCs w:val="24"/>
        </w:rPr>
        <w:t>Public Health</w:t>
      </w:r>
      <w:r w:rsidRPr="00D412E0">
        <w:rPr>
          <w:rFonts w:ascii="Times New Roman" w:hAnsi="Times New Roman" w:cs="Times New Roman"/>
          <w:sz w:val="24"/>
          <w:szCs w:val="24"/>
        </w:rPr>
        <w:t>, 154, pp.136-143.</w:t>
      </w:r>
    </w:p>
    <w:p w14:paraId="250A30D9" w14:textId="77777777" w:rsidR="004A38DF" w:rsidRPr="00D412E0" w:rsidRDefault="004A38DF" w:rsidP="00D412E0">
      <w:pPr>
        <w:spacing w:line="360" w:lineRule="auto"/>
        <w:rPr>
          <w:rFonts w:ascii="Times New Roman" w:hAnsi="Times New Roman" w:cs="Times New Roman"/>
          <w:sz w:val="24"/>
          <w:szCs w:val="24"/>
        </w:rPr>
      </w:pPr>
      <w:r w:rsidRPr="00D412E0">
        <w:rPr>
          <w:rFonts w:ascii="Times New Roman" w:hAnsi="Times New Roman" w:cs="Times New Roman"/>
          <w:sz w:val="24"/>
          <w:szCs w:val="24"/>
        </w:rPr>
        <w:t>Smith, B.J., Tang, K.C. and Nutbeam, D.</w:t>
      </w:r>
      <w:r>
        <w:rPr>
          <w:rFonts w:ascii="Times New Roman" w:hAnsi="Times New Roman" w:cs="Times New Roman"/>
          <w:sz w:val="24"/>
          <w:szCs w:val="24"/>
        </w:rPr>
        <w:t xml:space="preserve"> (</w:t>
      </w:r>
      <w:r w:rsidRPr="00D412E0">
        <w:rPr>
          <w:rFonts w:ascii="Times New Roman" w:hAnsi="Times New Roman" w:cs="Times New Roman"/>
          <w:sz w:val="24"/>
          <w:szCs w:val="24"/>
        </w:rPr>
        <w:t>2006</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WHO health promotion glossary: new terms</w:t>
      </w:r>
      <w:r>
        <w:rPr>
          <w:rFonts w:ascii="Times New Roman" w:hAnsi="Times New Roman" w:cs="Times New Roman"/>
          <w:sz w:val="24"/>
          <w:szCs w:val="24"/>
        </w:rPr>
        <w:t xml:space="preserve">’, </w:t>
      </w:r>
      <w:r w:rsidRPr="0006150F">
        <w:rPr>
          <w:rFonts w:ascii="Times New Roman" w:hAnsi="Times New Roman" w:cs="Times New Roman"/>
          <w:i/>
          <w:sz w:val="24"/>
          <w:szCs w:val="24"/>
        </w:rPr>
        <w:t>Health Promotion International</w:t>
      </w:r>
      <w:r w:rsidRPr="00D412E0">
        <w:rPr>
          <w:rFonts w:ascii="Times New Roman" w:hAnsi="Times New Roman" w:cs="Times New Roman"/>
          <w:sz w:val="24"/>
          <w:szCs w:val="24"/>
        </w:rPr>
        <w:t>, 21(4), pp.340-345.</w:t>
      </w:r>
    </w:p>
    <w:p w14:paraId="1300CA8E" w14:textId="77777777" w:rsidR="004A38DF" w:rsidRPr="00D412E0" w:rsidRDefault="004A38DF" w:rsidP="00D412E0">
      <w:pPr>
        <w:spacing w:line="360" w:lineRule="auto"/>
        <w:rPr>
          <w:rFonts w:ascii="Times New Roman" w:hAnsi="Times New Roman" w:cs="Times New Roman"/>
          <w:sz w:val="24"/>
          <w:szCs w:val="24"/>
        </w:rPr>
      </w:pPr>
      <w:proofErr w:type="spellStart"/>
      <w:r w:rsidRPr="00D412E0">
        <w:rPr>
          <w:rFonts w:ascii="Times New Roman" w:hAnsi="Times New Roman" w:cs="Times New Roman"/>
          <w:sz w:val="24"/>
          <w:szCs w:val="24"/>
        </w:rPr>
        <w:t>Ssewanyana</w:t>
      </w:r>
      <w:proofErr w:type="spellEnd"/>
      <w:r w:rsidRPr="00D412E0">
        <w:rPr>
          <w:rFonts w:ascii="Times New Roman" w:hAnsi="Times New Roman" w:cs="Times New Roman"/>
          <w:sz w:val="24"/>
          <w:szCs w:val="24"/>
        </w:rPr>
        <w:t>, D., Abubakar, A., Van Baar, A., Mwangala, P.N. and Newton, C.R.</w:t>
      </w:r>
      <w:r>
        <w:rPr>
          <w:rFonts w:ascii="Times New Roman" w:hAnsi="Times New Roman" w:cs="Times New Roman"/>
          <w:sz w:val="24"/>
          <w:szCs w:val="24"/>
        </w:rPr>
        <w:t xml:space="preserve"> (</w:t>
      </w:r>
      <w:r w:rsidRPr="00D412E0">
        <w:rPr>
          <w:rFonts w:ascii="Times New Roman" w:hAnsi="Times New Roman" w:cs="Times New Roman"/>
          <w:sz w:val="24"/>
          <w:szCs w:val="24"/>
        </w:rPr>
        <w:t>2018</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Perspectives on Underlying Factors for Unhealthy Diet and sedentary lifestyle of adolescents at a Kenyan coastal setting</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E8058F">
        <w:rPr>
          <w:rFonts w:ascii="Times New Roman" w:hAnsi="Times New Roman" w:cs="Times New Roman"/>
          <w:i/>
          <w:sz w:val="24"/>
          <w:szCs w:val="24"/>
        </w:rPr>
        <w:t>Frontiers in Public Health</w:t>
      </w:r>
      <w:r w:rsidRPr="00D412E0">
        <w:rPr>
          <w:rFonts w:ascii="Times New Roman" w:hAnsi="Times New Roman" w:cs="Times New Roman"/>
          <w:sz w:val="24"/>
          <w:szCs w:val="24"/>
        </w:rPr>
        <w:t>, 6, p.11.</w:t>
      </w:r>
    </w:p>
    <w:p w14:paraId="20675545" w14:textId="77777777" w:rsidR="004A38DF" w:rsidRPr="00D412E0" w:rsidRDefault="004A38DF" w:rsidP="00D412E0">
      <w:pPr>
        <w:spacing w:line="360" w:lineRule="auto"/>
        <w:rPr>
          <w:rFonts w:ascii="Times New Roman" w:hAnsi="Times New Roman" w:cs="Times New Roman"/>
          <w:sz w:val="24"/>
          <w:szCs w:val="24"/>
        </w:rPr>
      </w:pPr>
      <w:r w:rsidRPr="00D412E0">
        <w:rPr>
          <w:rFonts w:ascii="Times New Roman" w:hAnsi="Times New Roman" w:cs="Times New Roman"/>
          <w:sz w:val="24"/>
          <w:szCs w:val="24"/>
        </w:rPr>
        <w:t xml:space="preserve">Tay, J.C., </w:t>
      </w:r>
      <w:proofErr w:type="spellStart"/>
      <w:r w:rsidRPr="00D412E0">
        <w:rPr>
          <w:rFonts w:ascii="Times New Roman" w:hAnsi="Times New Roman" w:cs="Times New Roman"/>
          <w:sz w:val="24"/>
          <w:szCs w:val="24"/>
        </w:rPr>
        <w:t>Sule</w:t>
      </w:r>
      <w:proofErr w:type="spellEnd"/>
      <w:r w:rsidRPr="00D412E0">
        <w:rPr>
          <w:rFonts w:ascii="Times New Roman" w:hAnsi="Times New Roman" w:cs="Times New Roman"/>
          <w:sz w:val="24"/>
          <w:szCs w:val="24"/>
        </w:rPr>
        <w:t>, A.A., Chew, E.K., Tey, J.S., Lau, T., Lee, S., Lee, S.H., Leong, C.K., Lim, S.T., Low, L.P. and Oh, V.M.S.</w:t>
      </w:r>
      <w:r>
        <w:rPr>
          <w:rFonts w:ascii="Times New Roman" w:hAnsi="Times New Roman" w:cs="Times New Roman"/>
          <w:sz w:val="24"/>
          <w:szCs w:val="24"/>
        </w:rPr>
        <w:t xml:space="preserve"> (</w:t>
      </w:r>
      <w:r w:rsidRPr="00D412E0">
        <w:rPr>
          <w:rFonts w:ascii="Times New Roman" w:hAnsi="Times New Roman" w:cs="Times New Roman"/>
          <w:sz w:val="24"/>
          <w:szCs w:val="24"/>
        </w:rPr>
        <w:t>2018</w:t>
      </w:r>
      <w:r>
        <w:rPr>
          <w:rFonts w:ascii="Times New Roman" w:hAnsi="Times New Roman" w:cs="Times New Roman"/>
          <w:sz w:val="24"/>
          <w:szCs w:val="24"/>
        </w:rPr>
        <w:t>)</w:t>
      </w:r>
      <w:r w:rsidRPr="00D412E0">
        <w:rPr>
          <w:rFonts w:ascii="Times New Roman" w:hAnsi="Times New Roman" w:cs="Times New Roman"/>
          <w:sz w:val="24"/>
          <w:szCs w:val="24"/>
        </w:rPr>
        <w:t xml:space="preserve"> </w:t>
      </w:r>
      <w:r>
        <w:rPr>
          <w:rFonts w:ascii="Times New Roman" w:hAnsi="Times New Roman" w:cs="Times New Roman"/>
          <w:sz w:val="24"/>
          <w:szCs w:val="24"/>
        </w:rPr>
        <w:t>‘</w:t>
      </w:r>
      <w:r w:rsidRPr="00D412E0">
        <w:rPr>
          <w:rFonts w:ascii="Times New Roman" w:hAnsi="Times New Roman" w:cs="Times New Roman"/>
          <w:sz w:val="24"/>
          <w:szCs w:val="24"/>
        </w:rPr>
        <w:t>Ministry of Health Clinical Practice Guidelines: Hypertension</w:t>
      </w:r>
      <w:r>
        <w:rPr>
          <w:rFonts w:ascii="Times New Roman" w:hAnsi="Times New Roman" w:cs="Times New Roman"/>
          <w:sz w:val="24"/>
          <w:szCs w:val="24"/>
        </w:rPr>
        <w:t>’,</w:t>
      </w:r>
      <w:r w:rsidRPr="00D412E0">
        <w:rPr>
          <w:rFonts w:ascii="Times New Roman" w:hAnsi="Times New Roman" w:cs="Times New Roman"/>
          <w:sz w:val="24"/>
          <w:szCs w:val="24"/>
        </w:rPr>
        <w:t xml:space="preserve"> </w:t>
      </w:r>
      <w:r w:rsidRPr="003D48CC">
        <w:rPr>
          <w:rFonts w:ascii="Times New Roman" w:hAnsi="Times New Roman" w:cs="Times New Roman"/>
          <w:i/>
          <w:sz w:val="24"/>
          <w:szCs w:val="24"/>
        </w:rPr>
        <w:t>Singapore Medical Journal</w:t>
      </w:r>
      <w:r w:rsidRPr="00D412E0">
        <w:rPr>
          <w:rFonts w:ascii="Times New Roman" w:hAnsi="Times New Roman" w:cs="Times New Roman"/>
          <w:sz w:val="24"/>
          <w:szCs w:val="24"/>
        </w:rPr>
        <w:t>, 59(1), pp.17-27.</w:t>
      </w:r>
    </w:p>
    <w:p w14:paraId="373F0DEF" w14:textId="77777777" w:rsidR="004A38DF" w:rsidRDefault="004A38DF" w:rsidP="00D412E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Black Report 6 Explanation of Health Inequalities (1980) Accessed: 20 March 2018. </w:t>
      </w:r>
    </w:p>
    <w:p w14:paraId="090669D0" w14:textId="77777777" w:rsidR="004A38DF" w:rsidRDefault="004A38DF" w:rsidP="00D412E0">
      <w:pPr>
        <w:spacing w:line="360" w:lineRule="auto"/>
        <w:rPr>
          <w:rFonts w:ascii="Times New Roman" w:hAnsi="Times New Roman" w:cs="Times New Roman"/>
          <w:sz w:val="24"/>
          <w:szCs w:val="24"/>
        </w:rPr>
      </w:pPr>
      <w:r w:rsidRPr="00833FBC">
        <w:rPr>
          <w:rFonts w:ascii="Times New Roman" w:hAnsi="Times New Roman" w:cs="Times New Roman"/>
          <w:sz w:val="24"/>
          <w:szCs w:val="24"/>
        </w:rPr>
        <w:lastRenderedPageBreak/>
        <w:t>Townsend, J.L.</w:t>
      </w:r>
      <w:r>
        <w:rPr>
          <w:rFonts w:ascii="Times New Roman" w:hAnsi="Times New Roman" w:cs="Times New Roman"/>
          <w:sz w:val="24"/>
          <w:szCs w:val="24"/>
        </w:rPr>
        <w:t xml:space="preserve"> (</w:t>
      </w:r>
      <w:r w:rsidRPr="00833FBC">
        <w:rPr>
          <w:rFonts w:ascii="Times New Roman" w:hAnsi="Times New Roman" w:cs="Times New Roman"/>
          <w:sz w:val="24"/>
          <w:szCs w:val="24"/>
        </w:rPr>
        <w:t>1987</w:t>
      </w:r>
      <w:r>
        <w:rPr>
          <w:rFonts w:ascii="Times New Roman" w:hAnsi="Times New Roman" w:cs="Times New Roman"/>
          <w:sz w:val="24"/>
          <w:szCs w:val="24"/>
        </w:rPr>
        <w:t>)</w:t>
      </w:r>
      <w:r w:rsidRPr="00833FBC">
        <w:rPr>
          <w:rFonts w:ascii="Times New Roman" w:hAnsi="Times New Roman" w:cs="Times New Roman"/>
          <w:sz w:val="24"/>
          <w:szCs w:val="24"/>
        </w:rPr>
        <w:t xml:space="preserve"> </w:t>
      </w:r>
      <w:r>
        <w:rPr>
          <w:rFonts w:ascii="Times New Roman" w:hAnsi="Times New Roman" w:cs="Times New Roman"/>
          <w:sz w:val="24"/>
          <w:szCs w:val="24"/>
        </w:rPr>
        <w:t>‘</w:t>
      </w:r>
      <w:r w:rsidRPr="00833FBC">
        <w:rPr>
          <w:rFonts w:ascii="Times New Roman" w:hAnsi="Times New Roman" w:cs="Times New Roman"/>
          <w:sz w:val="24"/>
          <w:szCs w:val="24"/>
        </w:rPr>
        <w:t>Cigarette tax, economic welfare and social class patterns of smoking</w:t>
      </w:r>
      <w:r>
        <w:rPr>
          <w:rFonts w:ascii="Times New Roman" w:hAnsi="Times New Roman" w:cs="Times New Roman"/>
          <w:sz w:val="24"/>
          <w:szCs w:val="24"/>
        </w:rPr>
        <w:t xml:space="preserve">’, </w:t>
      </w:r>
      <w:r w:rsidRPr="00833FBC">
        <w:rPr>
          <w:rFonts w:ascii="Times New Roman" w:hAnsi="Times New Roman" w:cs="Times New Roman"/>
          <w:i/>
          <w:sz w:val="24"/>
          <w:szCs w:val="24"/>
        </w:rPr>
        <w:t>Applied Economics</w:t>
      </w:r>
      <w:r w:rsidRPr="00833FBC">
        <w:rPr>
          <w:rFonts w:ascii="Times New Roman" w:hAnsi="Times New Roman" w:cs="Times New Roman"/>
          <w:sz w:val="24"/>
          <w:szCs w:val="24"/>
        </w:rPr>
        <w:t>, 19(3), pp.355-365.</w:t>
      </w:r>
    </w:p>
    <w:p w14:paraId="5615F7D3" w14:textId="77777777" w:rsidR="004A38DF" w:rsidRDefault="004A38DF" w:rsidP="00D412E0">
      <w:pPr>
        <w:spacing w:line="360" w:lineRule="auto"/>
        <w:rPr>
          <w:rFonts w:ascii="Times New Roman" w:hAnsi="Times New Roman" w:cs="Times New Roman"/>
          <w:sz w:val="24"/>
          <w:szCs w:val="24"/>
        </w:rPr>
      </w:pPr>
      <w:r w:rsidRPr="00672910">
        <w:rPr>
          <w:rFonts w:ascii="Times New Roman" w:hAnsi="Times New Roman" w:cs="Times New Roman"/>
          <w:sz w:val="24"/>
          <w:szCs w:val="24"/>
        </w:rPr>
        <w:t>Whitehead, M. and Dahlgren, G.</w:t>
      </w:r>
      <w:r>
        <w:rPr>
          <w:rFonts w:ascii="Times New Roman" w:hAnsi="Times New Roman" w:cs="Times New Roman"/>
          <w:sz w:val="24"/>
          <w:szCs w:val="24"/>
        </w:rPr>
        <w:t xml:space="preserve"> (</w:t>
      </w:r>
      <w:r w:rsidRPr="00672910">
        <w:rPr>
          <w:rFonts w:ascii="Times New Roman" w:hAnsi="Times New Roman" w:cs="Times New Roman"/>
          <w:sz w:val="24"/>
          <w:szCs w:val="24"/>
        </w:rPr>
        <w:t>1991</w:t>
      </w:r>
      <w:r>
        <w:rPr>
          <w:rFonts w:ascii="Times New Roman" w:hAnsi="Times New Roman" w:cs="Times New Roman"/>
          <w:sz w:val="24"/>
          <w:szCs w:val="24"/>
        </w:rPr>
        <w:t>)</w:t>
      </w:r>
      <w:r w:rsidRPr="00672910">
        <w:rPr>
          <w:rFonts w:ascii="Times New Roman" w:hAnsi="Times New Roman" w:cs="Times New Roman"/>
          <w:sz w:val="24"/>
          <w:szCs w:val="24"/>
        </w:rPr>
        <w:t xml:space="preserve"> </w:t>
      </w:r>
      <w:r>
        <w:rPr>
          <w:rFonts w:ascii="Times New Roman" w:hAnsi="Times New Roman" w:cs="Times New Roman"/>
          <w:sz w:val="24"/>
          <w:szCs w:val="24"/>
        </w:rPr>
        <w:t>‘</w:t>
      </w:r>
      <w:r w:rsidRPr="00672910">
        <w:rPr>
          <w:rFonts w:ascii="Times New Roman" w:hAnsi="Times New Roman" w:cs="Times New Roman"/>
          <w:sz w:val="24"/>
          <w:szCs w:val="24"/>
        </w:rPr>
        <w:t>What can be done about inequalities in health?</w:t>
      </w:r>
      <w:r>
        <w:rPr>
          <w:rFonts w:ascii="Times New Roman" w:hAnsi="Times New Roman" w:cs="Times New Roman"/>
          <w:sz w:val="24"/>
          <w:szCs w:val="24"/>
        </w:rPr>
        <w:t>’,</w:t>
      </w:r>
      <w:r w:rsidRPr="00672910">
        <w:rPr>
          <w:rFonts w:ascii="Times New Roman" w:hAnsi="Times New Roman" w:cs="Times New Roman"/>
          <w:sz w:val="24"/>
          <w:szCs w:val="24"/>
        </w:rPr>
        <w:t xml:space="preserve"> </w:t>
      </w:r>
      <w:r w:rsidRPr="00672910">
        <w:rPr>
          <w:rFonts w:ascii="Times New Roman" w:hAnsi="Times New Roman" w:cs="Times New Roman"/>
          <w:i/>
          <w:sz w:val="24"/>
          <w:szCs w:val="24"/>
        </w:rPr>
        <w:t>Lancet</w:t>
      </w:r>
      <w:r w:rsidRPr="00672910">
        <w:rPr>
          <w:rFonts w:ascii="Times New Roman" w:hAnsi="Times New Roman" w:cs="Times New Roman"/>
          <w:sz w:val="24"/>
          <w:szCs w:val="24"/>
        </w:rPr>
        <w:t>, 338(8774), pp.1059-1063.</w:t>
      </w:r>
    </w:p>
    <w:p w14:paraId="15ACF6C1" w14:textId="77777777" w:rsidR="000D44CB" w:rsidRDefault="000D44CB" w:rsidP="000D44CB"/>
    <w:p w14:paraId="27830DA0" w14:textId="77777777" w:rsidR="000D44CB" w:rsidRDefault="000D44CB" w:rsidP="000D44CB"/>
    <w:p w14:paraId="69AE7FD9" w14:textId="77777777" w:rsidR="000D44CB" w:rsidRDefault="000D44CB" w:rsidP="000D44CB"/>
    <w:p w14:paraId="666BA808" w14:textId="77777777" w:rsidR="000D44CB" w:rsidRDefault="000D44CB" w:rsidP="000D44CB"/>
    <w:p w14:paraId="4B1A32F1" w14:textId="77777777" w:rsidR="000D44CB" w:rsidRDefault="000D44CB" w:rsidP="000D44CB"/>
    <w:p w14:paraId="472120F1" w14:textId="77777777" w:rsidR="000D44CB" w:rsidRDefault="000D44CB" w:rsidP="000D44CB"/>
    <w:p w14:paraId="5CF98BC6" w14:textId="77777777" w:rsidR="000D44CB" w:rsidRDefault="000D44CB" w:rsidP="000D44CB"/>
    <w:p w14:paraId="6C741D0B" w14:textId="77777777" w:rsidR="000D44CB" w:rsidRDefault="000D44CB" w:rsidP="000D44CB"/>
    <w:p w14:paraId="3D8B2156" w14:textId="77777777" w:rsidR="000D44CB" w:rsidRDefault="000D44CB" w:rsidP="000D44CB"/>
    <w:p w14:paraId="1D8AC147" w14:textId="77777777" w:rsidR="000D44CB" w:rsidRDefault="000D44CB" w:rsidP="000D44CB"/>
    <w:p w14:paraId="6F257CE2" w14:textId="77777777" w:rsidR="000D44CB" w:rsidRDefault="000D44CB" w:rsidP="000D44CB"/>
    <w:p w14:paraId="0C34DDDF" w14:textId="77777777" w:rsidR="000D44CB" w:rsidRDefault="000D44CB" w:rsidP="000D44CB"/>
    <w:p w14:paraId="6330598D" w14:textId="77777777" w:rsidR="000D44CB" w:rsidRDefault="000D44CB" w:rsidP="000D44CB"/>
    <w:p w14:paraId="50E85023" w14:textId="77777777" w:rsidR="000D44CB" w:rsidRDefault="000D44CB" w:rsidP="000D44CB"/>
    <w:p w14:paraId="7B57275A" w14:textId="77777777" w:rsidR="000D44CB" w:rsidRDefault="000D44CB" w:rsidP="000D44CB"/>
    <w:p w14:paraId="598DA353" w14:textId="77777777" w:rsidR="000D44CB" w:rsidRDefault="000D44CB" w:rsidP="000D44CB"/>
    <w:p w14:paraId="29BF9C44" w14:textId="77777777" w:rsidR="000D44CB" w:rsidRDefault="000D44CB" w:rsidP="000D44CB"/>
    <w:p w14:paraId="36DAB2DF" w14:textId="77777777" w:rsidR="000D44CB" w:rsidRDefault="000D44CB" w:rsidP="000D44CB"/>
    <w:p w14:paraId="7F0CEA80" w14:textId="77777777" w:rsidR="00D85A09" w:rsidRDefault="00D85A09" w:rsidP="000D44CB">
      <w:pPr>
        <w:rPr>
          <w:rFonts w:ascii="Times New Roman" w:hAnsi="Times New Roman" w:cs="Times New Roman"/>
          <w:sz w:val="28"/>
          <w:szCs w:val="28"/>
        </w:rPr>
      </w:pPr>
    </w:p>
    <w:p w14:paraId="2D8D3A5F" w14:textId="77777777" w:rsidR="00D85A09" w:rsidRDefault="00D85A09" w:rsidP="000D44CB">
      <w:pPr>
        <w:rPr>
          <w:rFonts w:ascii="Times New Roman" w:hAnsi="Times New Roman" w:cs="Times New Roman"/>
          <w:sz w:val="28"/>
          <w:szCs w:val="28"/>
        </w:rPr>
      </w:pPr>
    </w:p>
    <w:p w14:paraId="1E050A62" w14:textId="77777777" w:rsidR="00D85A09" w:rsidRPr="000D44CB" w:rsidRDefault="00D85A09" w:rsidP="000D44CB">
      <w:pPr>
        <w:rPr>
          <w:rFonts w:ascii="Times New Roman" w:hAnsi="Times New Roman" w:cs="Times New Roman"/>
          <w:sz w:val="28"/>
          <w:szCs w:val="28"/>
        </w:rPr>
      </w:pPr>
    </w:p>
    <w:sectPr w:rsidR="00D85A09" w:rsidRPr="000D44CB" w:rsidSect="000A4B7D">
      <w:footerReference w:type="default" r:id="rId8"/>
      <w:pgSz w:w="11906" w:h="16838"/>
      <w:pgMar w:top="1304" w:right="1304" w:bottom="1304" w:left="130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CDD748" w14:textId="77777777" w:rsidR="00E429DD" w:rsidRDefault="00E429DD" w:rsidP="00656DD9">
      <w:pPr>
        <w:spacing w:after="0" w:line="240" w:lineRule="auto"/>
      </w:pPr>
      <w:r>
        <w:separator/>
      </w:r>
    </w:p>
  </w:endnote>
  <w:endnote w:type="continuationSeparator" w:id="0">
    <w:p w14:paraId="13C3A6BD" w14:textId="77777777" w:rsidR="00E429DD" w:rsidRDefault="00E429DD" w:rsidP="00656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Lucida Grande">
    <w:altName w:val="Arial"/>
    <w:charset w:val="00"/>
    <w:family w:val="auto"/>
    <w:pitch w:val="variable"/>
    <w:sig w:usb0="00000000" w:usb1="5000A1FF" w:usb2="00000000" w:usb3="00000000" w:csb0="000001B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8912077"/>
      <w:docPartObj>
        <w:docPartGallery w:val="Page Numbers (Bottom of Page)"/>
        <w:docPartUnique/>
      </w:docPartObj>
    </w:sdtPr>
    <w:sdtEndPr>
      <w:rPr>
        <w:noProof/>
      </w:rPr>
    </w:sdtEndPr>
    <w:sdtContent>
      <w:p w14:paraId="532C305B" w14:textId="1F974262" w:rsidR="00656DD9" w:rsidRDefault="00656D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4B2362" w14:textId="77777777" w:rsidR="00656DD9" w:rsidRDefault="00656D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B1F7E2" w14:textId="77777777" w:rsidR="00E429DD" w:rsidRDefault="00E429DD" w:rsidP="00656DD9">
      <w:pPr>
        <w:spacing w:after="0" w:line="240" w:lineRule="auto"/>
      </w:pPr>
      <w:r>
        <w:separator/>
      </w:r>
    </w:p>
  </w:footnote>
  <w:footnote w:type="continuationSeparator" w:id="0">
    <w:p w14:paraId="3B41C913" w14:textId="77777777" w:rsidR="00E429DD" w:rsidRDefault="00E429DD" w:rsidP="00656D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4CB"/>
    <w:rsid w:val="00020349"/>
    <w:rsid w:val="0006150F"/>
    <w:rsid w:val="000779E8"/>
    <w:rsid w:val="00081303"/>
    <w:rsid w:val="000848B3"/>
    <w:rsid w:val="000A4B7D"/>
    <w:rsid w:val="000D44CB"/>
    <w:rsid w:val="000E03C0"/>
    <w:rsid w:val="0010031E"/>
    <w:rsid w:val="00110C98"/>
    <w:rsid w:val="00130749"/>
    <w:rsid w:val="00142BD2"/>
    <w:rsid w:val="001557E8"/>
    <w:rsid w:val="00180CC3"/>
    <w:rsid w:val="00183452"/>
    <w:rsid w:val="00192E3C"/>
    <w:rsid w:val="001B751A"/>
    <w:rsid w:val="001D4AEC"/>
    <w:rsid w:val="001D6132"/>
    <w:rsid w:val="001E1DF7"/>
    <w:rsid w:val="001F0C9D"/>
    <w:rsid w:val="001F259D"/>
    <w:rsid w:val="00205D8C"/>
    <w:rsid w:val="00210683"/>
    <w:rsid w:val="00233D28"/>
    <w:rsid w:val="002B5E4C"/>
    <w:rsid w:val="002B6E48"/>
    <w:rsid w:val="002D56CD"/>
    <w:rsid w:val="00301B59"/>
    <w:rsid w:val="00310909"/>
    <w:rsid w:val="00321D7A"/>
    <w:rsid w:val="00334692"/>
    <w:rsid w:val="0039750D"/>
    <w:rsid w:val="003A2D21"/>
    <w:rsid w:val="003D48CC"/>
    <w:rsid w:val="003F51AD"/>
    <w:rsid w:val="004553BE"/>
    <w:rsid w:val="00486A6A"/>
    <w:rsid w:val="004A38DF"/>
    <w:rsid w:val="004D4C24"/>
    <w:rsid w:val="00510849"/>
    <w:rsid w:val="00572938"/>
    <w:rsid w:val="00595D5F"/>
    <w:rsid w:val="005A6140"/>
    <w:rsid w:val="005C2A36"/>
    <w:rsid w:val="005D2D07"/>
    <w:rsid w:val="005D6933"/>
    <w:rsid w:val="00607BF6"/>
    <w:rsid w:val="00614B92"/>
    <w:rsid w:val="0062358C"/>
    <w:rsid w:val="00645694"/>
    <w:rsid w:val="00647F29"/>
    <w:rsid w:val="00656DD9"/>
    <w:rsid w:val="00672910"/>
    <w:rsid w:val="0068099B"/>
    <w:rsid w:val="006B0B53"/>
    <w:rsid w:val="006D4F2E"/>
    <w:rsid w:val="00722B00"/>
    <w:rsid w:val="0075568D"/>
    <w:rsid w:val="00766602"/>
    <w:rsid w:val="007A1E70"/>
    <w:rsid w:val="007E5738"/>
    <w:rsid w:val="007F6129"/>
    <w:rsid w:val="00801DBC"/>
    <w:rsid w:val="008078A4"/>
    <w:rsid w:val="00830787"/>
    <w:rsid w:val="00833FBC"/>
    <w:rsid w:val="00846D6A"/>
    <w:rsid w:val="00851A40"/>
    <w:rsid w:val="00866B91"/>
    <w:rsid w:val="00872026"/>
    <w:rsid w:val="0088186C"/>
    <w:rsid w:val="00883C6B"/>
    <w:rsid w:val="00892ECB"/>
    <w:rsid w:val="008A2C8A"/>
    <w:rsid w:val="008A2D87"/>
    <w:rsid w:val="008A7263"/>
    <w:rsid w:val="008B24B0"/>
    <w:rsid w:val="008B2A74"/>
    <w:rsid w:val="008C0E6A"/>
    <w:rsid w:val="00900C29"/>
    <w:rsid w:val="00964F46"/>
    <w:rsid w:val="009658DF"/>
    <w:rsid w:val="00976FFD"/>
    <w:rsid w:val="009A1F00"/>
    <w:rsid w:val="009B5C0E"/>
    <w:rsid w:val="009C2C75"/>
    <w:rsid w:val="009C6CB4"/>
    <w:rsid w:val="009F6402"/>
    <w:rsid w:val="00A22439"/>
    <w:rsid w:val="00A52780"/>
    <w:rsid w:val="00A55C0E"/>
    <w:rsid w:val="00A949B3"/>
    <w:rsid w:val="00AB394B"/>
    <w:rsid w:val="00AD02FE"/>
    <w:rsid w:val="00B00E97"/>
    <w:rsid w:val="00B131F2"/>
    <w:rsid w:val="00B33515"/>
    <w:rsid w:val="00BA575F"/>
    <w:rsid w:val="00BB6C36"/>
    <w:rsid w:val="00BC1F68"/>
    <w:rsid w:val="00BE3A80"/>
    <w:rsid w:val="00BF494F"/>
    <w:rsid w:val="00BF6E5A"/>
    <w:rsid w:val="00C05311"/>
    <w:rsid w:val="00C06366"/>
    <w:rsid w:val="00C10D04"/>
    <w:rsid w:val="00C12253"/>
    <w:rsid w:val="00C23E60"/>
    <w:rsid w:val="00C87587"/>
    <w:rsid w:val="00CC4196"/>
    <w:rsid w:val="00CE21C5"/>
    <w:rsid w:val="00CF42FC"/>
    <w:rsid w:val="00CF4C80"/>
    <w:rsid w:val="00D37A4C"/>
    <w:rsid w:val="00D412E0"/>
    <w:rsid w:val="00D7139C"/>
    <w:rsid w:val="00D85A09"/>
    <w:rsid w:val="00DA2973"/>
    <w:rsid w:val="00DA620F"/>
    <w:rsid w:val="00E04E00"/>
    <w:rsid w:val="00E429DD"/>
    <w:rsid w:val="00E74317"/>
    <w:rsid w:val="00E8058F"/>
    <w:rsid w:val="00E9603D"/>
    <w:rsid w:val="00ED49AD"/>
    <w:rsid w:val="00EE5E9C"/>
    <w:rsid w:val="00EF4594"/>
    <w:rsid w:val="00F06370"/>
    <w:rsid w:val="00F74709"/>
    <w:rsid w:val="00FC1BF5"/>
    <w:rsid w:val="00FC2F82"/>
    <w:rsid w:val="00FF1D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CC3946"/>
  <w15:docId w15:val="{7A86F043-647C-4BDE-A7E5-B1FE27CCE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44CB"/>
  </w:style>
  <w:style w:type="paragraph" w:styleId="Heading1">
    <w:name w:val="heading 1"/>
    <w:basedOn w:val="Normal"/>
    <w:next w:val="Normal"/>
    <w:link w:val="Heading1Char"/>
    <w:uiPriority w:val="9"/>
    <w:qFormat/>
    <w:rsid w:val="00A224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D44CB"/>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575F"/>
    <w:rPr>
      <w:color w:val="0563C1" w:themeColor="hyperlink"/>
      <w:u w:val="single"/>
    </w:rPr>
  </w:style>
  <w:style w:type="paragraph" w:customStyle="1" w:styleId="paradefault">
    <w:name w:val="paradefault"/>
    <w:basedOn w:val="Normal"/>
    <w:rsid w:val="0075568D"/>
    <w:pPr>
      <w:spacing w:before="30" w:after="90" w:line="240" w:lineRule="auto"/>
      <w:jc w:val="both"/>
    </w:pPr>
    <w:rPr>
      <w:rFonts w:ascii="Verdana" w:eastAsia="Times New Roman" w:hAnsi="Verdana" w:cs="Times New Roman"/>
      <w:color w:val="333333"/>
      <w:sz w:val="23"/>
      <w:szCs w:val="23"/>
      <w:lang w:eastAsia="en-GB"/>
    </w:rPr>
  </w:style>
  <w:style w:type="character" w:customStyle="1" w:styleId="Heading1Char">
    <w:name w:val="Heading 1 Char"/>
    <w:basedOn w:val="DefaultParagraphFont"/>
    <w:link w:val="Heading1"/>
    <w:uiPriority w:val="9"/>
    <w:rsid w:val="00A22439"/>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10031E"/>
    <w:rPr>
      <w:color w:val="954F72" w:themeColor="followedHyperlink"/>
      <w:u w:val="single"/>
    </w:rPr>
  </w:style>
  <w:style w:type="character" w:styleId="CommentReference">
    <w:name w:val="annotation reference"/>
    <w:basedOn w:val="DefaultParagraphFont"/>
    <w:uiPriority w:val="99"/>
    <w:semiHidden/>
    <w:unhideWhenUsed/>
    <w:rsid w:val="00D7139C"/>
    <w:rPr>
      <w:sz w:val="18"/>
      <w:szCs w:val="18"/>
    </w:rPr>
  </w:style>
  <w:style w:type="paragraph" w:styleId="CommentText">
    <w:name w:val="annotation text"/>
    <w:basedOn w:val="Normal"/>
    <w:link w:val="CommentTextChar"/>
    <w:uiPriority w:val="99"/>
    <w:semiHidden/>
    <w:unhideWhenUsed/>
    <w:rsid w:val="00D7139C"/>
    <w:pPr>
      <w:spacing w:line="240" w:lineRule="auto"/>
    </w:pPr>
    <w:rPr>
      <w:sz w:val="24"/>
      <w:szCs w:val="24"/>
    </w:rPr>
  </w:style>
  <w:style w:type="character" w:customStyle="1" w:styleId="CommentTextChar">
    <w:name w:val="Comment Text Char"/>
    <w:basedOn w:val="DefaultParagraphFont"/>
    <w:link w:val="CommentText"/>
    <w:uiPriority w:val="99"/>
    <w:semiHidden/>
    <w:rsid w:val="00D7139C"/>
    <w:rPr>
      <w:sz w:val="24"/>
      <w:szCs w:val="24"/>
    </w:rPr>
  </w:style>
  <w:style w:type="paragraph" w:styleId="CommentSubject">
    <w:name w:val="annotation subject"/>
    <w:basedOn w:val="CommentText"/>
    <w:next w:val="CommentText"/>
    <w:link w:val="CommentSubjectChar"/>
    <w:uiPriority w:val="99"/>
    <w:semiHidden/>
    <w:unhideWhenUsed/>
    <w:rsid w:val="00D7139C"/>
    <w:rPr>
      <w:b/>
      <w:bCs/>
      <w:sz w:val="20"/>
      <w:szCs w:val="20"/>
    </w:rPr>
  </w:style>
  <w:style w:type="character" w:customStyle="1" w:styleId="CommentSubjectChar">
    <w:name w:val="Comment Subject Char"/>
    <w:basedOn w:val="CommentTextChar"/>
    <w:link w:val="CommentSubject"/>
    <w:uiPriority w:val="99"/>
    <w:semiHidden/>
    <w:rsid w:val="00D7139C"/>
    <w:rPr>
      <w:b/>
      <w:bCs/>
      <w:sz w:val="20"/>
      <w:szCs w:val="20"/>
    </w:rPr>
  </w:style>
  <w:style w:type="paragraph" w:styleId="BalloonText">
    <w:name w:val="Balloon Text"/>
    <w:basedOn w:val="Normal"/>
    <w:link w:val="BalloonTextChar"/>
    <w:uiPriority w:val="99"/>
    <w:semiHidden/>
    <w:unhideWhenUsed/>
    <w:rsid w:val="00D7139C"/>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7139C"/>
    <w:rPr>
      <w:rFonts w:ascii="Lucida Grande" w:hAnsi="Lucida Grande" w:cs="Lucida Grande"/>
      <w:sz w:val="18"/>
      <w:szCs w:val="18"/>
    </w:rPr>
  </w:style>
  <w:style w:type="paragraph" w:styleId="Header">
    <w:name w:val="header"/>
    <w:basedOn w:val="Normal"/>
    <w:link w:val="HeaderChar"/>
    <w:uiPriority w:val="99"/>
    <w:unhideWhenUsed/>
    <w:rsid w:val="00656D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DD9"/>
  </w:style>
  <w:style w:type="paragraph" w:styleId="Footer">
    <w:name w:val="footer"/>
    <w:basedOn w:val="Normal"/>
    <w:link w:val="FooterChar"/>
    <w:uiPriority w:val="99"/>
    <w:unhideWhenUsed/>
    <w:rsid w:val="00656D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DD9"/>
  </w:style>
  <w:style w:type="character" w:styleId="UnresolvedMention">
    <w:name w:val="Unresolved Mention"/>
    <w:basedOn w:val="DefaultParagraphFont"/>
    <w:uiPriority w:val="99"/>
    <w:semiHidden/>
    <w:unhideWhenUsed/>
    <w:rsid w:val="00ED49A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81120">
      <w:bodyDiv w:val="1"/>
      <w:marLeft w:val="0"/>
      <w:marRight w:val="0"/>
      <w:marTop w:val="0"/>
      <w:marBottom w:val="0"/>
      <w:divBdr>
        <w:top w:val="none" w:sz="0" w:space="0" w:color="auto"/>
        <w:left w:val="none" w:sz="0" w:space="0" w:color="auto"/>
        <w:bottom w:val="none" w:sz="0" w:space="0" w:color="auto"/>
        <w:right w:val="none" w:sz="0" w:space="0" w:color="auto"/>
      </w:divBdr>
      <w:divsChild>
        <w:div w:id="1719819869">
          <w:marLeft w:val="0"/>
          <w:marRight w:val="0"/>
          <w:marTop w:val="0"/>
          <w:marBottom w:val="0"/>
          <w:divBdr>
            <w:top w:val="none" w:sz="0" w:space="0" w:color="auto"/>
            <w:left w:val="none" w:sz="0" w:space="0" w:color="auto"/>
            <w:bottom w:val="none" w:sz="0" w:space="0" w:color="auto"/>
            <w:right w:val="none" w:sz="0" w:space="0" w:color="auto"/>
          </w:divBdr>
        </w:div>
        <w:div w:id="1001929845">
          <w:marLeft w:val="0"/>
          <w:marRight w:val="0"/>
          <w:marTop w:val="0"/>
          <w:marBottom w:val="0"/>
          <w:divBdr>
            <w:top w:val="none" w:sz="0" w:space="0" w:color="auto"/>
            <w:left w:val="none" w:sz="0" w:space="0" w:color="auto"/>
            <w:bottom w:val="none" w:sz="0" w:space="0" w:color="auto"/>
            <w:right w:val="none" w:sz="0" w:space="0" w:color="auto"/>
          </w:divBdr>
        </w:div>
      </w:divsChild>
    </w:div>
    <w:div w:id="129136257">
      <w:bodyDiv w:val="1"/>
      <w:marLeft w:val="0"/>
      <w:marRight w:val="0"/>
      <w:marTop w:val="0"/>
      <w:marBottom w:val="0"/>
      <w:divBdr>
        <w:top w:val="none" w:sz="0" w:space="0" w:color="auto"/>
        <w:left w:val="none" w:sz="0" w:space="0" w:color="auto"/>
        <w:bottom w:val="none" w:sz="0" w:space="0" w:color="auto"/>
        <w:right w:val="none" w:sz="0" w:space="0" w:color="auto"/>
      </w:divBdr>
      <w:divsChild>
        <w:div w:id="948195581">
          <w:marLeft w:val="0"/>
          <w:marRight w:val="0"/>
          <w:marTop w:val="0"/>
          <w:marBottom w:val="0"/>
          <w:divBdr>
            <w:top w:val="none" w:sz="0" w:space="0" w:color="auto"/>
            <w:left w:val="none" w:sz="0" w:space="0" w:color="auto"/>
            <w:bottom w:val="none" w:sz="0" w:space="0" w:color="auto"/>
            <w:right w:val="none" w:sz="0" w:space="0" w:color="auto"/>
          </w:divBdr>
          <w:divsChild>
            <w:div w:id="951474984">
              <w:marLeft w:val="0"/>
              <w:marRight w:val="0"/>
              <w:marTop w:val="0"/>
              <w:marBottom w:val="0"/>
              <w:divBdr>
                <w:top w:val="none" w:sz="0" w:space="0" w:color="auto"/>
                <w:left w:val="none" w:sz="0" w:space="0" w:color="auto"/>
                <w:bottom w:val="none" w:sz="0" w:space="0" w:color="auto"/>
                <w:right w:val="none" w:sz="0" w:space="0" w:color="auto"/>
              </w:divBdr>
            </w:div>
            <w:div w:id="113332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435331">
      <w:bodyDiv w:val="1"/>
      <w:marLeft w:val="0"/>
      <w:marRight w:val="0"/>
      <w:marTop w:val="0"/>
      <w:marBottom w:val="0"/>
      <w:divBdr>
        <w:top w:val="none" w:sz="0" w:space="0" w:color="auto"/>
        <w:left w:val="none" w:sz="0" w:space="0" w:color="auto"/>
        <w:bottom w:val="none" w:sz="0" w:space="0" w:color="auto"/>
        <w:right w:val="none" w:sz="0" w:space="0" w:color="auto"/>
      </w:divBdr>
      <w:divsChild>
        <w:div w:id="1565943922">
          <w:marLeft w:val="0"/>
          <w:marRight w:val="0"/>
          <w:marTop w:val="0"/>
          <w:marBottom w:val="0"/>
          <w:divBdr>
            <w:top w:val="none" w:sz="0" w:space="0" w:color="auto"/>
            <w:left w:val="none" w:sz="0" w:space="0" w:color="auto"/>
            <w:bottom w:val="none" w:sz="0" w:space="0" w:color="auto"/>
            <w:right w:val="none" w:sz="0" w:space="0" w:color="auto"/>
          </w:divBdr>
          <w:divsChild>
            <w:div w:id="1899433283">
              <w:marLeft w:val="0"/>
              <w:marRight w:val="0"/>
              <w:marTop w:val="0"/>
              <w:marBottom w:val="0"/>
              <w:divBdr>
                <w:top w:val="none" w:sz="0" w:space="0" w:color="auto"/>
                <w:left w:val="none" w:sz="0" w:space="0" w:color="auto"/>
                <w:bottom w:val="none" w:sz="0" w:space="0" w:color="auto"/>
                <w:right w:val="none" w:sz="0" w:space="0" w:color="auto"/>
              </w:divBdr>
              <w:divsChild>
                <w:div w:id="102375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986891">
      <w:bodyDiv w:val="1"/>
      <w:marLeft w:val="0"/>
      <w:marRight w:val="0"/>
      <w:marTop w:val="0"/>
      <w:marBottom w:val="0"/>
      <w:divBdr>
        <w:top w:val="none" w:sz="0" w:space="0" w:color="auto"/>
        <w:left w:val="none" w:sz="0" w:space="0" w:color="auto"/>
        <w:bottom w:val="none" w:sz="0" w:space="0" w:color="auto"/>
        <w:right w:val="none" w:sz="0" w:space="0" w:color="auto"/>
      </w:divBdr>
      <w:divsChild>
        <w:div w:id="1492018806">
          <w:marLeft w:val="0"/>
          <w:marRight w:val="0"/>
          <w:marTop w:val="0"/>
          <w:marBottom w:val="0"/>
          <w:divBdr>
            <w:top w:val="none" w:sz="0" w:space="0" w:color="auto"/>
            <w:left w:val="none" w:sz="0" w:space="0" w:color="auto"/>
            <w:bottom w:val="none" w:sz="0" w:space="0" w:color="auto"/>
            <w:right w:val="none" w:sz="0" w:space="0" w:color="auto"/>
          </w:divBdr>
        </w:div>
        <w:div w:id="1402097946">
          <w:marLeft w:val="0"/>
          <w:marRight w:val="0"/>
          <w:marTop w:val="0"/>
          <w:marBottom w:val="0"/>
          <w:divBdr>
            <w:top w:val="none" w:sz="0" w:space="0" w:color="auto"/>
            <w:left w:val="none" w:sz="0" w:space="0" w:color="auto"/>
            <w:bottom w:val="none" w:sz="0" w:space="0" w:color="auto"/>
            <w:right w:val="none" w:sz="0" w:space="0" w:color="auto"/>
          </w:divBdr>
        </w:div>
        <w:div w:id="1966039387">
          <w:marLeft w:val="0"/>
          <w:marRight w:val="0"/>
          <w:marTop w:val="0"/>
          <w:marBottom w:val="0"/>
          <w:divBdr>
            <w:top w:val="none" w:sz="0" w:space="0" w:color="auto"/>
            <w:left w:val="none" w:sz="0" w:space="0" w:color="auto"/>
            <w:bottom w:val="none" w:sz="0" w:space="0" w:color="auto"/>
            <w:right w:val="none" w:sz="0" w:space="0" w:color="auto"/>
          </w:divBdr>
        </w:div>
      </w:divsChild>
    </w:div>
    <w:div w:id="379864554">
      <w:bodyDiv w:val="1"/>
      <w:marLeft w:val="0"/>
      <w:marRight w:val="0"/>
      <w:marTop w:val="0"/>
      <w:marBottom w:val="0"/>
      <w:divBdr>
        <w:top w:val="none" w:sz="0" w:space="0" w:color="auto"/>
        <w:left w:val="none" w:sz="0" w:space="0" w:color="auto"/>
        <w:bottom w:val="none" w:sz="0" w:space="0" w:color="auto"/>
        <w:right w:val="none" w:sz="0" w:space="0" w:color="auto"/>
      </w:divBdr>
      <w:divsChild>
        <w:div w:id="196696181">
          <w:marLeft w:val="0"/>
          <w:marRight w:val="0"/>
          <w:marTop w:val="0"/>
          <w:marBottom w:val="0"/>
          <w:divBdr>
            <w:top w:val="none" w:sz="0" w:space="0" w:color="auto"/>
            <w:left w:val="none" w:sz="0" w:space="0" w:color="auto"/>
            <w:bottom w:val="none" w:sz="0" w:space="0" w:color="auto"/>
            <w:right w:val="none" w:sz="0" w:space="0" w:color="auto"/>
          </w:divBdr>
        </w:div>
      </w:divsChild>
    </w:div>
    <w:div w:id="436409717">
      <w:bodyDiv w:val="1"/>
      <w:marLeft w:val="0"/>
      <w:marRight w:val="0"/>
      <w:marTop w:val="0"/>
      <w:marBottom w:val="0"/>
      <w:divBdr>
        <w:top w:val="none" w:sz="0" w:space="0" w:color="auto"/>
        <w:left w:val="none" w:sz="0" w:space="0" w:color="auto"/>
        <w:bottom w:val="none" w:sz="0" w:space="0" w:color="auto"/>
        <w:right w:val="none" w:sz="0" w:space="0" w:color="auto"/>
      </w:divBdr>
      <w:divsChild>
        <w:div w:id="2075663926">
          <w:marLeft w:val="0"/>
          <w:marRight w:val="0"/>
          <w:marTop w:val="0"/>
          <w:marBottom w:val="0"/>
          <w:divBdr>
            <w:top w:val="none" w:sz="0" w:space="0" w:color="auto"/>
            <w:left w:val="none" w:sz="0" w:space="0" w:color="auto"/>
            <w:bottom w:val="none" w:sz="0" w:space="0" w:color="auto"/>
            <w:right w:val="none" w:sz="0" w:space="0" w:color="auto"/>
          </w:divBdr>
        </w:div>
        <w:div w:id="207961381">
          <w:marLeft w:val="0"/>
          <w:marRight w:val="0"/>
          <w:marTop w:val="0"/>
          <w:marBottom w:val="0"/>
          <w:divBdr>
            <w:top w:val="none" w:sz="0" w:space="0" w:color="auto"/>
            <w:left w:val="none" w:sz="0" w:space="0" w:color="auto"/>
            <w:bottom w:val="none" w:sz="0" w:space="0" w:color="auto"/>
            <w:right w:val="none" w:sz="0" w:space="0" w:color="auto"/>
          </w:divBdr>
        </w:div>
        <w:div w:id="1396244859">
          <w:marLeft w:val="0"/>
          <w:marRight w:val="0"/>
          <w:marTop w:val="0"/>
          <w:marBottom w:val="0"/>
          <w:divBdr>
            <w:top w:val="none" w:sz="0" w:space="0" w:color="auto"/>
            <w:left w:val="none" w:sz="0" w:space="0" w:color="auto"/>
            <w:bottom w:val="none" w:sz="0" w:space="0" w:color="auto"/>
            <w:right w:val="none" w:sz="0" w:space="0" w:color="auto"/>
          </w:divBdr>
        </w:div>
        <w:div w:id="1508204592">
          <w:marLeft w:val="0"/>
          <w:marRight w:val="0"/>
          <w:marTop w:val="0"/>
          <w:marBottom w:val="0"/>
          <w:divBdr>
            <w:top w:val="none" w:sz="0" w:space="0" w:color="auto"/>
            <w:left w:val="none" w:sz="0" w:space="0" w:color="auto"/>
            <w:bottom w:val="none" w:sz="0" w:space="0" w:color="auto"/>
            <w:right w:val="none" w:sz="0" w:space="0" w:color="auto"/>
          </w:divBdr>
        </w:div>
        <w:div w:id="789595892">
          <w:marLeft w:val="0"/>
          <w:marRight w:val="0"/>
          <w:marTop w:val="0"/>
          <w:marBottom w:val="0"/>
          <w:divBdr>
            <w:top w:val="none" w:sz="0" w:space="0" w:color="auto"/>
            <w:left w:val="none" w:sz="0" w:space="0" w:color="auto"/>
            <w:bottom w:val="none" w:sz="0" w:space="0" w:color="auto"/>
            <w:right w:val="none" w:sz="0" w:space="0" w:color="auto"/>
          </w:divBdr>
        </w:div>
      </w:divsChild>
    </w:div>
    <w:div w:id="757948243">
      <w:bodyDiv w:val="1"/>
      <w:marLeft w:val="0"/>
      <w:marRight w:val="0"/>
      <w:marTop w:val="0"/>
      <w:marBottom w:val="0"/>
      <w:divBdr>
        <w:top w:val="none" w:sz="0" w:space="0" w:color="auto"/>
        <w:left w:val="none" w:sz="0" w:space="0" w:color="auto"/>
        <w:bottom w:val="none" w:sz="0" w:space="0" w:color="auto"/>
        <w:right w:val="none" w:sz="0" w:space="0" w:color="auto"/>
      </w:divBdr>
      <w:divsChild>
        <w:div w:id="443500626">
          <w:marLeft w:val="0"/>
          <w:marRight w:val="0"/>
          <w:marTop w:val="0"/>
          <w:marBottom w:val="0"/>
          <w:divBdr>
            <w:top w:val="none" w:sz="0" w:space="0" w:color="auto"/>
            <w:left w:val="none" w:sz="0" w:space="0" w:color="auto"/>
            <w:bottom w:val="none" w:sz="0" w:space="0" w:color="auto"/>
            <w:right w:val="none" w:sz="0" w:space="0" w:color="auto"/>
          </w:divBdr>
        </w:div>
        <w:div w:id="338772828">
          <w:marLeft w:val="0"/>
          <w:marRight w:val="0"/>
          <w:marTop w:val="0"/>
          <w:marBottom w:val="0"/>
          <w:divBdr>
            <w:top w:val="none" w:sz="0" w:space="0" w:color="auto"/>
            <w:left w:val="none" w:sz="0" w:space="0" w:color="auto"/>
            <w:bottom w:val="none" w:sz="0" w:space="0" w:color="auto"/>
            <w:right w:val="none" w:sz="0" w:space="0" w:color="auto"/>
          </w:divBdr>
        </w:div>
        <w:div w:id="741636958">
          <w:marLeft w:val="0"/>
          <w:marRight w:val="0"/>
          <w:marTop w:val="0"/>
          <w:marBottom w:val="0"/>
          <w:divBdr>
            <w:top w:val="none" w:sz="0" w:space="0" w:color="auto"/>
            <w:left w:val="none" w:sz="0" w:space="0" w:color="auto"/>
            <w:bottom w:val="none" w:sz="0" w:space="0" w:color="auto"/>
            <w:right w:val="none" w:sz="0" w:space="0" w:color="auto"/>
          </w:divBdr>
        </w:div>
        <w:div w:id="1620137486">
          <w:marLeft w:val="0"/>
          <w:marRight w:val="0"/>
          <w:marTop w:val="0"/>
          <w:marBottom w:val="0"/>
          <w:divBdr>
            <w:top w:val="none" w:sz="0" w:space="0" w:color="auto"/>
            <w:left w:val="none" w:sz="0" w:space="0" w:color="auto"/>
            <w:bottom w:val="none" w:sz="0" w:space="0" w:color="auto"/>
            <w:right w:val="none" w:sz="0" w:space="0" w:color="auto"/>
          </w:divBdr>
        </w:div>
        <w:div w:id="2101365819">
          <w:marLeft w:val="0"/>
          <w:marRight w:val="0"/>
          <w:marTop w:val="0"/>
          <w:marBottom w:val="0"/>
          <w:divBdr>
            <w:top w:val="none" w:sz="0" w:space="0" w:color="auto"/>
            <w:left w:val="none" w:sz="0" w:space="0" w:color="auto"/>
            <w:bottom w:val="none" w:sz="0" w:space="0" w:color="auto"/>
            <w:right w:val="none" w:sz="0" w:space="0" w:color="auto"/>
          </w:divBdr>
        </w:div>
        <w:div w:id="294338402">
          <w:marLeft w:val="0"/>
          <w:marRight w:val="0"/>
          <w:marTop w:val="0"/>
          <w:marBottom w:val="0"/>
          <w:divBdr>
            <w:top w:val="none" w:sz="0" w:space="0" w:color="auto"/>
            <w:left w:val="none" w:sz="0" w:space="0" w:color="auto"/>
            <w:bottom w:val="none" w:sz="0" w:space="0" w:color="auto"/>
            <w:right w:val="none" w:sz="0" w:space="0" w:color="auto"/>
          </w:divBdr>
        </w:div>
        <w:div w:id="985474312">
          <w:marLeft w:val="0"/>
          <w:marRight w:val="0"/>
          <w:marTop w:val="0"/>
          <w:marBottom w:val="0"/>
          <w:divBdr>
            <w:top w:val="none" w:sz="0" w:space="0" w:color="auto"/>
            <w:left w:val="none" w:sz="0" w:space="0" w:color="auto"/>
            <w:bottom w:val="none" w:sz="0" w:space="0" w:color="auto"/>
            <w:right w:val="none" w:sz="0" w:space="0" w:color="auto"/>
          </w:divBdr>
        </w:div>
        <w:div w:id="637610576">
          <w:marLeft w:val="0"/>
          <w:marRight w:val="0"/>
          <w:marTop w:val="0"/>
          <w:marBottom w:val="0"/>
          <w:divBdr>
            <w:top w:val="none" w:sz="0" w:space="0" w:color="auto"/>
            <w:left w:val="none" w:sz="0" w:space="0" w:color="auto"/>
            <w:bottom w:val="none" w:sz="0" w:space="0" w:color="auto"/>
            <w:right w:val="none" w:sz="0" w:space="0" w:color="auto"/>
          </w:divBdr>
        </w:div>
        <w:div w:id="1711765669">
          <w:marLeft w:val="0"/>
          <w:marRight w:val="0"/>
          <w:marTop w:val="0"/>
          <w:marBottom w:val="0"/>
          <w:divBdr>
            <w:top w:val="none" w:sz="0" w:space="0" w:color="auto"/>
            <w:left w:val="none" w:sz="0" w:space="0" w:color="auto"/>
            <w:bottom w:val="none" w:sz="0" w:space="0" w:color="auto"/>
            <w:right w:val="none" w:sz="0" w:space="0" w:color="auto"/>
          </w:divBdr>
        </w:div>
        <w:div w:id="2028359854">
          <w:marLeft w:val="0"/>
          <w:marRight w:val="0"/>
          <w:marTop w:val="0"/>
          <w:marBottom w:val="0"/>
          <w:divBdr>
            <w:top w:val="none" w:sz="0" w:space="0" w:color="auto"/>
            <w:left w:val="none" w:sz="0" w:space="0" w:color="auto"/>
            <w:bottom w:val="none" w:sz="0" w:space="0" w:color="auto"/>
            <w:right w:val="none" w:sz="0" w:space="0" w:color="auto"/>
          </w:divBdr>
        </w:div>
        <w:div w:id="926424335">
          <w:marLeft w:val="0"/>
          <w:marRight w:val="0"/>
          <w:marTop w:val="0"/>
          <w:marBottom w:val="0"/>
          <w:divBdr>
            <w:top w:val="none" w:sz="0" w:space="0" w:color="auto"/>
            <w:left w:val="none" w:sz="0" w:space="0" w:color="auto"/>
            <w:bottom w:val="none" w:sz="0" w:space="0" w:color="auto"/>
            <w:right w:val="none" w:sz="0" w:space="0" w:color="auto"/>
          </w:divBdr>
        </w:div>
        <w:div w:id="1523125888">
          <w:marLeft w:val="0"/>
          <w:marRight w:val="0"/>
          <w:marTop w:val="0"/>
          <w:marBottom w:val="0"/>
          <w:divBdr>
            <w:top w:val="none" w:sz="0" w:space="0" w:color="auto"/>
            <w:left w:val="none" w:sz="0" w:space="0" w:color="auto"/>
            <w:bottom w:val="none" w:sz="0" w:space="0" w:color="auto"/>
            <w:right w:val="none" w:sz="0" w:space="0" w:color="auto"/>
          </w:divBdr>
        </w:div>
        <w:div w:id="1126433042">
          <w:marLeft w:val="0"/>
          <w:marRight w:val="0"/>
          <w:marTop w:val="0"/>
          <w:marBottom w:val="0"/>
          <w:divBdr>
            <w:top w:val="none" w:sz="0" w:space="0" w:color="auto"/>
            <w:left w:val="none" w:sz="0" w:space="0" w:color="auto"/>
            <w:bottom w:val="none" w:sz="0" w:space="0" w:color="auto"/>
            <w:right w:val="none" w:sz="0" w:space="0" w:color="auto"/>
          </w:divBdr>
        </w:div>
        <w:div w:id="160975902">
          <w:marLeft w:val="0"/>
          <w:marRight w:val="0"/>
          <w:marTop w:val="0"/>
          <w:marBottom w:val="0"/>
          <w:divBdr>
            <w:top w:val="none" w:sz="0" w:space="0" w:color="auto"/>
            <w:left w:val="none" w:sz="0" w:space="0" w:color="auto"/>
            <w:bottom w:val="none" w:sz="0" w:space="0" w:color="auto"/>
            <w:right w:val="none" w:sz="0" w:space="0" w:color="auto"/>
          </w:divBdr>
        </w:div>
        <w:div w:id="1186600754">
          <w:marLeft w:val="0"/>
          <w:marRight w:val="0"/>
          <w:marTop w:val="0"/>
          <w:marBottom w:val="0"/>
          <w:divBdr>
            <w:top w:val="none" w:sz="0" w:space="0" w:color="auto"/>
            <w:left w:val="none" w:sz="0" w:space="0" w:color="auto"/>
            <w:bottom w:val="none" w:sz="0" w:space="0" w:color="auto"/>
            <w:right w:val="none" w:sz="0" w:space="0" w:color="auto"/>
          </w:divBdr>
        </w:div>
        <w:div w:id="1583028974">
          <w:marLeft w:val="0"/>
          <w:marRight w:val="0"/>
          <w:marTop w:val="0"/>
          <w:marBottom w:val="0"/>
          <w:divBdr>
            <w:top w:val="none" w:sz="0" w:space="0" w:color="auto"/>
            <w:left w:val="none" w:sz="0" w:space="0" w:color="auto"/>
            <w:bottom w:val="none" w:sz="0" w:space="0" w:color="auto"/>
            <w:right w:val="none" w:sz="0" w:space="0" w:color="auto"/>
          </w:divBdr>
        </w:div>
        <w:div w:id="813063642">
          <w:marLeft w:val="0"/>
          <w:marRight w:val="0"/>
          <w:marTop w:val="0"/>
          <w:marBottom w:val="0"/>
          <w:divBdr>
            <w:top w:val="none" w:sz="0" w:space="0" w:color="auto"/>
            <w:left w:val="none" w:sz="0" w:space="0" w:color="auto"/>
            <w:bottom w:val="none" w:sz="0" w:space="0" w:color="auto"/>
            <w:right w:val="none" w:sz="0" w:space="0" w:color="auto"/>
          </w:divBdr>
        </w:div>
        <w:div w:id="363747718">
          <w:marLeft w:val="0"/>
          <w:marRight w:val="0"/>
          <w:marTop w:val="0"/>
          <w:marBottom w:val="0"/>
          <w:divBdr>
            <w:top w:val="none" w:sz="0" w:space="0" w:color="auto"/>
            <w:left w:val="none" w:sz="0" w:space="0" w:color="auto"/>
            <w:bottom w:val="none" w:sz="0" w:space="0" w:color="auto"/>
            <w:right w:val="none" w:sz="0" w:space="0" w:color="auto"/>
          </w:divBdr>
        </w:div>
        <w:div w:id="38749429">
          <w:marLeft w:val="0"/>
          <w:marRight w:val="0"/>
          <w:marTop w:val="0"/>
          <w:marBottom w:val="0"/>
          <w:divBdr>
            <w:top w:val="none" w:sz="0" w:space="0" w:color="auto"/>
            <w:left w:val="none" w:sz="0" w:space="0" w:color="auto"/>
            <w:bottom w:val="none" w:sz="0" w:space="0" w:color="auto"/>
            <w:right w:val="none" w:sz="0" w:space="0" w:color="auto"/>
          </w:divBdr>
        </w:div>
        <w:div w:id="2368228">
          <w:marLeft w:val="0"/>
          <w:marRight w:val="0"/>
          <w:marTop w:val="0"/>
          <w:marBottom w:val="0"/>
          <w:divBdr>
            <w:top w:val="none" w:sz="0" w:space="0" w:color="auto"/>
            <w:left w:val="none" w:sz="0" w:space="0" w:color="auto"/>
            <w:bottom w:val="none" w:sz="0" w:space="0" w:color="auto"/>
            <w:right w:val="none" w:sz="0" w:space="0" w:color="auto"/>
          </w:divBdr>
        </w:div>
        <w:div w:id="81608306">
          <w:marLeft w:val="0"/>
          <w:marRight w:val="0"/>
          <w:marTop w:val="0"/>
          <w:marBottom w:val="0"/>
          <w:divBdr>
            <w:top w:val="none" w:sz="0" w:space="0" w:color="auto"/>
            <w:left w:val="none" w:sz="0" w:space="0" w:color="auto"/>
            <w:bottom w:val="none" w:sz="0" w:space="0" w:color="auto"/>
            <w:right w:val="none" w:sz="0" w:space="0" w:color="auto"/>
          </w:divBdr>
        </w:div>
      </w:divsChild>
    </w:div>
    <w:div w:id="957758588">
      <w:bodyDiv w:val="1"/>
      <w:marLeft w:val="0"/>
      <w:marRight w:val="0"/>
      <w:marTop w:val="0"/>
      <w:marBottom w:val="0"/>
      <w:divBdr>
        <w:top w:val="none" w:sz="0" w:space="0" w:color="auto"/>
        <w:left w:val="none" w:sz="0" w:space="0" w:color="auto"/>
        <w:bottom w:val="none" w:sz="0" w:space="0" w:color="auto"/>
        <w:right w:val="none" w:sz="0" w:space="0" w:color="auto"/>
      </w:divBdr>
      <w:divsChild>
        <w:div w:id="612979292">
          <w:marLeft w:val="0"/>
          <w:marRight w:val="0"/>
          <w:marTop w:val="0"/>
          <w:marBottom w:val="0"/>
          <w:divBdr>
            <w:top w:val="none" w:sz="0" w:space="0" w:color="auto"/>
            <w:left w:val="none" w:sz="0" w:space="0" w:color="auto"/>
            <w:bottom w:val="none" w:sz="0" w:space="0" w:color="auto"/>
            <w:right w:val="none" w:sz="0" w:space="0" w:color="auto"/>
          </w:divBdr>
        </w:div>
        <w:div w:id="775908445">
          <w:marLeft w:val="0"/>
          <w:marRight w:val="0"/>
          <w:marTop w:val="0"/>
          <w:marBottom w:val="0"/>
          <w:divBdr>
            <w:top w:val="none" w:sz="0" w:space="0" w:color="auto"/>
            <w:left w:val="none" w:sz="0" w:space="0" w:color="auto"/>
            <w:bottom w:val="none" w:sz="0" w:space="0" w:color="auto"/>
            <w:right w:val="none" w:sz="0" w:space="0" w:color="auto"/>
          </w:divBdr>
        </w:div>
        <w:div w:id="1308626439">
          <w:marLeft w:val="0"/>
          <w:marRight w:val="0"/>
          <w:marTop w:val="0"/>
          <w:marBottom w:val="0"/>
          <w:divBdr>
            <w:top w:val="none" w:sz="0" w:space="0" w:color="auto"/>
            <w:left w:val="none" w:sz="0" w:space="0" w:color="auto"/>
            <w:bottom w:val="none" w:sz="0" w:space="0" w:color="auto"/>
            <w:right w:val="none" w:sz="0" w:space="0" w:color="auto"/>
          </w:divBdr>
        </w:div>
        <w:div w:id="1007176166">
          <w:marLeft w:val="0"/>
          <w:marRight w:val="0"/>
          <w:marTop w:val="0"/>
          <w:marBottom w:val="0"/>
          <w:divBdr>
            <w:top w:val="none" w:sz="0" w:space="0" w:color="auto"/>
            <w:left w:val="none" w:sz="0" w:space="0" w:color="auto"/>
            <w:bottom w:val="none" w:sz="0" w:space="0" w:color="auto"/>
            <w:right w:val="none" w:sz="0" w:space="0" w:color="auto"/>
          </w:divBdr>
        </w:div>
        <w:div w:id="704326761">
          <w:marLeft w:val="0"/>
          <w:marRight w:val="0"/>
          <w:marTop w:val="0"/>
          <w:marBottom w:val="0"/>
          <w:divBdr>
            <w:top w:val="none" w:sz="0" w:space="0" w:color="auto"/>
            <w:left w:val="none" w:sz="0" w:space="0" w:color="auto"/>
            <w:bottom w:val="none" w:sz="0" w:space="0" w:color="auto"/>
            <w:right w:val="none" w:sz="0" w:space="0" w:color="auto"/>
          </w:divBdr>
        </w:div>
        <w:div w:id="1539317560">
          <w:marLeft w:val="0"/>
          <w:marRight w:val="0"/>
          <w:marTop w:val="0"/>
          <w:marBottom w:val="0"/>
          <w:divBdr>
            <w:top w:val="none" w:sz="0" w:space="0" w:color="auto"/>
            <w:left w:val="none" w:sz="0" w:space="0" w:color="auto"/>
            <w:bottom w:val="none" w:sz="0" w:space="0" w:color="auto"/>
            <w:right w:val="none" w:sz="0" w:space="0" w:color="auto"/>
          </w:divBdr>
        </w:div>
        <w:div w:id="904603949">
          <w:marLeft w:val="0"/>
          <w:marRight w:val="0"/>
          <w:marTop w:val="0"/>
          <w:marBottom w:val="0"/>
          <w:divBdr>
            <w:top w:val="none" w:sz="0" w:space="0" w:color="auto"/>
            <w:left w:val="none" w:sz="0" w:space="0" w:color="auto"/>
            <w:bottom w:val="none" w:sz="0" w:space="0" w:color="auto"/>
            <w:right w:val="none" w:sz="0" w:space="0" w:color="auto"/>
          </w:divBdr>
        </w:div>
        <w:div w:id="620960128">
          <w:marLeft w:val="0"/>
          <w:marRight w:val="0"/>
          <w:marTop w:val="0"/>
          <w:marBottom w:val="0"/>
          <w:divBdr>
            <w:top w:val="none" w:sz="0" w:space="0" w:color="auto"/>
            <w:left w:val="none" w:sz="0" w:space="0" w:color="auto"/>
            <w:bottom w:val="none" w:sz="0" w:space="0" w:color="auto"/>
            <w:right w:val="none" w:sz="0" w:space="0" w:color="auto"/>
          </w:divBdr>
        </w:div>
        <w:div w:id="1132937897">
          <w:marLeft w:val="0"/>
          <w:marRight w:val="0"/>
          <w:marTop w:val="0"/>
          <w:marBottom w:val="0"/>
          <w:divBdr>
            <w:top w:val="none" w:sz="0" w:space="0" w:color="auto"/>
            <w:left w:val="none" w:sz="0" w:space="0" w:color="auto"/>
            <w:bottom w:val="none" w:sz="0" w:space="0" w:color="auto"/>
            <w:right w:val="none" w:sz="0" w:space="0" w:color="auto"/>
          </w:divBdr>
        </w:div>
        <w:div w:id="2043894096">
          <w:marLeft w:val="0"/>
          <w:marRight w:val="0"/>
          <w:marTop w:val="0"/>
          <w:marBottom w:val="0"/>
          <w:divBdr>
            <w:top w:val="none" w:sz="0" w:space="0" w:color="auto"/>
            <w:left w:val="none" w:sz="0" w:space="0" w:color="auto"/>
            <w:bottom w:val="none" w:sz="0" w:space="0" w:color="auto"/>
            <w:right w:val="none" w:sz="0" w:space="0" w:color="auto"/>
          </w:divBdr>
        </w:div>
        <w:div w:id="1745444908">
          <w:marLeft w:val="0"/>
          <w:marRight w:val="0"/>
          <w:marTop w:val="0"/>
          <w:marBottom w:val="0"/>
          <w:divBdr>
            <w:top w:val="none" w:sz="0" w:space="0" w:color="auto"/>
            <w:left w:val="none" w:sz="0" w:space="0" w:color="auto"/>
            <w:bottom w:val="none" w:sz="0" w:space="0" w:color="auto"/>
            <w:right w:val="none" w:sz="0" w:space="0" w:color="auto"/>
          </w:divBdr>
        </w:div>
        <w:div w:id="669258251">
          <w:marLeft w:val="0"/>
          <w:marRight w:val="0"/>
          <w:marTop w:val="0"/>
          <w:marBottom w:val="0"/>
          <w:divBdr>
            <w:top w:val="none" w:sz="0" w:space="0" w:color="auto"/>
            <w:left w:val="none" w:sz="0" w:space="0" w:color="auto"/>
            <w:bottom w:val="none" w:sz="0" w:space="0" w:color="auto"/>
            <w:right w:val="none" w:sz="0" w:space="0" w:color="auto"/>
          </w:divBdr>
        </w:div>
      </w:divsChild>
    </w:div>
    <w:div w:id="1055470739">
      <w:bodyDiv w:val="1"/>
      <w:marLeft w:val="0"/>
      <w:marRight w:val="0"/>
      <w:marTop w:val="0"/>
      <w:marBottom w:val="0"/>
      <w:divBdr>
        <w:top w:val="none" w:sz="0" w:space="0" w:color="auto"/>
        <w:left w:val="none" w:sz="0" w:space="0" w:color="auto"/>
        <w:bottom w:val="none" w:sz="0" w:space="0" w:color="auto"/>
        <w:right w:val="none" w:sz="0" w:space="0" w:color="auto"/>
      </w:divBdr>
    </w:div>
    <w:div w:id="1316639661">
      <w:bodyDiv w:val="1"/>
      <w:marLeft w:val="0"/>
      <w:marRight w:val="0"/>
      <w:marTop w:val="0"/>
      <w:marBottom w:val="0"/>
      <w:divBdr>
        <w:top w:val="none" w:sz="0" w:space="0" w:color="auto"/>
        <w:left w:val="none" w:sz="0" w:space="0" w:color="auto"/>
        <w:bottom w:val="none" w:sz="0" w:space="0" w:color="auto"/>
        <w:right w:val="none" w:sz="0" w:space="0" w:color="auto"/>
      </w:divBdr>
      <w:divsChild>
        <w:div w:id="777720698">
          <w:marLeft w:val="0"/>
          <w:marRight w:val="0"/>
          <w:marTop w:val="0"/>
          <w:marBottom w:val="0"/>
          <w:divBdr>
            <w:top w:val="none" w:sz="0" w:space="0" w:color="auto"/>
            <w:left w:val="none" w:sz="0" w:space="0" w:color="auto"/>
            <w:bottom w:val="none" w:sz="0" w:space="0" w:color="auto"/>
            <w:right w:val="none" w:sz="0" w:space="0" w:color="auto"/>
          </w:divBdr>
        </w:div>
      </w:divsChild>
    </w:div>
    <w:div w:id="1343968597">
      <w:bodyDiv w:val="1"/>
      <w:marLeft w:val="0"/>
      <w:marRight w:val="0"/>
      <w:marTop w:val="0"/>
      <w:marBottom w:val="0"/>
      <w:divBdr>
        <w:top w:val="none" w:sz="0" w:space="0" w:color="auto"/>
        <w:left w:val="none" w:sz="0" w:space="0" w:color="auto"/>
        <w:bottom w:val="none" w:sz="0" w:space="0" w:color="auto"/>
        <w:right w:val="none" w:sz="0" w:space="0" w:color="auto"/>
      </w:divBdr>
      <w:divsChild>
        <w:div w:id="2124375771">
          <w:marLeft w:val="0"/>
          <w:marRight w:val="0"/>
          <w:marTop w:val="0"/>
          <w:marBottom w:val="0"/>
          <w:divBdr>
            <w:top w:val="none" w:sz="0" w:space="0" w:color="auto"/>
            <w:left w:val="none" w:sz="0" w:space="0" w:color="auto"/>
            <w:bottom w:val="none" w:sz="0" w:space="0" w:color="auto"/>
            <w:right w:val="none" w:sz="0" w:space="0" w:color="auto"/>
          </w:divBdr>
        </w:div>
        <w:div w:id="334041859">
          <w:marLeft w:val="0"/>
          <w:marRight w:val="0"/>
          <w:marTop w:val="0"/>
          <w:marBottom w:val="0"/>
          <w:divBdr>
            <w:top w:val="none" w:sz="0" w:space="0" w:color="auto"/>
            <w:left w:val="none" w:sz="0" w:space="0" w:color="auto"/>
            <w:bottom w:val="none" w:sz="0" w:space="0" w:color="auto"/>
            <w:right w:val="none" w:sz="0" w:space="0" w:color="auto"/>
          </w:divBdr>
        </w:div>
        <w:div w:id="1558122607">
          <w:marLeft w:val="0"/>
          <w:marRight w:val="0"/>
          <w:marTop w:val="0"/>
          <w:marBottom w:val="0"/>
          <w:divBdr>
            <w:top w:val="none" w:sz="0" w:space="0" w:color="auto"/>
            <w:left w:val="none" w:sz="0" w:space="0" w:color="auto"/>
            <w:bottom w:val="none" w:sz="0" w:space="0" w:color="auto"/>
            <w:right w:val="none" w:sz="0" w:space="0" w:color="auto"/>
          </w:divBdr>
        </w:div>
        <w:div w:id="1956980848">
          <w:marLeft w:val="0"/>
          <w:marRight w:val="0"/>
          <w:marTop w:val="0"/>
          <w:marBottom w:val="0"/>
          <w:divBdr>
            <w:top w:val="none" w:sz="0" w:space="0" w:color="auto"/>
            <w:left w:val="none" w:sz="0" w:space="0" w:color="auto"/>
            <w:bottom w:val="none" w:sz="0" w:space="0" w:color="auto"/>
            <w:right w:val="none" w:sz="0" w:space="0" w:color="auto"/>
          </w:divBdr>
        </w:div>
        <w:div w:id="1810440142">
          <w:marLeft w:val="0"/>
          <w:marRight w:val="0"/>
          <w:marTop w:val="0"/>
          <w:marBottom w:val="0"/>
          <w:divBdr>
            <w:top w:val="none" w:sz="0" w:space="0" w:color="auto"/>
            <w:left w:val="none" w:sz="0" w:space="0" w:color="auto"/>
            <w:bottom w:val="none" w:sz="0" w:space="0" w:color="auto"/>
            <w:right w:val="none" w:sz="0" w:space="0" w:color="auto"/>
          </w:divBdr>
        </w:div>
        <w:div w:id="1027684786">
          <w:marLeft w:val="0"/>
          <w:marRight w:val="0"/>
          <w:marTop w:val="0"/>
          <w:marBottom w:val="0"/>
          <w:divBdr>
            <w:top w:val="none" w:sz="0" w:space="0" w:color="auto"/>
            <w:left w:val="none" w:sz="0" w:space="0" w:color="auto"/>
            <w:bottom w:val="none" w:sz="0" w:space="0" w:color="auto"/>
            <w:right w:val="none" w:sz="0" w:space="0" w:color="auto"/>
          </w:divBdr>
        </w:div>
        <w:div w:id="169102836">
          <w:marLeft w:val="0"/>
          <w:marRight w:val="0"/>
          <w:marTop w:val="0"/>
          <w:marBottom w:val="0"/>
          <w:divBdr>
            <w:top w:val="none" w:sz="0" w:space="0" w:color="auto"/>
            <w:left w:val="none" w:sz="0" w:space="0" w:color="auto"/>
            <w:bottom w:val="none" w:sz="0" w:space="0" w:color="auto"/>
            <w:right w:val="none" w:sz="0" w:space="0" w:color="auto"/>
          </w:divBdr>
        </w:div>
        <w:div w:id="898322833">
          <w:marLeft w:val="0"/>
          <w:marRight w:val="0"/>
          <w:marTop w:val="0"/>
          <w:marBottom w:val="0"/>
          <w:divBdr>
            <w:top w:val="none" w:sz="0" w:space="0" w:color="auto"/>
            <w:left w:val="none" w:sz="0" w:space="0" w:color="auto"/>
            <w:bottom w:val="none" w:sz="0" w:space="0" w:color="auto"/>
            <w:right w:val="none" w:sz="0" w:space="0" w:color="auto"/>
          </w:divBdr>
        </w:div>
        <w:div w:id="1237516910">
          <w:marLeft w:val="0"/>
          <w:marRight w:val="0"/>
          <w:marTop w:val="0"/>
          <w:marBottom w:val="0"/>
          <w:divBdr>
            <w:top w:val="none" w:sz="0" w:space="0" w:color="auto"/>
            <w:left w:val="none" w:sz="0" w:space="0" w:color="auto"/>
            <w:bottom w:val="none" w:sz="0" w:space="0" w:color="auto"/>
            <w:right w:val="none" w:sz="0" w:space="0" w:color="auto"/>
          </w:divBdr>
        </w:div>
      </w:divsChild>
    </w:div>
    <w:div w:id="1620646842">
      <w:bodyDiv w:val="1"/>
      <w:marLeft w:val="0"/>
      <w:marRight w:val="0"/>
      <w:marTop w:val="0"/>
      <w:marBottom w:val="0"/>
      <w:divBdr>
        <w:top w:val="none" w:sz="0" w:space="0" w:color="auto"/>
        <w:left w:val="none" w:sz="0" w:space="0" w:color="auto"/>
        <w:bottom w:val="none" w:sz="0" w:space="0" w:color="auto"/>
        <w:right w:val="none" w:sz="0" w:space="0" w:color="auto"/>
      </w:divBdr>
      <w:divsChild>
        <w:div w:id="1216774142">
          <w:marLeft w:val="0"/>
          <w:marRight w:val="0"/>
          <w:marTop w:val="0"/>
          <w:marBottom w:val="0"/>
          <w:divBdr>
            <w:top w:val="none" w:sz="0" w:space="0" w:color="auto"/>
            <w:left w:val="none" w:sz="0" w:space="0" w:color="auto"/>
            <w:bottom w:val="none" w:sz="0" w:space="0" w:color="auto"/>
            <w:right w:val="none" w:sz="0" w:space="0" w:color="auto"/>
          </w:divBdr>
          <w:divsChild>
            <w:div w:id="2118209374">
              <w:marLeft w:val="0"/>
              <w:marRight w:val="0"/>
              <w:marTop w:val="0"/>
              <w:marBottom w:val="0"/>
              <w:divBdr>
                <w:top w:val="none" w:sz="0" w:space="0" w:color="auto"/>
                <w:left w:val="none" w:sz="0" w:space="0" w:color="auto"/>
                <w:bottom w:val="none" w:sz="0" w:space="0" w:color="auto"/>
                <w:right w:val="none" w:sz="0" w:space="0" w:color="auto"/>
              </w:divBdr>
            </w:div>
            <w:div w:id="153210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moodle.uwtsd.ac.uk/pluginfile.php/34539/mod_resource/content/1/Inquiry%20into%20Child%20Obesit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14</Pages>
  <Words>4879</Words>
  <Characters>27811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 Anderson</dc:creator>
  <cp:lastModifiedBy>Camille James</cp:lastModifiedBy>
  <cp:revision>71</cp:revision>
  <dcterms:created xsi:type="dcterms:W3CDTF">2018-04-17T13:26:00Z</dcterms:created>
  <dcterms:modified xsi:type="dcterms:W3CDTF">2018-04-19T19:22:00Z</dcterms:modified>
</cp:coreProperties>
</file>