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pPr>
      <w:r>
        <w:rPr>
          <w:rtl w:val="0"/>
          <w:lang w:val="en-US"/>
        </w:rPr>
        <w:t xml:space="preserve">BRIEFING NOTE </w:t>
      </w:r>
    </w:p>
    <w:p>
      <w:pPr>
        <w:pStyle w:val="Body"/>
        <w:jc w:val="center"/>
      </w:pPr>
      <w:r>
        <w:rPr>
          <w:rtl w:val="0"/>
        </w:rPr>
        <w:t>Paul Potter</w:t>
      </w:r>
    </w:p>
    <w:p>
      <w:pPr>
        <w:pStyle w:val="Body"/>
        <w:rPr>
          <w:b w:val="1"/>
          <w:bCs w:val="1"/>
        </w:rPr>
      </w:pPr>
      <w:r>
        <w:rPr>
          <w:b w:val="1"/>
          <w:bCs w:val="1"/>
          <w:rtl w:val="0"/>
        </w:rPr>
        <w:t>TASK 1</w:t>
      </w:r>
    </w:p>
    <w:p>
      <w:pPr>
        <w:pStyle w:val="Body"/>
      </w:pPr>
    </w:p>
    <w:p>
      <w:pPr>
        <w:pStyle w:val="Body"/>
      </w:pPr>
      <w:r>
        <w:rPr>
          <w:rtl w:val="0"/>
          <w:lang w:val="en-US"/>
        </w:rPr>
        <w:t>Sole trader:</w:t>
      </w:r>
    </w:p>
    <w:p>
      <w:pPr>
        <w:pStyle w:val="Body"/>
      </w:pPr>
      <w:r>
        <w:rPr>
          <w:rtl w:val="0"/>
          <w:lang w:val="en-US"/>
        </w:rPr>
        <w:t xml:space="preserve">Setting up the company for use as a sole trader comes with its own advantages and disadvantages that can have drastic impacts on the company depending on the starting point. One of the main aspects for becoming a sole trader is the financial side of the company which is dependent on the personal  financial situation of yourself. Setting up a company as a sole trader means that the company will be limited to the resources of yourself with possible help that could be in the form of a loan or grants given from the government. The financial aspect of being a sole trader is about personal preference as if there is sufficient funding then the financial side of the company does not need to be looked at in a negative light and should not be a factor that holds back your decision. However, the funding that is needed is large and if there is not enough money to be able to fully support the business then it could be setting the company up for failure. If the company would be looking to use either loans or grants from both the government or the bank then a credible business plan is required for them to be able to give the company the money. These business plans need to show the financial plans for the company so that they can see where the money would be going and there would also need to be a form of security when dealing with the bank in order to gain a loan from them. If the company was to be set up as a sole trader then the taxation for the company would then depend on the income that was brought in. The taxation levels for the company would be one of either four different levels starting at 0% if the company only made up to </w:t>
      </w:r>
      <w:r>
        <w:rPr>
          <w:rtl w:val="0"/>
        </w:rPr>
        <w:t>£</w:t>
      </w:r>
      <w:r>
        <w:rPr>
          <w:rtl w:val="0"/>
          <w:lang w:val="en-US"/>
        </w:rPr>
        <w:t xml:space="preserve">12,570, with the next tax mark being at 20% if the income was between </w:t>
      </w:r>
      <w:r>
        <w:rPr>
          <w:rtl w:val="0"/>
        </w:rPr>
        <w:t>£</w:t>
      </w:r>
      <w:r>
        <w:rPr>
          <w:rtl w:val="0"/>
          <w:lang w:val="en-US"/>
        </w:rPr>
        <w:t xml:space="preserve">12,570 and </w:t>
      </w:r>
      <w:r>
        <w:rPr>
          <w:rtl w:val="0"/>
        </w:rPr>
        <w:t>£</w:t>
      </w:r>
      <w:r>
        <w:rPr>
          <w:rtl w:val="0"/>
          <w:lang w:val="en-US"/>
        </w:rPr>
        <w:t xml:space="preserve">50,270. The third tax bracket is 40% which is for companies whose whole income is between </w:t>
      </w:r>
      <w:r>
        <w:rPr>
          <w:rtl w:val="0"/>
        </w:rPr>
        <w:t>£</w:t>
      </w:r>
      <w:r>
        <w:rPr>
          <w:rtl w:val="0"/>
          <w:lang w:val="en-US"/>
        </w:rPr>
        <w:t xml:space="preserve">50,270 and </w:t>
      </w:r>
      <w:r>
        <w:rPr>
          <w:rtl w:val="0"/>
        </w:rPr>
        <w:t>£</w:t>
      </w:r>
      <w:r>
        <w:rPr>
          <w:rtl w:val="0"/>
          <w:lang w:val="en-US"/>
        </w:rPr>
        <w:t xml:space="preserve">150,000, and then the final tax bracket is at 45% for any income over the value of </w:t>
      </w:r>
      <w:r>
        <w:rPr>
          <w:rtl w:val="0"/>
        </w:rPr>
        <w:t>£</w:t>
      </w:r>
      <w:r>
        <w:rPr>
          <w:rtl w:val="0"/>
          <w:lang w:val="en-US"/>
        </w:rPr>
        <w:t xml:space="preserve">150,000. Another aspect that must be looked at when becoming a sole trader is the company name and what would be allowed to be used and what would legally be considered as a passed off name. The company name </w:t>
      </w:r>
      <w:r>
        <w:rPr>
          <w:rtl w:val="1"/>
          <w:lang w:val="ar-SA" w:bidi="ar-SA"/>
        </w:rPr>
        <w:t>“</w:t>
      </w:r>
      <w:r>
        <w:rPr>
          <w:rtl w:val="0"/>
          <w:lang w:val="en-US"/>
        </w:rPr>
        <w:t>Sweetstuff</w:t>
      </w:r>
      <w:r>
        <w:rPr>
          <w:rtl w:val="0"/>
        </w:rPr>
        <w:t xml:space="preserve">” </w:t>
      </w:r>
      <w:r>
        <w:rPr>
          <w:rtl w:val="0"/>
          <w:lang w:val="en-US"/>
        </w:rPr>
        <w:t xml:space="preserve">would not be able to be used as it is considered too similar to the already existing company name </w:t>
      </w:r>
      <w:r>
        <w:rPr>
          <w:rtl w:val="1"/>
          <w:lang w:val="ar-SA" w:bidi="ar-SA"/>
        </w:rPr>
        <w:t>“</w:t>
      </w:r>
      <w:r>
        <w:rPr>
          <w:rtl w:val="0"/>
          <w:lang w:val="en-US"/>
        </w:rPr>
        <w:t>Sweet Stuff</w:t>
      </w:r>
      <w:r>
        <w:rPr>
          <w:rtl w:val="0"/>
        </w:rPr>
        <w:t xml:space="preserve">” </w:t>
      </w:r>
      <w:r>
        <w:rPr>
          <w:rtl w:val="0"/>
          <w:lang w:val="en-US"/>
        </w:rPr>
        <w:t xml:space="preserve">and so if the business was to no become a commercial catering unit on a larger scale, then a new name would be needed for the business as there is the risk the company could get sued for its name. The Companies Act 2006 outlines the restricted and prohibited names that all businesses must follow, not just companies. The new name of the company would need to be made in accordance with this act and follow the rules published in ss 1192-1198 which shows the names that are not allowed to be used and the names that are able.  </w:t>
      </w:r>
    </w:p>
    <w:p>
      <w:pPr>
        <w:pStyle w:val="Body"/>
      </w:pPr>
    </w:p>
    <w:p>
      <w:pPr>
        <w:pStyle w:val="Body"/>
      </w:pPr>
      <w:r>
        <w:rPr>
          <w:rtl w:val="0"/>
          <w:lang w:val="en-US"/>
        </w:rPr>
        <w:t>Partnership:</w:t>
      </w:r>
    </w:p>
    <w:p>
      <w:pPr>
        <w:pStyle w:val="Body"/>
      </w:pPr>
      <w:r>
        <w:rPr>
          <w:rtl w:val="0"/>
          <w:lang w:val="en-US"/>
        </w:rPr>
        <w:t xml:space="preserve">If the company was to be formed under a partnership between all three parties then there are different rules that must be followed which come under the Partnership Act 1890 in which it states the rules, starting with the duration of a partnership. The duration of a partnership can either be an expressed fixed term if it has been agreed to by all parties or under section 26 if there is no fixed term agreed then any one of the partners may make the partnership valid by giving notice to all the other partners. The business name is the next aspect that would need to be decided as the name of </w:t>
      </w:r>
      <w:r>
        <w:rPr>
          <w:rtl w:val="1"/>
          <w:lang w:val="ar-SA" w:bidi="ar-SA"/>
        </w:rPr>
        <w:t>“</w:t>
      </w:r>
      <w:r>
        <w:rPr>
          <w:rtl w:val="0"/>
          <w:lang w:val="en-US"/>
        </w:rPr>
        <w:t>sweetstuff</w:t>
      </w:r>
      <w:r>
        <w:rPr>
          <w:rtl w:val="0"/>
        </w:rPr>
        <w:t xml:space="preserve">” </w:t>
      </w:r>
      <w:r>
        <w:rPr>
          <w:rtl w:val="0"/>
          <w:lang w:val="en-US"/>
        </w:rPr>
        <w:t xml:space="preserve">can not be used so the new name would need to follow the rules set out in s.1200 of the companies act which demonstrates the difference between a name of the company being considered a business name or not. If the new name of the company was a formation of the names of the partners or the initials then it would not be considered as a business name but if there was no correlation and it was not made up of only the names of the partners then it would be considered a business name. The reason for the importance of this difference is that if it is a business name then legally the name of each partner and an address must be listed on all of the following; every business letter s1202, every written order s1202, invoices and receipts s1202, written demands for payments s1202, and a notice of the business premises s1204. When entering a partnership, all parties must abide by the rules set out in Partnership Act 1890 namely in section 24 which demonstrates that the parties to the partnership have equal share in both the profits and losses of the company and that there is equal share in capital upon dissolution of the company. Company based decisions within a partnership come down to a simple majority within the partners unless it is a decision to admit a new partner to the company or make substantial change to the business in which case it is not a majority that is needed but rather a unanimous decision. Section 28 and 29 of the act explain the duty of good faith rules that apply to partnerships such as a duty to disclose information, a duty to account for any profits from the use of a firm's property, name or connection, and a duty to account to other partners profits from a competing business. Partners who are in the partnership do not have an obligation to work full time in the business and are allowed to be involved in non-competing businesses. However, if a partnership wants to become dissolved there are different circumstances in which this can happen. For a partnership to dissolve there are four instances in which this can happen, by giving notice to the other partners, by express agreement, automatically if it is already agreed upon in the agreement, or by a court order. Section 35 shows how the courts could be involved in the dissolution of the partnership if there is a breach in conduct prejudicial to the business, a breach of partnership agreement, just and equitable dissolution, or they may cite section 96 of the Mental Health Act 1983. When dealing with a dissolution, section 44 sets out how the assets of the partnership will be divided and how they will be dealt with, dealing with the creditors, repaying loans to the partners, giving the capital to the partners, and the balance divided between partners in profit sharing ratio. The losses from the partnership are met from profits, capital, and from contributions made by partners in the proportion in which they divide profits. Disputes that may arise in the partnership should be dealt with by the partners as the Partnership Act does not provide information on disputes as it only covers dissolution. The disputes between partners should be dealt with by using negotiation skills rather than litigation and could also be solved by using good drafting skills to make an express provision in the partnership agreement to prevent or deal with any disputes that could arise. </w:t>
      </w:r>
    </w:p>
    <w:p>
      <w:pPr>
        <w:pStyle w:val="Body"/>
      </w:pPr>
    </w:p>
    <w:p>
      <w:pPr>
        <w:pStyle w:val="Body"/>
      </w:pPr>
      <w:r>
        <w:rPr>
          <w:rtl w:val="0"/>
          <w:lang w:val="en-US"/>
        </w:rPr>
        <w:t>Private limited company:</w:t>
      </w:r>
    </w:p>
    <w:p>
      <w:pPr>
        <w:pStyle w:val="Body"/>
      </w:pPr>
      <w:r>
        <w:rPr>
          <w:rtl w:val="0"/>
          <w:lang w:val="en-US"/>
        </w:rPr>
        <w:t xml:space="preserve">Using a private limited company to set up the business holds much more different rules than a partnership or sole trader as it has a different structure that is followed. A private limited company has a distinction between its owners and managers as it has members and directors whereas the two other models have no distinction between the two. As a private limited company the personal liability is different as not everyone will have an equal stake in the company and so the liability will fall on those who own the company and have a share in the business. The shares and stakes is another aspect that is different with private limited companies and so if the company became a PLC then the shares of the company would have to be discussed and then divided between the parties. The shares of the company relate to how much control one person has and so when meetings take place and a vote is needed then the shares relate to how much influence that a partner can have. Private limited companies have both shareholders and directors and the main difference between the two is that the shareholders own the company and are needed to have a say in big aspects of the company. For example, changes to articles, removal of directors, appointments of new directors, substantial property transactions all require the approval of the shareholders in accordance with the Companies Act 2006 and so the directors can not sign off on these without the approval of the shareholders. In a private limited company there are also meetings that come with this structure of a company and they are either a general meeting or an annual general meeting. There are also two different types of meetings that require different numbers of votes in order to pass a motion during them. In an ordinary meeting there only needs to be a majority vote for the members of the meeting to be able to pass the resolution, however if it is a special meeting then the number of votes required would need to be a minimum of 75%. The meetings can cast the votes in two different ways, either by show of hands or by taking a poll. There are four situations in which a vote can be called for and they are either by the chairman of the company, the directors, if there are two or more members, or if a member holds at least 10% of the votes. These are the only people who may call for a vote but if a shareholder calls for a meeting then they must give notice to the members and directors with 14 clear days notice as stated in section 360 of the act. </w:t>
      </w:r>
    </w:p>
    <w:p>
      <w:pPr>
        <w:pStyle w:val="Body"/>
      </w:pPr>
    </w:p>
    <w:p>
      <w:pPr>
        <w:pStyle w:val="Body"/>
        <w:rPr>
          <w:b w:val="1"/>
          <w:bCs w:val="1"/>
        </w:rPr>
      </w:pPr>
      <w:r>
        <w:rPr>
          <w:b w:val="1"/>
          <w:bCs w:val="1"/>
          <w:rtl w:val="0"/>
        </w:rPr>
        <w:t>TASK 2</w:t>
      </w:r>
    </w:p>
    <w:p>
      <w:pPr>
        <w:pStyle w:val="Body"/>
      </w:pPr>
      <w:r>
        <w:rPr>
          <w:rtl w:val="0"/>
          <w:lang w:val="en-US"/>
        </w:rPr>
        <w:t xml:space="preserve">The terms outlined in document 1 should be contained in an express agreement as there are certain fixed items that should not be changed despite outside factors. Firstly, the identification of the parties and how much each partner has injected as capital should be in the agreement as it keeps track of who the partners are and how much they have invested into the business. The money invested into the business also directly relates to the profits and losses that each partner should receive with Paul having 50%, George at 30% and then Katya at 20%. These values need to be in the agreement so that the value each partner receives reflects their input into the business. The agreement should also contain that Katya is committing to work a minimum of 16 hours a week and that should this change then Paul and George reserve the right to buy her out of the partnership. Katya may work for her other business but the agreement should state she is not allowed to work for a competing business as she is not committed to working full time for the business. The agreement should also include a clause for the partners to be able to buy out another partner if they decide to retire with the interest rate at a fixed 5% per annum. This allows for the partners to know that they have the chance to buy a larger share into the business and not have to worry about a new partner taking up that share which in turn could allow for one of the partners to gain more control over the business. The salary of the partners should also be recorded, with Paul at </w:t>
      </w:r>
      <w:r>
        <w:rPr>
          <w:rtl w:val="0"/>
        </w:rPr>
        <w:t>£</w:t>
      </w:r>
      <w:r>
        <w:rPr>
          <w:rtl w:val="0"/>
          <w:lang w:val="en-US"/>
        </w:rPr>
        <w:t xml:space="preserve">10,000 and George at </w:t>
      </w:r>
      <w:r>
        <w:rPr>
          <w:rtl w:val="0"/>
        </w:rPr>
        <w:t>£</w:t>
      </w:r>
      <w:r>
        <w:rPr>
          <w:rtl w:val="0"/>
          <w:lang w:val="en-US"/>
        </w:rPr>
        <w:t xml:space="preserve">7,000, however the agreement should also contain provisions that go into detail about how much the salaries change according to the income of the business and when the salaries can change. </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pt-PT"/>
        </w:rPr>
        <w:t>Reference List</w:t>
      </w:r>
    </w:p>
    <w:p>
      <w:pPr>
        <w:pStyle w:val="Body"/>
        <w:rPr>
          <w:outline w:val="0"/>
          <w:color w:val="333333"/>
          <w:sz w:val="23"/>
          <w:szCs w:val="23"/>
          <w:u w:color="333333"/>
          <w:shd w:val="clear" w:color="auto" w:fill="fbfbfb"/>
          <w14:textFill>
            <w14:solidFill>
              <w14:srgbClr w14:val="333333"/>
            </w14:solidFill>
          </w14:textFill>
        </w:rPr>
      </w:pPr>
    </w:p>
    <w:p>
      <w:pPr>
        <w:pStyle w:val="Body"/>
        <w:rPr>
          <w:rStyle w:val="None"/>
          <w:outline w:val="0"/>
          <w:color w:val="333333"/>
          <w:sz w:val="23"/>
          <w:szCs w:val="23"/>
          <w:u w:color="333333"/>
          <w:shd w:val="clear" w:color="auto" w:fill="fbfbfb"/>
          <w14:textFill>
            <w14:solidFill>
              <w14:srgbClr w14:val="333333"/>
            </w14:solidFill>
          </w14:textFill>
        </w:rPr>
      </w:pPr>
      <w:r>
        <w:rPr>
          <w:outline w:val="0"/>
          <w:color w:val="333333"/>
          <w:sz w:val="23"/>
          <w:szCs w:val="23"/>
          <w:u w:color="333333"/>
          <w:shd w:val="clear" w:color="auto" w:fill="fbfbfb"/>
          <w:rtl w:val="0"/>
          <w:lang w:val="en-US"/>
          <w14:textFill>
            <w14:solidFill>
              <w14:srgbClr w14:val="333333"/>
            </w14:solidFill>
          </w14:textFill>
        </w:rPr>
        <w:t xml:space="preserve">The Partnership Act 1890, available at </w:t>
      </w:r>
      <w:r>
        <w:rPr>
          <w:rStyle w:val="Hyperlink.0"/>
        </w:rPr>
        <w:fldChar w:fldCharType="begin" w:fldLock="0"/>
      </w:r>
      <w:r>
        <w:rPr>
          <w:rStyle w:val="Hyperlink.0"/>
        </w:rPr>
        <w:instrText xml:space="preserve"> HYPERLINK "https://www.legislation.gov.uk/ukpga/Vict/53-54/39/contents"</w:instrText>
      </w:r>
      <w:r>
        <w:rPr>
          <w:rStyle w:val="Hyperlink.0"/>
        </w:rPr>
        <w:fldChar w:fldCharType="separate" w:fldLock="0"/>
      </w:r>
      <w:r>
        <w:rPr>
          <w:rStyle w:val="Hyperlink.0"/>
          <w:rtl w:val="0"/>
        </w:rPr>
        <w:t>https://www.legislation.gov.uk/ukpga/Vict/53-54/39/contents</w:t>
      </w:r>
      <w:r>
        <w:rPr/>
        <w:fldChar w:fldCharType="end" w:fldLock="0"/>
      </w:r>
      <w:r>
        <w:rPr>
          <w:rStyle w:val="None"/>
          <w:outline w:val="0"/>
          <w:color w:val="333333"/>
          <w:sz w:val="23"/>
          <w:szCs w:val="23"/>
          <w:u w:color="333333"/>
          <w:shd w:val="clear" w:color="auto" w:fill="fbfbfb"/>
          <w:rtl w:val="0"/>
          <w14:textFill>
            <w14:solidFill>
              <w14:srgbClr w14:val="333333"/>
            </w14:solidFill>
          </w14:textFill>
        </w:rPr>
        <w:t xml:space="preserve"> </w:t>
      </w:r>
    </w:p>
    <w:p>
      <w:pPr>
        <w:pStyle w:val="Body"/>
        <w:rPr>
          <w:rStyle w:val="None"/>
          <w:outline w:val="0"/>
          <w:color w:val="333333"/>
          <w:sz w:val="23"/>
          <w:szCs w:val="23"/>
          <w:u w:color="333333"/>
          <w:shd w:val="clear" w:color="auto" w:fill="fbfbfb"/>
          <w14:textFill>
            <w14:solidFill>
              <w14:srgbClr w14:val="333333"/>
            </w14:solidFill>
          </w14:textFill>
        </w:rPr>
      </w:pPr>
    </w:p>
    <w:p>
      <w:pPr>
        <w:pStyle w:val="Body"/>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lang w:val="en-US"/>
          <w14:textFill>
            <w14:solidFill>
              <w14:srgbClr w14:val="333333"/>
            </w14:solidFill>
          </w14:textFill>
        </w:rPr>
        <w:t xml:space="preserve">UK Government (2024) </w:t>
      </w:r>
      <w:r>
        <w:rPr>
          <w:rStyle w:val="None"/>
          <w:i w:val="1"/>
          <w:iCs w:val="1"/>
          <w:outline w:val="0"/>
          <w:color w:val="333333"/>
          <w:sz w:val="23"/>
          <w:szCs w:val="23"/>
          <w:u w:color="333333"/>
          <w:rtl w:val="0"/>
          <w:lang w:val="en-US"/>
          <w14:textFill>
            <w14:solidFill>
              <w14:srgbClr w14:val="333333"/>
            </w14:solidFill>
          </w14:textFill>
        </w:rPr>
        <w:t>company name checker</w:t>
      </w:r>
      <w:r>
        <w:rPr>
          <w:rStyle w:val="None"/>
          <w:outline w:val="0"/>
          <w:color w:val="333333"/>
          <w:sz w:val="23"/>
          <w:szCs w:val="23"/>
          <w:u w:color="333333"/>
          <w:shd w:val="clear" w:color="auto" w:fill="fbfbfb"/>
          <w:rtl w:val="0"/>
          <w:lang w:val="en-US"/>
          <w14:textFill>
            <w14:solidFill>
              <w14:srgbClr w14:val="333333"/>
            </w14:solidFill>
          </w14:textFill>
        </w:rPr>
        <w:t xml:space="preserve">. Available at: </w:t>
      </w:r>
      <w:r>
        <w:rPr>
          <w:rStyle w:val="Hyperlink.0"/>
        </w:rPr>
        <w:fldChar w:fldCharType="begin" w:fldLock="0"/>
      </w:r>
      <w:r>
        <w:rPr>
          <w:rStyle w:val="Hyperlink.0"/>
        </w:rPr>
        <w:instrText xml:space="preserve"> HYPERLINK "https://find-and-update.company-information.service.gov.uk/company-name-availability?q=sweetstuff"</w:instrText>
      </w:r>
      <w:r>
        <w:rPr>
          <w:rStyle w:val="Hyperlink.0"/>
        </w:rPr>
        <w:fldChar w:fldCharType="separate" w:fldLock="0"/>
      </w:r>
      <w:r>
        <w:rPr>
          <w:rStyle w:val="Hyperlink.0"/>
          <w:rtl w:val="0"/>
        </w:rPr>
        <w:t>https://find-and-update.company-information.service.gov.uk/company-name-availability?q=sweetstuff</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10 March 2024).</w:t>
      </w:r>
    </w:p>
    <w:p>
      <w:pPr>
        <w:pStyle w:val="Body"/>
        <w:rPr>
          <w:rStyle w:val="None"/>
          <w:outline w:val="0"/>
          <w:color w:val="333333"/>
          <w:sz w:val="23"/>
          <w:szCs w:val="23"/>
          <w:u w:color="333333"/>
          <w:shd w:val="clear" w:color="auto" w:fill="fbfbfb"/>
          <w14:textFill>
            <w14:solidFill>
              <w14:srgbClr w14:val="333333"/>
            </w14:solidFill>
          </w14:textFill>
        </w:rPr>
      </w:pPr>
    </w:p>
    <w:p>
      <w:pPr>
        <w:pStyle w:val="Body"/>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lang w:val="en-US"/>
          <w14:textFill>
            <w14:solidFill>
              <w14:srgbClr w14:val="333333"/>
            </w14:solidFill>
          </w14:textFill>
        </w:rPr>
        <w:t xml:space="preserve">UK Government (2024) </w:t>
      </w:r>
      <w:r>
        <w:rPr>
          <w:rStyle w:val="None"/>
          <w:i w:val="1"/>
          <w:iCs w:val="1"/>
          <w:outline w:val="0"/>
          <w:color w:val="333333"/>
          <w:sz w:val="23"/>
          <w:szCs w:val="23"/>
          <w:u w:color="333333"/>
          <w:rtl w:val="0"/>
          <w:lang w:val="en-US"/>
          <w14:textFill>
            <w14:solidFill>
              <w14:srgbClr w14:val="333333"/>
            </w14:solidFill>
          </w14:textFill>
        </w:rPr>
        <w:t>set up as a sole trader</w:t>
      </w:r>
      <w:r>
        <w:rPr>
          <w:rStyle w:val="None"/>
          <w:outline w:val="0"/>
          <w:color w:val="333333"/>
          <w:sz w:val="23"/>
          <w:szCs w:val="23"/>
          <w:u w:color="333333"/>
          <w:shd w:val="clear" w:color="auto" w:fill="fbfbfb"/>
          <w:rtl w:val="0"/>
          <w:lang w:val="en-US"/>
          <w14:textFill>
            <w14:solidFill>
              <w14:srgbClr w14:val="333333"/>
            </w14:solidFill>
          </w14:textFill>
        </w:rPr>
        <w:t xml:space="preserve">. Available at: </w:t>
      </w:r>
      <w:r>
        <w:rPr>
          <w:rStyle w:val="Hyperlink.0"/>
        </w:rPr>
        <w:fldChar w:fldCharType="begin" w:fldLock="0"/>
      </w:r>
      <w:r>
        <w:rPr>
          <w:rStyle w:val="Hyperlink.0"/>
        </w:rPr>
        <w:instrText xml:space="preserve"> HYPERLINK "https://www.gov.uk/set-up-sole-trader"</w:instrText>
      </w:r>
      <w:r>
        <w:rPr>
          <w:rStyle w:val="Hyperlink.0"/>
        </w:rPr>
        <w:fldChar w:fldCharType="separate" w:fldLock="0"/>
      </w:r>
      <w:r>
        <w:rPr>
          <w:rStyle w:val="Hyperlink.0"/>
          <w:rtl w:val="0"/>
        </w:rPr>
        <w:t>https://www.gov.uk/set-up-sole-trader</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10 March 2024). </w:t>
      </w:r>
    </w:p>
    <w:p>
      <w:pPr>
        <w:pStyle w:val="Body"/>
        <w:rPr>
          <w:rStyle w:val="None"/>
          <w:outline w:val="0"/>
          <w:color w:val="333333"/>
          <w:sz w:val="23"/>
          <w:szCs w:val="23"/>
          <w:u w:color="333333"/>
          <w:shd w:val="clear" w:color="auto" w:fill="fbfbfb"/>
          <w14:textFill>
            <w14:solidFill>
              <w14:srgbClr w14:val="333333"/>
            </w14:solidFill>
          </w14:textFill>
        </w:rPr>
      </w:pPr>
    </w:p>
    <w:p>
      <w:pPr>
        <w:pStyle w:val="Body"/>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lang w:val="en-US"/>
          <w14:textFill>
            <w14:solidFill>
              <w14:srgbClr w14:val="333333"/>
            </w14:solidFill>
          </w14:textFill>
        </w:rPr>
        <w:t xml:space="preserve">UK Government (2024) </w:t>
      </w:r>
      <w:r>
        <w:rPr>
          <w:rStyle w:val="None"/>
          <w:i w:val="1"/>
          <w:iCs w:val="1"/>
          <w:outline w:val="0"/>
          <w:color w:val="333333"/>
          <w:sz w:val="23"/>
          <w:szCs w:val="23"/>
          <w:u w:color="333333"/>
          <w:shd w:val="clear" w:color="auto" w:fill="fbfbfb"/>
          <w:rtl w:val="0"/>
          <w:lang w:val="en-US"/>
          <w14:textFill>
            <w14:solidFill>
              <w14:srgbClr w14:val="333333"/>
            </w14:solidFill>
          </w14:textFill>
        </w:rPr>
        <w:t xml:space="preserve">set up a business partnership. </w:t>
      </w:r>
      <w:r>
        <w:rPr>
          <w:rStyle w:val="None"/>
          <w:outline w:val="0"/>
          <w:color w:val="333333"/>
          <w:sz w:val="23"/>
          <w:szCs w:val="23"/>
          <w:u w:color="333333"/>
          <w:shd w:val="clear" w:color="auto" w:fill="fbfbfb"/>
          <w:rtl w:val="0"/>
          <w:lang w:val="en-US"/>
          <w14:textFill>
            <w14:solidFill>
              <w14:srgbClr w14:val="333333"/>
            </w14:solidFill>
          </w14:textFill>
        </w:rPr>
        <w:t xml:space="preserve">Available at: </w:t>
      </w:r>
      <w:r>
        <w:rPr>
          <w:rStyle w:val="Hyperlink.0"/>
        </w:rPr>
        <w:fldChar w:fldCharType="begin" w:fldLock="0"/>
      </w:r>
      <w:r>
        <w:rPr>
          <w:rStyle w:val="Hyperlink.0"/>
        </w:rPr>
        <w:instrText xml:space="preserve"> HYPERLINK "https://www.gov.uk/set-up-business-partnership"</w:instrText>
      </w:r>
      <w:r>
        <w:rPr>
          <w:rStyle w:val="Hyperlink.0"/>
        </w:rPr>
        <w:fldChar w:fldCharType="separate" w:fldLock="0"/>
      </w:r>
      <w:r>
        <w:rPr>
          <w:rStyle w:val="Hyperlink.0"/>
          <w:rtl w:val="0"/>
        </w:rPr>
        <w:t>https://www.gov.uk/set-up-business-partnership</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11 March 2024)</w:t>
      </w:r>
    </w:p>
    <w:p>
      <w:pPr>
        <w:pStyle w:val="Body"/>
      </w:pPr>
    </w:p>
    <w:p>
      <w:pPr>
        <w:pStyle w:val="Body"/>
      </w:pPr>
    </w:p>
    <w:p>
      <w:pPr>
        <w:pStyle w:val="Body"/>
      </w:pPr>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1155cc"/>
      <w:sz w:val="23"/>
      <w:szCs w:val="23"/>
      <w:u w:val="single" w:color="1155cc"/>
      <w:shd w:val="clear" w:color="auto" w:fill="fbfbfb"/>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