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956D3" w14:textId="77777777" w:rsidR="000669EE" w:rsidRDefault="000669EE" w:rsidP="000669EE">
      <w:pPr>
        <w:spacing w:after="134"/>
        <w:rPr>
          <w:rFonts w:asciiTheme="majorHAnsi" w:hAnsiTheme="majorHAnsi" w:cstheme="majorHAnsi"/>
          <w:b/>
          <w:color w:val="3A7C22" w:themeColor="accent6" w:themeShade="BF"/>
          <w:sz w:val="48"/>
        </w:rPr>
      </w:pPr>
      <w:r>
        <w:rPr>
          <w:rFonts w:asciiTheme="majorHAnsi" w:hAnsiTheme="majorHAnsi" w:cstheme="majorHAnsi"/>
          <w:b/>
          <w:noProof/>
          <w:color w:val="3A7C22" w:themeColor="accent6" w:themeShade="BF"/>
          <w:sz w:val="48"/>
        </w:rPr>
        <w:drawing>
          <wp:anchor distT="0" distB="0" distL="114300" distR="114300" simplePos="0" relativeHeight="251658240" behindDoc="1" locked="0" layoutInCell="1" allowOverlap="1" wp14:anchorId="684F751F" wp14:editId="4B4D0412">
            <wp:simplePos x="0" y="0"/>
            <wp:positionH relativeFrom="column">
              <wp:posOffset>-622300</wp:posOffset>
            </wp:positionH>
            <wp:positionV relativeFrom="paragraph">
              <wp:posOffset>342265</wp:posOffset>
            </wp:positionV>
            <wp:extent cx="1315085" cy="794385"/>
            <wp:effectExtent l="0" t="0" r="0" b="5715"/>
            <wp:wrapTight wrapText="bothSides">
              <wp:wrapPolygon edited="0">
                <wp:start x="0" y="0"/>
                <wp:lineTo x="0" y="21237"/>
                <wp:lineTo x="21277" y="21237"/>
                <wp:lineTo x="21277" y="0"/>
                <wp:lineTo x="0" y="0"/>
              </wp:wrapPolygon>
            </wp:wrapTight>
            <wp:docPr id="1377467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5085" cy="794385"/>
                    </a:xfrm>
                    <a:prstGeom prst="rect">
                      <a:avLst/>
                    </a:prstGeom>
                    <a:noFill/>
                  </pic:spPr>
                </pic:pic>
              </a:graphicData>
            </a:graphic>
            <wp14:sizeRelH relativeFrom="margin">
              <wp14:pctWidth>0</wp14:pctWidth>
            </wp14:sizeRelH>
            <wp14:sizeRelV relativeFrom="margin">
              <wp14:pctHeight>0</wp14:pctHeight>
            </wp14:sizeRelV>
          </wp:anchor>
        </w:drawing>
      </w:r>
    </w:p>
    <w:p w14:paraId="08D4A137" w14:textId="77777777" w:rsidR="00FF2113" w:rsidRPr="00062104" w:rsidRDefault="00FF2113" w:rsidP="000669EE">
      <w:pPr>
        <w:spacing w:after="134"/>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 xml:space="preserve">Therapeutic </w:t>
      </w:r>
      <w:r w:rsidR="000669EE">
        <w:rPr>
          <w:rFonts w:asciiTheme="majorHAnsi" w:hAnsiTheme="majorHAnsi" w:cstheme="majorHAnsi"/>
          <w:b/>
          <w:color w:val="3A7C22" w:themeColor="accent6" w:themeShade="BF"/>
          <w:sz w:val="48"/>
        </w:rPr>
        <w:t>Techniques Evaluation Table</w:t>
      </w:r>
    </w:p>
    <w:p w14:paraId="6039762C" w14:textId="76433818" w:rsidR="00FF2113" w:rsidRPr="00175E42" w:rsidRDefault="00175E42" w:rsidP="003D0B7D">
      <w:pPr>
        <w:rPr>
          <w:b/>
          <w:bCs/>
          <w:sz w:val="32"/>
          <w:szCs w:val="32"/>
        </w:rPr>
      </w:pPr>
      <w:r w:rsidRPr="00175E42">
        <w:rPr>
          <w:b/>
          <w:bCs/>
          <w:sz w:val="32"/>
          <w:szCs w:val="32"/>
        </w:rPr>
        <w:t xml:space="preserve">                                                             Beata </w:t>
      </w:r>
      <w:proofErr w:type="spellStart"/>
      <w:r w:rsidRPr="00175E42">
        <w:rPr>
          <w:b/>
          <w:bCs/>
          <w:sz w:val="32"/>
          <w:szCs w:val="32"/>
        </w:rPr>
        <w:t>Potocka</w:t>
      </w:r>
      <w:proofErr w:type="spellEnd"/>
      <w:r w:rsidRPr="00175E42">
        <w:rPr>
          <w:b/>
          <w:bCs/>
          <w:sz w:val="32"/>
          <w:szCs w:val="32"/>
        </w:rPr>
        <w:t xml:space="preserve"> </w:t>
      </w:r>
    </w:p>
    <w:tbl>
      <w:tblPr>
        <w:tblStyle w:val="TableGrid"/>
        <w:tblW w:w="15735" w:type="dxa"/>
        <w:tblInd w:w="-998" w:type="dxa"/>
        <w:tblLook w:val="04A0" w:firstRow="1" w:lastRow="0" w:firstColumn="1" w:lastColumn="0" w:noHBand="0" w:noVBand="1"/>
      </w:tblPr>
      <w:tblGrid>
        <w:gridCol w:w="1888"/>
        <w:gridCol w:w="3752"/>
        <w:gridCol w:w="5115"/>
        <w:gridCol w:w="4980"/>
      </w:tblGrid>
      <w:tr w:rsidR="002757BC" w14:paraId="09500EB0" w14:textId="77777777" w:rsidTr="00D31244">
        <w:tc>
          <w:tcPr>
            <w:tcW w:w="1560" w:type="dxa"/>
            <w:shd w:val="clear" w:color="auto" w:fill="D1D1D1" w:themeFill="background2" w:themeFillShade="E6"/>
          </w:tcPr>
          <w:p w14:paraId="177762DC" w14:textId="77777777" w:rsidR="00FF2113" w:rsidRPr="000669EE" w:rsidRDefault="00FF2113">
            <w:pPr>
              <w:rPr>
                <w:b/>
                <w:bCs/>
              </w:rPr>
            </w:pPr>
            <w:r w:rsidRPr="000669EE">
              <w:rPr>
                <w:b/>
                <w:bCs/>
              </w:rPr>
              <w:t xml:space="preserve">Therapeutic technique </w:t>
            </w:r>
          </w:p>
        </w:tc>
        <w:tc>
          <w:tcPr>
            <w:tcW w:w="3828" w:type="dxa"/>
            <w:shd w:val="clear" w:color="auto" w:fill="D1D1D1" w:themeFill="background2" w:themeFillShade="E6"/>
          </w:tcPr>
          <w:p w14:paraId="5A184279" w14:textId="77777777" w:rsidR="00FF2113" w:rsidRPr="000669EE" w:rsidRDefault="00FF2113">
            <w:pPr>
              <w:rPr>
                <w:b/>
                <w:bCs/>
              </w:rPr>
            </w:pPr>
            <w:r w:rsidRPr="000669EE">
              <w:rPr>
                <w:b/>
                <w:bCs/>
              </w:rPr>
              <w:t xml:space="preserve">Description </w:t>
            </w:r>
          </w:p>
        </w:tc>
        <w:tc>
          <w:tcPr>
            <w:tcW w:w="5244" w:type="dxa"/>
            <w:shd w:val="clear" w:color="auto" w:fill="D1D1D1" w:themeFill="background2" w:themeFillShade="E6"/>
          </w:tcPr>
          <w:p w14:paraId="6FBB10C5" w14:textId="77777777" w:rsidR="00FF2113" w:rsidRPr="000669EE" w:rsidRDefault="00FF2113">
            <w:pPr>
              <w:rPr>
                <w:b/>
                <w:bCs/>
              </w:rPr>
            </w:pPr>
            <w:r w:rsidRPr="000669EE">
              <w:rPr>
                <w:b/>
                <w:bCs/>
              </w:rPr>
              <w:t xml:space="preserve">Example of </w:t>
            </w:r>
            <w:r w:rsidR="00B80729">
              <w:rPr>
                <w:b/>
                <w:bCs/>
              </w:rPr>
              <w:t xml:space="preserve">how you could use it, it’s importance and benefits within your role. </w:t>
            </w:r>
            <w:r w:rsidRPr="000669EE">
              <w:rPr>
                <w:b/>
                <w:bCs/>
              </w:rPr>
              <w:t xml:space="preserve"> </w:t>
            </w:r>
          </w:p>
        </w:tc>
        <w:tc>
          <w:tcPr>
            <w:tcW w:w="5103" w:type="dxa"/>
            <w:shd w:val="clear" w:color="auto" w:fill="D1D1D1" w:themeFill="background2" w:themeFillShade="E6"/>
          </w:tcPr>
          <w:p w14:paraId="767F3639" w14:textId="77777777" w:rsidR="00FF2113" w:rsidRPr="000669EE" w:rsidRDefault="000669EE">
            <w:pPr>
              <w:rPr>
                <w:b/>
                <w:bCs/>
              </w:rPr>
            </w:pPr>
            <w:r>
              <w:rPr>
                <w:b/>
                <w:bCs/>
              </w:rPr>
              <w:t>Examples of the c</w:t>
            </w:r>
            <w:r w:rsidR="00FF2113" w:rsidRPr="000669EE">
              <w:rPr>
                <w:b/>
                <w:bCs/>
              </w:rPr>
              <w:t xml:space="preserve">hallenges or drawbacks to using this method within your role </w:t>
            </w:r>
          </w:p>
        </w:tc>
      </w:tr>
      <w:tr w:rsidR="002757BC" w14:paraId="7B49C496" w14:textId="77777777" w:rsidTr="00D31244">
        <w:tc>
          <w:tcPr>
            <w:tcW w:w="1560" w:type="dxa"/>
            <w:shd w:val="clear" w:color="auto" w:fill="E8E8E8" w:themeFill="background2"/>
          </w:tcPr>
          <w:p w14:paraId="5F5031A7" w14:textId="77777777" w:rsidR="00FF2113" w:rsidRPr="00175E42" w:rsidRDefault="000669EE">
            <w:pPr>
              <w:rPr>
                <w:b/>
                <w:bCs/>
                <w:sz w:val="28"/>
                <w:szCs w:val="28"/>
              </w:rPr>
            </w:pPr>
            <w:r w:rsidRPr="00175E42">
              <w:rPr>
                <w:b/>
                <w:bCs/>
                <w:sz w:val="28"/>
                <w:szCs w:val="28"/>
              </w:rPr>
              <w:t xml:space="preserve">Active listening </w:t>
            </w:r>
          </w:p>
          <w:p w14:paraId="228DCAF5" w14:textId="77777777" w:rsidR="000669EE" w:rsidRDefault="000669EE"/>
          <w:p w14:paraId="34AFD313" w14:textId="77777777" w:rsidR="000669EE" w:rsidRDefault="000669EE"/>
        </w:tc>
        <w:tc>
          <w:tcPr>
            <w:tcW w:w="3828" w:type="dxa"/>
          </w:tcPr>
          <w:p w14:paraId="5C743BC1" w14:textId="5A56A27C" w:rsidR="006625C5" w:rsidRPr="006625C5" w:rsidRDefault="006625C5" w:rsidP="00B410B7">
            <w:pPr>
              <w:spacing w:line="360" w:lineRule="auto"/>
              <w:rPr>
                <w:color w:val="0E0E0E"/>
              </w:rPr>
            </w:pPr>
            <w:r w:rsidRPr="006625C5">
              <w:rPr>
                <w:color w:val="0E0E0E"/>
              </w:rPr>
              <w:t>Active listening is an empathic communication approach that involves conscious attention to the speaker’s verbal and non-verbal messages, with the aim of</w:t>
            </w:r>
            <w:r w:rsidR="008B5FDF">
              <w:rPr>
                <w:color w:val="0E0E0E"/>
              </w:rPr>
              <w:t xml:space="preserve"> </w:t>
            </w:r>
            <w:r w:rsidRPr="006625C5">
              <w:rPr>
                <w:color w:val="0E0E0E"/>
              </w:rPr>
              <w:t>understanding their experiences, feelings and perspective. It includes skills such as reflection, clarification and summarising, which help to build trust and strengthen therapeutic relationships</w:t>
            </w:r>
            <w:r w:rsidR="00B4716A">
              <w:rPr>
                <w:color w:val="0E0E0E"/>
              </w:rPr>
              <w:t xml:space="preserve"> </w:t>
            </w:r>
            <w:r w:rsidRPr="006625C5">
              <w:rPr>
                <w:color w:val="0E0E0E"/>
              </w:rPr>
              <w:t>(</w:t>
            </w:r>
            <w:proofErr w:type="spellStart"/>
            <w:r w:rsidRPr="006625C5">
              <w:rPr>
                <w:color w:val="0E0E0E"/>
              </w:rPr>
              <w:t>Tustonja</w:t>
            </w:r>
            <w:proofErr w:type="spellEnd"/>
            <w:r w:rsidRPr="006625C5">
              <w:rPr>
                <w:color w:val="0E0E0E"/>
              </w:rPr>
              <w:t xml:space="preserve"> </w:t>
            </w:r>
            <w:r w:rsidRPr="00263F99">
              <w:rPr>
                <w:color w:val="0E0E0E"/>
              </w:rPr>
              <w:t>et al.,</w:t>
            </w:r>
            <w:r w:rsidRPr="006625C5">
              <w:rPr>
                <w:color w:val="0E0E0E"/>
              </w:rPr>
              <w:t xml:space="preserve"> 2024)</w:t>
            </w:r>
            <w:r w:rsidR="008533C4">
              <w:rPr>
                <w:color w:val="0E0E0E"/>
              </w:rPr>
              <w:t xml:space="preserve">. </w:t>
            </w:r>
          </w:p>
          <w:p w14:paraId="584150F9" w14:textId="01BD7669" w:rsidR="00731193" w:rsidRDefault="00731193">
            <w:pPr>
              <w:spacing w:after="80"/>
            </w:pPr>
          </w:p>
        </w:tc>
        <w:tc>
          <w:tcPr>
            <w:tcW w:w="5244" w:type="dxa"/>
          </w:tcPr>
          <w:p w14:paraId="3CAAA7B1" w14:textId="3BE51B67" w:rsidR="004A0741" w:rsidRPr="004A0741" w:rsidRDefault="0056606B" w:rsidP="004A0741">
            <w:pPr>
              <w:spacing w:line="360" w:lineRule="auto"/>
              <w:rPr>
                <w:color w:val="0E0E0E"/>
              </w:rPr>
            </w:pPr>
            <w:r>
              <w:rPr>
                <w:color w:val="0E0E0E"/>
              </w:rPr>
              <w:t>A</w:t>
            </w:r>
            <w:r w:rsidRPr="0056606B">
              <w:rPr>
                <w:color w:val="0E0E0E"/>
              </w:rPr>
              <w:t xml:space="preserve">ctive listening can be used within a Therapy Assistant Practitioner role to help </w:t>
            </w:r>
            <w:r w:rsidR="00867369">
              <w:rPr>
                <w:color w:val="0E0E0E"/>
              </w:rPr>
              <w:t xml:space="preserve">patients </w:t>
            </w:r>
            <w:r w:rsidRPr="0056606B">
              <w:rPr>
                <w:color w:val="0E0E0E"/>
              </w:rPr>
              <w:t>feel heard, share their concerns and support person-centred c</w:t>
            </w:r>
            <w:r w:rsidR="00867369">
              <w:rPr>
                <w:color w:val="0E0E0E"/>
              </w:rPr>
              <w:t>are</w:t>
            </w:r>
            <w:r w:rsidRPr="0056606B">
              <w:rPr>
                <w:color w:val="0E0E0E"/>
              </w:rPr>
              <w:t>. For example, when working with p</w:t>
            </w:r>
            <w:r w:rsidR="00263F99">
              <w:rPr>
                <w:color w:val="0E0E0E"/>
              </w:rPr>
              <w:t xml:space="preserve">atients </w:t>
            </w:r>
            <w:r w:rsidRPr="0056606B">
              <w:rPr>
                <w:color w:val="0E0E0E"/>
              </w:rPr>
              <w:t xml:space="preserve">with cystic fibrosis, attentive listening may help identify feelings of </w:t>
            </w:r>
            <w:r w:rsidR="00867369">
              <w:rPr>
                <w:color w:val="0E0E0E"/>
              </w:rPr>
              <w:t xml:space="preserve">heavy </w:t>
            </w:r>
            <w:r w:rsidRPr="0056606B">
              <w:rPr>
                <w:color w:val="0E0E0E"/>
              </w:rPr>
              <w:t xml:space="preserve">treatment fatigue or anxiety about </w:t>
            </w:r>
            <w:r w:rsidR="00867369">
              <w:rPr>
                <w:color w:val="0E0E0E"/>
              </w:rPr>
              <w:t xml:space="preserve">post-transplant </w:t>
            </w:r>
            <w:r w:rsidRPr="0056606B">
              <w:rPr>
                <w:color w:val="0E0E0E"/>
              </w:rPr>
              <w:t>nutritional plans</w:t>
            </w:r>
            <w:r>
              <w:rPr>
                <w:color w:val="0E0E0E"/>
              </w:rPr>
              <w:t xml:space="preserve">. </w:t>
            </w:r>
            <w:r w:rsidR="004A0741" w:rsidRPr="004A0741">
              <w:rPr>
                <w:color w:val="0E0E0E"/>
              </w:rPr>
              <w:t>In mental health settings, particularly when supporting individuals with eating disorders, active listening may involve allowing time for the person to speak, using a calm tone and open body language, and responding in a non-judgemental way to concerns about food or body image, which can help reduce distress and encourage more open communication.</w:t>
            </w:r>
          </w:p>
          <w:p w14:paraId="0D7C8B82" w14:textId="7C8E8C53" w:rsidR="0056606B" w:rsidRPr="0056606B" w:rsidRDefault="0056606B" w:rsidP="0056606B">
            <w:pPr>
              <w:spacing w:line="360" w:lineRule="auto"/>
              <w:rPr>
                <w:color w:val="0E0E0E"/>
              </w:rPr>
            </w:pPr>
            <w:r w:rsidRPr="0056606B">
              <w:rPr>
                <w:color w:val="0E0E0E"/>
              </w:rPr>
              <w:lastRenderedPageBreak/>
              <w:t xml:space="preserve"> </w:t>
            </w:r>
            <w:r w:rsidR="004B2523">
              <w:rPr>
                <w:color w:val="0E0E0E"/>
              </w:rPr>
              <w:t>B</w:t>
            </w:r>
            <w:r w:rsidRPr="0056606B">
              <w:rPr>
                <w:rStyle w:val="s1"/>
                <w:rFonts w:eastAsiaTheme="majorEastAsia"/>
                <w:color w:val="0E0E0E"/>
              </w:rPr>
              <w:t xml:space="preserve">enefit </w:t>
            </w:r>
            <w:r>
              <w:rPr>
                <w:rStyle w:val="s1"/>
                <w:rFonts w:eastAsiaTheme="majorEastAsia"/>
                <w:color w:val="0E0E0E"/>
              </w:rPr>
              <w:t>o</w:t>
            </w:r>
            <w:r>
              <w:rPr>
                <w:rStyle w:val="s1"/>
                <w:rFonts w:eastAsiaTheme="majorEastAsia"/>
              </w:rPr>
              <w:t xml:space="preserve">f active listening </w:t>
            </w:r>
            <w:r w:rsidRPr="0056606B">
              <w:rPr>
                <w:rStyle w:val="s1"/>
                <w:rFonts w:eastAsiaTheme="majorEastAsia"/>
                <w:color w:val="0E0E0E"/>
              </w:rPr>
              <w:t xml:space="preserve">within the TAP role is improved communication and rapport, which can help respond more effectively to </w:t>
            </w:r>
            <w:r w:rsidR="00867369">
              <w:rPr>
                <w:rStyle w:val="s1"/>
                <w:rFonts w:eastAsiaTheme="majorEastAsia"/>
                <w:color w:val="0E0E0E"/>
              </w:rPr>
              <w:t xml:space="preserve">patient </w:t>
            </w:r>
            <w:r w:rsidRPr="0056606B">
              <w:rPr>
                <w:rStyle w:val="s1"/>
                <w:rFonts w:eastAsiaTheme="majorEastAsia"/>
                <w:color w:val="0E0E0E"/>
              </w:rPr>
              <w:t>needs during therapeutic interactions.</w:t>
            </w:r>
            <w:r w:rsidRPr="0056606B">
              <w:rPr>
                <w:color w:val="0E0E0E"/>
              </w:rPr>
              <w:t xml:space="preserve"> Using active listening is important because it helps build trust, improves understanding and strengthens therapeutic relationships, which can increase engagement with interventions and promote a more supportive care environment (Bryant, 2009)</w:t>
            </w:r>
            <w:r>
              <w:rPr>
                <w:color w:val="0E0E0E"/>
              </w:rPr>
              <w:t xml:space="preserve">. </w:t>
            </w:r>
          </w:p>
          <w:p w14:paraId="5CCC4ED3" w14:textId="7D46501E" w:rsidR="00731193" w:rsidRDefault="00731193">
            <w:pPr>
              <w:spacing w:after="80"/>
            </w:pPr>
          </w:p>
        </w:tc>
        <w:tc>
          <w:tcPr>
            <w:tcW w:w="5103" w:type="dxa"/>
          </w:tcPr>
          <w:p w14:paraId="0135B807" w14:textId="6B54AC84" w:rsidR="00777C29" w:rsidRPr="00777C29" w:rsidRDefault="00777C29" w:rsidP="00777C29">
            <w:pPr>
              <w:spacing w:line="360" w:lineRule="auto"/>
              <w:rPr>
                <w:color w:val="0E0E0E"/>
              </w:rPr>
            </w:pPr>
            <w:r w:rsidRPr="00777C29">
              <w:rPr>
                <w:color w:val="0E0E0E"/>
              </w:rPr>
              <w:lastRenderedPageBreak/>
              <w:t xml:space="preserve">In cystic fibrosis care, patients may feel physically unwell, breathless or overwhelmed by treatment routines, </w:t>
            </w:r>
            <w:r w:rsidRPr="00777C29">
              <w:rPr>
                <w:rStyle w:val="s1"/>
                <w:rFonts w:eastAsiaTheme="majorEastAsia"/>
                <w:color w:val="0E0E0E"/>
              </w:rPr>
              <w:t>and those receiving strong intravenous antibiotics may also experience gastrointestinal side effects such as nausea or reduced appetite</w:t>
            </w:r>
            <w:r w:rsidRPr="00777C29">
              <w:rPr>
                <w:color w:val="0E0E0E"/>
              </w:rPr>
              <w:t xml:space="preserve">, which can make it harder for them to concentrate or engage fully in </w:t>
            </w:r>
            <w:r w:rsidR="00A607B9">
              <w:rPr>
                <w:color w:val="0E0E0E"/>
              </w:rPr>
              <w:t xml:space="preserve">dietetic </w:t>
            </w:r>
            <w:r w:rsidRPr="00777C29">
              <w:rPr>
                <w:color w:val="0E0E0E"/>
              </w:rPr>
              <w:t xml:space="preserve">discussion. Infection control measures and the need to minimise time in rooms may also reduce opportunities for </w:t>
            </w:r>
            <w:r>
              <w:rPr>
                <w:color w:val="0E0E0E"/>
              </w:rPr>
              <w:t>l</w:t>
            </w:r>
            <w:r>
              <w:t xml:space="preserve">onger </w:t>
            </w:r>
            <w:r w:rsidRPr="00777C29">
              <w:rPr>
                <w:color w:val="0E0E0E"/>
              </w:rPr>
              <w:t xml:space="preserve">listening. In mental health settings, particularly when supporting patients with eating disorders or high anxiety, emotional distress, low mood </w:t>
            </w:r>
            <w:r w:rsidRPr="00777C29">
              <w:rPr>
                <w:rStyle w:val="s1"/>
                <w:rFonts w:eastAsiaTheme="majorEastAsia"/>
                <w:color w:val="0E0E0E"/>
              </w:rPr>
              <w:t>or side effects of medication such as sedation or reduced concentration</w:t>
            </w:r>
            <w:r w:rsidRPr="00777C29">
              <w:rPr>
                <w:color w:val="0E0E0E"/>
              </w:rPr>
              <w:t xml:space="preserve"> may affect communication and shorten interactions. Some patients may avoid </w:t>
            </w:r>
            <w:r w:rsidRPr="00777C29">
              <w:rPr>
                <w:color w:val="0E0E0E"/>
              </w:rPr>
              <w:lastRenderedPageBreak/>
              <w:t xml:space="preserve">eye contact, provide limited responses or become overwhelmed when discussing sensitive topics such as food, weight or body image. Situations involving increased risk or safeguarding concerns may require the practitioner to prioritise safety and escalate to senior staff rather than continue therapeutic conversation. </w:t>
            </w:r>
            <w:r w:rsidRPr="00777C29">
              <w:rPr>
                <w:rStyle w:val="s1"/>
                <w:rFonts w:eastAsiaTheme="majorEastAsia"/>
                <w:color w:val="0E0E0E"/>
              </w:rPr>
              <w:t>Remaining empathic while maintaining a professional role can also be challenging, as practitioners must balance emotional support with their responsibilities and scope of practice</w:t>
            </w:r>
            <w:r w:rsidR="00C2695D">
              <w:rPr>
                <w:rStyle w:val="s1"/>
                <w:rFonts w:eastAsiaTheme="majorEastAsia"/>
                <w:color w:val="0E0E0E"/>
              </w:rPr>
              <w:t xml:space="preserve"> at all the time. </w:t>
            </w:r>
            <w:r w:rsidR="00A607B9" w:rsidRPr="00777C29">
              <w:rPr>
                <w:color w:val="0E0E0E"/>
              </w:rPr>
              <w:t>Active listening can be challenging to maintain in busy ward environments where time pressures and multiple clinical tasks reduce opportunities for longer, focused conversations with patients.</w:t>
            </w:r>
          </w:p>
          <w:p w14:paraId="24F8E3D9" w14:textId="1703A09F" w:rsidR="00731193" w:rsidRPr="00777C29" w:rsidRDefault="00731193" w:rsidP="00777C29">
            <w:pPr>
              <w:spacing w:after="80" w:line="360" w:lineRule="auto"/>
            </w:pPr>
          </w:p>
        </w:tc>
      </w:tr>
      <w:tr w:rsidR="002757BC" w14:paraId="47F8C60C" w14:textId="77777777" w:rsidTr="00D31244">
        <w:trPr>
          <w:trHeight w:val="74"/>
        </w:trPr>
        <w:tc>
          <w:tcPr>
            <w:tcW w:w="1560" w:type="dxa"/>
            <w:shd w:val="clear" w:color="auto" w:fill="E8E8E8" w:themeFill="background2"/>
          </w:tcPr>
          <w:p w14:paraId="580796A4" w14:textId="77777777" w:rsidR="00FF2113" w:rsidRPr="00175E42" w:rsidRDefault="000669EE">
            <w:pPr>
              <w:rPr>
                <w:b/>
                <w:bCs/>
                <w:sz w:val="28"/>
                <w:szCs w:val="28"/>
              </w:rPr>
            </w:pPr>
            <w:r w:rsidRPr="00175E42">
              <w:rPr>
                <w:b/>
                <w:bCs/>
                <w:sz w:val="28"/>
                <w:szCs w:val="28"/>
              </w:rPr>
              <w:lastRenderedPageBreak/>
              <w:t xml:space="preserve">Motivational interviewing </w:t>
            </w:r>
          </w:p>
          <w:p w14:paraId="362AFDDA" w14:textId="77777777" w:rsidR="000669EE" w:rsidRDefault="000669EE"/>
          <w:p w14:paraId="2A5959BB" w14:textId="77777777" w:rsidR="000669EE" w:rsidRDefault="000669EE"/>
        </w:tc>
        <w:tc>
          <w:tcPr>
            <w:tcW w:w="3828" w:type="dxa"/>
          </w:tcPr>
          <w:p w14:paraId="40D423FD" w14:textId="4DEA35AF" w:rsidR="00731193" w:rsidRPr="00C2695D" w:rsidRDefault="00C2695D" w:rsidP="00C2695D">
            <w:pPr>
              <w:spacing w:after="80" w:line="360" w:lineRule="auto"/>
            </w:pPr>
            <w:r w:rsidRPr="00C2695D">
              <w:rPr>
                <w:color w:val="0E0E0E"/>
              </w:rPr>
              <w:t xml:space="preserve">Motivational interviewing is a communication approach that helps patients think about change through supportive and respectful </w:t>
            </w:r>
            <w:r w:rsidRPr="00C2695D">
              <w:rPr>
                <w:color w:val="0E0E0E"/>
              </w:rPr>
              <w:lastRenderedPageBreak/>
              <w:t xml:space="preserve">conversation. Instead of telling patients what to do, the practitioner works with them to explore their thoughts, feelings and any </w:t>
            </w:r>
            <w:r w:rsidRPr="00C2695D">
              <w:rPr>
                <w:rStyle w:val="s1"/>
                <w:rFonts w:eastAsiaTheme="majorEastAsia"/>
                <w:color w:val="0E0E0E"/>
              </w:rPr>
              <w:t>uncertainty about changing behaviour</w:t>
            </w:r>
            <w:r w:rsidRPr="00C2695D">
              <w:rPr>
                <w:color w:val="0E0E0E"/>
              </w:rPr>
              <w:t xml:space="preserve">. The focus is on listening with empathy, asking open questions and encouraging patients to find their own reasons for change. This approach aims to build confidence, support decision-making and help patients feel more involved in their care and treatment </w:t>
            </w:r>
            <w:r w:rsidR="000F658A" w:rsidRPr="000F658A">
              <w:rPr>
                <w:color w:val="0E0E0E"/>
              </w:rPr>
              <w:t>(Miller and Rollnick, 2013)</w:t>
            </w:r>
            <w:r w:rsidR="008533C4">
              <w:rPr>
                <w:color w:val="0E0E0E"/>
              </w:rPr>
              <w:t xml:space="preserve">. </w:t>
            </w:r>
          </w:p>
        </w:tc>
        <w:tc>
          <w:tcPr>
            <w:tcW w:w="5244" w:type="dxa"/>
          </w:tcPr>
          <w:p w14:paraId="25757E93" w14:textId="1D1E41FA" w:rsidR="00731193" w:rsidRPr="00B80F6A" w:rsidRDefault="00481DC7" w:rsidP="00B80F6A">
            <w:pPr>
              <w:spacing w:line="360" w:lineRule="auto"/>
              <w:rPr>
                <w:color w:val="0E0E0E"/>
              </w:rPr>
            </w:pPr>
            <w:r w:rsidRPr="00481DC7">
              <w:rPr>
                <w:color w:val="0E0E0E"/>
              </w:rPr>
              <w:lastRenderedPageBreak/>
              <w:t xml:space="preserve">Motivational interviewing can be used to support patients who feel unsure about making changes to their health behaviours by encouraging open discussion and respecting autonomy. In cystic </w:t>
            </w:r>
            <w:r w:rsidRPr="00481DC7">
              <w:rPr>
                <w:color w:val="0E0E0E"/>
              </w:rPr>
              <w:lastRenderedPageBreak/>
              <w:t xml:space="preserve">fibrosis care, this may involve exploring a patient’s readiness to take oral nutritional supplements or pancreatic enzymes more consistently by asking open questions, offering affirmations and guiding conversation towards the benefits that feel meaningful to them, such as having more energy for work or </w:t>
            </w:r>
            <w:r>
              <w:rPr>
                <w:color w:val="0E0E0E"/>
              </w:rPr>
              <w:t>look after their families</w:t>
            </w:r>
            <w:r w:rsidRPr="00481DC7">
              <w:rPr>
                <w:color w:val="0E0E0E"/>
              </w:rPr>
              <w:t xml:space="preserve">. In acute mental health settings, motivational interviewing can help patients consider small achievable changes, such as establishing regular meals. For patients with eating disorders, this may involve supporting them to follow agreed meal plans by exploring their personal goals and helping them view small steps towards eating as manageable and meaningful, which can encourage gradual engagement with food and reduce avoidance behaviours. This approach </w:t>
            </w:r>
            <w:r>
              <w:rPr>
                <w:color w:val="0E0E0E"/>
              </w:rPr>
              <w:t xml:space="preserve">is beneficial within TAP role as </w:t>
            </w:r>
            <w:r w:rsidRPr="00481DC7">
              <w:rPr>
                <w:color w:val="0E0E0E"/>
              </w:rPr>
              <w:t xml:space="preserve">can reduce resistance, support confidence and promote more sustainable behaviour change by helping </w:t>
            </w:r>
            <w:r w:rsidRPr="00481DC7">
              <w:rPr>
                <w:color w:val="0E0E0E"/>
              </w:rPr>
              <w:lastRenderedPageBreak/>
              <w:t>patients find their own motivation and reasons for change</w:t>
            </w:r>
            <w:r>
              <w:rPr>
                <w:color w:val="0E0E0E"/>
              </w:rPr>
              <w:t xml:space="preserve">. </w:t>
            </w:r>
            <w:r w:rsidRPr="00481DC7">
              <w:rPr>
                <w:color w:val="0E0E0E"/>
              </w:rPr>
              <w:t xml:space="preserve"> (Miller and Rollnick, 2013)</w:t>
            </w:r>
            <w:r w:rsidR="00B80F6A">
              <w:rPr>
                <w:color w:val="0E0E0E"/>
              </w:rPr>
              <w:t>.</w:t>
            </w:r>
          </w:p>
        </w:tc>
        <w:tc>
          <w:tcPr>
            <w:tcW w:w="5103" w:type="dxa"/>
          </w:tcPr>
          <w:p w14:paraId="40D15F6F" w14:textId="77777777" w:rsidR="00A607B9" w:rsidRPr="00A607B9" w:rsidRDefault="00A607B9" w:rsidP="00A607B9">
            <w:pPr>
              <w:spacing w:line="360" w:lineRule="auto"/>
              <w:rPr>
                <w:color w:val="0E0E0E"/>
              </w:rPr>
            </w:pPr>
            <w:r w:rsidRPr="00A607B9">
              <w:rPr>
                <w:color w:val="0E0E0E"/>
              </w:rPr>
              <w:lastRenderedPageBreak/>
              <w:t xml:space="preserve">Motivational interviewing requires skill, confidence and practice to use effectively, and brief patient contacts may limit how deeply conversations can explore motivation for change. </w:t>
            </w:r>
            <w:r w:rsidRPr="00A607B9">
              <w:rPr>
                <w:color w:val="0E0E0E"/>
              </w:rPr>
              <w:lastRenderedPageBreak/>
              <w:t>In acute mental health settings, particularly during a crisis or when there are immediate safety concerns, this approach may not be suitable, as the priority must be rapid assessment, clear guidance and escalation to senior staff rather than extended therapeutic discussion.</w:t>
            </w:r>
          </w:p>
          <w:p w14:paraId="4D3E04A0" w14:textId="34C64A16" w:rsidR="00731193" w:rsidRDefault="00A607B9" w:rsidP="00A607B9">
            <w:pPr>
              <w:spacing w:after="80" w:line="360" w:lineRule="auto"/>
            </w:pPr>
            <w:r w:rsidRPr="00A607B9">
              <w:t>If motivational interviewing is not used carefully, it may sound like giving advice or telling patients what to do, so the focus should remain on working together and supporting patient choice</w:t>
            </w:r>
            <w:r>
              <w:t xml:space="preserve">. </w:t>
            </w:r>
            <w:r w:rsidR="00B4716A" w:rsidRPr="00B4716A">
              <w:t xml:space="preserve">Motivational interviewing can be challenging when a patient is not ready for change, as progress may feel </w:t>
            </w:r>
            <w:proofErr w:type="gramStart"/>
            <w:r w:rsidR="00B4716A" w:rsidRPr="00B4716A">
              <w:t>slow</w:t>
            </w:r>
            <w:proofErr w:type="gramEnd"/>
            <w:r w:rsidR="00B4716A" w:rsidRPr="00B4716A">
              <w:t xml:space="preserve"> and conversations may not lead to immediate action.</w:t>
            </w:r>
          </w:p>
          <w:p w14:paraId="5B4FCBF8" w14:textId="77777777" w:rsidR="00A607B9" w:rsidRDefault="00A607B9" w:rsidP="00A607B9">
            <w:pPr>
              <w:spacing w:after="80" w:line="360" w:lineRule="auto"/>
            </w:pPr>
          </w:p>
          <w:p w14:paraId="786A1B75" w14:textId="77777777" w:rsidR="00A607B9" w:rsidRDefault="00A607B9" w:rsidP="00A607B9">
            <w:pPr>
              <w:spacing w:after="80" w:line="360" w:lineRule="auto"/>
            </w:pPr>
          </w:p>
          <w:p w14:paraId="046B43F8" w14:textId="77777777" w:rsidR="00A607B9" w:rsidRDefault="00A607B9" w:rsidP="00A607B9">
            <w:pPr>
              <w:spacing w:after="80" w:line="360" w:lineRule="auto"/>
            </w:pPr>
          </w:p>
          <w:p w14:paraId="0932716A" w14:textId="77777777" w:rsidR="00A607B9" w:rsidRDefault="00A607B9" w:rsidP="00A607B9">
            <w:pPr>
              <w:spacing w:after="80" w:line="360" w:lineRule="auto"/>
            </w:pPr>
          </w:p>
          <w:p w14:paraId="75562AC3" w14:textId="77777777" w:rsidR="00A607B9" w:rsidRDefault="00A607B9" w:rsidP="00A607B9">
            <w:pPr>
              <w:spacing w:after="80" w:line="360" w:lineRule="auto"/>
            </w:pPr>
          </w:p>
          <w:p w14:paraId="50C66F47" w14:textId="77777777" w:rsidR="00A607B9" w:rsidRDefault="00A607B9" w:rsidP="00A607B9">
            <w:pPr>
              <w:spacing w:after="80" w:line="360" w:lineRule="auto"/>
            </w:pPr>
          </w:p>
          <w:p w14:paraId="2D79F753" w14:textId="77777777" w:rsidR="00A607B9" w:rsidRDefault="00A607B9" w:rsidP="00A607B9">
            <w:pPr>
              <w:spacing w:after="80" w:line="360" w:lineRule="auto"/>
            </w:pPr>
          </w:p>
          <w:p w14:paraId="278582D4" w14:textId="66768F4F" w:rsidR="00A607B9" w:rsidRDefault="00A607B9" w:rsidP="00A607B9">
            <w:pPr>
              <w:spacing w:after="80" w:line="360" w:lineRule="auto"/>
            </w:pPr>
          </w:p>
        </w:tc>
      </w:tr>
      <w:tr w:rsidR="002757BC" w14:paraId="746700AB" w14:textId="77777777" w:rsidTr="00D31244">
        <w:tc>
          <w:tcPr>
            <w:tcW w:w="1560" w:type="dxa"/>
            <w:shd w:val="clear" w:color="auto" w:fill="E8E8E8" w:themeFill="background2"/>
          </w:tcPr>
          <w:p w14:paraId="2DD29BB1" w14:textId="77777777" w:rsidR="00FF2113" w:rsidRPr="00175E42" w:rsidRDefault="000669EE">
            <w:pPr>
              <w:rPr>
                <w:b/>
                <w:bCs/>
                <w:sz w:val="28"/>
                <w:szCs w:val="28"/>
              </w:rPr>
            </w:pPr>
            <w:r w:rsidRPr="00175E42">
              <w:rPr>
                <w:b/>
                <w:bCs/>
                <w:sz w:val="28"/>
                <w:szCs w:val="28"/>
              </w:rPr>
              <w:lastRenderedPageBreak/>
              <w:t xml:space="preserve">Goal setting </w:t>
            </w:r>
          </w:p>
          <w:p w14:paraId="03ABAD45" w14:textId="77777777" w:rsidR="000669EE" w:rsidRDefault="000669EE"/>
          <w:p w14:paraId="6C22ECFB" w14:textId="77777777" w:rsidR="000669EE" w:rsidRDefault="000669EE"/>
        </w:tc>
        <w:tc>
          <w:tcPr>
            <w:tcW w:w="3828" w:type="dxa"/>
          </w:tcPr>
          <w:p w14:paraId="1DBC1B23" w14:textId="2D3E02D2" w:rsidR="0097444E" w:rsidRPr="0097444E" w:rsidRDefault="0097444E" w:rsidP="00865589">
            <w:pPr>
              <w:spacing w:line="360" w:lineRule="auto"/>
              <w:jc w:val="both"/>
              <w:rPr>
                <w:color w:val="0E0E0E"/>
              </w:rPr>
            </w:pPr>
            <w:r w:rsidRPr="0097444E">
              <w:rPr>
                <w:color w:val="0E0E0E"/>
              </w:rPr>
              <w:t>Goal setting involves working together with patients to agree on clear, realistic and meaningful health goals and creating simple action plans to support behaviour change. Setting specific and achievable goals helps patients focus on positive progress, build confidence and stay engaged</w:t>
            </w:r>
            <w:r w:rsidR="00B410B7">
              <w:rPr>
                <w:color w:val="0E0E0E"/>
              </w:rPr>
              <w:t xml:space="preserve"> </w:t>
            </w:r>
            <w:r w:rsidRPr="0097444E">
              <w:rPr>
                <w:color w:val="0E0E0E"/>
              </w:rPr>
              <w:t>in treatment by breaking larger changes into smaller manageable steps (Bailey, 2019).</w:t>
            </w:r>
          </w:p>
          <w:p w14:paraId="12EA4CE0" w14:textId="559DB1D5" w:rsidR="00731193" w:rsidRDefault="00731193">
            <w:pPr>
              <w:spacing w:after="80"/>
            </w:pPr>
          </w:p>
        </w:tc>
        <w:tc>
          <w:tcPr>
            <w:tcW w:w="5244" w:type="dxa"/>
          </w:tcPr>
          <w:p w14:paraId="0915EA18" w14:textId="2F97CBFA" w:rsidR="00B80F6A" w:rsidRPr="00B80F6A" w:rsidRDefault="00B80F6A" w:rsidP="00B80F6A">
            <w:pPr>
              <w:spacing w:line="360" w:lineRule="auto"/>
              <w:rPr>
                <w:color w:val="0E0E0E"/>
              </w:rPr>
            </w:pPr>
            <w:r w:rsidRPr="00B80F6A">
              <w:rPr>
                <w:color w:val="0E0E0E"/>
              </w:rPr>
              <w:t>Goal setting helps patients focus on small, realistic steps that matter to them and supports shared planning during conversations. In cystic fibrosis care, this may involve working with the patient to decide one or two simple nutrition goals during routine discussions, such as improving high-energy snack intake or building a regular eating pattern that fits their daily life. Using a goal</w:t>
            </w:r>
            <w:r>
              <w:rPr>
                <w:color w:val="0E0E0E"/>
              </w:rPr>
              <w:t xml:space="preserve"> setting</w:t>
            </w:r>
            <w:r w:rsidRPr="00B80F6A">
              <w:rPr>
                <w:color w:val="0E0E0E"/>
              </w:rPr>
              <w:t xml:space="preserve"> approach can help structure conversations so patients feel more involved and prepared for appointments. In acute mental health settings, agreeing very small steps, such as taking a few sips of a supplement or starting with one manageable meal, can reduce overwhelm and support gradual progress. A benefit within the TAP role is that clear agreed goals help guide follow-up conversations, support communication with the MDT and make it easier to notice small changes in a patient’s progress. This approach </w:t>
            </w:r>
            <w:r w:rsidRPr="00B80F6A">
              <w:rPr>
                <w:color w:val="0E0E0E"/>
              </w:rPr>
              <w:lastRenderedPageBreak/>
              <w:t>helps patients feel listened to, encourages engagement and supports more collaborative care planning (Stevens and Elwyn, 2021)</w:t>
            </w:r>
          </w:p>
          <w:p w14:paraId="4193F23C" w14:textId="2B2016C2" w:rsidR="00731193" w:rsidRDefault="00731193">
            <w:pPr>
              <w:spacing w:after="80"/>
            </w:pPr>
          </w:p>
        </w:tc>
        <w:tc>
          <w:tcPr>
            <w:tcW w:w="5103" w:type="dxa"/>
          </w:tcPr>
          <w:p w14:paraId="6A5B4CDF" w14:textId="114AC48C" w:rsidR="00175E42" w:rsidRPr="00175E42" w:rsidRDefault="00175E42" w:rsidP="00175E42">
            <w:pPr>
              <w:spacing w:line="360" w:lineRule="auto"/>
              <w:rPr>
                <w:color w:val="0E0E0E"/>
              </w:rPr>
            </w:pPr>
            <w:r w:rsidRPr="00175E42">
              <w:rPr>
                <w:color w:val="0E0E0E"/>
              </w:rPr>
              <w:lastRenderedPageBreak/>
              <w:t xml:space="preserve">Agreeing goals with patients may be challenging when priorities change or when patients feel unsure about what is realistic at that time. Goals may become unrealistic due to symptoms such as nausea, breathlessness or fatigue, as well as low mood, cognitive overload or social barriers like limited finances or food access. In cystic fibrosis care, goal setting around </w:t>
            </w:r>
            <w:r>
              <w:rPr>
                <w:color w:val="0E0E0E"/>
              </w:rPr>
              <w:t xml:space="preserve">for example </w:t>
            </w:r>
            <w:r w:rsidRPr="00175E42">
              <w:rPr>
                <w:color w:val="0E0E0E"/>
              </w:rPr>
              <w:t xml:space="preserve">CF-related diabetes can be complex, and some patients may disengage quickly if plans feel too difficult or overwhelming. Treatment routines and fluctuating health can also make it harder to keep to agreed nutrition goals. In acute mental health settings, patients who are very unwell may not feel ready to talk or may struggle with consistency, which can make regular goal planning difficult. Setting too many goals at once may reduce adherence, so plans often need </w:t>
            </w:r>
            <w:r w:rsidRPr="00175E42">
              <w:rPr>
                <w:color w:val="0E0E0E"/>
              </w:rPr>
              <w:lastRenderedPageBreak/>
              <w:t>flexibility, follow-up and frequent review to remain supportive and achievable</w:t>
            </w:r>
            <w:r>
              <w:rPr>
                <w:color w:val="0E0E0E"/>
              </w:rPr>
              <w:t xml:space="preserve">. </w:t>
            </w:r>
          </w:p>
          <w:p w14:paraId="63C0BEDD" w14:textId="7DCADBB3" w:rsidR="00731193" w:rsidRDefault="00731193">
            <w:pPr>
              <w:spacing w:after="80"/>
            </w:pPr>
          </w:p>
        </w:tc>
      </w:tr>
      <w:tr w:rsidR="002757BC" w14:paraId="3AA99B86" w14:textId="77777777" w:rsidTr="00D31244">
        <w:tc>
          <w:tcPr>
            <w:tcW w:w="1560" w:type="dxa"/>
            <w:shd w:val="clear" w:color="auto" w:fill="E8E8E8" w:themeFill="background2"/>
          </w:tcPr>
          <w:p w14:paraId="2E919EE7" w14:textId="77777777" w:rsidR="00FF2113" w:rsidRPr="009C7CC7" w:rsidRDefault="000669EE">
            <w:pPr>
              <w:rPr>
                <w:b/>
                <w:bCs/>
                <w:sz w:val="32"/>
                <w:szCs w:val="32"/>
              </w:rPr>
            </w:pPr>
            <w:r w:rsidRPr="009C7CC7">
              <w:rPr>
                <w:b/>
                <w:bCs/>
                <w:sz w:val="32"/>
                <w:szCs w:val="32"/>
              </w:rPr>
              <w:lastRenderedPageBreak/>
              <w:t>Compassion focused approaches</w:t>
            </w:r>
          </w:p>
        </w:tc>
        <w:tc>
          <w:tcPr>
            <w:tcW w:w="3828" w:type="dxa"/>
          </w:tcPr>
          <w:p w14:paraId="292BE600" w14:textId="77777777" w:rsidR="008B5FDF" w:rsidRDefault="008B5FDF" w:rsidP="008B5FDF">
            <w:pPr>
              <w:spacing w:line="360" w:lineRule="auto"/>
              <w:rPr>
                <w:rFonts w:ascii=".AppleSystemUIFont" w:hAnsi=".AppleSystemUIFont"/>
                <w:color w:val="0E0E0E"/>
                <w:sz w:val="21"/>
                <w:szCs w:val="21"/>
              </w:rPr>
            </w:pPr>
            <w:r w:rsidRPr="008533C4">
              <w:rPr>
                <w:color w:val="0E0E0E"/>
              </w:rPr>
              <w:t xml:space="preserve">Compassion is the ability to recognise when a patient is experiencing distress or suffering and respond with understanding, kindness and a genuine intention to help reduce that suffering. Compassion goes beyond empathy alone because it includes supportive action, where the practitioner aims to create a safe and non-judgemental environment that helps the patient feel understood and valued. These approaches focus on emotional awareness, sensitivity to the patient’s experiences and using caring communication to support wellbeing and therapeutic </w:t>
            </w:r>
            <w:r w:rsidRPr="008533C4">
              <w:rPr>
                <w:color w:val="0E0E0E"/>
              </w:rPr>
              <w:lastRenderedPageBreak/>
              <w:t>relationships. In healthcare settings, compassion may involve noticing both verbal and non-verbal signs of distress and adapting interactions to meet the patient’s emotional as well as physical needs (Goetz and Simon-Thomas, 2017).</w:t>
            </w:r>
          </w:p>
          <w:p w14:paraId="2389C449" w14:textId="5067621D" w:rsidR="00731193" w:rsidRDefault="00731193">
            <w:pPr>
              <w:spacing w:after="80"/>
            </w:pPr>
          </w:p>
        </w:tc>
        <w:tc>
          <w:tcPr>
            <w:tcW w:w="5244" w:type="dxa"/>
          </w:tcPr>
          <w:p w14:paraId="773BD91E" w14:textId="408BD03B" w:rsidR="00731193" w:rsidRDefault="008B5FDF" w:rsidP="002757BC">
            <w:pPr>
              <w:spacing w:line="360" w:lineRule="auto"/>
            </w:pPr>
            <w:r w:rsidRPr="008B5FDF">
              <w:rPr>
                <w:color w:val="0E0E0E"/>
              </w:rPr>
              <w:lastRenderedPageBreak/>
              <w:t xml:space="preserve">Using a compassionate approach can help patients feel more supported during difficult conversations about their health. In cystic fibrosis care, some patients may feel frightened when they see others with CF becoming more unwell or dying younger, which can affect how they engage with treatment or nutrition support. Using calm, understanding language and normalising treatment fatigue can help reduce shame and encourage open discussion, especially when topics like weight loss or tube feeding feel sensitive. In acute mental health settings, compassion may involve avoiding judgemental language, acknowledging fear around eating behaviours and giving patients time to speak at their own pace. </w:t>
            </w:r>
          </w:p>
        </w:tc>
        <w:tc>
          <w:tcPr>
            <w:tcW w:w="5103" w:type="dxa"/>
          </w:tcPr>
          <w:p w14:paraId="0B342C2C" w14:textId="126C06F7" w:rsidR="009C7CC7" w:rsidRPr="009C7CC7" w:rsidRDefault="009C7CC7" w:rsidP="009C7CC7">
            <w:pPr>
              <w:spacing w:line="360" w:lineRule="auto"/>
              <w:rPr>
                <w:color w:val="0E0E0E"/>
              </w:rPr>
            </w:pPr>
            <w:r w:rsidRPr="009C7CC7">
              <w:rPr>
                <w:color w:val="0E0E0E"/>
              </w:rPr>
              <w:t xml:space="preserve">Not all patients feel comfortable with emotional conversations, and some may find compassionate language unusual or difficult to respond to at first. Patients with trauma histories or long-term illness experiences may struggle to accept support or may misinterpret kindness as pressure, which can affect engagement. In cystic fibrosis care, patients who have managed their condition independently for many years may prefer practical problem-solving rather than emotional discussion, making a compassion-focused approach feel unfamiliar. In acute mental health settings, patients who are very withdrawn or experiencing high anxiety may avoid interaction altogether, limiting opportunities to use compassionate communication. </w:t>
            </w:r>
          </w:p>
          <w:p w14:paraId="4E05415E" w14:textId="4A787BDA" w:rsidR="00731193" w:rsidRDefault="00731193">
            <w:pPr>
              <w:spacing w:after="80"/>
            </w:pPr>
          </w:p>
        </w:tc>
      </w:tr>
      <w:tr w:rsidR="002757BC" w14:paraId="4A1A11EC" w14:textId="77777777" w:rsidTr="00D31244">
        <w:tc>
          <w:tcPr>
            <w:tcW w:w="1560" w:type="dxa"/>
            <w:shd w:val="clear" w:color="auto" w:fill="E8E8E8" w:themeFill="background2"/>
          </w:tcPr>
          <w:p w14:paraId="17C03E7F" w14:textId="77777777" w:rsidR="00FF2113" w:rsidRPr="00B410B7" w:rsidRDefault="000669EE">
            <w:pPr>
              <w:rPr>
                <w:b/>
                <w:bCs/>
                <w:sz w:val="32"/>
                <w:szCs w:val="32"/>
              </w:rPr>
            </w:pPr>
            <w:r w:rsidRPr="00B410B7">
              <w:rPr>
                <w:b/>
                <w:bCs/>
                <w:sz w:val="32"/>
                <w:szCs w:val="32"/>
              </w:rPr>
              <w:lastRenderedPageBreak/>
              <w:t>Emotional intelligence</w:t>
            </w:r>
          </w:p>
          <w:p w14:paraId="452A474F" w14:textId="77777777" w:rsidR="000669EE" w:rsidRDefault="000669EE"/>
        </w:tc>
        <w:tc>
          <w:tcPr>
            <w:tcW w:w="3828" w:type="dxa"/>
          </w:tcPr>
          <w:p w14:paraId="43B2D9B2" w14:textId="77777777" w:rsidR="00CC783C" w:rsidRPr="00CC783C" w:rsidRDefault="00CC783C" w:rsidP="00CC783C">
            <w:pPr>
              <w:spacing w:line="360" w:lineRule="auto"/>
              <w:rPr>
                <w:color w:val="0E0E0E"/>
              </w:rPr>
            </w:pPr>
            <w:r w:rsidRPr="00CC783C">
              <w:rPr>
                <w:color w:val="0E0E0E"/>
              </w:rPr>
              <w:t xml:space="preserve">Emotional intelligence is the ability to understand and manage one’s own emotions while also recognising the feelings of others. In healthcare, it helps practitioners stay calm, communicate clearly and respond to patients in a supportive and respectful way. Emotional intelligence includes skills such as self-awareness, empathy and good social communication, which help build trust and positive therapeutic relationships. It also supports </w:t>
            </w:r>
            <w:r w:rsidRPr="00CC783C">
              <w:rPr>
                <w:color w:val="0E0E0E"/>
              </w:rPr>
              <w:lastRenderedPageBreak/>
              <w:t>reflective practice and helps practitioners cope with emotional situations in clinical settings (Stalin, 2024).</w:t>
            </w:r>
          </w:p>
          <w:p w14:paraId="01FE6BE2" w14:textId="722655B4" w:rsidR="00731193" w:rsidRDefault="00731193">
            <w:pPr>
              <w:spacing w:after="80"/>
            </w:pPr>
          </w:p>
        </w:tc>
        <w:tc>
          <w:tcPr>
            <w:tcW w:w="5244" w:type="dxa"/>
          </w:tcPr>
          <w:p w14:paraId="6E846BD3" w14:textId="78B169CA" w:rsidR="00045B1F" w:rsidRPr="00045B1F" w:rsidRDefault="00CC7482" w:rsidP="00045B1F">
            <w:pPr>
              <w:spacing w:line="360" w:lineRule="auto"/>
              <w:rPr>
                <w:color w:val="0E0E0E"/>
              </w:rPr>
            </w:pPr>
            <w:r w:rsidRPr="00045B1F">
              <w:rPr>
                <w:color w:val="0E0E0E"/>
              </w:rPr>
              <w:lastRenderedPageBreak/>
              <w:t xml:space="preserve">Using emotional intelligence in </w:t>
            </w:r>
            <w:r w:rsidRPr="00045B1F">
              <w:rPr>
                <w:color w:val="0E0E0E"/>
              </w:rPr>
              <w:t>TAP role means</w:t>
            </w:r>
            <w:r w:rsidRPr="00045B1F">
              <w:rPr>
                <w:color w:val="0E0E0E"/>
              </w:rPr>
              <w:t xml:space="preserve"> being aware of how emotions affect communication and adjusting responses to support patients</w:t>
            </w:r>
            <w:r w:rsidRPr="00045B1F">
              <w:rPr>
                <w:color w:val="0E0E0E"/>
              </w:rPr>
              <w:t xml:space="preserve">. </w:t>
            </w:r>
            <w:r w:rsidRPr="00045B1F">
              <w:rPr>
                <w:color w:val="0E0E0E"/>
              </w:rPr>
              <w:t xml:space="preserve">In cystic fibrosis care, this may involve noticing when a patient seems worried or low </w:t>
            </w:r>
            <w:r w:rsidRPr="00045B1F">
              <w:rPr>
                <w:color w:val="0E0E0E"/>
              </w:rPr>
              <w:t>on the ward and</w:t>
            </w:r>
            <w:r w:rsidRPr="00045B1F">
              <w:rPr>
                <w:color w:val="0E0E0E"/>
              </w:rPr>
              <w:t xml:space="preserve"> responding with a calm, supportive tone instead of focusing only on targets. Paying attention to small signs, such as a patient becoming quiet or avoiding </w:t>
            </w:r>
            <w:r w:rsidRPr="00045B1F">
              <w:rPr>
                <w:color w:val="0E0E0E"/>
              </w:rPr>
              <w:t xml:space="preserve">certain </w:t>
            </w:r>
            <w:r w:rsidR="00045B1F" w:rsidRPr="00045B1F">
              <w:rPr>
                <w:color w:val="0E0E0E"/>
              </w:rPr>
              <w:t>topics can</w:t>
            </w:r>
            <w:r w:rsidRPr="00045B1F">
              <w:rPr>
                <w:color w:val="0E0E0E"/>
              </w:rPr>
              <w:t xml:space="preserve"> help guide more supportive conversations about food, treatment or daily challenges. In acute mental health settings, emotional intelligence can help notice early signs of distress, like restlessness or </w:t>
            </w:r>
            <w:r w:rsidRPr="00045B1F">
              <w:rPr>
                <w:color w:val="0E0E0E"/>
              </w:rPr>
              <w:lastRenderedPageBreak/>
              <w:t>withdrawal, and adjust communication by slowing down, giving space or speaking gently.</w:t>
            </w:r>
            <w:r w:rsidR="00045B1F" w:rsidRPr="00045B1F">
              <w:rPr>
                <w:b/>
                <w:bCs/>
                <w:color w:val="0E0E0E"/>
              </w:rPr>
              <w:t xml:space="preserve"> </w:t>
            </w:r>
            <w:r w:rsidR="00045B1F" w:rsidRPr="00045B1F">
              <w:rPr>
                <w:color w:val="0E0E0E"/>
              </w:rPr>
              <w:t>A benefit within the TAP role is that emotional awareness can help manage challenging conversations more confidently and support clear, respectful communication during difficult situations. It can also help maintain a calm and professional presence when patients feel overwhelmed or frustrated.</w:t>
            </w:r>
          </w:p>
          <w:p w14:paraId="1AB1760A" w14:textId="69296833" w:rsidR="00CC7482" w:rsidRDefault="00CC7482" w:rsidP="00CC7482">
            <w:pPr>
              <w:rPr>
                <w:rFonts w:ascii=".AppleSystemUIFont" w:hAnsi=".AppleSystemUIFont"/>
                <w:color w:val="0E0E0E"/>
                <w:sz w:val="21"/>
                <w:szCs w:val="21"/>
              </w:rPr>
            </w:pPr>
          </w:p>
          <w:p w14:paraId="2E81B194" w14:textId="250A2903" w:rsidR="00CC7482" w:rsidRDefault="00CC7482" w:rsidP="00CC7482">
            <w:pPr>
              <w:rPr>
                <w:rFonts w:ascii=".AppleSystemUIFont" w:hAnsi=".AppleSystemUIFont"/>
                <w:color w:val="0E0E0E"/>
                <w:sz w:val="21"/>
                <w:szCs w:val="21"/>
              </w:rPr>
            </w:pPr>
          </w:p>
          <w:p w14:paraId="187D69D6" w14:textId="6F8DD06C" w:rsidR="00731193" w:rsidRDefault="00731193">
            <w:pPr>
              <w:spacing w:after="80"/>
            </w:pPr>
          </w:p>
        </w:tc>
        <w:tc>
          <w:tcPr>
            <w:tcW w:w="5103" w:type="dxa"/>
          </w:tcPr>
          <w:p w14:paraId="4A4E96B9" w14:textId="18D3AA74" w:rsidR="00D25A18" w:rsidRPr="00D25A18" w:rsidRDefault="00D25A18" w:rsidP="00D25A18">
            <w:pPr>
              <w:spacing w:line="360" w:lineRule="auto"/>
              <w:rPr>
                <w:color w:val="0E0E0E"/>
              </w:rPr>
            </w:pPr>
            <w:r w:rsidRPr="00D25A18">
              <w:rPr>
                <w:color w:val="0E0E0E"/>
              </w:rPr>
              <w:lastRenderedPageBreak/>
              <w:t xml:space="preserve">Emotional intelligence can be harder to use when work feels emotionally demanding or stressful, as this may affect how </w:t>
            </w:r>
            <w:r>
              <w:rPr>
                <w:color w:val="0E0E0E"/>
              </w:rPr>
              <w:t xml:space="preserve">TAP </w:t>
            </w:r>
            <w:r w:rsidRPr="00D25A18">
              <w:rPr>
                <w:color w:val="0E0E0E"/>
              </w:rPr>
              <w:t>respond to patients.</w:t>
            </w:r>
          </w:p>
          <w:p w14:paraId="7D8D323D" w14:textId="40E22CA8" w:rsidR="00D25A18" w:rsidRPr="00D25A18" w:rsidRDefault="00D25A18" w:rsidP="00D25A18">
            <w:pPr>
              <w:spacing w:line="360" w:lineRule="auto"/>
              <w:rPr>
                <w:color w:val="0E0E0E"/>
              </w:rPr>
            </w:pPr>
            <w:r w:rsidRPr="00D25A18">
              <w:rPr>
                <w:color w:val="0E0E0E"/>
              </w:rPr>
              <w:t xml:space="preserve">There is also a risk of becoming too emotionally involved if professional </w:t>
            </w:r>
            <w:r w:rsidR="002757BC">
              <w:rPr>
                <w:color w:val="0E0E0E"/>
              </w:rPr>
              <w:t>boundaries</w:t>
            </w:r>
            <w:r w:rsidRPr="00D25A18">
              <w:rPr>
                <w:color w:val="0E0E0E"/>
              </w:rPr>
              <w:t xml:space="preserve"> are not clear, especially when working closely with patients over long periods. In cystic fibrosis care, repeated exposure to serious illness or loss within the patient community may affect emotional responses and make it harder to stay balanced. In acute mental health settings, emotions can sometimes be misread, especially when people show feelings in different ways or </w:t>
            </w:r>
            <w:r w:rsidRPr="00D25A18">
              <w:rPr>
                <w:color w:val="0E0E0E"/>
              </w:rPr>
              <w:lastRenderedPageBreak/>
              <w:t>communicate differentl</w:t>
            </w:r>
            <w:r>
              <w:rPr>
                <w:color w:val="0E0E0E"/>
              </w:rPr>
              <w:t>y.</w:t>
            </w:r>
            <w:r w:rsidRPr="00D25A18">
              <w:rPr>
                <w:color w:val="0E0E0E"/>
              </w:rPr>
              <w:t xml:space="preserve"> Busy clinical environments or fast-paced situations may also make it harder to pause and reflect, which can reduce the effective use of emotional intelligence</w:t>
            </w:r>
            <w:r>
              <w:rPr>
                <w:color w:val="0E0E0E"/>
              </w:rPr>
              <w:t xml:space="preserve"> on daily basis.</w:t>
            </w:r>
          </w:p>
          <w:p w14:paraId="1E51FB15" w14:textId="3E728469" w:rsidR="00731193" w:rsidRDefault="00731193">
            <w:pPr>
              <w:spacing w:after="80"/>
            </w:pPr>
          </w:p>
        </w:tc>
      </w:tr>
      <w:tr w:rsidR="002757BC" w14:paraId="4018A98C" w14:textId="77777777" w:rsidTr="00D31244">
        <w:tc>
          <w:tcPr>
            <w:tcW w:w="1560" w:type="dxa"/>
            <w:shd w:val="clear" w:color="auto" w:fill="E8E8E8" w:themeFill="background2"/>
          </w:tcPr>
          <w:p w14:paraId="652E5489" w14:textId="77777777" w:rsidR="000669EE" w:rsidRPr="00B410B7" w:rsidRDefault="000669EE">
            <w:pPr>
              <w:rPr>
                <w:b/>
                <w:bCs/>
                <w:sz w:val="32"/>
                <w:szCs w:val="32"/>
              </w:rPr>
            </w:pPr>
            <w:r w:rsidRPr="00B410B7">
              <w:rPr>
                <w:b/>
                <w:bCs/>
                <w:sz w:val="32"/>
                <w:szCs w:val="32"/>
              </w:rPr>
              <w:lastRenderedPageBreak/>
              <w:t>Shared engagement</w:t>
            </w:r>
          </w:p>
          <w:p w14:paraId="3D6E08C0" w14:textId="77777777" w:rsidR="000669EE" w:rsidRDefault="000669EE"/>
          <w:p w14:paraId="415286B1" w14:textId="77777777" w:rsidR="00FF2113" w:rsidRDefault="000669EE">
            <w:r>
              <w:t xml:space="preserve"> </w:t>
            </w:r>
          </w:p>
        </w:tc>
        <w:tc>
          <w:tcPr>
            <w:tcW w:w="3828" w:type="dxa"/>
          </w:tcPr>
          <w:p w14:paraId="151F08CC" w14:textId="080E88E6" w:rsidR="008533C4" w:rsidRPr="008533C4" w:rsidRDefault="008533C4" w:rsidP="008533C4">
            <w:pPr>
              <w:spacing w:line="360" w:lineRule="auto"/>
              <w:rPr>
                <w:color w:val="0E0E0E"/>
              </w:rPr>
            </w:pPr>
            <w:r w:rsidRPr="008533C4">
              <w:rPr>
                <w:color w:val="0E0E0E"/>
              </w:rPr>
              <w:t>S</w:t>
            </w:r>
            <w:r w:rsidRPr="008533C4">
              <w:rPr>
                <w:color w:val="0E0E0E"/>
              </w:rPr>
              <w:t>hared engagement means working together with patients during parts of their care instead of only giving advice</w:t>
            </w:r>
            <w:r w:rsidRPr="008533C4">
              <w:rPr>
                <w:color w:val="0E0E0E"/>
              </w:rPr>
              <w:t xml:space="preserve"> and </w:t>
            </w:r>
            <w:r w:rsidRPr="008533C4">
              <w:t>respect</w:t>
            </w:r>
            <w:r w:rsidRPr="008533C4">
              <w:t xml:space="preserve"> the person’s preferences and values</w:t>
            </w:r>
            <w:r w:rsidRPr="008533C4">
              <w:t xml:space="preserve">. </w:t>
            </w:r>
            <w:r w:rsidRPr="008533C4">
              <w:rPr>
                <w:color w:val="0E0E0E"/>
              </w:rPr>
              <w:t xml:space="preserve"> </w:t>
            </w:r>
            <w:r w:rsidRPr="008533C4">
              <w:rPr>
                <w:color w:val="0E0E0E"/>
              </w:rPr>
              <w:t xml:space="preserve">The British Dietetic Association supports person-centred care, where patients are involved in decisions and take an active role in their treatment. This can include working through </w:t>
            </w:r>
            <w:r w:rsidRPr="008533C4">
              <w:rPr>
                <w:color w:val="0E0E0E"/>
              </w:rPr>
              <w:lastRenderedPageBreak/>
              <w:t>routines, practical tasks or discussions together to help patients feel more comfortable, understand their care better and build a positive therapeutic relationship (BDA, 2021)</w:t>
            </w:r>
            <w:r w:rsidRPr="008533C4">
              <w:rPr>
                <w:color w:val="0E0E0E"/>
              </w:rPr>
              <w:t xml:space="preserve">. </w:t>
            </w:r>
          </w:p>
          <w:p w14:paraId="1605FF15" w14:textId="0A935936" w:rsidR="00731193" w:rsidRDefault="00731193">
            <w:pPr>
              <w:spacing w:after="80"/>
            </w:pPr>
          </w:p>
        </w:tc>
        <w:tc>
          <w:tcPr>
            <w:tcW w:w="5244" w:type="dxa"/>
          </w:tcPr>
          <w:p w14:paraId="71D2960A" w14:textId="073A698F" w:rsidR="00865589" w:rsidRPr="00865589" w:rsidRDefault="00865589" w:rsidP="00865589">
            <w:pPr>
              <w:spacing w:line="360" w:lineRule="auto"/>
              <w:rPr>
                <w:color w:val="0E0E0E"/>
              </w:rPr>
            </w:pPr>
            <w:r w:rsidRPr="00865589">
              <w:rPr>
                <w:color w:val="0E0E0E"/>
              </w:rPr>
              <w:lastRenderedPageBreak/>
              <w:t xml:space="preserve">Shared engagement means working together with patients during parts of their </w:t>
            </w:r>
            <w:r w:rsidRPr="00865589">
              <w:rPr>
                <w:color w:val="0E0E0E"/>
              </w:rPr>
              <w:t>care,</w:t>
            </w:r>
            <w:r w:rsidRPr="00865589">
              <w:rPr>
                <w:color w:val="0E0E0E"/>
              </w:rPr>
              <w:t xml:space="preserve"> so they feel involved instead of being told what to do. In cystic fibrosis care, this may include looking at food </w:t>
            </w:r>
            <w:r w:rsidR="002757BC">
              <w:rPr>
                <w:color w:val="0E0E0E"/>
              </w:rPr>
              <w:t xml:space="preserve">record charts </w:t>
            </w:r>
            <w:r w:rsidRPr="00865589">
              <w:rPr>
                <w:color w:val="0E0E0E"/>
              </w:rPr>
              <w:t xml:space="preserve">together, choosing supplement flavours or finding ways to take </w:t>
            </w:r>
            <w:r w:rsidR="002757BC">
              <w:rPr>
                <w:color w:val="0E0E0E"/>
              </w:rPr>
              <w:t xml:space="preserve">pancreatic </w:t>
            </w:r>
            <w:r w:rsidRPr="00865589">
              <w:rPr>
                <w:color w:val="0E0E0E"/>
              </w:rPr>
              <w:t>enzymes during work, long clinic days or around treatments. In acute mental health settings, this may involve planning a snack</w:t>
            </w:r>
            <w:r w:rsidR="002757BC">
              <w:rPr>
                <w:color w:val="0E0E0E"/>
              </w:rPr>
              <w:t xml:space="preserve"> list </w:t>
            </w:r>
            <w:r w:rsidR="002757BC" w:rsidRPr="00865589">
              <w:rPr>
                <w:color w:val="0E0E0E"/>
              </w:rPr>
              <w:t>together</w:t>
            </w:r>
            <w:r w:rsidRPr="00865589">
              <w:rPr>
                <w:color w:val="0E0E0E"/>
              </w:rPr>
              <w:t>, supporting simple daily</w:t>
            </w:r>
            <w:r w:rsidR="002757BC">
              <w:rPr>
                <w:color w:val="0E0E0E"/>
              </w:rPr>
              <w:t xml:space="preserve"> mealtimes</w:t>
            </w:r>
            <w:r w:rsidRPr="00865589">
              <w:rPr>
                <w:color w:val="0E0E0E"/>
              </w:rPr>
              <w:t xml:space="preserve"> routines or </w:t>
            </w:r>
            <w:r w:rsidR="002757BC">
              <w:rPr>
                <w:color w:val="0E0E0E"/>
              </w:rPr>
              <w:lastRenderedPageBreak/>
              <w:t xml:space="preserve">simply </w:t>
            </w:r>
            <w:r w:rsidRPr="00865589">
              <w:rPr>
                <w:color w:val="0E0E0E"/>
              </w:rPr>
              <w:t xml:space="preserve">sitting with the patient during mealtimes to help reduce anxiety. Research in NHS rehabilitation services shows that doing activities alongside patients can improve engagement, support independence and help them feel more connected to their care (Lean </w:t>
            </w:r>
            <w:r w:rsidRPr="00865589">
              <w:rPr>
                <w:i/>
                <w:iCs/>
                <w:color w:val="0E0E0E"/>
              </w:rPr>
              <w:t>et al.</w:t>
            </w:r>
            <w:r w:rsidRPr="00865589">
              <w:rPr>
                <w:color w:val="0E0E0E"/>
              </w:rPr>
              <w:t>, 2015). A benefit within the TAP role is that shared engagement can support collaboration</w:t>
            </w:r>
            <w:r w:rsidR="002757BC">
              <w:rPr>
                <w:color w:val="0E0E0E"/>
              </w:rPr>
              <w:t xml:space="preserve"> and </w:t>
            </w:r>
            <w:r w:rsidRPr="00865589">
              <w:rPr>
                <w:color w:val="0E0E0E"/>
              </w:rPr>
              <w:t xml:space="preserve">build </w:t>
            </w:r>
            <w:r w:rsidR="002757BC">
              <w:rPr>
                <w:color w:val="0E0E0E"/>
              </w:rPr>
              <w:t xml:space="preserve">patient’s </w:t>
            </w:r>
            <w:r w:rsidRPr="00865589">
              <w:rPr>
                <w:color w:val="0E0E0E"/>
              </w:rPr>
              <w:t>confidence</w:t>
            </w:r>
            <w:r w:rsidR="002757BC">
              <w:rPr>
                <w:color w:val="0E0E0E"/>
              </w:rPr>
              <w:t>.</w:t>
            </w:r>
          </w:p>
          <w:p w14:paraId="7F1786BE" w14:textId="3F711F82" w:rsidR="00731193" w:rsidRDefault="00731193">
            <w:pPr>
              <w:spacing w:after="80"/>
            </w:pPr>
          </w:p>
        </w:tc>
        <w:tc>
          <w:tcPr>
            <w:tcW w:w="5103" w:type="dxa"/>
          </w:tcPr>
          <w:p w14:paraId="2F3F6324" w14:textId="493D83EB" w:rsidR="00B410B7" w:rsidRPr="00B410B7" w:rsidRDefault="004C0412" w:rsidP="00B410B7">
            <w:pPr>
              <w:spacing w:line="360" w:lineRule="auto"/>
              <w:rPr>
                <w:color w:val="0E0E0E"/>
              </w:rPr>
            </w:pPr>
            <w:r w:rsidRPr="004C0412">
              <w:rPr>
                <w:color w:val="0E0E0E"/>
              </w:rPr>
              <w:lastRenderedPageBreak/>
              <w:t>Shared engagement may be difficult to maintain when patients feel overwhelmed or emotionally tired from ongoing treatment and medical routines. In cystic fibrosis care, the high number of daily therapies, hospital visits and procedures can lead to treatment fatigue, meaning some patients may choose to step back from activities or avoid extra engagement. Strict infection control requirements can also reduce</w:t>
            </w:r>
            <w:r>
              <w:rPr>
                <w:color w:val="0E0E0E"/>
              </w:rPr>
              <w:t xml:space="preserve"> </w:t>
            </w:r>
            <w:r w:rsidRPr="004C0412">
              <w:rPr>
                <w:color w:val="0E0E0E"/>
              </w:rPr>
              <w:t xml:space="preserve">opportunities for shared spaces or peer </w:t>
            </w:r>
            <w:r w:rsidRPr="004C0412">
              <w:rPr>
                <w:color w:val="0E0E0E"/>
              </w:rPr>
              <w:lastRenderedPageBreak/>
              <w:t>interaction, which</w:t>
            </w:r>
            <w:r>
              <w:rPr>
                <w:color w:val="0E0E0E"/>
              </w:rPr>
              <w:t xml:space="preserve"> </w:t>
            </w:r>
            <w:r w:rsidRPr="004C0412">
              <w:rPr>
                <w:color w:val="0E0E0E"/>
              </w:rPr>
              <w:t>limit natural motivation. In acute mental health settings, patients may feel emotionally drained or disconnected, and during periods of low mood or exhaustion they may not feel ready to take part in shared tasks, making engagement less consistent.</w:t>
            </w:r>
          </w:p>
          <w:p w14:paraId="4499171E" w14:textId="23C748C5" w:rsidR="00731193" w:rsidRDefault="00731193">
            <w:pPr>
              <w:spacing w:after="80"/>
            </w:pPr>
          </w:p>
        </w:tc>
      </w:tr>
    </w:tbl>
    <w:p w14:paraId="0D2D3CEC" w14:textId="77777777" w:rsidR="000A5670" w:rsidRDefault="000A5670"/>
    <w:p w14:paraId="3C58F14F" w14:textId="77777777" w:rsidR="005934BC" w:rsidRDefault="005934BC"/>
    <w:p w14:paraId="74C58DCA" w14:textId="77777777" w:rsidR="005934BC" w:rsidRDefault="005934BC"/>
    <w:p w14:paraId="1FA4A562" w14:textId="77777777" w:rsidR="005934BC" w:rsidRDefault="005934BC"/>
    <w:p w14:paraId="062FF06A" w14:textId="77777777" w:rsidR="005934BC" w:rsidRDefault="005934BC"/>
    <w:p w14:paraId="03D67717" w14:textId="77777777" w:rsidR="005934BC" w:rsidRDefault="005934BC"/>
    <w:p w14:paraId="7A33811D" w14:textId="77777777" w:rsidR="005934BC" w:rsidRDefault="005934BC"/>
    <w:p w14:paraId="39F733A2" w14:textId="77777777" w:rsidR="005934BC" w:rsidRDefault="005934BC"/>
    <w:p w14:paraId="0B0DE3E2" w14:textId="77777777" w:rsidR="005934BC" w:rsidRDefault="005934BC"/>
    <w:p w14:paraId="46AF2A4E" w14:textId="77777777" w:rsidR="004C0412" w:rsidRDefault="004C0412"/>
    <w:p w14:paraId="40179F9B" w14:textId="77777777" w:rsidR="004C0412" w:rsidRDefault="004C0412"/>
    <w:p w14:paraId="343773F2" w14:textId="77777777" w:rsidR="004C0412" w:rsidRDefault="004C0412"/>
    <w:p w14:paraId="2E9398A4" w14:textId="77777777" w:rsidR="005934BC" w:rsidRDefault="005934BC"/>
    <w:p w14:paraId="72D35B85" w14:textId="77777777" w:rsidR="005934BC" w:rsidRDefault="005934BC"/>
    <w:p w14:paraId="6FA6B368" w14:textId="77777777" w:rsidR="005934BC" w:rsidRDefault="005934BC"/>
    <w:p w14:paraId="7A6070DD" w14:textId="77777777" w:rsidR="005934BC" w:rsidRDefault="005934BC"/>
    <w:p w14:paraId="2BA843FD" w14:textId="77777777" w:rsidR="005934BC" w:rsidRDefault="005934BC"/>
    <w:p w14:paraId="01A1BAA0" w14:textId="77777777" w:rsidR="005934BC" w:rsidRDefault="005934BC"/>
    <w:p w14:paraId="1B86F424" w14:textId="77777777" w:rsidR="000669EE" w:rsidRDefault="000669EE"/>
    <w:tbl>
      <w:tblPr>
        <w:tblStyle w:val="TableGrid"/>
        <w:tblW w:w="0" w:type="auto"/>
        <w:tblInd w:w="562" w:type="dxa"/>
        <w:tblLook w:val="04A0" w:firstRow="1" w:lastRow="0" w:firstColumn="1" w:lastColumn="0" w:noHBand="0" w:noVBand="1"/>
      </w:tblPr>
      <w:tblGrid>
        <w:gridCol w:w="13386"/>
      </w:tblGrid>
      <w:tr w:rsidR="000669EE" w14:paraId="7CF71169" w14:textId="77777777" w:rsidTr="000669EE">
        <w:tc>
          <w:tcPr>
            <w:tcW w:w="13386" w:type="dxa"/>
          </w:tcPr>
          <w:p w14:paraId="2350CAB8" w14:textId="77777777" w:rsidR="00731193" w:rsidRPr="005934BC" w:rsidRDefault="00000000">
            <w:pPr>
              <w:spacing w:after="80"/>
              <w:rPr>
                <w:b/>
              </w:rPr>
            </w:pPr>
            <w:r w:rsidRPr="005934BC">
              <w:rPr>
                <w:b/>
              </w:rPr>
              <w:t>Reference list (Harvard style):</w:t>
            </w:r>
          </w:p>
          <w:p w14:paraId="4C134794" w14:textId="77777777" w:rsidR="004607AC" w:rsidRPr="005934BC" w:rsidRDefault="004607AC">
            <w:pPr>
              <w:spacing w:after="80"/>
              <w:rPr>
                <w:b/>
              </w:rPr>
            </w:pPr>
          </w:p>
          <w:p w14:paraId="4A2647F7" w14:textId="5304C484" w:rsidR="00771FB4" w:rsidRPr="00771FB4" w:rsidRDefault="004607AC" w:rsidP="00771FB4">
            <w:pPr>
              <w:pStyle w:val="p1"/>
              <w:numPr>
                <w:ilvl w:val="0"/>
                <w:numId w:val="1"/>
              </w:numPr>
              <w:rPr>
                <w:rStyle w:val="apple-converted-space"/>
                <w:rFonts w:eastAsiaTheme="majorEastAsia"/>
              </w:rPr>
            </w:pPr>
            <w:r w:rsidRPr="005934BC">
              <w:rPr>
                <w:rStyle w:val="s1"/>
                <w:rFonts w:eastAsiaTheme="majorEastAsia"/>
              </w:rPr>
              <w:t>Bailey, R.R. (2019)</w:t>
            </w:r>
            <w:r w:rsidRPr="005934BC">
              <w:t xml:space="preserve"> </w:t>
            </w:r>
            <w:r w:rsidRPr="005934BC">
              <w:rPr>
                <w:i/>
                <w:iCs/>
              </w:rPr>
              <w:t xml:space="preserve">‘Goal setting and action planning for health </w:t>
            </w:r>
            <w:r w:rsidR="00461C78" w:rsidRPr="005934BC">
              <w:rPr>
                <w:i/>
                <w:iCs/>
              </w:rPr>
              <w:t>behaviour</w:t>
            </w:r>
            <w:r w:rsidRPr="005934BC">
              <w:rPr>
                <w:i/>
                <w:iCs/>
              </w:rPr>
              <w:t xml:space="preserve"> change’</w:t>
            </w:r>
            <w:r w:rsidRPr="005934BC">
              <w:t xml:space="preserve">, American Journal of Lifestyle Medicine, </w:t>
            </w:r>
            <w:r w:rsidRPr="005934BC">
              <w:rPr>
                <w:rStyle w:val="s1"/>
                <w:rFonts w:eastAsiaTheme="majorEastAsia"/>
              </w:rPr>
              <w:t>13</w:t>
            </w:r>
            <w:r w:rsidRPr="005934BC">
              <w:t>(6), pp. 615–618.</w:t>
            </w:r>
            <w:r w:rsidR="005934BC">
              <w:rPr>
                <w:rFonts w:ascii="AppleSystemUIFont" w:eastAsiaTheme="minorHAnsi" w:hAnsi="AppleSystemUIFont" w:cs="AppleSystemUIFont"/>
                <w:sz w:val="26"/>
                <w:szCs w:val="26"/>
                <w:lang w:eastAsia="en-US"/>
                <w14:ligatures w14:val="standardContextual"/>
              </w:rPr>
              <w:t xml:space="preserve"> </w:t>
            </w:r>
            <w:r w:rsidR="005934BC" w:rsidRPr="005934BC">
              <w:rPr>
                <w:rFonts w:eastAsiaTheme="minorHAnsi"/>
                <w:lang w:eastAsia="en-US"/>
                <w14:ligatures w14:val="standardContextual"/>
              </w:rPr>
              <w:t xml:space="preserve">Available at: https://doi.org/10.1177/1559827617729634 (Accessed: </w:t>
            </w:r>
            <w:r w:rsidR="005934BC">
              <w:rPr>
                <w:rFonts w:eastAsiaTheme="minorHAnsi"/>
                <w:lang w:eastAsia="en-US"/>
                <w14:ligatures w14:val="standardContextual"/>
              </w:rPr>
              <w:t xml:space="preserve">10 </w:t>
            </w:r>
            <w:r w:rsidR="005934BC" w:rsidRPr="005934BC">
              <w:rPr>
                <w:rFonts w:eastAsiaTheme="minorHAnsi"/>
                <w:lang w:eastAsia="en-US"/>
                <w14:ligatures w14:val="standardContextual"/>
              </w:rPr>
              <w:t>February 2026)</w:t>
            </w:r>
            <w:r w:rsidR="00771FB4">
              <w:rPr>
                <w:rFonts w:eastAsiaTheme="minorHAnsi"/>
                <w:lang w:eastAsia="en-US"/>
                <w14:ligatures w14:val="standardContextual"/>
              </w:rPr>
              <w:t>.</w:t>
            </w:r>
          </w:p>
          <w:p w14:paraId="5287001E" w14:textId="33AE8548" w:rsidR="008533C4" w:rsidRPr="005934BC" w:rsidRDefault="008533C4" w:rsidP="002E611D">
            <w:pPr>
              <w:pStyle w:val="p1"/>
              <w:numPr>
                <w:ilvl w:val="0"/>
                <w:numId w:val="1"/>
              </w:numPr>
            </w:pPr>
            <w:r w:rsidRPr="005934BC">
              <w:rPr>
                <w:rStyle w:val="s1"/>
                <w:rFonts w:eastAsiaTheme="majorEastAsia"/>
              </w:rPr>
              <w:t>British Dietetic Association (2021)</w:t>
            </w:r>
            <w:r w:rsidRPr="005934BC">
              <w:t xml:space="preserve"> </w:t>
            </w:r>
            <w:r w:rsidRPr="005934BC">
              <w:rPr>
                <w:i/>
                <w:iCs/>
              </w:rPr>
              <w:t>Model and process for nutrition and dietetic practice</w:t>
            </w:r>
            <w:r w:rsidRPr="005934BC">
              <w:t xml:space="preserve">. Birmingham: British Dietetic Association. Available at: https://bda.uk.com/static/376a7558-80cb-46f8-bd8712d9725f590a/60a5a880-e4aa-48a7-a1ecec5ae1229b93/2021-BDA-Model-and-Process-for-Nutrition-and-Dietetic-Practice.pdf (Accessed: </w:t>
            </w:r>
            <w:r w:rsidRPr="005934BC">
              <w:t>5</w:t>
            </w:r>
            <w:r w:rsidRPr="005934BC">
              <w:t xml:space="preserve"> February 2026).</w:t>
            </w:r>
          </w:p>
          <w:p w14:paraId="47E5E21F" w14:textId="1FB506B5" w:rsidR="00771FB4" w:rsidRDefault="00771FB4" w:rsidP="00771FB4">
            <w:pPr>
              <w:pStyle w:val="p1"/>
              <w:numPr>
                <w:ilvl w:val="0"/>
                <w:numId w:val="1"/>
              </w:numPr>
            </w:pPr>
            <w:r w:rsidRPr="00771FB4">
              <w:rPr>
                <w:rStyle w:val="s1"/>
                <w:rFonts w:eastAsiaTheme="majorEastAsia"/>
              </w:rPr>
              <w:t>Bryant, L. (2009)</w:t>
            </w:r>
            <w:r>
              <w:t xml:space="preserve"> ‘The art of active listening’, </w:t>
            </w:r>
            <w:r w:rsidRPr="00771FB4">
              <w:t>Practice Nurse</w:t>
            </w:r>
            <w:r>
              <w:t>,</w:t>
            </w:r>
            <w:r w:rsidRPr="00B4716A">
              <w:t xml:space="preserve"> </w:t>
            </w:r>
            <w:r w:rsidRPr="00B4716A">
              <w:rPr>
                <w:rStyle w:val="s1"/>
                <w:rFonts w:eastAsiaTheme="majorEastAsia"/>
              </w:rPr>
              <w:t>37</w:t>
            </w:r>
            <w:r>
              <w:t xml:space="preserve">(6), pp. 49–52. Available at: https://practicenurse.co.uk/articles/communication/the-art-of-active-listening (Accessed: </w:t>
            </w:r>
            <w:r>
              <w:t>08</w:t>
            </w:r>
            <w:r>
              <w:t xml:space="preserve"> February 2026)</w:t>
            </w:r>
            <w:r>
              <w:t>.</w:t>
            </w:r>
          </w:p>
          <w:p w14:paraId="6E31EC19" w14:textId="7ECF1335" w:rsidR="00CE6741" w:rsidRPr="005934BC" w:rsidRDefault="00CE6741" w:rsidP="002E611D">
            <w:pPr>
              <w:pStyle w:val="p1"/>
              <w:numPr>
                <w:ilvl w:val="0"/>
                <w:numId w:val="1"/>
              </w:numPr>
            </w:pPr>
            <w:r w:rsidRPr="005934BC">
              <w:rPr>
                <w:rStyle w:val="s1"/>
                <w:rFonts w:eastAsiaTheme="majorEastAsia"/>
              </w:rPr>
              <w:t>Goetz, J.L. and Simon-Thomas, E. (2017)</w:t>
            </w:r>
            <w:r w:rsidRPr="005934BC">
              <w:t xml:space="preserve"> ‘</w:t>
            </w:r>
            <w:r w:rsidRPr="00771FB4">
              <w:rPr>
                <w:i/>
                <w:iCs/>
              </w:rPr>
              <w:t>The landscape of compassion: Definitions and scientific approaches’</w:t>
            </w:r>
            <w:r w:rsidRPr="005934BC">
              <w:t xml:space="preserve">, in </w:t>
            </w:r>
            <w:proofErr w:type="spellStart"/>
            <w:r w:rsidRPr="005934BC">
              <w:t>Seppälä</w:t>
            </w:r>
            <w:proofErr w:type="spellEnd"/>
            <w:r w:rsidRPr="005934BC">
              <w:t xml:space="preserve">, E.M., Simon-Thomas, E., Brown, S.L., </w:t>
            </w:r>
            <w:proofErr w:type="spellStart"/>
            <w:r w:rsidRPr="005934BC">
              <w:t>Worline</w:t>
            </w:r>
            <w:proofErr w:type="spellEnd"/>
            <w:r w:rsidRPr="005934BC">
              <w:t xml:space="preserve">, M.C., Cameron, C.D. and Doty, J.R. (eds.) </w:t>
            </w:r>
            <w:r w:rsidRPr="005934BC">
              <w:rPr>
                <w:i/>
                <w:iCs/>
              </w:rPr>
              <w:t>The Oxford handbook of compassion science</w:t>
            </w:r>
            <w:r w:rsidRPr="005934BC">
              <w:t xml:space="preserve">. Oxford: Oxford University Press, pp. 3–16. Available at: https://doi.org/10.1093/oxfordhb/9780190464684.013.1 (Accessed: </w:t>
            </w:r>
            <w:r w:rsidR="002E611D" w:rsidRPr="005934BC">
              <w:t>13</w:t>
            </w:r>
            <w:r w:rsidRPr="005934BC">
              <w:t xml:space="preserve"> February 2026)</w:t>
            </w:r>
            <w:r w:rsidR="00771FB4">
              <w:t>.</w:t>
            </w:r>
          </w:p>
          <w:p w14:paraId="0B3DBD30" w14:textId="17D1CA5D" w:rsidR="0056606B" w:rsidRPr="005934BC" w:rsidRDefault="00865589" w:rsidP="002E611D">
            <w:pPr>
              <w:pStyle w:val="p1"/>
              <w:numPr>
                <w:ilvl w:val="0"/>
                <w:numId w:val="1"/>
              </w:numPr>
            </w:pPr>
            <w:r w:rsidRPr="005934BC">
              <w:rPr>
                <w:rStyle w:val="s1"/>
                <w:rFonts w:eastAsiaTheme="majorEastAsia"/>
              </w:rPr>
              <w:t xml:space="preserve">Lean, M., Leavey, G., </w:t>
            </w:r>
            <w:proofErr w:type="spellStart"/>
            <w:r w:rsidRPr="005934BC">
              <w:rPr>
                <w:rStyle w:val="s1"/>
                <w:rFonts w:eastAsiaTheme="majorEastAsia"/>
              </w:rPr>
              <w:t>Killaspy</w:t>
            </w:r>
            <w:proofErr w:type="spellEnd"/>
            <w:r w:rsidRPr="005934BC">
              <w:rPr>
                <w:rStyle w:val="s1"/>
                <w:rFonts w:eastAsiaTheme="majorEastAsia"/>
              </w:rPr>
              <w:t>, H., King, M., Johnson, S. and Lloyd-Evans, B. (2015)</w:t>
            </w:r>
            <w:r w:rsidRPr="005934BC">
              <w:t xml:space="preserve"> ‘</w:t>
            </w:r>
            <w:r w:rsidRPr="00771FB4">
              <w:rPr>
                <w:i/>
                <w:iCs/>
              </w:rPr>
              <w:t>Barriers to the sustainability of an intervention designed to improve patient engagement within NHS mental health rehabilitation units: a qualitative study nested within a randomised controlled trial</w:t>
            </w:r>
            <w:r w:rsidRPr="005934BC">
              <w:t xml:space="preserve">’, </w:t>
            </w:r>
            <w:r w:rsidRPr="00771FB4">
              <w:t>BMC Psychiatry,</w:t>
            </w:r>
            <w:r w:rsidRPr="005934BC">
              <w:t xml:space="preserve"> </w:t>
            </w:r>
            <w:r w:rsidRPr="005934BC">
              <w:rPr>
                <w:rStyle w:val="s1"/>
                <w:rFonts w:eastAsiaTheme="majorEastAsia"/>
              </w:rPr>
              <w:t>15</w:t>
            </w:r>
            <w:r w:rsidRPr="005934BC">
              <w:t xml:space="preserve">, 209. Available at: https://doi.org/10.1186/s12888-015-0592-9 (Accessed: </w:t>
            </w:r>
            <w:r w:rsidRPr="005934BC">
              <w:t xml:space="preserve">5 </w:t>
            </w:r>
            <w:r w:rsidRPr="005934BC">
              <w:t>February 2026).</w:t>
            </w:r>
          </w:p>
          <w:p w14:paraId="6FB6F6D4" w14:textId="2E3CD467" w:rsidR="00CC783C" w:rsidRPr="005934BC" w:rsidRDefault="00486D44" w:rsidP="00486D44">
            <w:pPr>
              <w:pStyle w:val="p1"/>
              <w:numPr>
                <w:ilvl w:val="0"/>
                <w:numId w:val="1"/>
              </w:numPr>
            </w:pPr>
            <w:r w:rsidRPr="005934BC">
              <w:rPr>
                <w:rStyle w:val="s1"/>
                <w:rFonts w:eastAsiaTheme="majorEastAsia"/>
              </w:rPr>
              <w:t>Miller, W.R. and Rollnick, S. (2013)</w:t>
            </w:r>
            <w:r w:rsidRPr="005934BC">
              <w:t xml:space="preserve"> </w:t>
            </w:r>
            <w:r w:rsidRPr="005934BC">
              <w:rPr>
                <w:i/>
                <w:iCs/>
              </w:rPr>
              <w:t>Motivational Interviewing: Helping People Change</w:t>
            </w:r>
            <w:r w:rsidRPr="005934BC">
              <w:t xml:space="preserve">. 3rd </w:t>
            </w:r>
            <w:proofErr w:type="spellStart"/>
            <w:r w:rsidRPr="005934BC">
              <w:t>edn</w:t>
            </w:r>
            <w:proofErr w:type="spellEnd"/>
            <w:r w:rsidRPr="005934BC">
              <w:t>. New York: Guilford Press</w:t>
            </w:r>
            <w:r w:rsidR="00B4716A">
              <w:t xml:space="preserve">, pp.3-13. </w:t>
            </w:r>
          </w:p>
          <w:p w14:paraId="01225B6C" w14:textId="6920E711" w:rsidR="00CC783C" w:rsidRPr="005934BC" w:rsidRDefault="00CC783C" w:rsidP="00486D44">
            <w:pPr>
              <w:pStyle w:val="p1"/>
              <w:numPr>
                <w:ilvl w:val="0"/>
                <w:numId w:val="1"/>
              </w:numPr>
            </w:pPr>
            <w:r w:rsidRPr="005934BC">
              <w:rPr>
                <w:rStyle w:val="s1"/>
                <w:rFonts w:eastAsiaTheme="majorEastAsia"/>
              </w:rPr>
              <w:t>Stalin, P. (2024)</w:t>
            </w:r>
            <w:r w:rsidRPr="005934BC">
              <w:t xml:space="preserve"> ‘</w:t>
            </w:r>
            <w:r w:rsidRPr="00771FB4">
              <w:rPr>
                <w:i/>
                <w:iCs/>
              </w:rPr>
              <w:t>Emotional intelligence in health care’</w:t>
            </w:r>
            <w:r w:rsidRPr="005934BC">
              <w:t xml:space="preserve">, </w:t>
            </w:r>
            <w:r w:rsidRPr="00771FB4">
              <w:t>Journal of Current Research in Scientific Medicine,</w:t>
            </w:r>
            <w:r w:rsidRPr="005934BC">
              <w:t xml:space="preserve"> </w:t>
            </w:r>
            <w:r w:rsidRPr="005934BC">
              <w:rPr>
                <w:rStyle w:val="s1"/>
                <w:rFonts w:eastAsiaTheme="majorEastAsia"/>
              </w:rPr>
              <w:t>10</w:t>
            </w:r>
            <w:r w:rsidRPr="005934BC">
              <w:t>(1), pp. 1–2. Available at: https://journals.lww.com/jcsm/fulltext/2024/10010/emotional_intelligence_in_health_care.1.aspx (Accessed: 20 February 2026)</w:t>
            </w:r>
            <w:r w:rsidR="00771FB4">
              <w:t>.</w:t>
            </w:r>
          </w:p>
          <w:p w14:paraId="1E678B48" w14:textId="1338C08E" w:rsidR="006625C5" w:rsidRPr="005934BC" w:rsidRDefault="00A07C34" w:rsidP="002E611D">
            <w:pPr>
              <w:pStyle w:val="p1"/>
              <w:numPr>
                <w:ilvl w:val="0"/>
                <w:numId w:val="1"/>
              </w:numPr>
            </w:pPr>
            <w:r w:rsidRPr="005934BC">
              <w:rPr>
                <w:rStyle w:val="s1"/>
                <w:rFonts w:eastAsiaTheme="majorEastAsia"/>
              </w:rPr>
              <w:t>Stevens, G. and Elwyn, G. (2021)</w:t>
            </w:r>
            <w:r w:rsidRPr="005934BC">
              <w:t xml:space="preserve"> ‘</w:t>
            </w:r>
            <w:r w:rsidRPr="00771FB4">
              <w:rPr>
                <w:i/>
                <w:iCs/>
              </w:rPr>
              <w:t>Feasibility of a goal-based agenda setting intervention for informing conversations in adult cystic fibrosis care: The Goal Talk study</w:t>
            </w:r>
            <w:r w:rsidRPr="005934BC">
              <w:t xml:space="preserve">’, </w:t>
            </w:r>
            <w:r w:rsidRPr="00771FB4">
              <w:t>Journal of Cystic Fibrosis</w:t>
            </w:r>
            <w:r w:rsidRPr="005934BC">
              <w:t xml:space="preserve">, </w:t>
            </w:r>
            <w:r w:rsidRPr="005934BC">
              <w:rPr>
                <w:rStyle w:val="s1"/>
                <w:rFonts w:eastAsiaTheme="majorEastAsia"/>
              </w:rPr>
              <w:t>20</w:t>
            </w:r>
            <w:r w:rsidRPr="005934BC">
              <w:t>(Suppl. 2), p. S50.</w:t>
            </w:r>
          </w:p>
          <w:p w14:paraId="6B99D103" w14:textId="685A8A6A" w:rsidR="006625C5" w:rsidRPr="005934BC" w:rsidRDefault="006625C5" w:rsidP="002E611D">
            <w:pPr>
              <w:pStyle w:val="p1"/>
              <w:numPr>
                <w:ilvl w:val="0"/>
                <w:numId w:val="1"/>
              </w:numPr>
            </w:pPr>
            <w:proofErr w:type="spellStart"/>
            <w:r w:rsidRPr="005934BC">
              <w:t>Tustonja</w:t>
            </w:r>
            <w:proofErr w:type="spellEnd"/>
            <w:r w:rsidRPr="005934BC">
              <w:t xml:space="preserve">, M., </w:t>
            </w:r>
            <w:proofErr w:type="spellStart"/>
            <w:r w:rsidRPr="005934BC">
              <w:t>Topić</w:t>
            </w:r>
            <w:proofErr w:type="spellEnd"/>
            <w:r w:rsidRPr="005934BC">
              <w:t xml:space="preserve"> </w:t>
            </w:r>
            <w:proofErr w:type="spellStart"/>
            <w:r w:rsidRPr="005934BC">
              <w:t>Stipić</w:t>
            </w:r>
            <w:proofErr w:type="spellEnd"/>
            <w:r w:rsidRPr="005934BC">
              <w:t xml:space="preserve">, D., </w:t>
            </w:r>
            <w:proofErr w:type="spellStart"/>
            <w:r w:rsidRPr="005934BC">
              <w:t>Skoko</w:t>
            </w:r>
            <w:proofErr w:type="spellEnd"/>
            <w:r w:rsidRPr="005934BC">
              <w:t xml:space="preserve">, I., </w:t>
            </w:r>
            <w:proofErr w:type="spellStart"/>
            <w:r w:rsidRPr="005934BC">
              <w:t>Čuljak</w:t>
            </w:r>
            <w:proofErr w:type="spellEnd"/>
            <w:r w:rsidRPr="005934BC">
              <w:t xml:space="preserve">, A. and </w:t>
            </w:r>
            <w:proofErr w:type="spellStart"/>
            <w:r w:rsidRPr="005934BC">
              <w:t>Vegar</w:t>
            </w:r>
            <w:proofErr w:type="spellEnd"/>
            <w:r w:rsidRPr="005934BC">
              <w:t>, A. (2024) ‘</w:t>
            </w:r>
            <w:r w:rsidRPr="00771FB4">
              <w:rPr>
                <w:i/>
                <w:iCs/>
              </w:rPr>
              <w:t>Active listening – a model of empathetic communication in the helping professions</w:t>
            </w:r>
            <w:r w:rsidRPr="005934BC">
              <w:t xml:space="preserve">’, </w:t>
            </w:r>
            <w:r w:rsidRPr="00771FB4">
              <w:t xml:space="preserve">Medicina Academica </w:t>
            </w:r>
            <w:proofErr w:type="spellStart"/>
            <w:r w:rsidRPr="00771FB4">
              <w:t>Integrativa</w:t>
            </w:r>
            <w:proofErr w:type="spellEnd"/>
            <w:r w:rsidRPr="00771FB4">
              <w:t>,</w:t>
            </w:r>
            <w:r w:rsidRPr="005934BC">
              <w:t xml:space="preserve"> 1(1), pp. 42–47</w:t>
            </w:r>
            <w:r w:rsidR="00771FB4">
              <w:t xml:space="preserve">. </w:t>
            </w:r>
          </w:p>
          <w:p w14:paraId="78C43AE1" w14:textId="77777777" w:rsidR="006625C5" w:rsidRPr="005934BC" w:rsidRDefault="006625C5">
            <w:pPr>
              <w:spacing w:after="40"/>
              <w:rPr>
                <w:sz w:val="20"/>
              </w:rPr>
            </w:pPr>
          </w:p>
          <w:p w14:paraId="3FA6CC44" w14:textId="77777777" w:rsidR="006625C5" w:rsidRPr="005934BC" w:rsidRDefault="006625C5">
            <w:pPr>
              <w:spacing w:after="40"/>
            </w:pPr>
          </w:p>
        </w:tc>
      </w:tr>
    </w:tbl>
    <w:p w14:paraId="2D63D8A4" w14:textId="77777777" w:rsidR="000669EE" w:rsidRDefault="000669EE"/>
    <w:p w14:paraId="6A7AC9D7" w14:textId="77777777" w:rsidR="000669EE" w:rsidRDefault="000669EE"/>
    <w:p w14:paraId="39279B24" w14:textId="77777777" w:rsidR="005934BC" w:rsidRDefault="000669EE">
      <w:r>
        <w:t xml:space="preserve">Completed by: </w:t>
      </w:r>
      <w:r w:rsidR="005934BC">
        <w:t xml:space="preserve">Beata </w:t>
      </w:r>
      <w:proofErr w:type="spellStart"/>
      <w:r w:rsidR="005934BC">
        <w:t>Potocka</w:t>
      </w:r>
      <w:proofErr w:type="spellEnd"/>
      <w:r>
        <w:tab/>
      </w:r>
      <w:r>
        <w:tab/>
      </w:r>
      <w:r>
        <w:tab/>
      </w:r>
      <w:r>
        <w:tab/>
      </w:r>
    </w:p>
    <w:p w14:paraId="039E3B24" w14:textId="5C225BE9" w:rsidR="000669EE" w:rsidRDefault="000669EE">
      <w:r>
        <w:t>Date:</w:t>
      </w:r>
      <w:r w:rsidR="005934BC">
        <w:t>24.02.26</w:t>
      </w:r>
    </w:p>
    <w:sectPr w:rsidR="000669EE" w:rsidSect="00FF2113">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1ABEA" w14:textId="77777777" w:rsidR="00224C8B" w:rsidRDefault="00224C8B" w:rsidP="00FF2113">
      <w:r>
        <w:separator/>
      </w:r>
    </w:p>
  </w:endnote>
  <w:endnote w:type="continuationSeparator" w:id="0">
    <w:p w14:paraId="2607A9EF" w14:textId="77777777" w:rsidR="00224C8B" w:rsidRDefault="00224C8B" w:rsidP="00FF2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notTrueType/>
    <w:pitch w:val="default"/>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BFBA8" w14:textId="77777777" w:rsidR="00FF2113" w:rsidRPr="00FF2113" w:rsidRDefault="00FF2113" w:rsidP="00FF2113">
    <w:pPr>
      <w:spacing w:after="77" w:line="247" w:lineRule="auto"/>
      <w:jc w:val="both"/>
      <w:rPr>
        <w:rFonts w:asciiTheme="majorHAnsi" w:hAnsiTheme="majorHAnsi" w:cstheme="majorHAnsi"/>
        <w:color w:val="000000"/>
      </w:rPr>
    </w:pPr>
    <w:r w:rsidRPr="00FF2113">
      <w:rPr>
        <w:rFonts w:asciiTheme="majorHAnsi" w:hAnsiTheme="majorHAnsi" w:cstheme="majorHAnsi"/>
        <w:color w:val="000000"/>
      </w:rPr>
      <w:t>Developing Therapeutic Relationships to Enhance Interventions</w:t>
    </w:r>
    <w:r>
      <w:rPr>
        <w:rFonts w:asciiTheme="majorHAnsi" w:hAnsiTheme="majorHAnsi" w:cstheme="majorHAnsi"/>
        <w:color w:val="000000"/>
      </w:rPr>
      <w:tab/>
    </w:r>
    <w:r>
      <w:rPr>
        <w:rFonts w:asciiTheme="majorHAnsi" w:hAnsiTheme="majorHAnsi" w:cstheme="majorHAnsi"/>
        <w:color w:val="000000"/>
      </w:rPr>
      <w:tab/>
    </w:r>
    <w:r>
      <w:rPr>
        <w:rFonts w:asciiTheme="majorHAnsi" w:hAnsiTheme="majorHAnsi" w:cstheme="majorHAnsi"/>
        <w:color w:val="000000"/>
      </w:rPr>
      <w:tab/>
    </w:r>
    <w:r>
      <w:rPr>
        <w:rFonts w:asciiTheme="majorHAnsi" w:hAnsiTheme="majorHAnsi" w:cstheme="majorHAnsi"/>
        <w:color w:val="000000"/>
      </w:rPr>
      <w:tab/>
    </w:r>
    <w:r>
      <w:rPr>
        <w:rFonts w:asciiTheme="majorHAnsi" w:hAnsiTheme="majorHAnsi" w:cstheme="majorHAnsi"/>
        <w:color w:val="000000"/>
      </w:rPr>
      <w:tab/>
    </w:r>
    <w:r>
      <w:rPr>
        <w:rFonts w:asciiTheme="majorHAnsi" w:hAnsiTheme="majorHAnsi" w:cstheme="majorHAnsi"/>
        <w:color w:val="000000"/>
      </w:rPr>
      <w:tab/>
    </w:r>
    <w:r>
      <w:rPr>
        <w:rFonts w:asciiTheme="majorHAnsi" w:hAnsiTheme="majorHAnsi" w:cstheme="majorHAnsi"/>
        <w:color w:val="000000"/>
      </w:rPr>
      <w:tab/>
    </w:r>
    <w:r>
      <w:rPr>
        <w:rFonts w:asciiTheme="majorHAnsi" w:hAnsiTheme="majorHAnsi" w:cstheme="majorHAnsi"/>
        <w:color w:val="000000"/>
      </w:rPr>
      <w:tab/>
    </w:r>
    <w:r w:rsidRPr="00FF2113">
      <w:rPr>
        <w:rFonts w:asciiTheme="majorHAnsi" w:hAnsiTheme="majorHAnsi" w:cstheme="majorHAnsi"/>
        <w:color w:val="000000"/>
      </w:rPr>
      <w:t>Unit Code: PJ14CY021</w:t>
    </w:r>
  </w:p>
  <w:p w14:paraId="442235B8" w14:textId="77777777" w:rsidR="00FF2113" w:rsidRDefault="00FF2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A1DEF" w14:textId="77777777" w:rsidR="00224C8B" w:rsidRDefault="00224C8B" w:rsidP="00FF2113">
      <w:r>
        <w:separator/>
      </w:r>
    </w:p>
  </w:footnote>
  <w:footnote w:type="continuationSeparator" w:id="0">
    <w:p w14:paraId="7ED02981" w14:textId="77777777" w:rsidR="00224C8B" w:rsidRDefault="00224C8B" w:rsidP="00FF21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34833" w14:textId="77777777" w:rsidR="00FF2113" w:rsidRPr="000669EE" w:rsidRDefault="000669EE" w:rsidP="000669EE">
    <w:pPr>
      <w:pStyle w:val="Header"/>
    </w:pPr>
    <w:r>
      <w:rPr>
        <w:noProof/>
      </w:rPr>
      <w:drawing>
        <wp:anchor distT="0" distB="0" distL="114300" distR="114300" simplePos="0" relativeHeight="251658240" behindDoc="1" locked="0" layoutInCell="1" allowOverlap="1" wp14:anchorId="3922E0A0" wp14:editId="0A1033E5">
          <wp:simplePos x="0" y="0"/>
          <wp:positionH relativeFrom="column">
            <wp:posOffset>7778750</wp:posOffset>
          </wp:positionH>
          <wp:positionV relativeFrom="paragraph">
            <wp:posOffset>-436880</wp:posOffset>
          </wp:positionV>
          <wp:extent cx="1853565" cy="975360"/>
          <wp:effectExtent l="0" t="0" r="0" b="0"/>
          <wp:wrapNone/>
          <wp:docPr id="43111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975360"/>
                  </a:xfrm>
                  <a:prstGeom prst="rect">
                    <a:avLst/>
                  </a:prstGeom>
                  <a:noFill/>
                </pic:spPr>
              </pic:pic>
            </a:graphicData>
          </a:graphic>
        </wp:anchor>
      </w:drawing>
    </w:r>
    <w:r>
      <w:rPr>
        <w:noProof/>
      </w:rPr>
      <w:drawing>
        <wp:anchor distT="0" distB="0" distL="114300" distR="114300" simplePos="0" relativeHeight="251660288" behindDoc="0" locked="0" layoutInCell="1" allowOverlap="1" wp14:anchorId="2AA37C89" wp14:editId="5CED4AEA">
          <wp:simplePos x="0" y="0"/>
          <wp:positionH relativeFrom="column">
            <wp:posOffset>-762000</wp:posOffset>
          </wp:positionH>
          <wp:positionV relativeFrom="paragraph">
            <wp:posOffset>-368935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526AD6"/>
    <w:multiLevelType w:val="hybridMultilevel"/>
    <w:tmpl w:val="971C9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1186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13"/>
    <w:rsid w:val="00045B1F"/>
    <w:rsid w:val="000669EE"/>
    <w:rsid w:val="00083572"/>
    <w:rsid w:val="000A5670"/>
    <w:rsid w:val="000F658A"/>
    <w:rsid w:val="001015B9"/>
    <w:rsid w:val="00175E42"/>
    <w:rsid w:val="001C7C34"/>
    <w:rsid w:val="00224C8B"/>
    <w:rsid w:val="00263F99"/>
    <w:rsid w:val="002757BC"/>
    <w:rsid w:val="002A5B1C"/>
    <w:rsid w:val="002D2F86"/>
    <w:rsid w:val="002E611D"/>
    <w:rsid w:val="00347A7D"/>
    <w:rsid w:val="003D0B7D"/>
    <w:rsid w:val="004607AC"/>
    <w:rsid w:val="00461C78"/>
    <w:rsid w:val="00481DC7"/>
    <w:rsid w:val="00486D44"/>
    <w:rsid w:val="004A0741"/>
    <w:rsid w:val="004B2523"/>
    <w:rsid w:val="004C0412"/>
    <w:rsid w:val="004D5676"/>
    <w:rsid w:val="0056606B"/>
    <w:rsid w:val="005934BC"/>
    <w:rsid w:val="00622858"/>
    <w:rsid w:val="006625C5"/>
    <w:rsid w:val="006C1E03"/>
    <w:rsid w:val="007246F5"/>
    <w:rsid w:val="00731193"/>
    <w:rsid w:val="00771FB4"/>
    <w:rsid w:val="00777C29"/>
    <w:rsid w:val="00786550"/>
    <w:rsid w:val="008533C4"/>
    <w:rsid w:val="00865589"/>
    <w:rsid w:val="00867369"/>
    <w:rsid w:val="008B5FDF"/>
    <w:rsid w:val="0097444E"/>
    <w:rsid w:val="009C7CC7"/>
    <w:rsid w:val="009E545E"/>
    <w:rsid w:val="00A07C34"/>
    <w:rsid w:val="00A532D0"/>
    <w:rsid w:val="00A607B9"/>
    <w:rsid w:val="00A95DEE"/>
    <w:rsid w:val="00AF324A"/>
    <w:rsid w:val="00B410B7"/>
    <w:rsid w:val="00B4716A"/>
    <w:rsid w:val="00B80729"/>
    <w:rsid w:val="00B80F6A"/>
    <w:rsid w:val="00BC5EA1"/>
    <w:rsid w:val="00C2695D"/>
    <w:rsid w:val="00CC7482"/>
    <w:rsid w:val="00CC783C"/>
    <w:rsid w:val="00CE6741"/>
    <w:rsid w:val="00CF4927"/>
    <w:rsid w:val="00D25A18"/>
    <w:rsid w:val="00D31244"/>
    <w:rsid w:val="00D63A12"/>
    <w:rsid w:val="00DC18D1"/>
    <w:rsid w:val="00E90E0F"/>
    <w:rsid w:val="00EE5C01"/>
    <w:rsid w:val="00F40159"/>
    <w:rsid w:val="00FF2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3644FA"/>
  <w15:chartTrackingRefBased/>
  <w15:docId w15:val="{5685B94D-49AC-4DEB-A991-5CE9305E1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3C4"/>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FF2113"/>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FF2113"/>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FF2113"/>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FF2113"/>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FF2113"/>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FF2113"/>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FF2113"/>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FF2113"/>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FF2113"/>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1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1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1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1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1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1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1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1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113"/>
    <w:rPr>
      <w:rFonts w:eastAsiaTheme="majorEastAsia" w:cstheme="majorBidi"/>
      <w:color w:val="272727" w:themeColor="text1" w:themeTint="D8"/>
    </w:rPr>
  </w:style>
  <w:style w:type="paragraph" w:styleId="Title">
    <w:name w:val="Title"/>
    <w:basedOn w:val="Normal"/>
    <w:next w:val="Normal"/>
    <w:link w:val="TitleChar"/>
    <w:uiPriority w:val="10"/>
    <w:qFormat/>
    <w:rsid w:val="00FF21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F2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113"/>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F2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113"/>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FF2113"/>
    <w:rPr>
      <w:i/>
      <w:iCs/>
      <w:color w:val="404040" w:themeColor="text1" w:themeTint="BF"/>
    </w:rPr>
  </w:style>
  <w:style w:type="paragraph" w:styleId="ListParagraph">
    <w:name w:val="List Paragraph"/>
    <w:basedOn w:val="Normal"/>
    <w:uiPriority w:val="34"/>
    <w:qFormat/>
    <w:rsid w:val="00FF2113"/>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FF2113"/>
    <w:rPr>
      <w:i/>
      <w:iCs/>
      <w:color w:val="0F4761" w:themeColor="accent1" w:themeShade="BF"/>
    </w:rPr>
  </w:style>
  <w:style w:type="paragraph" w:styleId="IntenseQuote">
    <w:name w:val="Intense Quote"/>
    <w:basedOn w:val="Normal"/>
    <w:next w:val="Normal"/>
    <w:link w:val="IntenseQuoteChar"/>
    <w:uiPriority w:val="30"/>
    <w:qFormat/>
    <w:rsid w:val="00FF2113"/>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FF2113"/>
    <w:rPr>
      <w:i/>
      <w:iCs/>
      <w:color w:val="0F4761" w:themeColor="accent1" w:themeShade="BF"/>
    </w:rPr>
  </w:style>
  <w:style w:type="character" w:styleId="IntenseReference">
    <w:name w:val="Intense Reference"/>
    <w:basedOn w:val="DefaultParagraphFont"/>
    <w:uiPriority w:val="32"/>
    <w:qFormat/>
    <w:rsid w:val="00FF2113"/>
    <w:rPr>
      <w:b/>
      <w:bCs/>
      <w:smallCaps/>
      <w:color w:val="0F4761" w:themeColor="accent1" w:themeShade="BF"/>
      <w:spacing w:val="5"/>
    </w:rPr>
  </w:style>
  <w:style w:type="paragraph" w:styleId="Header">
    <w:name w:val="header"/>
    <w:basedOn w:val="Normal"/>
    <w:link w:val="HeaderChar"/>
    <w:uiPriority w:val="99"/>
    <w:unhideWhenUsed/>
    <w:rsid w:val="00FF2113"/>
    <w:pPr>
      <w:tabs>
        <w:tab w:val="center" w:pos="4513"/>
        <w:tab w:val="right" w:pos="9026"/>
      </w:tabs>
    </w:pPr>
    <w:rPr>
      <w:rFonts w:asciiTheme="minorHAnsi" w:eastAsiaTheme="minorHAnsi" w:hAnsiTheme="minorHAnsi" w:cstheme="minorBidi"/>
      <w:kern w:val="2"/>
      <w:sz w:val="22"/>
      <w:szCs w:val="22"/>
      <w:lang w:eastAsia="en-US"/>
      <w14:ligatures w14:val="standardContextual"/>
    </w:rPr>
  </w:style>
  <w:style w:type="character" w:customStyle="1" w:styleId="HeaderChar">
    <w:name w:val="Header Char"/>
    <w:basedOn w:val="DefaultParagraphFont"/>
    <w:link w:val="Header"/>
    <w:uiPriority w:val="99"/>
    <w:rsid w:val="00FF2113"/>
  </w:style>
  <w:style w:type="paragraph" w:styleId="Footer">
    <w:name w:val="footer"/>
    <w:basedOn w:val="Normal"/>
    <w:link w:val="FooterChar"/>
    <w:uiPriority w:val="99"/>
    <w:unhideWhenUsed/>
    <w:rsid w:val="00FF2113"/>
    <w:pPr>
      <w:tabs>
        <w:tab w:val="center" w:pos="4513"/>
        <w:tab w:val="right" w:pos="9026"/>
      </w:tabs>
    </w:pPr>
    <w:rPr>
      <w:rFonts w:asciiTheme="minorHAnsi" w:eastAsiaTheme="minorHAnsi" w:hAnsiTheme="minorHAnsi" w:cstheme="minorBidi"/>
      <w:kern w:val="2"/>
      <w:sz w:val="22"/>
      <w:szCs w:val="22"/>
      <w:lang w:eastAsia="en-US"/>
      <w14:ligatures w14:val="standardContextual"/>
    </w:rPr>
  </w:style>
  <w:style w:type="character" w:customStyle="1" w:styleId="FooterChar">
    <w:name w:val="Footer Char"/>
    <w:basedOn w:val="DefaultParagraphFont"/>
    <w:link w:val="Footer"/>
    <w:uiPriority w:val="99"/>
    <w:rsid w:val="00FF2113"/>
  </w:style>
  <w:style w:type="table" w:styleId="TableGrid">
    <w:name w:val="Table Grid"/>
    <w:basedOn w:val="TableNormal"/>
    <w:uiPriority w:val="39"/>
    <w:rsid w:val="00FF2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6625C5"/>
    <w:pPr>
      <w:spacing w:before="100" w:beforeAutospacing="1" w:after="100" w:afterAutospacing="1"/>
    </w:pPr>
  </w:style>
  <w:style w:type="character" w:customStyle="1" w:styleId="s1">
    <w:name w:val="s1"/>
    <w:basedOn w:val="DefaultParagraphFont"/>
    <w:rsid w:val="0056606B"/>
  </w:style>
  <w:style w:type="character" w:customStyle="1" w:styleId="apple-converted-space">
    <w:name w:val="apple-converted-space"/>
    <w:basedOn w:val="DefaultParagraphFont"/>
    <w:rsid w:val="0056606B"/>
  </w:style>
  <w:style w:type="character" w:customStyle="1" w:styleId="auth-tooltip-trigger">
    <w:name w:val="auth-tooltip-trigger"/>
    <w:basedOn w:val="DefaultParagraphFont"/>
    <w:rsid w:val="002D2F86"/>
  </w:style>
  <w:style w:type="character" w:customStyle="1" w:styleId="contributors">
    <w:name w:val="contributors"/>
    <w:basedOn w:val="DefaultParagraphFont"/>
    <w:rsid w:val="009E545E"/>
  </w:style>
  <w:style w:type="character" w:styleId="Emphasis">
    <w:name w:val="Emphasis"/>
    <w:basedOn w:val="DefaultParagraphFont"/>
    <w:uiPriority w:val="20"/>
    <w:qFormat/>
    <w:rsid w:val="009E545E"/>
    <w:rPr>
      <w:i/>
      <w:iCs/>
    </w:rPr>
  </w:style>
  <w:style w:type="character" w:customStyle="1" w:styleId="series-title">
    <w:name w:val="series-title"/>
    <w:basedOn w:val="DefaultParagraphFont"/>
    <w:rsid w:val="009E545E"/>
  </w:style>
  <w:style w:type="character" w:customStyle="1" w:styleId="print-publication-date">
    <w:name w:val="print-publication-date"/>
    <w:basedOn w:val="DefaultParagraphFont"/>
    <w:rsid w:val="009E545E"/>
  </w:style>
  <w:style w:type="character" w:customStyle="1" w:styleId="online-edition">
    <w:name w:val="online-edition"/>
    <w:basedOn w:val="DefaultParagraphFont"/>
    <w:rsid w:val="009E545E"/>
  </w:style>
  <w:style w:type="character" w:customStyle="1" w:styleId="containing-site">
    <w:name w:val="containing-site"/>
    <w:basedOn w:val="DefaultParagraphFont"/>
    <w:rsid w:val="009E545E"/>
  </w:style>
  <w:style w:type="character" w:customStyle="1" w:styleId="online-publication-date">
    <w:name w:val="online-publication-date"/>
    <w:basedOn w:val="DefaultParagraphFont"/>
    <w:rsid w:val="009E545E"/>
  </w:style>
  <w:style w:type="character" w:styleId="Hyperlink">
    <w:name w:val="Hyperlink"/>
    <w:basedOn w:val="DefaultParagraphFont"/>
    <w:uiPriority w:val="99"/>
    <w:semiHidden/>
    <w:unhideWhenUsed/>
    <w:rsid w:val="009E545E"/>
    <w:rPr>
      <w:color w:val="0000FF"/>
      <w:u w:val="single"/>
    </w:rPr>
  </w:style>
  <w:style w:type="character" w:customStyle="1" w:styleId="accessed-date">
    <w:name w:val="accessed-date"/>
    <w:basedOn w:val="DefaultParagraphFont"/>
    <w:rsid w:val="009E5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273">
      <w:bodyDiv w:val="1"/>
      <w:marLeft w:val="0"/>
      <w:marRight w:val="0"/>
      <w:marTop w:val="0"/>
      <w:marBottom w:val="0"/>
      <w:divBdr>
        <w:top w:val="none" w:sz="0" w:space="0" w:color="auto"/>
        <w:left w:val="none" w:sz="0" w:space="0" w:color="auto"/>
        <w:bottom w:val="none" w:sz="0" w:space="0" w:color="auto"/>
        <w:right w:val="none" w:sz="0" w:space="0" w:color="auto"/>
      </w:divBdr>
      <w:divsChild>
        <w:div w:id="141704953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726378">
      <w:bodyDiv w:val="1"/>
      <w:marLeft w:val="0"/>
      <w:marRight w:val="0"/>
      <w:marTop w:val="0"/>
      <w:marBottom w:val="0"/>
      <w:divBdr>
        <w:top w:val="none" w:sz="0" w:space="0" w:color="auto"/>
        <w:left w:val="none" w:sz="0" w:space="0" w:color="auto"/>
        <w:bottom w:val="none" w:sz="0" w:space="0" w:color="auto"/>
        <w:right w:val="none" w:sz="0" w:space="0" w:color="auto"/>
      </w:divBdr>
    </w:div>
    <w:div w:id="47993711">
      <w:bodyDiv w:val="1"/>
      <w:marLeft w:val="0"/>
      <w:marRight w:val="0"/>
      <w:marTop w:val="0"/>
      <w:marBottom w:val="0"/>
      <w:divBdr>
        <w:top w:val="none" w:sz="0" w:space="0" w:color="auto"/>
        <w:left w:val="none" w:sz="0" w:space="0" w:color="auto"/>
        <w:bottom w:val="none" w:sz="0" w:space="0" w:color="auto"/>
        <w:right w:val="none" w:sz="0" w:space="0" w:color="auto"/>
      </w:divBdr>
    </w:div>
    <w:div w:id="122160905">
      <w:bodyDiv w:val="1"/>
      <w:marLeft w:val="0"/>
      <w:marRight w:val="0"/>
      <w:marTop w:val="0"/>
      <w:marBottom w:val="0"/>
      <w:divBdr>
        <w:top w:val="none" w:sz="0" w:space="0" w:color="auto"/>
        <w:left w:val="none" w:sz="0" w:space="0" w:color="auto"/>
        <w:bottom w:val="none" w:sz="0" w:space="0" w:color="auto"/>
        <w:right w:val="none" w:sz="0" w:space="0" w:color="auto"/>
      </w:divBdr>
      <w:divsChild>
        <w:div w:id="173889751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0218849">
      <w:bodyDiv w:val="1"/>
      <w:marLeft w:val="0"/>
      <w:marRight w:val="0"/>
      <w:marTop w:val="0"/>
      <w:marBottom w:val="0"/>
      <w:divBdr>
        <w:top w:val="none" w:sz="0" w:space="0" w:color="auto"/>
        <w:left w:val="none" w:sz="0" w:space="0" w:color="auto"/>
        <w:bottom w:val="none" w:sz="0" w:space="0" w:color="auto"/>
        <w:right w:val="none" w:sz="0" w:space="0" w:color="auto"/>
      </w:divBdr>
    </w:div>
    <w:div w:id="195197334">
      <w:bodyDiv w:val="1"/>
      <w:marLeft w:val="0"/>
      <w:marRight w:val="0"/>
      <w:marTop w:val="0"/>
      <w:marBottom w:val="0"/>
      <w:divBdr>
        <w:top w:val="none" w:sz="0" w:space="0" w:color="auto"/>
        <w:left w:val="none" w:sz="0" w:space="0" w:color="auto"/>
        <w:bottom w:val="none" w:sz="0" w:space="0" w:color="auto"/>
        <w:right w:val="none" w:sz="0" w:space="0" w:color="auto"/>
      </w:divBdr>
    </w:div>
    <w:div w:id="294724867">
      <w:bodyDiv w:val="1"/>
      <w:marLeft w:val="0"/>
      <w:marRight w:val="0"/>
      <w:marTop w:val="0"/>
      <w:marBottom w:val="0"/>
      <w:divBdr>
        <w:top w:val="none" w:sz="0" w:space="0" w:color="auto"/>
        <w:left w:val="none" w:sz="0" w:space="0" w:color="auto"/>
        <w:bottom w:val="none" w:sz="0" w:space="0" w:color="auto"/>
        <w:right w:val="none" w:sz="0" w:space="0" w:color="auto"/>
      </w:divBdr>
      <w:divsChild>
        <w:div w:id="116821055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33802036">
      <w:bodyDiv w:val="1"/>
      <w:marLeft w:val="0"/>
      <w:marRight w:val="0"/>
      <w:marTop w:val="0"/>
      <w:marBottom w:val="0"/>
      <w:divBdr>
        <w:top w:val="none" w:sz="0" w:space="0" w:color="auto"/>
        <w:left w:val="none" w:sz="0" w:space="0" w:color="auto"/>
        <w:bottom w:val="none" w:sz="0" w:space="0" w:color="auto"/>
        <w:right w:val="none" w:sz="0" w:space="0" w:color="auto"/>
      </w:divBdr>
      <w:divsChild>
        <w:div w:id="185853809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72921712">
      <w:bodyDiv w:val="1"/>
      <w:marLeft w:val="0"/>
      <w:marRight w:val="0"/>
      <w:marTop w:val="0"/>
      <w:marBottom w:val="0"/>
      <w:divBdr>
        <w:top w:val="none" w:sz="0" w:space="0" w:color="auto"/>
        <w:left w:val="none" w:sz="0" w:space="0" w:color="auto"/>
        <w:bottom w:val="none" w:sz="0" w:space="0" w:color="auto"/>
        <w:right w:val="none" w:sz="0" w:space="0" w:color="auto"/>
      </w:divBdr>
      <w:divsChild>
        <w:div w:id="1632248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77361429">
      <w:bodyDiv w:val="1"/>
      <w:marLeft w:val="0"/>
      <w:marRight w:val="0"/>
      <w:marTop w:val="0"/>
      <w:marBottom w:val="0"/>
      <w:divBdr>
        <w:top w:val="none" w:sz="0" w:space="0" w:color="auto"/>
        <w:left w:val="none" w:sz="0" w:space="0" w:color="auto"/>
        <w:bottom w:val="none" w:sz="0" w:space="0" w:color="auto"/>
        <w:right w:val="none" w:sz="0" w:space="0" w:color="auto"/>
      </w:divBdr>
      <w:divsChild>
        <w:div w:id="163722229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86222284">
      <w:bodyDiv w:val="1"/>
      <w:marLeft w:val="0"/>
      <w:marRight w:val="0"/>
      <w:marTop w:val="0"/>
      <w:marBottom w:val="0"/>
      <w:divBdr>
        <w:top w:val="none" w:sz="0" w:space="0" w:color="auto"/>
        <w:left w:val="none" w:sz="0" w:space="0" w:color="auto"/>
        <w:bottom w:val="none" w:sz="0" w:space="0" w:color="auto"/>
        <w:right w:val="none" w:sz="0" w:space="0" w:color="auto"/>
      </w:divBdr>
      <w:divsChild>
        <w:div w:id="30362868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68011396">
      <w:bodyDiv w:val="1"/>
      <w:marLeft w:val="0"/>
      <w:marRight w:val="0"/>
      <w:marTop w:val="0"/>
      <w:marBottom w:val="0"/>
      <w:divBdr>
        <w:top w:val="none" w:sz="0" w:space="0" w:color="auto"/>
        <w:left w:val="none" w:sz="0" w:space="0" w:color="auto"/>
        <w:bottom w:val="none" w:sz="0" w:space="0" w:color="auto"/>
        <w:right w:val="none" w:sz="0" w:space="0" w:color="auto"/>
      </w:divBdr>
      <w:divsChild>
        <w:div w:id="38406263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91602755">
      <w:bodyDiv w:val="1"/>
      <w:marLeft w:val="0"/>
      <w:marRight w:val="0"/>
      <w:marTop w:val="0"/>
      <w:marBottom w:val="0"/>
      <w:divBdr>
        <w:top w:val="none" w:sz="0" w:space="0" w:color="auto"/>
        <w:left w:val="none" w:sz="0" w:space="0" w:color="auto"/>
        <w:bottom w:val="none" w:sz="0" w:space="0" w:color="auto"/>
        <w:right w:val="none" w:sz="0" w:space="0" w:color="auto"/>
      </w:divBdr>
      <w:divsChild>
        <w:div w:id="75624611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510803260">
      <w:bodyDiv w:val="1"/>
      <w:marLeft w:val="0"/>
      <w:marRight w:val="0"/>
      <w:marTop w:val="0"/>
      <w:marBottom w:val="0"/>
      <w:divBdr>
        <w:top w:val="none" w:sz="0" w:space="0" w:color="auto"/>
        <w:left w:val="none" w:sz="0" w:space="0" w:color="auto"/>
        <w:bottom w:val="none" w:sz="0" w:space="0" w:color="auto"/>
        <w:right w:val="none" w:sz="0" w:space="0" w:color="auto"/>
      </w:divBdr>
    </w:div>
    <w:div w:id="538707659">
      <w:bodyDiv w:val="1"/>
      <w:marLeft w:val="0"/>
      <w:marRight w:val="0"/>
      <w:marTop w:val="0"/>
      <w:marBottom w:val="0"/>
      <w:divBdr>
        <w:top w:val="none" w:sz="0" w:space="0" w:color="auto"/>
        <w:left w:val="none" w:sz="0" w:space="0" w:color="auto"/>
        <w:bottom w:val="none" w:sz="0" w:space="0" w:color="auto"/>
        <w:right w:val="none" w:sz="0" w:space="0" w:color="auto"/>
      </w:divBdr>
      <w:divsChild>
        <w:div w:id="74661061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07546774">
      <w:bodyDiv w:val="1"/>
      <w:marLeft w:val="0"/>
      <w:marRight w:val="0"/>
      <w:marTop w:val="0"/>
      <w:marBottom w:val="0"/>
      <w:divBdr>
        <w:top w:val="none" w:sz="0" w:space="0" w:color="auto"/>
        <w:left w:val="none" w:sz="0" w:space="0" w:color="auto"/>
        <w:bottom w:val="none" w:sz="0" w:space="0" w:color="auto"/>
        <w:right w:val="none" w:sz="0" w:space="0" w:color="auto"/>
      </w:divBdr>
    </w:div>
    <w:div w:id="646207829">
      <w:bodyDiv w:val="1"/>
      <w:marLeft w:val="0"/>
      <w:marRight w:val="0"/>
      <w:marTop w:val="0"/>
      <w:marBottom w:val="0"/>
      <w:divBdr>
        <w:top w:val="none" w:sz="0" w:space="0" w:color="auto"/>
        <w:left w:val="none" w:sz="0" w:space="0" w:color="auto"/>
        <w:bottom w:val="none" w:sz="0" w:space="0" w:color="auto"/>
        <w:right w:val="none" w:sz="0" w:space="0" w:color="auto"/>
      </w:divBdr>
      <w:divsChild>
        <w:div w:id="31110466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722993880">
      <w:bodyDiv w:val="1"/>
      <w:marLeft w:val="0"/>
      <w:marRight w:val="0"/>
      <w:marTop w:val="0"/>
      <w:marBottom w:val="0"/>
      <w:divBdr>
        <w:top w:val="none" w:sz="0" w:space="0" w:color="auto"/>
        <w:left w:val="none" w:sz="0" w:space="0" w:color="auto"/>
        <w:bottom w:val="none" w:sz="0" w:space="0" w:color="auto"/>
        <w:right w:val="none" w:sz="0" w:space="0" w:color="auto"/>
      </w:divBdr>
    </w:div>
    <w:div w:id="740175661">
      <w:bodyDiv w:val="1"/>
      <w:marLeft w:val="0"/>
      <w:marRight w:val="0"/>
      <w:marTop w:val="0"/>
      <w:marBottom w:val="0"/>
      <w:divBdr>
        <w:top w:val="none" w:sz="0" w:space="0" w:color="auto"/>
        <w:left w:val="none" w:sz="0" w:space="0" w:color="auto"/>
        <w:bottom w:val="none" w:sz="0" w:space="0" w:color="auto"/>
        <w:right w:val="none" w:sz="0" w:space="0" w:color="auto"/>
      </w:divBdr>
      <w:divsChild>
        <w:div w:id="78284495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774667867">
      <w:bodyDiv w:val="1"/>
      <w:marLeft w:val="0"/>
      <w:marRight w:val="0"/>
      <w:marTop w:val="0"/>
      <w:marBottom w:val="0"/>
      <w:divBdr>
        <w:top w:val="none" w:sz="0" w:space="0" w:color="auto"/>
        <w:left w:val="none" w:sz="0" w:space="0" w:color="auto"/>
        <w:bottom w:val="none" w:sz="0" w:space="0" w:color="auto"/>
        <w:right w:val="none" w:sz="0" w:space="0" w:color="auto"/>
      </w:divBdr>
    </w:div>
    <w:div w:id="996763866">
      <w:bodyDiv w:val="1"/>
      <w:marLeft w:val="0"/>
      <w:marRight w:val="0"/>
      <w:marTop w:val="0"/>
      <w:marBottom w:val="0"/>
      <w:divBdr>
        <w:top w:val="none" w:sz="0" w:space="0" w:color="auto"/>
        <w:left w:val="none" w:sz="0" w:space="0" w:color="auto"/>
        <w:bottom w:val="none" w:sz="0" w:space="0" w:color="auto"/>
        <w:right w:val="none" w:sz="0" w:space="0" w:color="auto"/>
      </w:divBdr>
      <w:divsChild>
        <w:div w:id="172086432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60060891">
      <w:bodyDiv w:val="1"/>
      <w:marLeft w:val="0"/>
      <w:marRight w:val="0"/>
      <w:marTop w:val="0"/>
      <w:marBottom w:val="0"/>
      <w:divBdr>
        <w:top w:val="none" w:sz="0" w:space="0" w:color="auto"/>
        <w:left w:val="none" w:sz="0" w:space="0" w:color="auto"/>
        <w:bottom w:val="none" w:sz="0" w:space="0" w:color="auto"/>
        <w:right w:val="none" w:sz="0" w:space="0" w:color="auto"/>
      </w:divBdr>
      <w:divsChild>
        <w:div w:id="199806907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61713581">
      <w:bodyDiv w:val="1"/>
      <w:marLeft w:val="0"/>
      <w:marRight w:val="0"/>
      <w:marTop w:val="0"/>
      <w:marBottom w:val="0"/>
      <w:divBdr>
        <w:top w:val="none" w:sz="0" w:space="0" w:color="auto"/>
        <w:left w:val="none" w:sz="0" w:space="0" w:color="auto"/>
        <w:bottom w:val="none" w:sz="0" w:space="0" w:color="auto"/>
        <w:right w:val="none" w:sz="0" w:space="0" w:color="auto"/>
      </w:divBdr>
    </w:div>
    <w:div w:id="1137184391">
      <w:bodyDiv w:val="1"/>
      <w:marLeft w:val="0"/>
      <w:marRight w:val="0"/>
      <w:marTop w:val="0"/>
      <w:marBottom w:val="0"/>
      <w:divBdr>
        <w:top w:val="none" w:sz="0" w:space="0" w:color="auto"/>
        <w:left w:val="none" w:sz="0" w:space="0" w:color="auto"/>
        <w:bottom w:val="none" w:sz="0" w:space="0" w:color="auto"/>
        <w:right w:val="none" w:sz="0" w:space="0" w:color="auto"/>
      </w:divBdr>
    </w:div>
    <w:div w:id="1153763855">
      <w:bodyDiv w:val="1"/>
      <w:marLeft w:val="0"/>
      <w:marRight w:val="0"/>
      <w:marTop w:val="0"/>
      <w:marBottom w:val="0"/>
      <w:divBdr>
        <w:top w:val="none" w:sz="0" w:space="0" w:color="auto"/>
        <w:left w:val="none" w:sz="0" w:space="0" w:color="auto"/>
        <w:bottom w:val="none" w:sz="0" w:space="0" w:color="auto"/>
        <w:right w:val="none" w:sz="0" w:space="0" w:color="auto"/>
      </w:divBdr>
    </w:div>
    <w:div w:id="1263613574">
      <w:bodyDiv w:val="1"/>
      <w:marLeft w:val="0"/>
      <w:marRight w:val="0"/>
      <w:marTop w:val="0"/>
      <w:marBottom w:val="0"/>
      <w:divBdr>
        <w:top w:val="none" w:sz="0" w:space="0" w:color="auto"/>
        <w:left w:val="none" w:sz="0" w:space="0" w:color="auto"/>
        <w:bottom w:val="none" w:sz="0" w:space="0" w:color="auto"/>
        <w:right w:val="none" w:sz="0" w:space="0" w:color="auto"/>
      </w:divBdr>
      <w:divsChild>
        <w:div w:id="56048549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64651503">
      <w:bodyDiv w:val="1"/>
      <w:marLeft w:val="0"/>
      <w:marRight w:val="0"/>
      <w:marTop w:val="0"/>
      <w:marBottom w:val="0"/>
      <w:divBdr>
        <w:top w:val="none" w:sz="0" w:space="0" w:color="auto"/>
        <w:left w:val="none" w:sz="0" w:space="0" w:color="auto"/>
        <w:bottom w:val="none" w:sz="0" w:space="0" w:color="auto"/>
        <w:right w:val="none" w:sz="0" w:space="0" w:color="auto"/>
      </w:divBdr>
    </w:div>
    <w:div w:id="1334917989">
      <w:bodyDiv w:val="1"/>
      <w:marLeft w:val="0"/>
      <w:marRight w:val="0"/>
      <w:marTop w:val="0"/>
      <w:marBottom w:val="0"/>
      <w:divBdr>
        <w:top w:val="none" w:sz="0" w:space="0" w:color="auto"/>
        <w:left w:val="none" w:sz="0" w:space="0" w:color="auto"/>
        <w:bottom w:val="none" w:sz="0" w:space="0" w:color="auto"/>
        <w:right w:val="none" w:sz="0" w:space="0" w:color="auto"/>
      </w:divBdr>
    </w:div>
    <w:div w:id="1346324230">
      <w:bodyDiv w:val="1"/>
      <w:marLeft w:val="0"/>
      <w:marRight w:val="0"/>
      <w:marTop w:val="0"/>
      <w:marBottom w:val="0"/>
      <w:divBdr>
        <w:top w:val="none" w:sz="0" w:space="0" w:color="auto"/>
        <w:left w:val="none" w:sz="0" w:space="0" w:color="auto"/>
        <w:bottom w:val="none" w:sz="0" w:space="0" w:color="auto"/>
        <w:right w:val="none" w:sz="0" w:space="0" w:color="auto"/>
      </w:divBdr>
      <w:divsChild>
        <w:div w:id="120875984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375471565">
      <w:bodyDiv w:val="1"/>
      <w:marLeft w:val="0"/>
      <w:marRight w:val="0"/>
      <w:marTop w:val="0"/>
      <w:marBottom w:val="0"/>
      <w:divBdr>
        <w:top w:val="none" w:sz="0" w:space="0" w:color="auto"/>
        <w:left w:val="none" w:sz="0" w:space="0" w:color="auto"/>
        <w:bottom w:val="none" w:sz="0" w:space="0" w:color="auto"/>
        <w:right w:val="none" w:sz="0" w:space="0" w:color="auto"/>
      </w:divBdr>
      <w:divsChild>
        <w:div w:id="171842881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459256511">
      <w:bodyDiv w:val="1"/>
      <w:marLeft w:val="0"/>
      <w:marRight w:val="0"/>
      <w:marTop w:val="0"/>
      <w:marBottom w:val="0"/>
      <w:divBdr>
        <w:top w:val="none" w:sz="0" w:space="0" w:color="auto"/>
        <w:left w:val="none" w:sz="0" w:space="0" w:color="auto"/>
        <w:bottom w:val="none" w:sz="0" w:space="0" w:color="auto"/>
        <w:right w:val="none" w:sz="0" w:space="0" w:color="auto"/>
      </w:divBdr>
      <w:divsChild>
        <w:div w:id="146338157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10174220">
      <w:bodyDiv w:val="1"/>
      <w:marLeft w:val="0"/>
      <w:marRight w:val="0"/>
      <w:marTop w:val="0"/>
      <w:marBottom w:val="0"/>
      <w:divBdr>
        <w:top w:val="none" w:sz="0" w:space="0" w:color="auto"/>
        <w:left w:val="none" w:sz="0" w:space="0" w:color="auto"/>
        <w:bottom w:val="none" w:sz="0" w:space="0" w:color="auto"/>
        <w:right w:val="none" w:sz="0" w:space="0" w:color="auto"/>
      </w:divBdr>
      <w:divsChild>
        <w:div w:id="169105650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22742387">
      <w:bodyDiv w:val="1"/>
      <w:marLeft w:val="0"/>
      <w:marRight w:val="0"/>
      <w:marTop w:val="0"/>
      <w:marBottom w:val="0"/>
      <w:divBdr>
        <w:top w:val="none" w:sz="0" w:space="0" w:color="auto"/>
        <w:left w:val="none" w:sz="0" w:space="0" w:color="auto"/>
        <w:bottom w:val="none" w:sz="0" w:space="0" w:color="auto"/>
        <w:right w:val="none" w:sz="0" w:space="0" w:color="auto"/>
      </w:divBdr>
      <w:divsChild>
        <w:div w:id="182604782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72155441">
      <w:bodyDiv w:val="1"/>
      <w:marLeft w:val="0"/>
      <w:marRight w:val="0"/>
      <w:marTop w:val="0"/>
      <w:marBottom w:val="0"/>
      <w:divBdr>
        <w:top w:val="none" w:sz="0" w:space="0" w:color="auto"/>
        <w:left w:val="none" w:sz="0" w:space="0" w:color="auto"/>
        <w:bottom w:val="none" w:sz="0" w:space="0" w:color="auto"/>
        <w:right w:val="none" w:sz="0" w:space="0" w:color="auto"/>
      </w:divBdr>
    </w:div>
    <w:div w:id="1573806794">
      <w:bodyDiv w:val="1"/>
      <w:marLeft w:val="0"/>
      <w:marRight w:val="0"/>
      <w:marTop w:val="0"/>
      <w:marBottom w:val="0"/>
      <w:divBdr>
        <w:top w:val="none" w:sz="0" w:space="0" w:color="auto"/>
        <w:left w:val="none" w:sz="0" w:space="0" w:color="auto"/>
        <w:bottom w:val="none" w:sz="0" w:space="0" w:color="auto"/>
        <w:right w:val="none" w:sz="0" w:space="0" w:color="auto"/>
      </w:divBdr>
      <w:divsChild>
        <w:div w:id="172471320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33556521">
      <w:bodyDiv w:val="1"/>
      <w:marLeft w:val="0"/>
      <w:marRight w:val="0"/>
      <w:marTop w:val="0"/>
      <w:marBottom w:val="0"/>
      <w:divBdr>
        <w:top w:val="none" w:sz="0" w:space="0" w:color="auto"/>
        <w:left w:val="none" w:sz="0" w:space="0" w:color="auto"/>
        <w:bottom w:val="none" w:sz="0" w:space="0" w:color="auto"/>
        <w:right w:val="none" w:sz="0" w:space="0" w:color="auto"/>
      </w:divBdr>
      <w:divsChild>
        <w:div w:id="78161339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44002533">
      <w:bodyDiv w:val="1"/>
      <w:marLeft w:val="0"/>
      <w:marRight w:val="0"/>
      <w:marTop w:val="0"/>
      <w:marBottom w:val="0"/>
      <w:divBdr>
        <w:top w:val="none" w:sz="0" w:space="0" w:color="auto"/>
        <w:left w:val="none" w:sz="0" w:space="0" w:color="auto"/>
        <w:bottom w:val="none" w:sz="0" w:space="0" w:color="auto"/>
        <w:right w:val="none" w:sz="0" w:space="0" w:color="auto"/>
      </w:divBdr>
      <w:divsChild>
        <w:div w:id="189846813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69748298">
      <w:bodyDiv w:val="1"/>
      <w:marLeft w:val="0"/>
      <w:marRight w:val="0"/>
      <w:marTop w:val="0"/>
      <w:marBottom w:val="0"/>
      <w:divBdr>
        <w:top w:val="none" w:sz="0" w:space="0" w:color="auto"/>
        <w:left w:val="none" w:sz="0" w:space="0" w:color="auto"/>
        <w:bottom w:val="none" w:sz="0" w:space="0" w:color="auto"/>
        <w:right w:val="none" w:sz="0" w:space="0" w:color="auto"/>
      </w:divBdr>
    </w:div>
    <w:div w:id="1679653558">
      <w:bodyDiv w:val="1"/>
      <w:marLeft w:val="0"/>
      <w:marRight w:val="0"/>
      <w:marTop w:val="0"/>
      <w:marBottom w:val="0"/>
      <w:divBdr>
        <w:top w:val="none" w:sz="0" w:space="0" w:color="auto"/>
        <w:left w:val="none" w:sz="0" w:space="0" w:color="auto"/>
        <w:bottom w:val="none" w:sz="0" w:space="0" w:color="auto"/>
        <w:right w:val="none" w:sz="0" w:space="0" w:color="auto"/>
      </w:divBdr>
      <w:divsChild>
        <w:div w:id="210561226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96539284">
      <w:bodyDiv w:val="1"/>
      <w:marLeft w:val="0"/>
      <w:marRight w:val="0"/>
      <w:marTop w:val="0"/>
      <w:marBottom w:val="0"/>
      <w:divBdr>
        <w:top w:val="none" w:sz="0" w:space="0" w:color="auto"/>
        <w:left w:val="none" w:sz="0" w:space="0" w:color="auto"/>
        <w:bottom w:val="none" w:sz="0" w:space="0" w:color="auto"/>
        <w:right w:val="none" w:sz="0" w:space="0" w:color="auto"/>
      </w:divBdr>
      <w:divsChild>
        <w:div w:id="213289683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36273910">
      <w:bodyDiv w:val="1"/>
      <w:marLeft w:val="0"/>
      <w:marRight w:val="0"/>
      <w:marTop w:val="0"/>
      <w:marBottom w:val="0"/>
      <w:divBdr>
        <w:top w:val="none" w:sz="0" w:space="0" w:color="auto"/>
        <w:left w:val="none" w:sz="0" w:space="0" w:color="auto"/>
        <w:bottom w:val="none" w:sz="0" w:space="0" w:color="auto"/>
        <w:right w:val="none" w:sz="0" w:space="0" w:color="auto"/>
      </w:divBdr>
      <w:divsChild>
        <w:div w:id="60053203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87384391">
      <w:bodyDiv w:val="1"/>
      <w:marLeft w:val="0"/>
      <w:marRight w:val="0"/>
      <w:marTop w:val="0"/>
      <w:marBottom w:val="0"/>
      <w:divBdr>
        <w:top w:val="none" w:sz="0" w:space="0" w:color="auto"/>
        <w:left w:val="none" w:sz="0" w:space="0" w:color="auto"/>
        <w:bottom w:val="none" w:sz="0" w:space="0" w:color="auto"/>
        <w:right w:val="none" w:sz="0" w:space="0" w:color="auto"/>
      </w:divBdr>
      <w:divsChild>
        <w:div w:id="79575661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33644829">
      <w:bodyDiv w:val="1"/>
      <w:marLeft w:val="0"/>
      <w:marRight w:val="0"/>
      <w:marTop w:val="0"/>
      <w:marBottom w:val="0"/>
      <w:divBdr>
        <w:top w:val="none" w:sz="0" w:space="0" w:color="auto"/>
        <w:left w:val="none" w:sz="0" w:space="0" w:color="auto"/>
        <w:bottom w:val="none" w:sz="0" w:space="0" w:color="auto"/>
        <w:right w:val="none" w:sz="0" w:space="0" w:color="auto"/>
      </w:divBdr>
      <w:divsChild>
        <w:div w:id="183029310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46941954">
      <w:bodyDiv w:val="1"/>
      <w:marLeft w:val="0"/>
      <w:marRight w:val="0"/>
      <w:marTop w:val="0"/>
      <w:marBottom w:val="0"/>
      <w:divBdr>
        <w:top w:val="none" w:sz="0" w:space="0" w:color="auto"/>
        <w:left w:val="none" w:sz="0" w:space="0" w:color="auto"/>
        <w:bottom w:val="none" w:sz="0" w:space="0" w:color="auto"/>
        <w:right w:val="none" w:sz="0" w:space="0" w:color="auto"/>
      </w:divBdr>
      <w:divsChild>
        <w:div w:id="141501352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2611</Words>
  <Characters>14886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Beata Potocka (Cardiff and Vale UHB - Nutrition And Dietetics)</cp:lastModifiedBy>
  <cp:revision>2</cp:revision>
  <dcterms:created xsi:type="dcterms:W3CDTF">2026-02-24T23:20:00Z</dcterms:created>
  <dcterms:modified xsi:type="dcterms:W3CDTF">2026-02-24T23:20:00Z</dcterms:modified>
</cp:coreProperties>
</file>