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D81669" w14:textId="77777777" w:rsidR="00480093" w:rsidRPr="0085752F" w:rsidRDefault="00480093" w:rsidP="00480093">
      <w:pPr>
        <w:spacing w:before="240" w:after="240" w:line="360" w:lineRule="auto"/>
        <w:jc w:val="both"/>
        <w:rPr>
          <w:rFonts w:ascii="Arial" w:hAnsi="Arial" w:cs="Arial"/>
          <w:b/>
          <w:bCs/>
          <w:u w:val="single"/>
          <w:lang w:val="en-GB"/>
        </w:rPr>
      </w:pPr>
    </w:p>
    <w:p w14:paraId="50E0B028" w14:textId="77777777" w:rsidR="00480093" w:rsidRPr="0085752F" w:rsidRDefault="00480093" w:rsidP="00480093">
      <w:pPr>
        <w:pStyle w:val="Title"/>
        <w:jc w:val="center"/>
        <w:rPr>
          <w:color w:val="000000" w:themeColor="text1"/>
          <w:sz w:val="24"/>
          <w:szCs w:val="24"/>
          <w:lang w:val="en-GB"/>
        </w:rPr>
      </w:pPr>
      <w:r w:rsidRPr="0085752F">
        <w:rPr>
          <w:noProof/>
          <w:color w:val="000000" w:themeColor="text1"/>
          <w:sz w:val="24"/>
          <w:szCs w:val="24"/>
          <w:lang w:val="en-GB" w:bidi="hi-IN"/>
        </w:rPr>
        <w:drawing>
          <wp:inline distT="114300" distB="114300" distL="114300" distR="114300" wp14:anchorId="3DD756A7" wp14:editId="092429E6">
            <wp:extent cx="3028950" cy="714375"/>
            <wp:effectExtent l="0" t="0" r="0" b="9525"/>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28950" cy="714375"/>
                    </a:xfrm>
                    <a:prstGeom prst="rect">
                      <a:avLst/>
                    </a:prstGeom>
                    <a:ln/>
                  </pic:spPr>
                </pic:pic>
              </a:graphicData>
            </a:graphic>
          </wp:inline>
        </w:drawing>
      </w:r>
    </w:p>
    <w:p w14:paraId="56D2CB97" w14:textId="77777777" w:rsidR="00480093" w:rsidRPr="0085752F" w:rsidRDefault="00480093" w:rsidP="00480093">
      <w:pPr>
        <w:pStyle w:val="Title"/>
        <w:jc w:val="center"/>
        <w:rPr>
          <w:color w:val="000000" w:themeColor="text1"/>
          <w:sz w:val="24"/>
          <w:szCs w:val="24"/>
          <w:lang w:val="en-GB"/>
        </w:rPr>
      </w:pPr>
    </w:p>
    <w:p w14:paraId="6FD9509F" w14:textId="77777777" w:rsidR="00480093" w:rsidRPr="0085752F" w:rsidRDefault="00480093" w:rsidP="00480093">
      <w:pPr>
        <w:pStyle w:val="Title"/>
        <w:jc w:val="center"/>
        <w:rPr>
          <w:rFonts w:ascii="Arial" w:hAnsi="Arial" w:cs="Arial"/>
          <w:sz w:val="28"/>
          <w:szCs w:val="28"/>
          <w:lang w:val="en-GB"/>
        </w:rPr>
      </w:pPr>
      <w:r w:rsidRPr="0085752F">
        <w:rPr>
          <w:rFonts w:ascii="Arial" w:hAnsi="Arial" w:cs="Arial"/>
          <w:sz w:val="28"/>
          <w:szCs w:val="28"/>
          <w:lang w:val="en-GB"/>
        </w:rPr>
        <w:t>MSc Public Health and Social Care in Practice</w:t>
      </w:r>
    </w:p>
    <w:p w14:paraId="7EF6CBC2" w14:textId="77777777" w:rsidR="00480093" w:rsidRPr="0085752F" w:rsidRDefault="00480093" w:rsidP="00480093">
      <w:pPr>
        <w:pStyle w:val="Title"/>
        <w:jc w:val="center"/>
        <w:rPr>
          <w:rFonts w:ascii="Arial" w:hAnsi="Arial" w:cs="Arial"/>
          <w:sz w:val="28"/>
          <w:szCs w:val="28"/>
          <w:lang w:val="en-GB"/>
        </w:rPr>
      </w:pPr>
      <w:r w:rsidRPr="0085752F">
        <w:rPr>
          <w:rFonts w:ascii="Arial" w:hAnsi="Arial" w:cs="Arial"/>
          <w:sz w:val="28"/>
          <w:szCs w:val="28"/>
          <w:lang w:val="en-GB"/>
        </w:rPr>
        <w:t>Health Care System, Organisation and Leadership (LCHS7002)</w:t>
      </w:r>
    </w:p>
    <w:p w14:paraId="5CF3D62C" w14:textId="77777777" w:rsidR="00480093" w:rsidRPr="0085752F" w:rsidRDefault="00480093" w:rsidP="00480093">
      <w:pPr>
        <w:pStyle w:val="Title"/>
        <w:jc w:val="center"/>
        <w:rPr>
          <w:rFonts w:ascii="Arial" w:hAnsi="Arial" w:cs="Arial"/>
          <w:sz w:val="28"/>
          <w:szCs w:val="28"/>
          <w:lang w:val="en-GB"/>
        </w:rPr>
      </w:pPr>
      <w:r w:rsidRPr="0085752F">
        <w:rPr>
          <w:rFonts w:ascii="Arial" w:hAnsi="Arial" w:cs="Arial"/>
          <w:sz w:val="28"/>
          <w:szCs w:val="28"/>
          <w:lang w:val="en-GB"/>
        </w:rPr>
        <w:t>Case Study Analysis Report: Comparative report on COVID19 leadership Responses</w:t>
      </w:r>
    </w:p>
    <w:p w14:paraId="116C4A34" w14:textId="62E90733" w:rsidR="00480093" w:rsidRPr="0085752F" w:rsidRDefault="00480093" w:rsidP="00480093">
      <w:pPr>
        <w:pStyle w:val="Title"/>
        <w:jc w:val="center"/>
        <w:rPr>
          <w:rFonts w:ascii="Arial" w:hAnsi="Arial" w:cs="Arial"/>
          <w:sz w:val="28"/>
          <w:szCs w:val="28"/>
          <w:lang w:val="en-GB"/>
        </w:rPr>
      </w:pPr>
      <w:r w:rsidRPr="0085752F">
        <w:rPr>
          <w:rFonts w:ascii="Arial" w:hAnsi="Arial" w:cs="Arial"/>
          <w:sz w:val="28"/>
          <w:szCs w:val="28"/>
          <w:lang w:val="en-GB"/>
        </w:rPr>
        <w:t>Student Name-</w:t>
      </w:r>
      <w:r w:rsidR="00E609CF">
        <w:rPr>
          <w:rFonts w:ascii="Arial" w:hAnsi="Arial" w:cs="Arial"/>
          <w:sz w:val="28"/>
          <w:szCs w:val="28"/>
          <w:lang w:val="en-GB"/>
        </w:rPr>
        <w:t xml:space="preserve"> Krishna Snehalgiri Goswami </w:t>
      </w:r>
    </w:p>
    <w:p w14:paraId="026755CE" w14:textId="5159C1DA" w:rsidR="00480093" w:rsidRPr="0085752F" w:rsidRDefault="00480093" w:rsidP="00480093">
      <w:pPr>
        <w:pStyle w:val="Title"/>
        <w:jc w:val="center"/>
        <w:rPr>
          <w:rFonts w:ascii="Arial" w:hAnsi="Arial" w:cs="Arial"/>
          <w:sz w:val="28"/>
          <w:szCs w:val="28"/>
          <w:lang w:val="en-GB"/>
        </w:rPr>
      </w:pPr>
      <w:r w:rsidRPr="0085752F">
        <w:rPr>
          <w:rFonts w:ascii="Arial" w:hAnsi="Arial" w:cs="Arial"/>
          <w:sz w:val="28"/>
          <w:szCs w:val="28"/>
          <w:lang w:val="en-GB"/>
        </w:rPr>
        <w:t>Student ID-</w:t>
      </w:r>
      <w:r w:rsidR="00E609CF">
        <w:rPr>
          <w:rFonts w:ascii="Arial" w:hAnsi="Arial" w:cs="Arial"/>
          <w:sz w:val="28"/>
          <w:szCs w:val="28"/>
          <w:lang w:val="en-GB"/>
        </w:rPr>
        <w:t xml:space="preserve"> 2436890</w:t>
      </w:r>
    </w:p>
    <w:p w14:paraId="51537A0E" w14:textId="6D1191B6" w:rsidR="00480093" w:rsidRPr="0085752F" w:rsidRDefault="00480093" w:rsidP="00480093">
      <w:pPr>
        <w:pStyle w:val="Title"/>
        <w:jc w:val="center"/>
        <w:rPr>
          <w:rFonts w:ascii="Arial" w:hAnsi="Arial" w:cs="Arial"/>
          <w:sz w:val="28"/>
          <w:szCs w:val="28"/>
          <w:lang w:val="en-GB"/>
        </w:rPr>
      </w:pPr>
      <w:r w:rsidRPr="0085752F">
        <w:rPr>
          <w:rFonts w:ascii="Arial" w:hAnsi="Arial" w:cs="Arial"/>
          <w:sz w:val="28"/>
          <w:szCs w:val="28"/>
          <w:lang w:val="en-GB"/>
        </w:rPr>
        <w:t xml:space="preserve">Lecturer Name- </w:t>
      </w:r>
      <w:r w:rsidR="00C76C32">
        <w:rPr>
          <w:rFonts w:ascii="Arial" w:hAnsi="Arial" w:cs="Arial"/>
          <w:sz w:val="28"/>
          <w:szCs w:val="28"/>
          <w:lang w:val="en-GB"/>
        </w:rPr>
        <w:t>Shepherd Ziko</w:t>
      </w:r>
    </w:p>
    <w:p w14:paraId="0A7E4A1A" w14:textId="5104F5BA" w:rsidR="00480093" w:rsidRPr="0085752F" w:rsidRDefault="00480093" w:rsidP="00480093">
      <w:pPr>
        <w:pStyle w:val="Title"/>
        <w:jc w:val="center"/>
        <w:rPr>
          <w:rFonts w:ascii="Arial" w:hAnsi="Arial" w:cs="Arial"/>
          <w:sz w:val="28"/>
          <w:szCs w:val="28"/>
          <w:lang w:val="en-GB"/>
        </w:rPr>
      </w:pPr>
      <w:r w:rsidRPr="0085752F">
        <w:rPr>
          <w:rFonts w:ascii="Arial" w:hAnsi="Arial" w:cs="Arial"/>
          <w:sz w:val="28"/>
          <w:szCs w:val="28"/>
          <w:lang w:val="en-GB"/>
        </w:rPr>
        <w:t xml:space="preserve">Word Count - </w:t>
      </w:r>
      <w:r w:rsidR="00283453">
        <w:rPr>
          <w:rFonts w:ascii="Arial" w:hAnsi="Arial" w:cs="Arial"/>
          <w:sz w:val="28"/>
          <w:szCs w:val="28"/>
          <w:lang w:val="en-GB"/>
        </w:rPr>
        <w:t>4650</w:t>
      </w:r>
    </w:p>
    <w:p w14:paraId="29ED77DA" w14:textId="77777777" w:rsidR="00480093" w:rsidRPr="0085752F" w:rsidRDefault="00480093" w:rsidP="00480093">
      <w:pPr>
        <w:pStyle w:val="Title"/>
        <w:jc w:val="center"/>
        <w:rPr>
          <w:rFonts w:ascii="Arial" w:hAnsi="Arial" w:cs="Arial"/>
          <w:sz w:val="28"/>
          <w:szCs w:val="28"/>
          <w:lang w:val="en-GB"/>
        </w:rPr>
      </w:pPr>
      <w:r w:rsidRPr="0085752F">
        <w:rPr>
          <w:rFonts w:ascii="Arial" w:hAnsi="Arial" w:cs="Arial"/>
          <w:sz w:val="28"/>
          <w:szCs w:val="28"/>
          <w:lang w:val="en-GB"/>
        </w:rPr>
        <w:t xml:space="preserve">Submission Date- 16 December 2025 </w:t>
      </w:r>
    </w:p>
    <w:p w14:paraId="161BA6B6" w14:textId="77777777" w:rsidR="00480093" w:rsidRPr="0085752F" w:rsidRDefault="00480093" w:rsidP="00480093">
      <w:pPr>
        <w:spacing w:before="240" w:after="240" w:line="360" w:lineRule="auto"/>
        <w:jc w:val="both"/>
        <w:rPr>
          <w:rFonts w:ascii="Arial" w:hAnsi="Arial" w:cs="Arial"/>
          <w:lang w:val="en-GB"/>
        </w:rPr>
      </w:pPr>
      <w:r w:rsidRPr="0085752F">
        <w:rPr>
          <w:rFonts w:ascii="Arial" w:hAnsi="Arial" w:cs="Arial"/>
          <w:lang w:val="en-GB"/>
        </w:rPr>
        <w:br w:type="page"/>
      </w:r>
    </w:p>
    <w:p w14:paraId="3A3BD711" w14:textId="77777777" w:rsidR="00E775A8" w:rsidRPr="0085752F" w:rsidRDefault="00E775A8" w:rsidP="00E775A8">
      <w:pPr>
        <w:pStyle w:val="Heading1"/>
        <w:rPr>
          <w:rFonts w:ascii="Arial" w:hAnsi="Arial" w:cs="Arial"/>
          <w:sz w:val="22"/>
          <w:szCs w:val="22"/>
        </w:rPr>
      </w:pPr>
      <w:bookmarkStart w:id="0" w:name="_Toc216555214"/>
      <w:r w:rsidRPr="0085752F">
        <w:rPr>
          <w:rFonts w:ascii="Arial" w:hAnsi="Arial" w:cs="Arial"/>
          <w:sz w:val="22"/>
          <w:szCs w:val="22"/>
        </w:rPr>
        <w:lastRenderedPageBreak/>
        <w:t>Executive Summary</w:t>
      </w:r>
      <w:bookmarkEnd w:id="0"/>
      <w:r w:rsidRPr="0085752F">
        <w:rPr>
          <w:rFonts w:ascii="Arial" w:hAnsi="Arial" w:cs="Arial"/>
          <w:sz w:val="22"/>
          <w:szCs w:val="22"/>
        </w:rPr>
        <w:t xml:space="preserve">  </w:t>
      </w:r>
    </w:p>
    <w:p w14:paraId="24B6757A"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This report gives a comparative analysis of health-care systems structures and leaders reaction to the COVID-19 pandemic in Spain, South Korea, and Canada. The main aim is to critically assess how different levels of centralisation and decentralisation influenced the response to the pandemic by countries and the impact on the population health. These three nations were chosen due to the fact that they are the opposite of each other in terms of governance systems and leadership styles in coping with a large-scale population health crisis. The analysis takes a systems-thinking approach to the evaluation of preparedness, the effectiveness of responses, and outcomes based on coordination mechanisms, the authority to make decisions, and the organisation of the health-care system. Moreover, the report assesses leadership styles used in each of the countries, especially focusing on crisis leadership, transparency, adaptability, and trust-building. The main themes that are discussed are the strengths and weaknesses of centralised and decentralised health systems, the role of leadership in dealing with uncertainties, and the relationship between governance structures and leadership efficacy in case of a public-health emergency. The comparison of these instances informs the report of the joint impact of the governance design and leadership capacity on resilience and performance in times of crisis (Ansell et al., 2021; Head, 2022).</w:t>
      </w:r>
    </w:p>
    <w:p w14:paraId="2029DCE4" w14:textId="77777777" w:rsidR="00E775A8" w:rsidRPr="0085752F" w:rsidRDefault="00E775A8" w:rsidP="00E775A8">
      <w:pPr>
        <w:spacing w:before="240" w:after="240" w:line="360" w:lineRule="auto"/>
        <w:rPr>
          <w:rFonts w:ascii="Arial" w:hAnsi="Arial" w:cs="Arial"/>
          <w:b/>
          <w:bCs/>
          <w:u w:val="single"/>
          <w:lang w:val="en-GB"/>
        </w:rPr>
      </w:pPr>
    </w:p>
    <w:p w14:paraId="2965EEE5" w14:textId="77777777" w:rsidR="00B31A7D" w:rsidRPr="0085752F" w:rsidRDefault="00B31A7D" w:rsidP="00B31A7D">
      <w:pPr>
        <w:spacing w:before="240" w:after="240" w:line="360" w:lineRule="auto"/>
        <w:jc w:val="both"/>
        <w:rPr>
          <w:rFonts w:ascii="Arial" w:hAnsi="Arial" w:cs="Arial"/>
          <w:lang w:val="en-GB"/>
        </w:rPr>
      </w:pPr>
      <w:r w:rsidRPr="0085752F">
        <w:rPr>
          <w:rFonts w:ascii="Arial" w:hAnsi="Arial" w:cs="Arial"/>
          <w:lang w:val="en-GB"/>
        </w:rPr>
        <w:br w:type="page"/>
      </w:r>
    </w:p>
    <w:sdt>
      <w:sdtPr>
        <w:rPr>
          <w:rFonts w:ascii="Arial" w:eastAsiaTheme="minorHAnsi" w:hAnsi="Arial" w:cs="Arial"/>
          <w:color w:val="auto"/>
          <w:sz w:val="22"/>
          <w:szCs w:val="22"/>
          <w:lang w:val="en-GB"/>
        </w:rPr>
        <w:id w:val="-864739513"/>
        <w:docPartObj>
          <w:docPartGallery w:val="Table of Contents"/>
          <w:docPartUnique/>
        </w:docPartObj>
      </w:sdtPr>
      <w:sdtEndPr>
        <w:rPr>
          <w:b/>
          <w:bCs/>
          <w:noProof/>
        </w:rPr>
      </w:sdtEndPr>
      <w:sdtContent>
        <w:p w14:paraId="16A28A86" w14:textId="6520CC4A" w:rsidR="00B31A7D" w:rsidRPr="0085752F" w:rsidRDefault="00B31A7D" w:rsidP="00B31A7D">
          <w:pPr>
            <w:pStyle w:val="TOCHeading"/>
            <w:spacing w:after="240" w:line="360" w:lineRule="auto"/>
            <w:jc w:val="both"/>
            <w:rPr>
              <w:rFonts w:ascii="Arial" w:hAnsi="Arial" w:cs="Arial"/>
              <w:b/>
              <w:bCs/>
              <w:color w:val="auto"/>
              <w:sz w:val="22"/>
              <w:szCs w:val="22"/>
              <w:lang w:val="en-GB"/>
            </w:rPr>
          </w:pPr>
          <w:r w:rsidRPr="0085752F">
            <w:rPr>
              <w:rFonts w:ascii="Arial" w:hAnsi="Arial" w:cs="Arial"/>
              <w:b/>
              <w:bCs/>
              <w:color w:val="auto"/>
              <w:sz w:val="22"/>
              <w:szCs w:val="22"/>
              <w:lang w:val="en-GB"/>
            </w:rPr>
            <w:t>Table of Contents</w:t>
          </w:r>
        </w:p>
        <w:p w14:paraId="6816FCED" w14:textId="30544C31" w:rsidR="00B771A6" w:rsidRPr="0085752F" w:rsidRDefault="00B31A7D">
          <w:pPr>
            <w:pStyle w:val="TOC1"/>
            <w:tabs>
              <w:tab w:val="right" w:leader="dot" w:pos="9350"/>
            </w:tabs>
            <w:rPr>
              <w:rFonts w:eastAsiaTheme="minorEastAsia"/>
              <w:noProof/>
              <w:kern w:val="2"/>
              <w:sz w:val="24"/>
              <w:szCs w:val="24"/>
              <w:lang w:val="en-GB"/>
              <w14:ligatures w14:val="standardContextual"/>
            </w:rPr>
          </w:pPr>
          <w:r w:rsidRPr="0085752F">
            <w:rPr>
              <w:rFonts w:ascii="Arial" w:hAnsi="Arial" w:cs="Arial"/>
              <w:lang w:val="en-GB"/>
            </w:rPr>
            <w:fldChar w:fldCharType="begin"/>
          </w:r>
          <w:r w:rsidRPr="0085752F">
            <w:rPr>
              <w:rFonts w:ascii="Arial" w:hAnsi="Arial" w:cs="Arial"/>
              <w:lang w:val="en-GB"/>
            </w:rPr>
            <w:instrText xml:space="preserve"> TOC \o "1-3" \h \z \u </w:instrText>
          </w:r>
          <w:r w:rsidRPr="0085752F">
            <w:rPr>
              <w:rFonts w:ascii="Arial" w:hAnsi="Arial" w:cs="Arial"/>
              <w:lang w:val="en-GB"/>
            </w:rPr>
            <w:fldChar w:fldCharType="separate"/>
          </w:r>
          <w:hyperlink w:anchor="_Toc216555214" w:history="1">
            <w:r w:rsidR="00B771A6" w:rsidRPr="0085752F">
              <w:rPr>
                <w:rStyle w:val="Hyperlink"/>
                <w:rFonts w:ascii="Arial" w:hAnsi="Arial" w:cs="Arial"/>
                <w:noProof/>
                <w:lang w:val="en-GB"/>
              </w:rPr>
              <w:t>Executive Summary</w:t>
            </w:r>
            <w:r w:rsidR="00B771A6" w:rsidRPr="0085752F">
              <w:rPr>
                <w:noProof/>
                <w:webHidden/>
                <w:lang w:val="en-GB"/>
              </w:rPr>
              <w:tab/>
            </w:r>
            <w:r w:rsidR="00B771A6" w:rsidRPr="0085752F">
              <w:rPr>
                <w:noProof/>
                <w:webHidden/>
                <w:lang w:val="en-GB"/>
              </w:rPr>
              <w:fldChar w:fldCharType="begin"/>
            </w:r>
            <w:r w:rsidR="00B771A6" w:rsidRPr="0085752F">
              <w:rPr>
                <w:noProof/>
                <w:webHidden/>
                <w:lang w:val="en-GB"/>
              </w:rPr>
              <w:instrText xml:space="preserve"> PAGEREF _Toc216555214 \h </w:instrText>
            </w:r>
            <w:r w:rsidR="00B771A6" w:rsidRPr="0085752F">
              <w:rPr>
                <w:noProof/>
                <w:webHidden/>
                <w:lang w:val="en-GB"/>
              </w:rPr>
            </w:r>
            <w:r w:rsidR="00B771A6" w:rsidRPr="0085752F">
              <w:rPr>
                <w:noProof/>
                <w:webHidden/>
                <w:lang w:val="en-GB"/>
              </w:rPr>
              <w:fldChar w:fldCharType="separate"/>
            </w:r>
            <w:r w:rsidR="00B771A6" w:rsidRPr="0085752F">
              <w:rPr>
                <w:noProof/>
                <w:webHidden/>
                <w:lang w:val="en-GB"/>
              </w:rPr>
              <w:t>2</w:t>
            </w:r>
            <w:r w:rsidR="00B771A6" w:rsidRPr="0085752F">
              <w:rPr>
                <w:noProof/>
                <w:webHidden/>
                <w:lang w:val="en-GB"/>
              </w:rPr>
              <w:fldChar w:fldCharType="end"/>
            </w:r>
          </w:hyperlink>
        </w:p>
        <w:p w14:paraId="54F2024A" w14:textId="4F7227C3" w:rsidR="00B771A6" w:rsidRPr="0085752F" w:rsidRDefault="00B771A6">
          <w:pPr>
            <w:pStyle w:val="TOC1"/>
            <w:tabs>
              <w:tab w:val="right" w:leader="dot" w:pos="9350"/>
            </w:tabs>
            <w:rPr>
              <w:rFonts w:eastAsiaTheme="minorEastAsia"/>
              <w:noProof/>
              <w:kern w:val="2"/>
              <w:sz w:val="24"/>
              <w:szCs w:val="24"/>
              <w:lang w:val="en-GB"/>
              <w14:ligatures w14:val="standardContextual"/>
            </w:rPr>
          </w:pPr>
          <w:hyperlink w:anchor="_Toc216555215" w:history="1">
            <w:r w:rsidRPr="0085752F">
              <w:rPr>
                <w:rStyle w:val="Hyperlink"/>
                <w:rFonts w:ascii="Arial" w:hAnsi="Arial" w:cs="Arial"/>
                <w:noProof/>
                <w:lang w:val="en-GB"/>
              </w:rPr>
              <w:t>1. Introduction</w:t>
            </w:r>
            <w:r w:rsidRPr="0085752F">
              <w:rPr>
                <w:noProof/>
                <w:webHidden/>
                <w:lang w:val="en-GB"/>
              </w:rPr>
              <w:tab/>
            </w:r>
            <w:r w:rsidRPr="0085752F">
              <w:rPr>
                <w:noProof/>
                <w:webHidden/>
                <w:lang w:val="en-GB"/>
              </w:rPr>
              <w:fldChar w:fldCharType="begin"/>
            </w:r>
            <w:r w:rsidRPr="0085752F">
              <w:rPr>
                <w:noProof/>
                <w:webHidden/>
                <w:lang w:val="en-GB"/>
              </w:rPr>
              <w:instrText xml:space="preserve"> PAGEREF _Toc216555215 \h </w:instrText>
            </w:r>
            <w:r w:rsidRPr="0085752F">
              <w:rPr>
                <w:noProof/>
                <w:webHidden/>
                <w:lang w:val="en-GB"/>
              </w:rPr>
            </w:r>
            <w:r w:rsidRPr="0085752F">
              <w:rPr>
                <w:noProof/>
                <w:webHidden/>
                <w:lang w:val="en-GB"/>
              </w:rPr>
              <w:fldChar w:fldCharType="separate"/>
            </w:r>
            <w:r w:rsidRPr="0085752F">
              <w:rPr>
                <w:noProof/>
                <w:webHidden/>
                <w:lang w:val="en-GB"/>
              </w:rPr>
              <w:t>4</w:t>
            </w:r>
            <w:r w:rsidRPr="0085752F">
              <w:rPr>
                <w:noProof/>
                <w:webHidden/>
                <w:lang w:val="en-GB"/>
              </w:rPr>
              <w:fldChar w:fldCharType="end"/>
            </w:r>
          </w:hyperlink>
        </w:p>
        <w:p w14:paraId="634EA3D4" w14:textId="7B3BCEB6" w:rsidR="00B771A6" w:rsidRPr="0085752F" w:rsidRDefault="00B771A6">
          <w:pPr>
            <w:pStyle w:val="TOC1"/>
            <w:tabs>
              <w:tab w:val="right" w:leader="dot" w:pos="9350"/>
            </w:tabs>
            <w:rPr>
              <w:rFonts w:eastAsiaTheme="minorEastAsia"/>
              <w:noProof/>
              <w:kern w:val="2"/>
              <w:sz w:val="24"/>
              <w:szCs w:val="24"/>
              <w:lang w:val="en-GB"/>
              <w14:ligatures w14:val="standardContextual"/>
            </w:rPr>
          </w:pPr>
          <w:hyperlink w:anchor="_Toc216555216" w:history="1">
            <w:r w:rsidRPr="0085752F">
              <w:rPr>
                <w:rStyle w:val="Hyperlink"/>
                <w:rFonts w:ascii="Arial" w:hAnsi="Arial" w:cs="Arial"/>
                <w:noProof/>
                <w:lang w:val="en-GB"/>
              </w:rPr>
              <w:t>2 Centralised and Decentralised Health-Care System Reactions to the COVID-19 Pandemic.</w:t>
            </w:r>
            <w:r w:rsidRPr="0085752F">
              <w:rPr>
                <w:noProof/>
                <w:webHidden/>
                <w:lang w:val="en-GB"/>
              </w:rPr>
              <w:tab/>
            </w:r>
            <w:r w:rsidRPr="0085752F">
              <w:rPr>
                <w:noProof/>
                <w:webHidden/>
                <w:lang w:val="en-GB"/>
              </w:rPr>
              <w:fldChar w:fldCharType="begin"/>
            </w:r>
            <w:r w:rsidRPr="0085752F">
              <w:rPr>
                <w:noProof/>
                <w:webHidden/>
                <w:lang w:val="en-GB"/>
              </w:rPr>
              <w:instrText xml:space="preserve"> PAGEREF _Toc216555216 \h </w:instrText>
            </w:r>
            <w:r w:rsidRPr="0085752F">
              <w:rPr>
                <w:noProof/>
                <w:webHidden/>
                <w:lang w:val="en-GB"/>
              </w:rPr>
            </w:r>
            <w:r w:rsidRPr="0085752F">
              <w:rPr>
                <w:noProof/>
                <w:webHidden/>
                <w:lang w:val="en-GB"/>
              </w:rPr>
              <w:fldChar w:fldCharType="separate"/>
            </w:r>
            <w:r w:rsidRPr="0085752F">
              <w:rPr>
                <w:noProof/>
                <w:webHidden/>
                <w:lang w:val="en-GB"/>
              </w:rPr>
              <w:t>4</w:t>
            </w:r>
            <w:r w:rsidRPr="0085752F">
              <w:rPr>
                <w:noProof/>
                <w:webHidden/>
                <w:lang w:val="en-GB"/>
              </w:rPr>
              <w:fldChar w:fldCharType="end"/>
            </w:r>
          </w:hyperlink>
        </w:p>
        <w:p w14:paraId="5AEFD8C7" w14:textId="0EBBE105" w:rsidR="00B771A6" w:rsidRPr="0085752F" w:rsidRDefault="00B771A6">
          <w:pPr>
            <w:pStyle w:val="TOC2"/>
            <w:tabs>
              <w:tab w:val="right" w:leader="dot" w:pos="9350"/>
            </w:tabs>
            <w:rPr>
              <w:rFonts w:eastAsiaTheme="minorEastAsia"/>
              <w:noProof/>
              <w:kern w:val="2"/>
              <w:sz w:val="24"/>
              <w:szCs w:val="24"/>
              <w:lang w:val="en-GB"/>
              <w14:ligatures w14:val="standardContextual"/>
            </w:rPr>
          </w:pPr>
          <w:hyperlink w:anchor="_Toc216555217" w:history="1">
            <w:r w:rsidRPr="0085752F">
              <w:rPr>
                <w:rStyle w:val="Hyperlink"/>
                <w:rFonts w:ascii="Arial" w:hAnsi="Arial" w:cs="Arial"/>
                <w:noProof/>
                <w:lang w:val="en-GB"/>
              </w:rPr>
              <w:t>2.1 In this paper, we will briefly overview health systems and pandemic governance.</w:t>
            </w:r>
            <w:r w:rsidRPr="0085752F">
              <w:rPr>
                <w:noProof/>
                <w:webHidden/>
                <w:lang w:val="en-GB"/>
              </w:rPr>
              <w:tab/>
            </w:r>
            <w:r w:rsidRPr="0085752F">
              <w:rPr>
                <w:noProof/>
                <w:webHidden/>
                <w:lang w:val="en-GB"/>
              </w:rPr>
              <w:fldChar w:fldCharType="begin"/>
            </w:r>
            <w:r w:rsidRPr="0085752F">
              <w:rPr>
                <w:noProof/>
                <w:webHidden/>
                <w:lang w:val="en-GB"/>
              </w:rPr>
              <w:instrText xml:space="preserve"> PAGEREF _Toc216555217 \h </w:instrText>
            </w:r>
            <w:r w:rsidRPr="0085752F">
              <w:rPr>
                <w:noProof/>
                <w:webHidden/>
                <w:lang w:val="en-GB"/>
              </w:rPr>
            </w:r>
            <w:r w:rsidRPr="0085752F">
              <w:rPr>
                <w:noProof/>
                <w:webHidden/>
                <w:lang w:val="en-GB"/>
              </w:rPr>
              <w:fldChar w:fldCharType="separate"/>
            </w:r>
            <w:r w:rsidRPr="0085752F">
              <w:rPr>
                <w:noProof/>
                <w:webHidden/>
                <w:lang w:val="en-GB"/>
              </w:rPr>
              <w:t>4</w:t>
            </w:r>
            <w:r w:rsidRPr="0085752F">
              <w:rPr>
                <w:noProof/>
                <w:webHidden/>
                <w:lang w:val="en-GB"/>
              </w:rPr>
              <w:fldChar w:fldCharType="end"/>
            </w:r>
          </w:hyperlink>
        </w:p>
        <w:p w14:paraId="3E5C1F30" w14:textId="12F2A754" w:rsidR="00B771A6" w:rsidRPr="0085752F" w:rsidRDefault="00B771A6">
          <w:pPr>
            <w:pStyle w:val="TOC2"/>
            <w:tabs>
              <w:tab w:val="right" w:leader="dot" w:pos="9350"/>
            </w:tabs>
            <w:rPr>
              <w:rFonts w:eastAsiaTheme="minorEastAsia"/>
              <w:noProof/>
              <w:kern w:val="2"/>
              <w:sz w:val="24"/>
              <w:szCs w:val="24"/>
              <w:lang w:val="en-GB"/>
              <w14:ligatures w14:val="standardContextual"/>
            </w:rPr>
          </w:pPr>
          <w:hyperlink w:anchor="_Toc216555218" w:history="1">
            <w:r w:rsidRPr="0085752F">
              <w:rPr>
                <w:rStyle w:val="Hyperlink"/>
                <w:rFonts w:ascii="Arial" w:hAnsi="Arial" w:cs="Arial"/>
                <w:noProof/>
                <w:lang w:val="en-GB"/>
              </w:rPr>
              <w:t>2.2 Spain: Crisis and Push of Recententralisation Test Decentralisation.</w:t>
            </w:r>
            <w:r w:rsidRPr="0085752F">
              <w:rPr>
                <w:noProof/>
                <w:webHidden/>
                <w:lang w:val="en-GB"/>
              </w:rPr>
              <w:tab/>
            </w:r>
            <w:r w:rsidRPr="0085752F">
              <w:rPr>
                <w:noProof/>
                <w:webHidden/>
                <w:lang w:val="en-GB"/>
              </w:rPr>
              <w:fldChar w:fldCharType="begin"/>
            </w:r>
            <w:r w:rsidRPr="0085752F">
              <w:rPr>
                <w:noProof/>
                <w:webHidden/>
                <w:lang w:val="en-GB"/>
              </w:rPr>
              <w:instrText xml:space="preserve"> PAGEREF _Toc216555218 \h </w:instrText>
            </w:r>
            <w:r w:rsidRPr="0085752F">
              <w:rPr>
                <w:noProof/>
                <w:webHidden/>
                <w:lang w:val="en-GB"/>
              </w:rPr>
            </w:r>
            <w:r w:rsidRPr="0085752F">
              <w:rPr>
                <w:noProof/>
                <w:webHidden/>
                <w:lang w:val="en-GB"/>
              </w:rPr>
              <w:fldChar w:fldCharType="separate"/>
            </w:r>
            <w:r w:rsidRPr="0085752F">
              <w:rPr>
                <w:noProof/>
                <w:webHidden/>
                <w:lang w:val="en-GB"/>
              </w:rPr>
              <w:t>7</w:t>
            </w:r>
            <w:r w:rsidRPr="0085752F">
              <w:rPr>
                <w:noProof/>
                <w:webHidden/>
                <w:lang w:val="en-GB"/>
              </w:rPr>
              <w:fldChar w:fldCharType="end"/>
            </w:r>
          </w:hyperlink>
        </w:p>
        <w:p w14:paraId="6F25468E" w14:textId="52DD67E2" w:rsidR="00B771A6" w:rsidRPr="0085752F" w:rsidRDefault="00B771A6">
          <w:pPr>
            <w:pStyle w:val="TOC2"/>
            <w:tabs>
              <w:tab w:val="right" w:leader="dot" w:pos="9350"/>
            </w:tabs>
            <w:rPr>
              <w:rFonts w:eastAsiaTheme="minorEastAsia"/>
              <w:noProof/>
              <w:kern w:val="2"/>
              <w:sz w:val="24"/>
              <w:szCs w:val="24"/>
              <w:lang w:val="en-GB"/>
              <w14:ligatures w14:val="standardContextual"/>
            </w:rPr>
          </w:pPr>
          <w:hyperlink w:anchor="_Toc216555219" w:history="1">
            <w:r w:rsidRPr="0085752F">
              <w:rPr>
                <w:rStyle w:val="Hyperlink"/>
                <w:rFonts w:ascii="Arial" w:hAnsi="Arial" w:cs="Arial"/>
                <w:noProof/>
                <w:lang w:val="en-GB"/>
              </w:rPr>
              <w:t>2.3 South Korea: Technocratic Governance and Centralised Agility.</w:t>
            </w:r>
            <w:r w:rsidRPr="0085752F">
              <w:rPr>
                <w:noProof/>
                <w:webHidden/>
                <w:lang w:val="en-GB"/>
              </w:rPr>
              <w:tab/>
            </w:r>
            <w:r w:rsidRPr="0085752F">
              <w:rPr>
                <w:noProof/>
                <w:webHidden/>
                <w:lang w:val="en-GB"/>
              </w:rPr>
              <w:fldChar w:fldCharType="begin"/>
            </w:r>
            <w:r w:rsidRPr="0085752F">
              <w:rPr>
                <w:noProof/>
                <w:webHidden/>
                <w:lang w:val="en-GB"/>
              </w:rPr>
              <w:instrText xml:space="preserve"> PAGEREF _Toc216555219 \h </w:instrText>
            </w:r>
            <w:r w:rsidRPr="0085752F">
              <w:rPr>
                <w:noProof/>
                <w:webHidden/>
                <w:lang w:val="en-GB"/>
              </w:rPr>
            </w:r>
            <w:r w:rsidRPr="0085752F">
              <w:rPr>
                <w:noProof/>
                <w:webHidden/>
                <w:lang w:val="en-GB"/>
              </w:rPr>
              <w:fldChar w:fldCharType="separate"/>
            </w:r>
            <w:r w:rsidRPr="0085752F">
              <w:rPr>
                <w:noProof/>
                <w:webHidden/>
                <w:lang w:val="en-GB"/>
              </w:rPr>
              <w:t>8</w:t>
            </w:r>
            <w:r w:rsidRPr="0085752F">
              <w:rPr>
                <w:noProof/>
                <w:webHidden/>
                <w:lang w:val="en-GB"/>
              </w:rPr>
              <w:fldChar w:fldCharType="end"/>
            </w:r>
          </w:hyperlink>
        </w:p>
        <w:p w14:paraId="0410B8CA" w14:textId="4BA6D886" w:rsidR="00B771A6" w:rsidRPr="0085752F" w:rsidRDefault="00B771A6">
          <w:pPr>
            <w:pStyle w:val="TOC2"/>
            <w:tabs>
              <w:tab w:val="right" w:leader="dot" w:pos="9350"/>
            </w:tabs>
            <w:rPr>
              <w:rFonts w:eastAsiaTheme="minorEastAsia"/>
              <w:noProof/>
              <w:kern w:val="2"/>
              <w:sz w:val="24"/>
              <w:szCs w:val="24"/>
              <w:lang w:val="en-GB"/>
              <w14:ligatures w14:val="standardContextual"/>
            </w:rPr>
          </w:pPr>
          <w:hyperlink w:anchor="_Toc216555220" w:history="1">
            <w:r w:rsidRPr="0085752F">
              <w:rPr>
                <w:rStyle w:val="Hyperlink"/>
                <w:rFonts w:ascii="Arial" w:hAnsi="Arial" w:cs="Arial"/>
                <w:noProof/>
                <w:lang w:val="en-GB"/>
              </w:rPr>
              <w:t>2.4 Canada: The Federalism and the Dilemma of Coordinated Decentralisation.</w:t>
            </w:r>
            <w:r w:rsidRPr="0085752F">
              <w:rPr>
                <w:noProof/>
                <w:webHidden/>
                <w:lang w:val="en-GB"/>
              </w:rPr>
              <w:tab/>
            </w:r>
            <w:r w:rsidRPr="0085752F">
              <w:rPr>
                <w:noProof/>
                <w:webHidden/>
                <w:lang w:val="en-GB"/>
              </w:rPr>
              <w:fldChar w:fldCharType="begin"/>
            </w:r>
            <w:r w:rsidRPr="0085752F">
              <w:rPr>
                <w:noProof/>
                <w:webHidden/>
                <w:lang w:val="en-GB"/>
              </w:rPr>
              <w:instrText xml:space="preserve"> PAGEREF _Toc216555220 \h </w:instrText>
            </w:r>
            <w:r w:rsidRPr="0085752F">
              <w:rPr>
                <w:noProof/>
                <w:webHidden/>
                <w:lang w:val="en-GB"/>
              </w:rPr>
            </w:r>
            <w:r w:rsidRPr="0085752F">
              <w:rPr>
                <w:noProof/>
                <w:webHidden/>
                <w:lang w:val="en-GB"/>
              </w:rPr>
              <w:fldChar w:fldCharType="separate"/>
            </w:r>
            <w:r w:rsidRPr="0085752F">
              <w:rPr>
                <w:noProof/>
                <w:webHidden/>
                <w:lang w:val="en-GB"/>
              </w:rPr>
              <w:t>9</w:t>
            </w:r>
            <w:r w:rsidRPr="0085752F">
              <w:rPr>
                <w:noProof/>
                <w:webHidden/>
                <w:lang w:val="en-GB"/>
              </w:rPr>
              <w:fldChar w:fldCharType="end"/>
            </w:r>
          </w:hyperlink>
        </w:p>
        <w:p w14:paraId="108DD2F6" w14:textId="13955CFE" w:rsidR="00B771A6" w:rsidRPr="0085752F" w:rsidRDefault="00B771A6">
          <w:pPr>
            <w:pStyle w:val="TOC2"/>
            <w:tabs>
              <w:tab w:val="right" w:leader="dot" w:pos="9350"/>
            </w:tabs>
            <w:rPr>
              <w:rFonts w:eastAsiaTheme="minorEastAsia"/>
              <w:noProof/>
              <w:kern w:val="2"/>
              <w:sz w:val="24"/>
              <w:szCs w:val="24"/>
              <w:lang w:val="en-GB"/>
              <w14:ligatures w14:val="standardContextual"/>
            </w:rPr>
          </w:pPr>
          <w:hyperlink w:anchor="_Toc216555221" w:history="1">
            <w:r w:rsidRPr="0085752F">
              <w:rPr>
                <w:rStyle w:val="Hyperlink"/>
                <w:rFonts w:ascii="Arial" w:hAnsi="Arial" w:cs="Arial"/>
                <w:noProof/>
                <w:lang w:val="en-GB"/>
              </w:rPr>
              <w:t>2.5 Comparative Analysis and Synthesis: To Adaptive Governance.</w:t>
            </w:r>
            <w:r w:rsidRPr="0085752F">
              <w:rPr>
                <w:noProof/>
                <w:webHidden/>
                <w:lang w:val="en-GB"/>
              </w:rPr>
              <w:tab/>
            </w:r>
            <w:r w:rsidRPr="0085752F">
              <w:rPr>
                <w:noProof/>
                <w:webHidden/>
                <w:lang w:val="en-GB"/>
              </w:rPr>
              <w:fldChar w:fldCharType="begin"/>
            </w:r>
            <w:r w:rsidRPr="0085752F">
              <w:rPr>
                <w:noProof/>
                <w:webHidden/>
                <w:lang w:val="en-GB"/>
              </w:rPr>
              <w:instrText xml:space="preserve"> PAGEREF _Toc216555221 \h </w:instrText>
            </w:r>
            <w:r w:rsidRPr="0085752F">
              <w:rPr>
                <w:noProof/>
                <w:webHidden/>
                <w:lang w:val="en-GB"/>
              </w:rPr>
            </w:r>
            <w:r w:rsidRPr="0085752F">
              <w:rPr>
                <w:noProof/>
                <w:webHidden/>
                <w:lang w:val="en-GB"/>
              </w:rPr>
              <w:fldChar w:fldCharType="separate"/>
            </w:r>
            <w:r w:rsidRPr="0085752F">
              <w:rPr>
                <w:noProof/>
                <w:webHidden/>
                <w:lang w:val="en-GB"/>
              </w:rPr>
              <w:t>9</w:t>
            </w:r>
            <w:r w:rsidRPr="0085752F">
              <w:rPr>
                <w:noProof/>
                <w:webHidden/>
                <w:lang w:val="en-GB"/>
              </w:rPr>
              <w:fldChar w:fldCharType="end"/>
            </w:r>
          </w:hyperlink>
        </w:p>
        <w:p w14:paraId="2BE2D5F9" w14:textId="5152CCAD" w:rsidR="00B771A6" w:rsidRPr="0085752F" w:rsidRDefault="00B771A6">
          <w:pPr>
            <w:pStyle w:val="TOC1"/>
            <w:tabs>
              <w:tab w:val="right" w:leader="dot" w:pos="9350"/>
            </w:tabs>
            <w:rPr>
              <w:rFonts w:eastAsiaTheme="minorEastAsia"/>
              <w:noProof/>
              <w:kern w:val="2"/>
              <w:sz w:val="24"/>
              <w:szCs w:val="24"/>
              <w:lang w:val="en-GB"/>
              <w14:ligatures w14:val="standardContextual"/>
            </w:rPr>
          </w:pPr>
          <w:hyperlink w:anchor="_Toc216555222" w:history="1">
            <w:r w:rsidRPr="0085752F">
              <w:rPr>
                <w:rStyle w:val="Hyperlink"/>
                <w:rFonts w:ascii="Arial" w:hAnsi="Arial" w:cs="Arial"/>
                <w:noProof/>
                <w:lang w:val="en-GB"/>
              </w:rPr>
              <w:t>3. Management of the COVID-19 pandemic through leadership styles.</w:t>
            </w:r>
            <w:r w:rsidRPr="0085752F">
              <w:rPr>
                <w:noProof/>
                <w:webHidden/>
                <w:lang w:val="en-GB"/>
              </w:rPr>
              <w:tab/>
            </w:r>
            <w:r w:rsidRPr="0085752F">
              <w:rPr>
                <w:noProof/>
                <w:webHidden/>
                <w:lang w:val="en-GB"/>
              </w:rPr>
              <w:fldChar w:fldCharType="begin"/>
            </w:r>
            <w:r w:rsidRPr="0085752F">
              <w:rPr>
                <w:noProof/>
                <w:webHidden/>
                <w:lang w:val="en-GB"/>
              </w:rPr>
              <w:instrText xml:space="preserve"> PAGEREF _Toc216555222 \h </w:instrText>
            </w:r>
            <w:r w:rsidRPr="0085752F">
              <w:rPr>
                <w:noProof/>
                <w:webHidden/>
                <w:lang w:val="en-GB"/>
              </w:rPr>
            </w:r>
            <w:r w:rsidRPr="0085752F">
              <w:rPr>
                <w:noProof/>
                <w:webHidden/>
                <w:lang w:val="en-GB"/>
              </w:rPr>
              <w:fldChar w:fldCharType="separate"/>
            </w:r>
            <w:r w:rsidRPr="0085752F">
              <w:rPr>
                <w:noProof/>
                <w:webHidden/>
                <w:lang w:val="en-GB"/>
              </w:rPr>
              <w:t>13</w:t>
            </w:r>
            <w:r w:rsidRPr="0085752F">
              <w:rPr>
                <w:noProof/>
                <w:webHidden/>
                <w:lang w:val="en-GB"/>
              </w:rPr>
              <w:fldChar w:fldCharType="end"/>
            </w:r>
          </w:hyperlink>
        </w:p>
        <w:p w14:paraId="38378A8C" w14:textId="69DD38FC" w:rsidR="00B771A6" w:rsidRPr="0085752F" w:rsidRDefault="00B771A6">
          <w:pPr>
            <w:pStyle w:val="TOC2"/>
            <w:tabs>
              <w:tab w:val="right" w:leader="dot" w:pos="9350"/>
            </w:tabs>
            <w:rPr>
              <w:rFonts w:eastAsiaTheme="minorEastAsia"/>
              <w:noProof/>
              <w:kern w:val="2"/>
              <w:sz w:val="24"/>
              <w:szCs w:val="24"/>
              <w:lang w:val="en-GB"/>
              <w14:ligatures w14:val="standardContextual"/>
            </w:rPr>
          </w:pPr>
          <w:hyperlink w:anchor="_Toc216555223" w:history="1">
            <w:r w:rsidRPr="0085752F">
              <w:rPr>
                <w:rStyle w:val="Hyperlink"/>
                <w:rFonts w:ascii="Arial" w:hAnsi="Arial" w:cs="Arial"/>
                <w:noProof/>
                <w:lang w:val="en-GB"/>
              </w:rPr>
              <w:t>3.1 Theories of Leadership Applicable during a Public Health Crisis.</w:t>
            </w:r>
            <w:r w:rsidRPr="0085752F">
              <w:rPr>
                <w:noProof/>
                <w:webHidden/>
                <w:lang w:val="en-GB"/>
              </w:rPr>
              <w:tab/>
            </w:r>
            <w:r w:rsidRPr="0085752F">
              <w:rPr>
                <w:noProof/>
                <w:webHidden/>
                <w:lang w:val="en-GB"/>
              </w:rPr>
              <w:fldChar w:fldCharType="begin"/>
            </w:r>
            <w:r w:rsidRPr="0085752F">
              <w:rPr>
                <w:noProof/>
                <w:webHidden/>
                <w:lang w:val="en-GB"/>
              </w:rPr>
              <w:instrText xml:space="preserve"> PAGEREF _Toc216555223 \h </w:instrText>
            </w:r>
            <w:r w:rsidRPr="0085752F">
              <w:rPr>
                <w:noProof/>
                <w:webHidden/>
                <w:lang w:val="en-GB"/>
              </w:rPr>
            </w:r>
            <w:r w:rsidRPr="0085752F">
              <w:rPr>
                <w:noProof/>
                <w:webHidden/>
                <w:lang w:val="en-GB"/>
              </w:rPr>
              <w:fldChar w:fldCharType="separate"/>
            </w:r>
            <w:r w:rsidRPr="0085752F">
              <w:rPr>
                <w:noProof/>
                <w:webHidden/>
                <w:lang w:val="en-GB"/>
              </w:rPr>
              <w:t>13</w:t>
            </w:r>
            <w:r w:rsidRPr="0085752F">
              <w:rPr>
                <w:noProof/>
                <w:webHidden/>
                <w:lang w:val="en-GB"/>
              </w:rPr>
              <w:fldChar w:fldCharType="end"/>
            </w:r>
          </w:hyperlink>
        </w:p>
        <w:p w14:paraId="45CAF593" w14:textId="3BD805FA" w:rsidR="00B771A6" w:rsidRPr="0085752F" w:rsidRDefault="00B771A6">
          <w:pPr>
            <w:pStyle w:val="TOC2"/>
            <w:tabs>
              <w:tab w:val="right" w:leader="dot" w:pos="9350"/>
            </w:tabs>
            <w:rPr>
              <w:rFonts w:eastAsiaTheme="minorEastAsia"/>
              <w:noProof/>
              <w:kern w:val="2"/>
              <w:sz w:val="24"/>
              <w:szCs w:val="24"/>
              <w:lang w:val="en-GB"/>
              <w14:ligatures w14:val="standardContextual"/>
            </w:rPr>
          </w:pPr>
          <w:hyperlink w:anchor="_Toc216555224" w:history="1">
            <w:r w:rsidRPr="0085752F">
              <w:rPr>
                <w:rStyle w:val="Hyperlink"/>
                <w:rFonts w:ascii="Arial" w:hAnsi="Arial" w:cs="Arial"/>
                <w:noProof/>
                <w:lang w:val="en-GB"/>
              </w:rPr>
              <w:t>3.2 Spanish Leadership Styles: Political Frailty and the Contest of Coherent Power.</w:t>
            </w:r>
            <w:r w:rsidRPr="0085752F">
              <w:rPr>
                <w:noProof/>
                <w:webHidden/>
                <w:lang w:val="en-GB"/>
              </w:rPr>
              <w:tab/>
            </w:r>
            <w:r w:rsidRPr="0085752F">
              <w:rPr>
                <w:noProof/>
                <w:webHidden/>
                <w:lang w:val="en-GB"/>
              </w:rPr>
              <w:fldChar w:fldCharType="begin"/>
            </w:r>
            <w:r w:rsidRPr="0085752F">
              <w:rPr>
                <w:noProof/>
                <w:webHidden/>
                <w:lang w:val="en-GB"/>
              </w:rPr>
              <w:instrText xml:space="preserve"> PAGEREF _Toc216555224 \h </w:instrText>
            </w:r>
            <w:r w:rsidRPr="0085752F">
              <w:rPr>
                <w:noProof/>
                <w:webHidden/>
                <w:lang w:val="en-GB"/>
              </w:rPr>
            </w:r>
            <w:r w:rsidRPr="0085752F">
              <w:rPr>
                <w:noProof/>
                <w:webHidden/>
                <w:lang w:val="en-GB"/>
              </w:rPr>
              <w:fldChar w:fldCharType="separate"/>
            </w:r>
            <w:r w:rsidRPr="0085752F">
              <w:rPr>
                <w:noProof/>
                <w:webHidden/>
                <w:lang w:val="en-GB"/>
              </w:rPr>
              <w:t>14</w:t>
            </w:r>
            <w:r w:rsidRPr="0085752F">
              <w:rPr>
                <w:noProof/>
                <w:webHidden/>
                <w:lang w:val="en-GB"/>
              </w:rPr>
              <w:fldChar w:fldCharType="end"/>
            </w:r>
          </w:hyperlink>
        </w:p>
        <w:p w14:paraId="163BE4A4" w14:textId="28BF54E0" w:rsidR="00B771A6" w:rsidRPr="0085752F" w:rsidRDefault="00B771A6">
          <w:pPr>
            <w:pStyle w:val="TOC2"/>
            <w:tabs>
              <w:tab w:val="right" w:leader="dot" w:pos="9350"/>
            </w:tabs>
            <w:rPr>
              <w:rFonts w:eastAsiaTheme="minorEastAsia"/>
              <w:noProof/>
              <w:kern w:val="2"/>
              <w:sz w:val="24"/>
              <w:szCs w:val="24"/>
              <w:lang w:val="en-GB"/>
              <w14:ligatures w14:val="standardContextual"/>
            </w:rPr>
          </w:pPr>
          <w:hyperlink w:anchor="_Toc216555225" w:history="1">
            <w:r w:rsidRPr="0085752F">
              <w:rPr>
                <w:rStyle w:val="Hyperlink"/>
                <w:rFonts w:ascii="Arial" w:hAnsi="Arial" w:cs="Arial"/>
                <w:noProof/>
                <w:lang w:val="en-GB"/>
              </w:rPr>
              <w:t>3.3 South Korean Leadership Style: Technocratic Effectiveness, Transparency and Trust by the Citizens.</w:t>
            </w:r>
            <w:r w:rsidRPr="0085752F">
              <w:rPr>
                <w:noProof/>
                <w:webHidden/>
                <w:lang w:val="en-GB"/>
              </w:rPr>
              <w:tab/>
            </w:r>
            <w:r w:rsidRPr="0085752F">
              <w:rPr>
                <w:noProof/>
                <w:webHidden/>
                <w:lang w:val="en-GB"/>
              </w:rPr>
              <w:fldChar w:fldCharType="begin"/>
            </w:r>
            <w:r w:rsidRPr="0085752F">
              <w:rPr>
                <w:noProof/>
                <w:webHidden/>
                <w:lang w:val="en-GB"/>
              </w:rPr>
              <w:instrText xml:space="preserve"> PAGEREF _Toc216555225 \h </w:instrText>
            </w:r>
            <w:r w:rsidRPr="0085752F">
              <w:rPr>
                <w:noProof/>
                <w:webHidden/>
                <w:lang w:val="en-GB"/>
              </w:rPr>
            </w:r>
            <w:r w:rsidRPr="0085752F">
              <w:rPr>
                <w:noProof/>
                <w:webHidden/>
                <w:lang w:val="en-GB"/>
              </w:rPr>
              <w:fldChar w:fldCharType="separate"/>
            </w:r>
            <w:r w:rsidRPr="0085752F">
              <w:rPr>
                <w:noProof/>
                <w:webHidden/>
                <w:lang w:val="en-GB"/>
              </w:rPr>
              <w:t>15</w:t>
            </w:r>
            <w:r w:rsidRPr="0085752F">
              <w:rPr>
                <w:noProof/>
                <w:webHidden/>
                <w:lang w:val="en-GB"/>
              </w:rPr>
              <w:fldChar w:fldCharType="end"/>
            </w:r>
          </w:hyperlink>
        </w:p>
        <w:p w14:paraId="12BF320F" w14:textId="4A3EE095" w:rsidR="00B771A6" w:rsidRPr="0085752F" w:rsidRDefault="00B771A6">
          <w:pPr>
            <w:pStyle w:val="TOC2"/>
            <w:tabs>
              <w:tab w:val="right" w:leader="dot" w:pos="9350"/>
            </w:tabs>
            <w:rPr>
              <w:rFonts w:eastAsiaTheme="minorEastAsia"/>
              <w:noProof/>
              <w:kern w:val="2"/>
              <w:sz w:val="24"/>
              <w:szCs w:val="24"/>
              <w:lang w:val="en-GB"/>
              <w14:ligatures w14:val="standardContextual"/>
            </w:rPr>
          </w:pPr>
          <w:hyperlink w:anchor="_Toc216555226" w:history="1">
            <w:r w:rsidRPr="0085752F">
              <w:rPr>
                <w:rStyle w:val="Hyperlink"/>
                <w:rFonts w:ascii="Arial" w:hAnsi="Arial" w:cs="Arial"/>
                <w:noProof/>
                <w:lang w:val="en-GB"/>
              </w:rPr>
              <w:t>3.4 Leadership Style in Canada: empathetic Communication through Jurisdictional Complexity.</w:t>
            </w:r>
            <w:r w:rsidRPr="0085752F">
              <w:rPr>
                <w:noProof/>
                <w:webHidden/>
                <w:lang w:val="en-GB"/>
              </w:rPr>
              <w:tab/>
            </w:r>
            <w:r w:rsidRPr="0085752F">
              <w:rPr>
                <w:noProof/>
                <w:webHidden/>
                <w:lang w:val="en-GB"/>
              </w:rPr>
              <w:fldChar w:fldCharType="begin"/>
            </w:r>
            <w:r w:rsidRPr="0085752F">
              <w:rPr>
                <w:noProof/>
                <w:webHidden/>
                <w:lang w:val="en-GB"/>
              </w:rPr>
              <w:instrText xml:space="preserve"> PAGEREF _Toc216555226 \h </w:instrText>
            </w:r>
            <w:r w:rsidRPr="0085752F">
              <w:rPr>
                <w:noProof/>
                <w:webHidden/>
                <w:lang w:val="en-GB"/>
              </w:rPr>
            </w:r>
            <w:r w:rsidRPr="0085752F">
              <w:rPr>
                <w:noProof/>
                <w:webHidden/>
                <w:lang w:val="en-GB"/>
              </w:rPr>
              <w:fldChar w:fldCharType="separate"/>
            </w:r>
            <w:r w:rsidRPr="0085752F">
              <w:rPr>
                <w:noProof/>
                <w:webHidden/>
                <w:lang w:val="en-GB"/>
              </w:rPr>
              <w:t>16</w:t>
            </w:r>
            <w:r w:rsidRPr="0085752F">
              <w:rPr>
                <w:noProof/>
                <w:webHidden/>
                <w:lang w:val="en-GB"/>
              </w:rPr>
              <w:fldChar w:fldCharType="end"/>
            </w:r>
          </w:hyperlink>
        </w:p>
        <w:p w14:paraId="4BF0320E" w14:textId="07F1E2EC" w:rsidR="00B771A6" w:rsidRPr="0085752F" w:rsidRDefault="00B771A6">
          <w:pPr>
            <w:pStyle w:val="TOC2"/>
            <w:tabs>
              <w:tab w:val="right" w:leader="dot" w:pos="9350"/>
            </w:tabs>
            <w:rPr>
              <w:rFonts w:eastAsiaTheme="minorEastAsia"/>
              <w:noProof/>
              <w:kern w:val="2"/>
              <w:sz w:val="24"/>
              <w:szCs w:val="24"/>
              <w:lang w:val="en-GB"/>
              <w14:ligatures w14:val="standardContextual"/>
            </w:rPr>
          </w:pPr>
          <w:hyperlink w:anchor="_Toc216555227" w:history="1">
            <w:r w:rsidRPr="0085752F">
              <w:rPr>
                <w:rStyle w:val="Hyperlink"/>
                <w:rFonts w:ascii="Arial" w:hAnsi="Arial" w:cs="Arial"/>
                <w:noProof/>
                <w:lang w:val="en-GB"/>
              </w:rPr>
              <w:t>3.5 Comparative Analysis Leadership Approaches: Structure, Style, and Synergy.</w:t>
            </w:r>
            <w:r w:rsidRPr="0085752F">
              <w:rPr>
                <w:noProof/>
                <w:webHidden/>
                <w:lang w:val="en-GB"/>
              </w:rPr>
              <w:tab/>
            </w:r>
            <w:r w:rsidRPr="0085752F">
              <w:rPr>
                <w:noProof/>
                <w:webHidden/>
                <w:lang w:val="en-GB"/>
              </w:rPr>
              <w:fldChar w:fldCharType="begin"/>
            </w:r>
            <w:r w:rsidRPr="0085752F">
              <w:rPr>
                <w:noProof/>
                <w:webHidden/>
                <w:lang w:val="en-GB"/>
              </w:rPr>
              <w:instrText xml:space="preserve"> PAGEREF _Toc216555227 \h </w:instrText>
            </w:r>
            <w:r w:rsidRPr="0085752F">
              <w:rPr>
                <w:noProof/>
                <w:webHidden/>
                <w:lang w:val="en-GB"/>
              </w:rPr>
            </w:r>
            <w:r w:rsidRPr="0085752F">
              <w:rPr>
                <w:noProof/>
                <w:webHidden/>
                <w:lang w:val="en-GB"/>
              </w:rPr>
              <w:fldChar w:fldCharType="separate"/>
            </w:r>
            <w:r w:rsidRPr="0085752F">
              <w:rPr>
                <w:noProof/>
                <w:webHidden/>
                <w:lang w:val="en-GB"/>
              </w:rPr>
              <w:t>16</w:t>
            </w:r>
            <w:r w:rsidRPr="0085752F">
              <w:rPr>
                <w:noProof/>
                <w:webHidden/>
                <w:lang w:val="en-GB"/>
              </w:rPr>
              <w:fldChar w:fldCharType="end"/>
            </w:r>
          </w:hyperlink>
        </w:p>
        <w:p w14:paraId="58BD1D4C" w14:textId="0DC6FD6E" w:rsidR="00B771A6" w:rsidRPr="0085752F" w:rsidRDefault="00B771A6">
          <w:pPr>
            <w:pStyle w:val="TOC1"/>
            <w:tabs>
              <w:tab w:val="right" w:leader="dot" w:pos="9350"/>
            </w:tabs>
            <w:rPr>
              <w:rFonts w:eastAsiaTheme="minorEastAsia"/>
              <w:noProof/>
              <w:kern w:val="2"/>
              <w:sz w:val="24"/>
              <w:szCs w:val="24"/>
              <w:lang w:val="en-GB"/>
              <w14:ligatures w14:val="standardContextual"/>
            </w:rPr>
          </w:pPr>
          <w:hyperlink w:anchor="_Toc216555228" w:history="1">
            <w:r w:rsidRPr="0085752F">
              <w:rPr>
                <w:rStyle w:val="Hyperlink"/>
                <w:rFonts w:ascii="Arial" w:hAnsi="Arial" w:cs="Arial"/>
                <w:noProof/>
                <w:lang w:val="en-GB"/>
              </w:rPr>
              <w:t>4. Conclusion</w:t>
            </w:r>
            <w:r w:rsidRPr="0085752F">
              <w:rPr>
                <w:noProof/>
                <w:webHidden/>
                <w:lang w:val="en-GB"/>
              </w:rPr>
              <w:tab/>
            </w:r>
            <w:r w:rsidRPr="0085752F">
              <w:rPr>
                <w:noProof/>
                <w:webHidden/>
                <w:lang w:val="en-GB"/>
              </w:rPr>
              <w:fldChar w:fldCharType="begin"/>
            </w:r>
            <w:r w:rsidRPr="0085752F">
              <w:rPr>
                <w:noProof/>
                <w:webHidden/>
                <w:lang w:val="en-GB"/>
              </w:rPr>
              <w:instrText xml:space="preserve"> PAGEREF _Toc216555228 \h </w:instrText>
            </w:r>
            <w:r w:rsidRPr="0085752F">
              <w:rPr>
                <w:noProof/>
                <w:webHidden/>
                <w:lang w:val="en-GB"/>
              </w:rPr>
            </w:r>
            <w:r w:rsidRPr="0085752F">
              <w:rPr>
                <w:noProof/>
                <w:webHidden/>
                <w:lang w:val="en-GB"/>
              </w:rPr>
              <w:fldChar w:fldCharType="separate"/>
            </w:r>
            <w:r w:rsidRPr="0085752F">
              <w:rPr>
                <w:noProof/>
                <w:webHidden/>
                <w:lang w:val="en-GB"/>
              </w:rPr>
              <w:t>20</w:t>
            </w:r>
            <w:r w:rsidRPr="0085752F">
              <w:rPr>
                <w:noProof/>
                <w:webHidden/>
                <w:lang w:val="en-GB"/>
              </w:rPr>
              <w:fldChar w:fldCharType="end"/>
            </w:r>
          </w:hyperlink>
        </w:p>
        <w:p w14:paraId="74A8EB94" w14:textId="6A19E11F" w:rsidR="00B31A7D" w:rsidRPr="0085752F" w:rsidRDefault="00B31A7D" w:rsidP="00B31A7D">
          <w:pPr>
            <w:spacing w:before="240" w:after="240" w:line="360" w:lineRule="auto"/>
            <w:jc w:val="both"/>
            <w:rPr>
              <w:rFonts w:ascii="Arial" w:hAnsi="Arial" w:cs="Arial"/>
              <w:lang w:val="en-GB"/>
            </w:rPr>
          </w:pPr>
          <w:r w:rsidRPr="0085752F">
            <w:rPr>
              <w:rFonts w:ascii="Arial" w:hAnsi="Arial" w:cs="Arial"/>
              <w:b/>
              <w:bCs/>
              <w:noProof/>
              <w:lang w:val="en-GB"/>
            </w:rPr>
            <w:fldChar w:fldCharType="end"/>
          </w:r>
        </w:p>
      </w:sdtContent>
    </w:sdt>
    <w:p w14:paraId="173B011C" w14:textId="77777777" w:rsidR="00B31A7D" w:rsidRPr="0085752F" w:rsidRDefault="00B31A7D" w:rsidP="00B31A7D">
      <w:pPr>
        <w:spacing w:before="240" w:after="240" w:line="360" w:lineRule="auto"/>
        <w:jc w:val="both"/>
        <w:rPr>
          <w:rFonts w:ascii="Arial" w:hAnsi="Arial" w:cs="Arial"/>
          <w:b/>
          <w:bCs/>
          <w:lang w:val="en-GB"/>
        </w:rPr>
      </w:pPr>
      <w:r w:rsidRPr="0085752F">
        <w:rPr>
          <w:rFonts w:ascii="Arial" w:hAnsi="Arial" w:cs="Arial"/>
          <w:b/>
          <w:bCs/>
          <w:lang w:val="en-GB"/>
        </w:rPr>
        <w:br w:type="page"/>
      </w:r>
    </w:p>
    <w:p w14:paraId="5F9B609A" w14:textId="5AFFDADB" w:rsidR="00E775A8" w:rsidRPr="0085752F" w:rsidRDefault="00E775A8" w:rsidP="00E775A8">
      <w:pPr>
        <w:pStyle w:val="Heading1"/>
        <w:rPr>
          <w:rFonts w:ascii="Arial" w:hAnsi="Arial" w:cs="Arial"/>
          <w:sz w:val="22"/>
          <w:szCs w:val="22"/>
        </w:rPr>
      </w:pPr>
      <w:bookmarkStart w:id="1" w:name="_Toc216555215"/>
      <w:r w:rsidRPr="0085752F">
        <w:rPr>
          <w:rFonts w:ascii="Arial" w:hAnsi="Arial" w:cs="Arial"/>
          <w:sz w:val="22"/>
          <w:szCs w:val="22"/>
        </w:rPr>
        <w:t>1. Introduction</w:t>
      </w:r>
      <w:bookmarkEnd w:id="1"/>
      <w:r w:rsidRPr="0085752F">
        <w:rPr>
          <w:rFonts w:ascii="Arial" w:hAnsi="Arial" w:cs="Arial"/>
          <w:sz w:val="22"/>
          <w:szCs w:val="22"/>
        </w:rPr>
        <w:t xml:space="preserve">  </w:t>
      </w:r>
    </w:p>
    <w:p w14:paraId="66D5E682"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The COVID-19 pandemic presented a unique challenge to the health-care systems all over the world, revealing the vulnerabilities of health-care systems in terms of their structure, management, and leadership. Such a quickly changing public-health crisis demanded a combination of adequate clinical capacity, but also effective organisation, coordination, and leadership both on a national and sub-national level (Capano et al., 2020; Haldane et al., 2021). Decision-making powers and leadership styles of the governments were a pivotal factor in determining the success of the responses to this pandemic.  </w:t>
      </w:r>
    </w:p>
    <w:p w14:paraId="36F8FF04"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This report deals with Spain, South Korea, and Canada, which have different health-care governance systems and leadership practices. Spain has a highly decentralised health-care system, with a high level of regional authority; South Korea has a highly coordinated and centralised model of a public-health response; and Canada has a federal model with provincial governments being the main health-care providers (Royo, 2020; Kim et al., 2021; Allin et al., 2021). Such institutional variations give a strong basis of comparative analysis.  </w:t>
      </w:r>
    </w:p>
    <w:p w14:paraId="095C049D"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Centralisation means the decision-making process is centralised at the national level, which leads to the uniformity of the policies and quick coordination; meanwhile, decentralisation gives the authority to the regional or provincial governments, which means it is more flexible and responsive to the needs of the locals (Carter and May, 2020). During a public-health crisis, leadership is especially essential because it defines communication tactics, trust in the government, adherence to actions, and coordination of the actions of actors within the system in the uncertain conditions (Sanders et al., 2021). In this regard therefore, this report reviews the responses of health-care organisations and governance in the first part, then considers the styles of leadership in each nation, and finally provides comparative conclusions.</w:t>
      </w:r>
    </w:p>
    <w:p w14:paraId="2A29AB71" w14:textId="77777777" w:rsidR="00E775A8" w:rsidRPr="0085752F" w:rsidRDefault="00E775A8" w:rsidP="00E775A8">
      <w:pPr>
        <w:pStyle w:val="Heading1"/>
        <w:rPr>
          <w:rFonts w:ascii="Arial" w:hAnsi="Arial" w:cs="Arial"/>
          <w:sz w:val="22"/>
          <w:szCs w:val="22"/>
        </w:rPr>
      </w:pPr>
      <w:bookmarkStart w:id="2" w:name="_Toc216555216"/>
      <w:r w:rsidRPr="0085752F">
        <w:rPr>
          <w:rFonts w:ascii="Arial" w:hAnsi="Arial" w:cs="Arial"/>
          <w:sz w:val="22"/>
          <w:szCs w:val="22"/>
        </w:rPr>
        <w:t>2 Centralised and Decentralised Health-Care System Reactions to the COVID-19 Pandemic.</w:t>
      </w:r>
      <w:bookmarkEnd w:id="2"/>
      <w:r w:rsidRPr="0085752F">
        <w:rPr>
          <w:rFonts w:ascii="Arial" w:hAnsi="Arial" w:cs="Arial"/>
          <w:sz w:val="22"/>
          <w:szCs w:val="22"/>
        </w:rPr>
        <w:t xml:space="preserve">  </w:t>
      </w:r>
    </w:p>
    <w:p w14:paraId="1BA2CE91" w14:textId="77777777" w:rsidR="00E775A8" w:rsidRPr="0085752F" w:rsidRDefault="00E775A8" w:rsidP="00E775A8">
      <w:pPr>
        <w:pStyle w:val="Heading2"/>
        <w:rPr>
          <w:rFonts w:ascii="Arial" w:hAnsi="Arial" w:cs="Arial"/>
          <w:sz w:val="22"/>
          <w:szCs w:val="22"/>
        </w:rPr>
      </w:pPr>
      <w:bookmarkStart w:id="3" w:name="_Toc216555217"/>
      <w:r w:rsidRPr="0085752F">
        <w:rPr>
          <w:rFonts w:ascii="Arial" w:hAnsi="Arial" w:cs="Arial"/>
          <w:sz w:val="22"/>
          <w:szCs w:val="22"/>
        </w:rPr>
        <w:t>2.1 In this paper, we will briefly overview health systems and pandemic governance.</w:t>
      </w:r>
      <w:bookmarkEnd w:id="3"/>
      <w:r w:rsidRPr="0085752F">
        <w:rPr>
          <w:rFonts w:ascii="Arial" w:hAnsi="Arial" w:cs="Arial"/>
          <w:sz w:val="22"/>
          <w:szCs w:val="22"/>
        </w:rPr>
        <w:t xml:space="preserve">  </w:t>
      </w:r>
    </w:p>
    <w:p w14:paraId="4FDB5336"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The nature of the response of the countries to COVID-19 was predetermined by the health-system structure and decentralization between the national and sub-national tiers. Centralised systems are better placed to generate standardised rules, simplify purchasing, and align national surveillance and communication; on the other hand, decentralised systems are better able to respond to local circumstances and capitalise on local knowledge and ability (Carroll, 2023; Smith et al., 2022). Practically, both models do not ensure success. Centralisation can lead to bottlenecks and one-size-fits-all solutions that can be sluggish to respond to local divergent conditions, whereas decentralisation can cut up policy, produce inconsistent public communications, and cause inequitable access to resources across regions (Head, 2022; Peters et al., 2011).  </w:t>
      </w:r>
    </w:p>
    <w:p w14:paraId="2C1423D9"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Governments in the pandemic were presented with a shared menu of operation: testing, tracing, isolation, social restrictions, hospital surge management, and vaccination, although the locus of decision-making predetermined the speed, clarity, and the level of coordination. The existing institutional capacity, legal frameworks of emergency powers and the quality of intergovernmental channels proved decisive as well: nations with strong central agencies or well-organized coordination mechanisms were able to marshal coherent responses faster than those without these arrangements (Capano et al., 2020; OECD, 2022). Notably, the mediation of structural advantages and subsequent public compliance and health outcomes via leadership and trust was observed; even the best-designed systems may not perform as expected when there is no direction provided by the leadership and no consistent communication (Sanders et al., 2021).</w:t>
      </w:r>
    </w:p>
    <w:p w14:paraId="627C92F4" w14:textId="77777777" w:rsidR="00E878A0" w:rsidRPr="0085752F" w:rsidRDefault="00E878A0" w:rsidP="00E878A0">
      <w:pPr>
        <w:spacing w:before="240" w:after="240" w:line="360" w:lineRule="auto"/>
        <w:jc w:val="both"/>
        <w:rPr>
          <w:rFonts w:ascii="Arial" w:hAnsi="Arial" w:cs="Arial"/>
          <w:lang w:val="en-GB"/>
        </w:rPr>
      </w:pPr>
      <w:r w:rsidRPr="0085752F">
        <w:rPr>
          <w:rFonts w:ascii="Arial" w:hAnsi="Arial" w:cs="Arial"/>
          <w:lang w:val="en-GB"/>
        </w:rPr>
        <w:t>An additional factor shaping pandemic governance was the role of policy learning and institutional memory in enabling rapid and coordinated responses. Countries that had previously experienced major infectious disease outbreaks were better positioned to activate emergency frameworks and mobilise resources efficiently. Prior exposure to health crises encouraged the development of legal provisions for emergency powers, pre-approved response protocols, and data-sharing mechanisms that could be quickly deployed during COVID-19. In contrast, systems that relied primarily on routine administrative processes struggled to transition into crisis mode, particularly where authority was dispersed across multiple levels of government (Capano et al., 2020; OECD, 2022).</w:t>
      </w:r>
    </w:p>
    <w:p w14:paraId="601E8F14" w14:textId="77777777" w:rsidR="00E878A0" w:rsidRPr="0085752F" w:rsidRDefault="00E878A0" w:rsidP="00E878A0">
      <w:pPr>
        <w:spacing w:before="240" w:after="240" w:line="360" w:lineRule="auto"/>
        <w:jc w:val="both"/>
        <w:rPr>
          <w:rFonts w:ascii="Arial" w:hAnsi="Arial" w:cs="Arial"/>
          <w:lang w:val="en-GB"/>
        </w:rPr>
      </w:pPr>
      <w:r w:rsidRPr="0085752F">
        <w:rPr>
          <w:rFonts w:ascii="Arial" w:hAnsi="Arial" w:cs="Arial"/>
          <w:lang w:val="en-GB"/>
        </w:rPr>
        <w:t>Digital infrastructure also emerged as a critical governance enabler. Integrated surveillance systems, interoperable health data platforms, and real-time reporting enhanced governments’ ability to monitor outbreaks, allocate resources, and communicate risks to the public. Centralised digital systems supported national situational awareness, while decentralised implementation allowed local health authorities to act on timely information. However, fragmented data governance limited the effectiveness of decentralised systems, as inconsistent reporting standards and delays reduced the reliability of national decision-making (Smith et al., 2022; WHO Europe, 2022).</w:t>
      </w:r>
    </w:p>
    <w:p w14:paraId="0F63D673" w14:textId="77777777" w:rsidR="00E878A0" w:rsidRPr="0085752F" w:rsidRDefault="00E878A0" w:rsidP="00E878A0">
      <w:pPr>
        <w:spacing w:before="240" w:after="240" w:line="360" w:lineRule="auto"/>
        <w:jc w:val="both"/>
        <w:rPr>
          <w:rFonts w:ascii="Arial" w:hAnsi="Arial" w:cs="Arial"/>
          <w:lang w:val="en-GB"/>
        </w:rPr>
      </w:pPr>
      <w:r w:rsidRPr="0085752F">
        <w:rPr>
          <w:rFonts w:ascii="Arial" w:hAnsi="Arial" w:cs="Arial"/>
          <w:lang w:val="en-GB"/>
        </w:rPr>
        <w:t>Finally, governance effectiveness was closely linked to policy coherence across sectors. Pandemic responses extended beyond healthcare to include border control, economic support, education, and labour policies. Where governance structures facilitated cross-sector coordination, responses were more coherent and socially sustainable. Conversely, weak coordination across policy domains intensified trade-offs between public health protection and economic or social objectives, undermining compliance and trust. These dynamics highlight that pandemic governance is inherently multisectoral, requiring both vertical coordination between levels of government and horizontal integration across policy sectors to manage complex public health emergencies effectively (Head, 2022).</w:t>
      </w:r>
    </w:p>
    <w:p w14:paraId="3BD6CD68" w14:textId="11324801" w:rsidR="0028101F" w:rsidRPr="0085752F" w:rsidRDefault="0028101F" w:rsidP="0028101F">
      <w:pPr>
        <w:spacing w:before="240" w:after="240" w:line="360" w:lineRule="auto"/>
        <w:jc w:val="both"/>
        <w:rPr>
          <w:rFonts w:ascii="Arial" w:hAnsi="Arial" w:cs="Arial"/>
          <w:lang w:val="en-GB"/>
        </w:rPr>
      </w:pPr>
      <w:r w:rsidRPr="0085752F">
        <w:rPr>
          <w:rFonts w:ascii="Arial" w:hAnsi="Arial" w:cs="Arial"/>
          <w:noProof/>
          <w:lang w:val="en-GB"/>
        </w:rPr>
        <w:drawing>
          <wp:inline distT="0" distB="0" distL="0" distR="0" wp14:anchorId="606C7524" wp14:editId="21A9FBEC">
            <wp:extent cx="5943600" cy="5943600"/>
            <wp:effectExtent l="0" t="0" r="0" b="0"/>
            <wp:docPr id="188877340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5943600"/>
                    </a:xfrm>
                    <a:prstGeom prst="rect">
                      <a:avLst/>
                    </a:prstGeom>
                    <a:noFill/>
                    <a:ln>
                      <a:noFill/>
                    </a:ln>
                  </pic:spPr>
                </pic:pic>
              </a:graphicData>
            </a:graphic>
          </wp:inline>
        </w:drawing>
      </w:r>
    </w:p>
    <w:p w14:paraId="49C4011E" w14:textId="77777777" w:rsidR="00E775A8" w:rsidRPr="0085752F" w:rsidRDefault="00E775A8" w:rsidP="00E775A8">
      <w:pPr>
        <w:pStyle w:val="Heading2"/>
        <w:rPr>
          <w:rFonts w:ascii="Arial" w:hAnsi="Arial" w:cs="Arial"/>
          <w:sz w:val="22"/>
          <w:szCs w:val="22"/>
        </w:rPr>
      </w:pPr>
      <w:bookmarkStart w:id="4" w:name="_Toc216555218"/>
      <w:r w:rsidRPr="0085752F">
        <w:rPr>
          <w:rFonts w:ascii="Arial" w:hAnsi="Arial" w:cs="Arial"/>
          <w:sz w:val="22"/>
          <w:szCs w:val="22"/>
        </w:rPr>
        <w:t>2.2 Spain: Crisis and Push of Recententralisation Test Decentralisation.</w:t>
      </w:r>
      <w:bookmarkEnd w:id="4"/>
      <w:r w:rsidRPr="0085752F">
        <w:rPr>
          <w:rFonts w:ascii="Arial" w:hAnsi="Arial" w:cs="Arial"/>
          <w:sz w:val="22"/>
          <w:szCs w:val="22"/>
        </w:rPr>
        <w:t xml:space="preserve">  </w:t>
      </w:r>
    </w:p>
    <w:p w14:paraId="7F6BBCB4"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The health governance in Spain is based on a high degree of autonomy of the 17 autonomous communities, which historically allowed the regionally-specific services at the cost of generating disparity in preparedness and capacity (Royo, 2020). By early 2020, at the time of the outbreak of SARS-CoV-2, that devolved model demonstrated the weaknesses in coordination: surveillance, initial containment efforts, and the distribution of resources were not evenly distributed, creating significant regional differences in the detection of cases and hospital preparedness (Garcia-Basteiro et al., 2020). With the escalation of infections, Madrid and other high-burden areas were under acute pressure, and the national government declared a state of alarm in March 2020 and temporarily recentralised significant authorities, especially mobility restrictions and procurement, to introduce homogenous measures (Erkoreka, 2022).  </w:t>
      </w:r>
    </w:p>
    <w:p w14:paraId="6333394E"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The temporary centralisation was beneficial: it allowed to redistribute the limited supplies, established a unified national lockdown, and illuminated the elements of the crisis communication. However, the sudden change created intergovernmental tension as well. The leaders of the regions disagreed on the time and extent of actions, and political polarisation increased confusion among the citizens and weakened trust in certain constituencies (Sanchez-Bayon et al., 2022). The expense of cohesion latency being clear in the early high mortality in the first waves in Spain, but the subsequent centralised procurement and distribution of vaccines demonstrated the possible advantages of national coordination in conjunction with local delivery systems (European Commission, 2021). Thereby, the case of Spain indicates that high regional autonomy can hinder quick and coherent crisis response unless legal and operational frameworks of emergency coordination are well defined and agreed prior to its action.</w:t>
      </w:r>
    </w:p>
    <w:p w14:paraId="3F2A3F2D" w14:textId="77777777" w:rsidR="00E775A8" w:rsidRPr="0085752F" w:rsidRDefault="00E775A8" w:rsidP="00E775A8">
      <w:pPr>
        <w:pStyle w:val="Heading2"/>
        <w:rPr>
          <w:rFonts w:ascii="Arial" w:hAnsi="Arial" w:cs="Arial"/>
          <w:sz w:val="22"/>
          <w:szCs w:val="22"/>
        </w:rPr>
      </w:pPr>
      <w:bookmarkStart w:id="5" w:name="_Toc216555219"/>
      <w:r w:rsidRPr="0085752F">
        <w:rPr>
          <w:rFonts w:ascii="Arial" w:hAnsi="Arial" w:cs="Arial"/>
          <w:sz w:val="22"/>
          <w:szCs w:val="22"/>
        </w:rPr>
        <w:t>2.3 South Korea: Technocratic Governance and Centralised Agility.</w:t>
      </w:r>
      <w:bookmarkEnd w:id="5"/>
      <w:r w:rsidRPr="0085752F">
        <w:rPr>
          <w:rFonts w:ascii="Arial" w:hAnsi="Arial" w:cs="Arial"/>
          <w:sz w:val="22"/>
          <w:szCs w:val="22"/>
        </w:rPr>
        <w:t xml:space="preserve">  </w:t>
      </w:r>
    </w:p>
    <w:p w14:paraId="52C67305"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South Korea is an excellent example of how a strong central public-health machinery, institutional learning, and high-level technological integration can create quick and efficient responses. Korea strengthened national disease-control institutions and increased both legal and technical resources to manage the outbreaks after the 2015 MERS outbreak, thus making the Korea Disease Control and Prevention Agency (KDCA) the central figure in the monitoring, test-strategy, and public guidance (Kim et al., 2021; World Bank, 2023). In the case of COVID-19, that centralised apparatus made it possible to scale up testing, including new drive-through models, rigorous contact tracing, and targeted isolation interventions in a short period of time, decreasing the need to use blanket lockdowns that devastated economies (Jeong et al., 2020; Moradi et al., 2020).  </w:t>
      </w:r>
    </w:p>
    <w:p w14:paraId="22376035" w14:textId="77777777" w:rsidR="00E775A8" w:rsidRPr="0085752F" w:rsidRDefault="00E775A8" w:rsidP="00E775A8">
      <w:pPr>
        <w:spacing w:before="240" w:after="240" w:line="360" w:lineRule="auto"/>
        <w:jc w:val="both"/>
        <w:rPr>
          <w:rFonts w:ascii="Arial" w:hAnsi="Arial" w:cs="Arial"/>
          <w:lang w:val="en-GB"/>
        </w:rPr>
      </w:pPr>
    </w:p>
    <w:p w14:paraId="41729F7B" w14:textId="235DD104"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The data-driven model of South Korea, i.e., combining digital records, credit-card transactions, and mobile location logs, allowed reconstructing the cases almost in real-time and generate alerts locally. This technocratic accuracy was the basis of fast containment of clusters and effective communication to the population that, in its turn, maintained high obedience and credibility without resorting to coercion as the key element (Jeong et al., 2020). However, the model also elicited ethical and legal controversies about privacy, and civil liberties; its acceptability in society was situationally dependent on the perceived trade-off between personal privacy and the general safety, and opponents provided warnings of intrusive surveillance precedents (Lim and Sohn, 2023). Korea could not have succeeded operationally based on centralisation alone but it was a combination of institutional memory, investment in the capacity of government to provide health services and open and </w:t>
      </w:r>
      <w:r w:rsidR="0085752F" w:rsidRPr="0085752F">
        <w:rPr>
          <w:rFonts w:ascii="Arial" w:hAnsi="Arial" w:cs="Arial"/>
          <w:lang w:val="en-GB"/>
        </w:rPr>
        <w:t>evidence-based</w:t>
      </w:r>
      <w:r w:rsidRPr="0085752F">
        <w:rPr>
          <w:rFonts w:ascii="Arial" w:hAnsi="Arial" w:cs="Arial"/>
          <w:lang w:val="en-GB"/>
        </w:rPr>
        <w:t xml:space="preserve"> communication that matched state capability with expectations of society.  </w:t>
      </w:r>
    </w:p>
    <w:p w14:paraId="655CFD6F" w14:textId="77777777" w:rsidR="00E775A8" w:rsidRPr="0085752F" w:rsidRDefault="00E775A8" w:rsidP="00E775A8">
      <w:pPr>
        <w:pStyle w:val="Heading2"/>
        <w:rPr>
          <w:rFonts w:ascii="Arial" w:hAnsi="Arial" w:cs="Arial"/>
          <w:sz w:val="22"/>
          <w:szCs w:val="22"/>
        </w:rPr>
      </w:pPr>
      <w:bookmarkStart w:id="6" w:name="_Toc216555220"/>
      <w:r w:rsidRPr="0085752F">
        <w:rPr>
          <w:rFonts w:ascii="Arial" w:hAnsi="Arial" w:cs="Arial"/>
          <w:sz w:val="22"/>
          <w:szCs w:val="22"/>
        </w:rPr>
        <w:t>2.4 Canada: The Federalism and the Dilemma of Coordinated Decentralisation.</w:t>
      </w:r>
      <w:bookmarkEnd w:id="6"/>
      <w:r w:rsidRPr="0085752F">
        <w:rPr>
          <w:rFonts w:ascii="Arial" w:hAnsi="Arial" w:cs="Arial"/>
          <w:sz w:val="22"/>
          <w:szCs w:val="22"/>
        </w:rPr>
        <w:t xml:space="preserve">  </w:t>
      </w:r>
    </w:p>
    <w:p w14:paraId="3B737DAA"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The federal constitution of Canada vests primary health-care delivery responsibility in the provinces and territories and the federal government with complementary roles, namely, health-care funding, national regulation, border control, and procurement (Allin et al., 2021). The division created a mosaic reaction where provinces took different approaches in regards to restrictions, school policies and long-term care management. In others, such as the Atlantic provinces, cooperation and geographic benefits made exceptionally low transmission relatively easy—via the Atlantic Bubble and so on; policy timing and the capacity of the public-health system differed significantly, and this had a role in disparate outcomes (Bubela et al., 2023).  </w:t>
      </w:r>
    </w:p>
    <w:p w14:paraId="58A8C3A4"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At the national level, the Public Health Agency of Canada (PHAC) offered leadership and models and did not have the legal mandate to impose provincial measures on the case, which led to a federation of thirteen mini-responses but not a single approach (Public Health Agency of Canada, 2023). Federal centralization of vaccines acquisition has been effective in ensuring that the country got supplies but early rollout was not successful as some of their peers due to initial delays in supply-chain and logistical coordination (Government of Canada, 2023). In addition, uneven data reporting among provinces hindered the overall national situational awareness which made it difficult to make decisions and communicate with the population in time. The experience of Canada reflects the merits of decentralisation in form of local flexibility and customized response, as well as the traps in case of the poor or obscure coordination mechanisms and real-time sharing of intergovernmental data.  </w:t>
      </w:r>
    </w:p>
    <w:p w14:paraId="5D663F19" w14:textId="77777777" w:rsidR="00E775A8" w:rsidRPr="0085752F" w:rsidRDefault="00E775A8" w:rsidP="00E775A8">
      <w:pPr>
        <w:pStyle w:val="Heading2"/>
        <w:rPr>
          <w:rFonts w:ascii="Arial" w:hAnsi="Arial" w:cs="Arial"/>
          <w:sz w:val="22"/>
          <w:szCs w:val="22"/>
        </w:rPr>
      </w:pPr>
      <w:bookmarkStart w:id="7" w:name="_Toc216555221"/>
      <w:r w:rsidRPr="0085752F">
        <w:rPr>
          <w:rFonts w:ascii="Arial" w:hAnsi="Arial" w:cs="Arial"/>
          <w:sz w:val="22"/>
          <w:szCs w:val="22"/>
        </w:rPr>
        <w:t>2.5 Comparative Analysis and Synthesis: To Adaptive Governance.</w:t>
      </w:r>
      <w:bookmarkEnd w:id="7"/>
      <w:r w:rsidRPr="0085752F">
        <w:rPr>
          <w:rFonts w:ascii="Arial" w:hAnsi="Arial" w:cs="Arial"/>
          <w:sz w:val="22"/>
          <w:szCs w:val="22"/>
        </w:rPr>
        <w:t xml:space="preserve">  </w:t>
      </w:r>
    </w:p>
    <w:p w14:paraId="368F77BA"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The mere dichotomy between centralised and decentralised governance is not sufficient to understand the performance of the pandemic. Instead, a more predictive framework can be provided by three interacting factors, including institutional capacity and experience, the ability to restructure governance in real time, and the quality of intergovernmental relations and leadership (Smith et al., 2022; Capano et al., 2020). South Korea ranked high on the three dimensions: strong central institutions, previous learning of epidemics, and social trust, which made it possible to take the decisive and consistent measures. In Spain, they found that the lack of pre-planned crisis coordination during decentralisation may result in fragmentation and high early mortality, but that targeted recentralisation, especially of vaccines, later performance could be improved (Royo, 2020; Garcia-Basteiro et al., 2020). Federalism in Canada created situations where locally reasonable actions were effective but caused extensive variability of results when data integration and coordination were lacking (Allin et al., 2021; Bubela et al., 2023).  </w:t>
      </w:r>
    </w:p>
    <w:p w14:paraId="38F0E5A6"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Based on such instances, a robust model of pandemic governance can be developed as a hybrid between centralised strategic and decentralised operational strategies. On the strategic level, the national authorities must maintain explicit, well-endowed obligations to international procurement, redistributing across borders the meager resources, border policy, and national surveillance mechanisms. In the meantime, the primary responsibility of introducing and implementing interventions- testing sites, local restrictions, and community-based outreach should remain with the sub- national governments due to having the most in-depth knowledge of both local health-system capacity and social contexts (OECD, 2022; WHO Europe, 2022).  </w:t>
      </w:r>
    </w:p>
    <w:p w14:paraId="0CA6EB4C"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Most importantly, the hybrid model presupposes the existence of coordination mechanisms that are legally established: compulsory data-sharing protocols, dispute resolution forums, and joint decision-making platforms that can be mobilized as soon as possible. In places that have such mechanisms, temporary central directives may be implemented legitimately and expeditiously, whereas in those that do not, sudden recentralisation will be prone to political repercussions and disorientation (Erkoreka, 2022; Smith et al., 2022). The style of leadership is also a concern: open, evidence-based communications build trust that should lead to people following the system, and adaptive leadership, which encourages local innovation and fast learning, enhances the ability of the system to address changing threats (Laur et al., 2021; Sanders et al., 2021).  </w:t>
      </w:r>
    </w:p>
    <w:p w14:paraId="7A9D7BDA"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Lastly, governance decisions should be based on equity and ethical considerations. Fair distribution of vaccines in disparate geographical areas can be guaranteed by central procurement, but digital surveillance and intrusive contact-tracing measures require legal protections and social discussions to maintain civil liberties (Lim and Sohn, 2023; Haldane et al., 2021). The experience of Spain, South Korea and Canada indicates that the most sustainable strategy is one that is based on technical capacity and legal clarity, intergovernmental institutions that are strong and leadership that is both decisive and legitimate. Overall, the key to the successful management of the pandemic lies less in the choice between pure centralisation or decentralisation and more in the ability to design an adaptive trust-based system that is capable of gathering both central power and local expertise when it is required by the crisis (Sachs et al., 2022; OECD, 2022).</w:t>
      </w:r>
    </w:p>
    <w:p w14:paraId="6157ECB3" w14:textId="4588259A" w:rsidR="00D25242" w:rsidRPr="0085752F" w:rsidRDefault="00D25242" w:rsidP="00D25242">
      <w:pPr>
        <w:spacing w:before="240" w:after="240" w:line="360" w:lineRule="auto"/>
        <w:jc w:val="both"/>
        <w:rPr>
          <w:rFonts w:ascii="Arial" w:hAnsi="Arial" w:cs="Arial"/>
          <w:lang w:val="en-GB"/>
        </w:rPr>
      </w:pPr>
      <w:r w:rsidRPr="0085752F">
        <w:rPr>
          <w:rFonts w:ascii="Arial" w:hAnsi="Arial" w:cs="Arial"/>
          <w:lang w:val="en-GB"/>
        </w:rPr>
        <w:t xml:space="preserve">Beyond governance structures, pandemic outcomes were also shaped by differences in health system performance, surge capacity, and the ability to sustain essential services during prolonged stress. South Korea’s system demonstrated high resilience, with rapid scaling of testing, effective hospital surge management, and continuity of non-COVID healthcare services. Strong central coordination limited system overload and reduced indirect health harms. In contrast, Spain experienced severe strain during early waves, particularly in hospital and intensive care capacity, reflecting delayed coordination and fragmented preparedness across regions. Canada’s experience was mixed: some </w:t>
      </w:r>
      <w:r w:rsidR="00971075" w:rsidRPr="0085752F">
        <w:rPr>
          <w:rFonts w:ascii="Arial" w:hAnsi="Arial" w:cs="Arial"/>
          <w:lang w:val="en-GB"/>
        </w:rPr>
        <w:t>provinces-maintained</w:t>
      </w:r>
      <w:r w:rsidRPr="0085752F">
        <w:rPr>
          <w:rFonts w:ascii="Arial" w:hAnsi="Arial" w:cs="Arial"/>
          <w:lang w:val="en-GB"/>
        </w:rPr>
        <w:t xml:space="preserve"> system stability, while others faced recurring hospital pressures and service backlogs, highlighting uneven capacity across jurisdictions (Haldane et al., 2021; Sagan et al., 2021).</w:t>
      </w:r>
      <w:r w:rsidR="0085752F">
        <w:rPr>
          <w:rFonts w:ascii="Arial" w:hAnsi="Arial" w:cs="Arial"/>
          <w:lang w:val="en-GB"/>
        </w:rPr>
        <w:t xml:space="preserve"> </w:t>
      </w:r>
    </w:p>
    <w:p w14:paraId="0520783B" w14:textId="77777777" w:rsidR="00D25242" w:rsidRPr="0085752F" w:rsidRDefault="00D25242" w:rsidP="00D25242">
      <w:pPr>
        <w:spacing w:before="240" w:after="240" w:line="360" w:lineRule="auto"/>
        <w:jc w:val="both"/>
        <w:rPr>
          <w:rFonts w:ascii="Arial" w:hAnsi="Arial" w:cs="Arial"/>
          <w:lang w:val="en-GB"/>
        </w:rPr>
      </w:pPr>
      <w:r w:rsidRPr="0085752F">
        <w:rPr>
          <w:rFonts w:ascii="Arial" w:hAnsi="Arial" w:cs="Arial"/>
          <w:lang w:val="en-GB"/>
        </w:rPr>
        <w:t>Social capital and public compliance further mediated the effectiveness of governance arrangements. High levels of institutional trust and social cohesion in South Korea supported voluntary compliance with public health measures, reducing reliance on coercive enforcement. Clear, consistent messaging reinforced collective responsibility and sustained adherence over time. Spain and Canada, however, encountered greater public fatigue and resistance, particularly where messaging diverged across levels of government or appeared politically contested. In decentralised systems, inconsistent rules across regions weakened public understanding and reduced compliance, even when measures were scientifically justified (Aldrich and Meyer, 2015; Moon, 2020).</w:t>
      </w:r>
    </w:p>
    <w:p w14:paraId="49B123CF" w14:textId="77777777" w:rsidR="00D25242" w:rsidRPr="0085752F" w:rsidRDefault="00D25242" w:rsidP="00D25242">
      <w:pPr>
        <w:spacing w:before="240" w:after="240" w:line="360" w:lineRule="auto"/>
        <w:jc w:val="both"/>
        <w:rPr>
          <w:rFonts w:ascii="Arial" w:hAnsi="Arial" w:cs="Arial"/>
          <w:lang w:val="en-GB"/>
        </w:rPr>
      </w:pPr>
      <w:r w:rsidRPr="0085752F">
        <w:rPr>
          <w:rFonts w:ascii="Arial" w:hAnsi="Arial" w:cs="Arial"/>
          <w:lang w:val="en-GB"/>
        </w:rPr>
        <w:t>These findings suggest that adaptive pandemic governance requires more than formal institutional design. Effective responses depend on the interaction between structural coordination, system capacity, and societal trust. Central authority can enhance equity and efficiency, but without public legitimacy and social cooperation, its effectiveness is limited. Conversely, decentralised flexibility must be supported by robust coordination mechanisms to avoid fragmentation. Together, these elements underscore the importance of embedding governance structures within broader social and institutional contexts to strengthen resilience during public health emergencies (OECD, 2022; Smith et al., 2022).</w:t>
      </w:r>
    </w:p>
    <w:p w14:paraId="330B8245" w14:textId="3C46DC40" w:rsidR="00E86602" w:rsidRPr="0085752F" w:rsidRDefault="00E86602" w:rsidP="0028101F">
      <w:pPr>
        <w:spacing w:before="240" w:after="240" w:line="360" w:lineRule="auto"/>
        <w:jc w:val="center"/>
        <w:rPr>
          <w:rFonts w:ascii="Arial" w:hAnsi="Arial" w:cs="Arial"/>
          <w:lang w:val="en-GB"/>
        </w:rPr>
      </w:pPr>
      <w:r w:rsidRPr="0085752F">
        <w:rPr>
          <w:rFonts w:ascii="Arial" w:hAnsi="Arial" w:cs="Arial"/>
          <w:noProof/>
          <w:lang w:val="en-GB"/>
          <w14:ligatures w14:val="standardContextual"/>
        </w:rPr>
        <w:drawing>
          <wp:inline distT="0" distB="0" distL="0" distR="0" wp14:anchorId="057C5C1E" wp14:editId="5AAD2DDC">
            <wp:extent cx="5486400" cy="3200400"/>
            <wp:effectExtent l="0" t="0" r="0" b="0"/>
            <wp:docPr id="108238988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C9058D1" w14:textId="4EF2E806" w:rsidR="0028101F" w:rsidRPr="0085752F" w:rsidRDefault="0028101F" w:rsidP="0028101F">
      <w:pPr>
        <w:spacing w:line="278" w:lineRule="auto"/>
        <w:jc w:val="center"/>
        <w:rPr>
          <w:rFonts w:ascii="Arial" w:eastAsiaTheme="majorEastAsia" w:hAnsi="Arial" w:cs="Arial"/>
          <w:b/>
          <w:color w:val="000000" w:themeColor="text1"/>
          <w:lang w:val="en-GB"/>
        </w:rPr>
      </w:pPr>
      <w:r w:rsidRPr="0085752F">
        <w:rPr>
          <w:rFonts w:ascii="Arial" w:eastAsiaTheme="majorEastAsia" w:hAnsi="Arial" w:cs="Arial"/>
          <w:b/>
          <w:noProof/>
          <w:color w:val="000000" w:themeColor="text1"/>
          <w:lang w:val="en-GB"/>
        </w:rPr>
        <w:drawing>
          <wp:inline distT="0" distB="0" distL="0" distR="0" wp14:anchorId="1DA4F67A" wp14:editId="3E036591">
            <wp:extent cx="4327556" cy="4327556"/>
            <wp:effectExtent l="0" t="0" r="0" b="0"/>
            <wp:docPr id="146272861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27866" cy="4327866"/>
                    </a:xfrm>
                    <a:prstGeom prst="rect">
                      <a:avLst/>
                    </a:prstGeom>
                    <a:noFill/>
                    <a:ln>
                      <a:noFill/>
                    </a:ln>
                  </pic:spPr>
                </pic:pic>
              </a:graphicData>
            </a:graphic>
          </wp:inline>
        </w:drawing>
      </w:r>
    </w:p>
    <w:p w14:paraId="461D2BFE" w14:textId="4547F329" w:rsidR="00D25242" w:rsidRPr="0085752F" w:rsidRDefault="00D25242">
      <w:pPr>
        <w:spacing w:line="278" w:lineRule="auto"/>
        <w:rPr>
          <w:rFonts w:ascii="Arial" w:eastAsiaTheme="majorEastAsia" w:hAnsi="Arial" w:cs="Arial"/>
          <w:b/>
          <w:color w:val="000000" w:themeColor="text1"/>
          <w:lang w:val="en-GB"/>
        </w:rPr>
      </w:pPr>
    </w:p>
    <w:p w14:paraId="06A551B6" w14:textId="634AC2B9" w:rsidR="00E775A8" w:rsidRPr="0085752F" w:rsidRDefault="00E775A8" w:rsidP="00E775A8">
      <w:pPr>
        <w:pStyle w:val="Heading1"/>
        <w:rPr>
          <w:rFonts w:ascii="Arial" w:hAnsi="Arial" w:cs="Arial"/>
          <w:sz w:val="22"/>
          <w:szCs w:val="22"/>
        </w:rPr>
      </w:pPr>
      <w:bookmarkStart w:id="8" w:name="_Toc216555222"/>
      <w:r w:rsidRPr="0085752F">
        <w:rPr>
          <w:rFonts w:ascii="Arial" w:hAnsi="Arial" w:cs="Arial"/>
          <w:sz w:val="22"/>
          <w:szCs w:val="22"/>
        </w:rPr>
        <w:t>3. Management of the COVID-19 pandemic through leadership styles.</w:t>
      </w:r>
      <w:bookmarkEnd w:id="8"/>
      <w:r w:rsidRPr="0085752F">
        <w:rPr>
          <w:rFonts w:ascii="Arial" w:hAnsi="Arial" w:cs="Arial"/>
          <w:sz w:val="22"/>
          <w:szCs w:val="22"/>
        </w:rPr>
        <w:t xml:space="preserve">  </w:t>
      </w:r>
    </w:p>
    <w:p w14:paraId="0F3C5BCE" w14:textId="77777777" w:rsidR="00E775A8" w:rsidRPr="0085752F" w:rsidRDefault="00E775A8" w:rsidP="00E775A8">
      <w:pPr>
        <w:pStyle w:val="Heading2"/>
        <w:rPr>
          <w:rFonts w:ascii="Arial" w:hAnsi="Arial" w:cs="Arial"/>
          <w:sz w:val="22"/>
          <w:szCs w:val="22"/>
        </w:rPr>
      </w:pPr>
      <w:bookmarkStart w:id="9" w:name="_Toc216555223"/>
      <w:r w:rsidRPr="0085752F">
        <w:rPr>
          <w:rFonts w:ascii="Arial" w:hAnsi="Arial" w:cs="Arial"/>
          <w:sz w:val="22"/>
          <w:szCs w:val="22"/>
        </w:rPr>
        <w:t>3.1 Theories of Leadership Applicable during a Public Health Crisis.</w:t>
      </w:r>
      <w:bookmarkEnd w:id="9"/>
      <w:r w:rsidRPr="0085752F">
        <w:rPr>
          <w:rFonts w:ascii="Arial" w:hAnsi="Arial" w:cs="Arial"/>
          <w:sz w:val="22"/>
          <w:szCs w:val="22"/>
        </w:rPr>
        <w:t xml:space="preserve">  </w:t>
      </w:r>
    </w:p>
    <w:p w14:paraId="199AB984" w14:textId="67DCC2B2"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Pandemics like the COVID-19 can be seen as a form of extreme public crisis that places the leaders in a situation of immense uncertainty, high time pressure, a large-scale disruption of society, and a long-lasting </w:t>
      </w:r>
      <w:r w:rsidR="00851CF7" w:rsidRPr="0085752F">
        <w:rPr>
          <w:rFonts w:ascii="Arial" w:hAnsi="Arial" w:cs="Arial"/>
          <w:lang w:val="en-GB"/>
        </w:rPr>
        <w:t>public</w:t>
      </w:r>
      <w:r w:rsidRPr="0085752F">
        <w:rPr>
          <w:rFonts w:ascii="Arial" w:hAnsi="Arial" w:cs="Arial"/>
          <w:lang w:val="en-GB"/>
        </w:rPr>
        <w:t xml:space="preserve"> judgment. In these situations, the usual managerial practices are not </w:t>
      </w:r>
      <w:r w:rsidR="00851CF7" w:rsidRPr="0085752F">
        <w:rPr>
          <w:rFonts w:ascii="Arial" w:hAnsi="Arial" w:cs="Arial"/>
          <w:lang w:val="en-GB"/>
        </w:rPr>
        <w:t>sufficient,</w:t>
      </w:r>
      <w:r w:rsidRPr="0085752F">
        <w:rPr>
          <w:rFonts w:ascii="Arial" w:hAnsi="Arial" w:cs="Arial"/>
          <w:lang w:val="en-GB"/>
        </w:rPr>
        <w:t xml:space="preserve"> and the leadership theory is the key to comprehending the role of the decision in coordination, trust of the people and the </w:t>
      </w:r>
      <w:r w:rsidR="00851CF7" w:rsidRPr="0085752F">
        <w:rPr>
          <w:rFonts w:ascii="Arial" w:hAnsi="Arial" w:cs="Arial"/>
          <w:lang w:val="en-GB"/>
        </w:rPr>
        <w:t>outcome</w:t>
      </w:r>
      <w:r w:rsidRPr="0085752F">
        <w:rPr>
          <w:rFonts w:ascii="Arial" w:hAnsi="Arial" w:cs="Arial"/>
          <w:lang w:val="en-GB"/>
        </w:rPr>
        <w:t xml:space="preserve"> of health and social. There are </w:t>
      </w:r>
      <w:r w:rsidR="00F06F97" w:rsidRPr="0085752F">
        <w:rPr>
          <w:rFonts w:ascii="Arial" w:hAnsi="Arial" w:cs="Arial"/>
          <w:lang w:val="en-GB"/>
        </w:rPr>
        <w:t>several</w:t>
      </w:r>
      <w:r w:rsidRPr="0085752F">
        <w:rPr>
          <w:rFonts w:ascii="Arial" w:hAnsi="Arial" w:cs="Arial"/>
          <w:lang w:val="en-GB"/>
        </w:rPr>
        <w:t xml:space="preserve"> leadership theories that are specifically relevant to the analysis of the response to the pandemic, such as transformational leadership, situational leadership, adaptive leadership, and the very idea of crisis leadership (Sanders et al., 2021).  </w:t>
      </w:r>
    </w:p>
    <w:p w14:paraId="5FCBC1F6"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Transformational leadership focuses on the encouragement of individuals and organisations to focus on shared interests rather than on personal interests. This can be achieved in a pandemic by expressing an effective and clear vision, acting with credibility through open communication, and showing empathy and moral accountability. This kind of leadership helps to promote social cohesion and long-term adherence of people to restrictive measures, which is necessary in the case of a long-term public health crisis (Aldrich and Meyer, 2015; Santoso et al., 2022).  </w:t>
      </w:r>
    </w:p>
    <w:p w14:paraId="26DCDF5F"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Situational leadership is the assumption that there is no such thing as a universal style of leadership. Rather, leaders need to change their strategy according to contextual variables, including the outbreak severity, capacity of healthcare systems, and the population opinion. In the case of COVID-19, this meant changing directive leadership in times of acute surges and more collaborative leadership in times of recovery and vaccination (McConnell and ’t Hart, 2020).  </w:t>
      </w:r>
    </w:p>
    <w:p w14:paraId="027213A9"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Complex, wicked problems like pandemics are especially the area of adaptive leadership where the problems do not have obvious solutions and where ongoing learning is required. As opposed to imposing predominantly technical solutions, adaptive leaders concentrate on facilitating experimentation, conflict management, and collective problem-solving under uncertainty (Laur et al., 2021; Head, 2022).  </w:t>
      </w:r>
    </w:p>
    <w:p w14:paraId="6D68ED32"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Crisis leadership is a combination of all these styles, with a focus on quick sense-making, decisive response, regular communication, and coordination among systems in disarray. In contrast to short-term disasters, pandemics are long-term disasters, and leaders must maintain the legitimacy and institutional resilience over a long-term span without creating fatigue and mistrust among the population (Boin et al., 2017; Moon, 2020). The case of the leadership reactions in Spain, South Korea and Canada exemplifies the way these theories can work out in reality and how their effectiveness can be determined by the system of governance and the institution.  </w:t>
      </w:r>
    </w:p>
    <w:p w14:paraId="6D6076D9" w14:textId="77777777" w:rsidR="00E775A8" w:rsidRPr="0085752F" w:rsidRDefault="00E775A8" w:rsidP="00E775A8">
      <w:pPr>
        <w:pStyle w:val="Heading2"/>
        <w:rPr>
          <w:rFonts w:ascii="Arial" w:hAnsi="Arial" w:cs="Arial"/>
          <w:sz w:val="22"/>
          <w:szCs w:val="22"/>
        </w:rPr>
      </w:pPr>
      <w:bookmarkStart w:id="10" w:name="_Toc216555224"/>
      <w:r w:rsidRPr="0085752F">
        <w:rPr>
          <w:rFonts w:ascii="Arial" w:hAnsi="Arial" w:cs="Arial"/>
          <w:sz w:val="22"/>
          <w:szCs w:val="22"/>
        </w:rPr>
        <w:t>3.2 Spanish Leadership Styles: Political Frailty and the Contest of Coherent Power.</w:t>
      </w:r>
      <w:bookmarkEnd w:id="10"/>
      <w:r w:rsidRPr="0085752F">
        <w:rPr>
          <w:rFonts w:ascii="Arial" w:hAnsi="Arial" w:cs="Arial"/>
          <w:sz w:val="22"/>
          <w:szCs w:val="22"/>
        </w:rPr>
        <w:t xml:space="preserve">  </w:t>
      </w:r>
    </w:p>
    <w:p w14:paraId="28BC51F4"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The leadership reaction to the COVID-19 in Spain demonstrates how difficult it is to operate a public health crisis using a highly decentralised and politically divided system. At the beginning of the pandemic, national and regional leadership was typified by a mistaken calculation of the risk, slowness and inconsistency in decision-making, and disjointed communication. The first reactions were more of regular administrative management than proactive and directive approach needed in the situation of crisis (Royo, 2020; Garcia Basteiro et al., 2020).  </w:t>
      </w:r>
    </w:p>
    <w:p w14:paraId="5BA0BF80" w14:textId="60573005"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The lack of a national narrative and the existence of high political tension between the central government and the opposition-led regions were the cause of divergent policies in the regions. Different containment measures were applied by autonomous </w:t>
      </w:r>
      <w:r w:rsidR="002D7BD6" w:rsidRPr="0085752F">
        <w:rPr>
          <w:rFonts w:ascii="Arial" w:hAnsi="Arial" w:cs="Arial"/>
          <w:lang w:val="en-GB"/>
        </w:rPr>
        <w:t>communities,</w:t>
      </w:r>
      <w:r w:rsidRPr="0085752F">
        <w:rPr>
          <w:rFonts w:ascii="Arial" w:hAnsi="Arial" w:cs="Arial"/>
          <w:lang w:val="en-GB"/>
        </w:rPr>
        <w:t xml:space="preserve"> and the people were confused and compliance was </w:t>
      </w:r>
      <w:r w:rsidR="00BD1CB8" w:rsidRPr="0085752F">
        <w:rPr>
          <w:rFonts w:ascii="Arial" w:hAnsi="Arial" w:cs="Arial"/>
          <w:lang w:val="en-GB"/>
        </w:rPr>
        <w:t>weakened</w:t>
      </w:r>
      <w:r w:rsidRPr="0085752F">
        <w:rPr>
          <w:rFonts w:ascii="Arial" w:hAnsi="Arial" w:cs="Arial"/>
          <w:lang w:val="en-GB"/>
        </w:rPr>
        <w:t>.</w:t>
      </w:r>
      <w:r w:rsidR="002D7BD6">
        <w:rPr>
          <w:rFonts w:ascii="Arial" w:hAnsi="Arial" w:cs="Arial"/>
          <w:lang w:val="en-GB"/>
        </w:rPr>
        <w:t xml:space="preserve"> </w:t>
      </w:r>
      <w:r w:rsidRPr="0085752F">
        <w:rPr>
          <w:rFonts w:ascii="Arial" w:hAnsi="Arial" w:cs="Arial"/>
          <w:lang w:val="en-GB"/>
        </w:rPr>
        <w:t xml:space="preserve">Such fragmentation weakened the validity of the public health messages and impaired the success of early containment (Erkoreka, 2022).  </w:t>
      </w:r>
    </w:p>
    <w:p w14:paraId="40DF84BD"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With hospital systems nearing collapse in March 2020, leadership in the country rapidly became more centralised around a crisis leadership model by declaring a state of alarm. This action allowed to facilitate standard lockdowns and greater coordination but also accelerated the political tensions between the levels of government. This recentralisation was not legitimately developed because it was forced, which created opposition, showing how hard it was to change the governance arrangements in a crisis in a short period (Sanchez-Bayon et al., 2022).  </w:t>
      </w:r>
    </w:p>
    <w:p w14:paraId="59F42E6F"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The level of leadership also increased significantly in the vaccination phase. The national government became more transformational, presenting vaccination as a shared civic duty and procuring and distributing it centrally and leaving the delivery of the services to the regional health services. This societal coordination of the center and local implementation showed adaptive learning based on previous failures and led to high vaccination rates in the entire of Spain (European Commission, 2021). In general, the experience of Spain highlights the significance of coalition-building at an early stage and consistent leadership in decentralised systems to prevent the use of emergency powers with substantial political and social costs.  </w:t>
      </w:r>
    </w:p>
    <w:p w14:paraId="07A6481F" w14:textId="77777777" w:rsidR="00E775A8" w:rsidRPr="0085752F" w:rsidRDefault="00E775A8" w:rsidP="00E775A8">
      <w:pPr>
        <w:pStyle w:val="Heading2"/>
        <w:rPr>
          <w:rFonts w:ascii="Arial" w:hAnsi="Arial" w:cs="Arial"/>
          <w:sz w:val="22"/>
          <w:szCs w:val="22"/>
        </w:rPr>
      </w:pPr>
      <w:bookmarkStart w:id="11" w:name="_Toc216555225"/>
      <w:r w:rsidRPr="0085752F">
        <w:rPr>
          <w:rFonts w:ascii="Arial" w:hAnsi="Arial" w:cs="Arial"/>
          <w:sz w:val="22"/>
          <w:szCs w:val="22"/>
        </w:rPr>
        <w:t>3.3 South Korean Leadership Style: Technocratic Effectiveness, Transparency and Trust by the Citizens.</w:t>
      </w:r>
      <w:bookmarkEnd w:id="11"/>
      <w:r w:rsidRPr="0085752F">
        <w:rPr>
          <w:rFonts w:ascii="Arial" w:hAnsi="Arial" w:cs="Arial"/>
          <w:sz w:val="22"/>
          <w:szCs w:val="22"/>
        </w:rPr>
        <w:t xml:space="preserve">  </w:t>
      </w:r>
    </w:p>
    <w:p w14:paraId="1129810A"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The reaction of the leadership of South Korea to COVID-19 is widely considered to be the example of the efficient crisis management based on the technocratic background, transparency and trust in the institutions. Based on the experience of the 2015 MERS outbreak, political leaders and public health officials put an emphasis on early response, making evidence-based decisions, and transparency. Korea Disease Control and Prevention Agency (KDCA) acted as an authoritative hub, which strengthened transparency and uniformity in the leadership of the country (Kim et al., 2021; World Bank, 2023).  </w:t>
      </w:r>
    </w:p>
    <w:p w14:paraId="004823D2"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Radical transparency was also a calculated approach as daily briefings offered comprehensive and timely information on the number of cases, modes of transmission and risk areas. It was a method that involved citizens as knowledgeable stakeholders and not as the recipients of directives, which strengthened the trust and willful adherence to state health policies (Jeong et al., 2020). Transformational leadership was also reflected in focusing on the collective responsibility and shared sacrifice, and adaptive leadership was observed in the form of fast innovation and changing the policies.  </w:t>
      </w:r>
    </w:p>
    <w:p w14:paraId="6A92D1D4" w14:textId="2FEEDC44"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Government, private companies and technology suppliers engaged in cooperation with the leaders, which led to the rapid creation of testing capacity, digital contact tracing, and real-time surveillance systems. Bureaucratic obstacles were minimized to permit experimentation and quick learning, which enabled the response to improve, with new variants and outbreaks appearing (Laur et al., 2021). Strategic direction was still </w:t>
      </w:r>
      <w:r w:rsidR="003E793F" w:rsidRPr="0085752F">
        <w:rPr>
          <w:rFonts w:ascii="Arial" w:hAnsi="Arial" w:cs="Arial"/>
          <w:lang w:val="en-GB"/>
        </w:rPr>
        <w:t>centralised,</w:t>
      </w:r>
      <w:r w:rsidRPr="0085752F">
        <w:rPr>
          <w:rFonts w:ascii="Arial" w:hAnsi="Arial" w:cs="Arial"/>
          <w:lang w:val="en-GB"/>
        </w:rPr>
        <w:t xml:space="preserve"> but the implementation was based on local authorities with a definite national framework.  </w:t>
      </w:r>
    </w:p>
    <w:p w14:paraId="1D88A81B"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Although these strengths were there, the leadership style of South Korea brought about ethical issues which were associated with privacy and civil liberties. The high usage of digital surveillance tools, although it was effective in containment, raised the question of proportionality and the long-term effects on the democratic governance (Kavanagh and Singh, 2020; Lim and Sohn, 2023). However, the general popular opinion was high levels of trust in the institutions and the understanding that the decisions made by the leadership were good and needed to be made. The example of South Korea demonstrates that centralised leadership may be effective when institutional capacity, transparency and social consent are present.</w:t>
      </w:r>
    </w:p>
    <w:p w14:paraId="1EA5DFDD" w14:textId="77777777" w:rsidR="00E775A8" w:rsidRPr="0085752F" w:rsidRDefault="00E775A8" w:rsidP="00E775A8">
      <w:pPr>
        <w:pStyle w:val="Heading2"/>
        <w:rPr>
          <w:rFonts w:ascii="Arial" w:hAnsi="Arial" w:cs="Arial"/>
          <w:sz w:val="22"/>
          <w:szCs w:val="22"/>
        </w:rPr>
      </w:pPr>
      <w:bookmarkStart w:id="12" w:name="_Toc216555226"/>
      <w:r w:rsidRPr="0085752F">
        <w:rPr>
          <w:rFonts w:ascii="Arial" w:hAnsi="Arial" w:cs="Arial"/>
          <w:sz w:val="22"/>
          <w:szCs w:val="22"/>
        </w:rPr>
        <w:t>3.4 Leadership Style in Canada: empathetic Communication through Jurisdictional Complexity.</w:t>
      </w:r>
      <w:bookmarkEnd w:id="12"/>
      <w:r w:rsidRPr="0085752F">
        <w:rPr>
          <w:rFonts w:ascii="Arial" w:hAnsi="Arial" w:cs="Arial"/>
          <w:sz w:val="22"/>
          <w:szCs w:val="22"/>
        </w:rPr>
        <w:t xml:space="preserve">  </w:t>
      </w:r>
    </w:p>
    <w:p w14:paraId="5C89E2C5"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The federal system of Canada played a significant role in the Canadian leadership response because the primary control of the interventions in the public health is left to the provinces. Leaders at the national level were largely transformational and understanding, preempting solidarity, reassurance, and a dependency on scientific knowledge. Weekly speeches of the Prime Minister emphasized the importance of collective responsibility and the realization of social and economic sacrifices of people (Allin et al., 2021).  </w:t>
      </w:r>
    </w:p>
    <w:p w14:paraId="30CD9654"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Fiscal and symbolic and not coercive were the main tools of the federal government. Massive economic maintenance projects like income replacement scheme promoted compliance with the public health goals, albeit indirectly, by allowing individuals to obey restrictions. However, failure to impose provincial action limited the ability of the federal government to impose uniformity across the country (Bubela et al., 2023).  </w:t>
      </w:r>
    </w:p>
    <w:p w14:paraId="5A0CEA88"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The leadership approaches of the provinces were quite different. Some provinces were more proactive and precautionary in their crisis leadership, and others were more reactive or politically disputed with lockdowns, school closures, and long-term care protection. This heterogeneity provided unequal results and diluted the sense of a national response (Hegele &amp; Schnabel, 2021).  </w:t>
      </w:r>
    </w:p>
    <w:p w14:paraId="3C8E5154"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Consultation and persuasion were employed to a great extent in intergovernmental coordination, instead of the formal command. Even though there were forums of cooperation they did not have powers of enforcement and thus adaptive leadership across jurisdictions was a challenge. These dynamics were also demonstrated by the process of vaccination rollout: federal leadership managed to achieve centralised procurement, but distribution was based on provincial systems with different priorities and capabilities. The case of Canada shows that although empathetic and communicative leadership may maintain the trust of the people, it is limited by the governmental system that restricts the power of coordination.  </w:t>
      </w:r>
    </w:p>
    <w:p w14:paraId="3AD2C8E6" w14:textId="77777777" w:rsidR="00E775A8" w:rsidRPr="0085752F" w:rsidRDefault="00E775A8" w:rsidP="00E775A8">
      <w:pPr>
        <w:pStyle w:val="Heading2"/>
        <w:rPr>
          <w:rFonts w:ascii="Arial" w:hAnsi="Arial" w:cs="Arial"/>
          <w:sz w:val="22"/>
          <w:szCs w:val="22"/>
        </w:rPr>
      </w:pPr>
      <w:bookmarkStart w:id="13" w:name="_Toc216555227"/>
      <w:r w:rsidRPr="0085752F">
        <w:rPr>
          <w:rFonts w:ascii="Arial" w:hAnsi="Arial" w:cs="Arial"/>
          <w:sz w:val="22"/>
          <w:szCs w:val="22"/>
        </w:rPr>
        <w:t>3.5 Comparative Analysis Leadership Approaches: Structure, Style, and Synergy.</w:t>
      </w:r>
      <w:bookmarkEnd w:id="13"/>
      <w:r w:rsidRPr="0085752F">
        <w:rPr>
          <w:rFonts w:ascii="Arial" w:hAnsi="Arial" w:cs="Arial"/>
          <w:sz w:val="22"/>
          <w:szCs w:val="22"/>
        </w:rPr>
        <w:t xml:space="preserve">  </w:t>
      </w:r>
    </w:p>
    <w:p w14:paraId="43720109"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Comparing Spain, South Korea, and Canada, it is possible to note that the effectiveness of leadership during the COVID-19 pandemic is not only based on the leadership style of a country, but the compatibility of this style with the system of governance. South Korea is one of the examples where centralised institutions and technocratic, adaptive leadership come together to create coherent and trusted crisis management (Ansell et al., 2021).  </w:t>
      </w:r>
    </w:p>
    <w:p w14:paraId="079E9C2D"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Spain is an example of the negative effects of misalignment. Decentralised system leadership was fragmented, which slowed down the taking of decisive action, and it required disruptive recentralisation to regain control. Conversely, Canada is a good example of how structural limitations can hamper even a well-motivated transformational leadership, finding a way to convey a coordinated message without a consistent policy execution (Hegele &amp; Schnabel, 2021).  </w:t>
      </w:r>
    </w:p>
    <w:p w14:paraId="6ADA1F05" w14:textId="77777777"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In all instances, adaptive leadership turns out to be necessary, especially in the decentralised or federal systems where recalibration and negotiation across jurisdictions is inevitable. In crisis leadership, there must also be clarity of authority; lack of speed, lack of legitimacy and compliance. Finally, institutional design, leadership capacity, and public trust are the key factors of leadership success in pandemics, not the style of leadership (Boin et al., 2017; OECD, 2022).  </w:t>
      </w:r>
    </w:p>
    <w:p w14:paraId="54199670" w14:textId="724C86A6" w:rsidR="00D25242" w:rsidRPr="0085752F" w:rsidRDefault="00D25242" w:rsidP="00D25242">
      <w:pPr>
        <w:spacing w:before="240" w:after="240" w:line="360" w:lineRule="auto"/>
        <w:jc w:val="both"/>
        <w:rPr>
          <w:rFonts w:ascii="Arial" w:hAnsi="Arial" w:cs="Arial"/>
          <w:lang w:val="en-GB"/>
        </w:rPr>
      </w:pPr>
      <w:r w:rsidRPr="0085752F">
        <w:rPr>
          <w:rFonts w:ascii="Arial" w:hAnsi="Arial" w:cs="Arial"/>
          <w:lang w:val="en-GB"/>
        </w:rPr>
        <w:t xml:space="preserve">A critical dimension distinguishing leadership effectiveness across the three countries was the degree of perceived legitimacy and its influence on public compliance. Leadership legitimacy during the pandemic was shaped less by formal authority and more by transparency, consistency, and the alignment of actions with expert advice. In South Korea, high trust in public institutions and technocratic leadership fostered widespread voluntary compliance, allowing authorities to rely on guidance rather than coercion. By contrast, Spain’s politically fragmented leadership environment undermined legitimacy during early phases, reducing adherence and increasing public confusion. Canada’s empathetic federal </w:t>
      </w:r>
      <w:r w:rsidR="00FD2267" w:rsidRPr="0085752F">
        <w:rPr>
          <w:rFonts w:ascii="Arial" w:hAnsi="Arial" w:cs="Arial"/>
          <w:lang w:val="en-GB"/>
        </w:rPr>
        <w:t>leadership-maintained</w:t>
      </w:r>
      <w:r w:rsidRPr="0085752F">
        <w:rPr>
          <w:rFonts w:ascii="Arial" w:hAnsi="Arial" w:cs="Arial"/>
          <w:lang w:val="en-GB"/>
        </w:rPr>
        <w:t xml:space="preserve"> trust at the national level, but inconsistent provincial measures weakened the perception of a unified response (Boin et al., 2017; Mintrom and O’Connor, 2020).</w:t>
      </w:r>
    </w:p>
    <w:p w14:paraId="74AD1762" w14:textId="77777777" w:rsidR="00D25242" w:rsidRPr="0085752F" w:rsidRDefault="00D25242" w:rsidP="00D25242">
      <w:pPr>
        <w:spacing w:before="240" w:after="240" w:line="360" w:lineRule="auto"/>
        <w:jc w:val="both"/>
        <w:rPr>
          <w:rFonts w:ascii="Arial" w:hAnsi="Arial" w:cs="Arial"/>
          <w:lang w:val="en-GB"/>
        </w:rPr>
      </w:pPr>
      <w:r w:rsidRPr="0085752F">
        <w:rPr>
          <w:rFonts w:ascii="Arial" w:hAnsi="Arial" w:cs="Arial"/>
          <w:lang w:val="en-GB"/>
        </w:rPr>
        <w:t>Leadership sustainability over the prolonged course of the pandemic also emerged as a defining challenge. COVID-19 required leaders to maintain credibility and public engagement across multiple waves, policy reversals, and vaccination phases. South Korea’s stable communication strategy and reliance on expert-led briefings helped sustain confidence over time. Spain and Canada experienced greater difficulties managing crisis fatigue, as shifting restrictions and jurisdictional disagreements eroded public patience and trust. In such contexts, adaptive leadership—characterised by learning, recalibration, and responsiveness—proved essential to maintaining long-term compliance (McConnell and ’t Hart, 2020; Moon, 2020).</w:t>
      </w:r>
    </w:p>
    <w:p w14:paraId="2F66FC7E" w14:textId="77777777" w:rsidR="00D25242" w:rsidRPr="0085752F" w:rsidRDefault="00D25242" w:rsidP="00D25242">
      <w:pPr>
        <w:spacing w:before="240" w:after="240" w:line="360" w:lineRule="auto"/>
        <w:jc w:val="both"/>
        <w:rPr>
          <w:rFonts w:ascii="Arial" w:hAnsi="Arial" w:cs="Arial"/>
          <w:lang w:val="en-GB"/>
        </w:rPr>
      </w:pPr>
      <w:r w:rsidRPr="0085752F">
        <w:rPr>
          <w:rFonts w:ascii="Arial" w:hAnsi="Arial" w:cs="Arial"/>
          <w:lang w:val="en-GB"/>
        </w:rPr>
        <w:t>Overall, the comparison demonstrates that leadership effectiveness during pandemics depends on its fit with governance structures and its capacity to sustain legitimacy over time. Crisis leadership requires not only decisive action, but also endurance, coherence, and trust-building. Where leadership style, institutional design, and public expectations align, system-wide coordination and resilience are significantly strengthened (Van Doorn et al., 2021; OECD, 2022).</w:t>
      </w:r>
    </w:p>
    <w:p w14:paraId="23CFF343" w14:textId="10CC43C1" w:rsidR="00E86602" w:rsidRPr="0085752F" w:rsidRDefault="00E86602" w:rsidP="00FD2267">
      <w:pPr>
        <w:spacing w:before="240" w:after="240" w:line="360" w:lineRule="auto"/>
        <w:jc w:val="center"/>
        <w:rPr>
          <w:rFonts w:ascii="Arial" w:hAnsi="Arial" w:cs="Arial"/>
          <w:lang w:val="en-GB"/>
        </w:rPr>
      </w:pPr>
      <w:r w:rsidRPr="0085752F">
        <w:rPr>
          <w:rFonts w:ascii="Arial" w:hAnsi="Arial" w:cs="Arial"/>
          <w:noProof/>
          <w:lang w:val="en-GB"/>
          <w14:ligatures w14:val="standardContextual"/>
        </w:rPr>
        <w:drawing>
          <wp:inline distT="0" distB="0" distL="0" distR="0" wp14:anchorId="074FF552" wp14:editId="4D4469D0">
            <wp:extent cx="5486400" cy="3200400"/>
            <wp:effectExtent l="0" t="0" r="0" b="0"/>
            <wp:docPr id="45265100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4169350" w14:textId="113E2D80" w:rsidR="0028101F" w:rsidRPr="0085752F" w:rsidRDefault="0028101F" w:rsidP="0028101F">
      <w:pPr>
        <w:spacing w:before="240" w:after="240" w:line="360" w:lineRule="auto"/>
        <w:jc w:val="center"/>
        <w:rPr>
          <w:rFonts w:ascii="Arial" w:hAnsi="Arial" w:cs="Arial"/>
          <w:lang w:val="en-GB"/>
        </w:rPr>
      </w:pPr>
      <w:r w:rsidRPr="0085752F">
        <w:rPr>
          <w:rFonts w:ascii="Arial" w:hAnsi="Arial" w:cs="Arial"/>
          <w:noProof/>
          <w:lang w:val="en-GB"/>
        </w:rPr>
        <w:drawing>
          <wp:inline distT="0" distB="0" distL="0" distR="0" wp14:anchorId="69509950" wp14:editId="2A23012F">
            <wp:extent cx="5486400" cy="8229600"/>
            <wp:effectExtent l="0" t="0" r="0" b="0"/>
            <wp:docPr id="144641959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86400" cy="8229600"/>
                    </a:xfrm>
                    <a:prstGeom prst="rect">
                      <a:avLst/>
                    </a:prstGeom>
                    <a:noFill/>
                    <a:ln>
                      <a:noFill/>
                    </a:ln>
                  </pic:spPr>
                </pic:pic>
              </a:graphicData>
            </a:graphic>
          </wp:inline>
        </w:drawing>
      </w:r>
    </w:p>
    <w:p w14:paraId="4CE4F741" w14:textId="411C28F6" w:rsidR="00E775A8" w:rsidRPr="0085752F" w:rsidRDefault="00E775A8" w:rsidP="00E775A8">
      <w:pPr>
        <w:pStyle w:val="Heading1"/>
        <w:rPr>
          <w:rFonts w:ascii="Arial" w:hAnsi="Arial" w:cs="Arial"/>
          <w:sz w:val="22"/>
          <w:szCs w:val="22"/>
        </w:rPr>
      </w:pPr>
      <w:bookmarkStart w:id="14" w:name="_Toc216555228"/>
      <w:r w:rsidRPr="0085752F">
        <w:rPr>
          <w:rFonts w:ascii="Arial" w:hAnsi="Arial" w:cs="Arial"/>
          <w:sz w:val="22"/>
          <w:szCs w:val="22"/>
        </w:rPr>
        <w:t>4. Conclusion</w:t>
      </w:r>
      <w:bookmarkEnd w:id="14"/>
      <w:r w:rsidRPr="0085752F">
        <w:rPr>
          <w:rFonts w:ascii="Arial" w:hAnsi="Arial" w:cs="Arial"/>
          <w:sz w:val="22"/>
          <w:szCs w:val="22"/>
        </w:rPr>
        <w:t xml:space="preserve">  </w:t>
      </w:r>
    </w:p>
    <w:p w14:paraId="06EE5CF2" w14:textId="6113E749"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The report has </w:t>
      </w:r>
      <w:r w:rsidR="00FD2267" w:rsidRPr="0085752F">
        <w:rPr>
          <w:rFonts w:ascii="Arial" w:hAnsi="Arial" w:cs="Arial"/>
          <w:lang w:val="en-GB"/>
        </w:rPr>
        <w:t>analysed</w:t>
      </w:r>
      <w:r w:rsidRPr="0085752F">
        <w:rPr>
          <w:rFonts w:ascii="Arial" w:hAnsi="Arial" w:cs="Arial"/>
          <w:lang w:val="en-GB"/>
        </w:rPr>
        <w:t xml:space="preserve"> the relationship between the organization of the healthcare systems and leadership strategies and how they influenced the nationwide reaction to the COVID-19 pandemic in Spain, South Korea, and Canada. The comparative analysis shows that although centralisation or decentralisation levels played a major role in determining the coordination, policy consistency and the health outcomes, the governance structure alone failed to determine success. The system of South Korea was very centralised and was backed by a good institutional capacity and a flexible, transparent leadership which allowed quick decision making, good coordination and continuity of the trust of the people. Conversely, the decentralised system in Spain did not allow quick and consistent action in the early stages, although temporary recentralisation in some stages, especially the vaccination campaign, led to better results. Canada had a federation system that provided flexibility to the provinces but led to a disjointed action and </w:t>
      </w:r>
      <w:r w:rsidR="004C212C" w:rsidRPr="0085752F">
        <w:rPr>
          <w:rFonts w:ascii="Arial" w:hAnsi="Arial" w:cs="Arial"/>
          <w:lang w:val="en-GB"/>
        </w:rPr>
        <w:t>inequivalent</w:t>
      </w:r>
      <w:r w:rsidRPr="0085752F">
        <w:rPr>
          <w:rFonts w:ascii="Arial" w:hAnsi="Arial" w:cs="Arial"/>
          <w:lang w:val="en-GB"/>
        </w:rPr>
        <w:t xml:space="preserve"> performance in different regions.  </w:t>
      </w:r>
    </w:p>
    <w:p w14:paraId="01706BB6" w14:textId="3B46DFFC" w:rsidR="00E775A8" w:rsidRPr="0085752F" w:rsidRDefault="00E775A8" w:rsidP="00E775A8">
      <w:pPr>
        <w:spacing w:before="240" w:after="240" w:line="360" w:lineRule="auto"/>
        <w:jc w:val="both"/>
        <w:rPr>
          <w:rFonts w:ascii="Arial" w:hAnsi="Arial" w:cs="Arial"/>
          <w:lang w:val="en-GB"/>
        </w:rPr>
      </w:pPr>
      <w:r w:rsidRPr="0085752F">
        <w:rPr>
          <w:rFonts w:ascii="Arial" w:hAnsi="Arial" w:cs="Arial"/>
          <w:lang w:val="en-GB"/>
        </w:rPr>
        <w:t xml:space="preserve">The leadership analysis also notes that successful management of the pandemic requires the compatibility of the leadership style and governance situation. Transformational, crisis, and adaptive leadership behaviors, particularly transparency, decisiveness, and involvement of the public, worked best in case there was evident authority and coordination systems as in South Korea. The adaptive and situational leadership observed in Spain and Canada over time was </w:t>
      </w:r>
      <w:r w:rsidR="004D3F9A" w:rsidRPr="0085752F">
        <w:rPr>
          <w:rFonts w:ascii="Arial" w:hAnsi="Arial" w:cs="Arial"/>
          <w:lang w:val="en-GB"/>
        </w:rPr>
        <w:t>effective but</w:t>
      </w:r>
      <w:r w:rsidRPr="0085752F">
        <w:rPr>
          <w:rFonts w:ascii="Arial" w:hAnsi="Arial" w:cs="Arial"/>
          <w:lang w:val="en-GB"/>
        </w:rPr>
        <w:t xml:space="preserve"> initially could not be effective due to the fragmentation of politics and divided authority. Generally, the results indicate that a hybrid form of governance, which involves a high level of central coordination and local implementation, should be used to have resilient pandemic responses with adaptive leadership able to lead healthcare systems through significant uncertainty and systemic disruption.</w:t>
      </w:r>
    </w:p>
    <w:p w14:paraId="635D1FBE" w14:textId="55950C26" w:rsidR="00B31A7D" w:rsidRPr="0085752F" w:rsidRDefault="00B31A7D" w:rsidP="00B31A7D">
      <w:pPr>
        <w:spacing w:before="240" w:after="240" w:line="360" w:lineRule="auto"/>
        <w:jc w:val="both"/>
        <w:rPr>
          <w:rFonts w:ascii="Arial" w:hAnsi="Arial" w:cs="Arial"/>
          <w:b/>
          <w:bCs/>
          <w:lang w:val="en-GB"/>
        </w:rPr>
      </w:pPr>
      <w:r w:rsidRPr="0085752F">
        <w:rPr>
          <w:rFonts w:ascii="Arial" w:hAnsi="Arial" w:cs="Arial"/>
          <w:b/>
          <w:bCs/>
          <w:lang w:val="en-GB"/>
        </w:rPr>
        <w:br w:type="page"/>
      </w:r>
    </w:p>
    <w:p w14:paraId="4DD07BA6" w14:textId="08A67099" w:rsidR="00B31A7D" w:rsidRPr="0085752F" w:rsidRDefault="00980C7C" w:rsidP="00B31A7D">
      <w:pPr>
        <w:spacing w:before="240" w:after="240" w:line="360" w:lineRule="auto"/>
        <w:jc w:val="both"/>
        <w:rPr>
          <w:rFonts w:ascii="Arial" w:hAnsi="Arial" w:cs="Arial"/>
          <w:b/>
          <w:bCs/>
          <w:lang w:val="en-GB"/>
        </w:rPr>
      </w:pPr>
      <w:r w:rsidRPr="0085752F">
        <w:rPr>
          <w:rFonts w:ascii="Arial" w:hAnsi="Arial" w:cs="Arial"/>
          <w:b/>
          <w:bCs/>
          <w:lang w:val="en-GB"/>
        </w:rPr>
        <w:t>References</w:t>
      </w:r>
    </w:p>
    <w:p w14:paraId="6D9C1F44" w14:textId="77777777" w:rsidR="00DD162C" w:rsidRPr="0085752F" w:rsidRDefault="00DD162C" w:rsidP="00255C2B">
      <w:pPr>
        <w:spacing w:before="240" w:after="240" w:line="360" w:lineRule="auto"/>
        <w:jc w:val="both"/>
        <w:rPr>
          <w:rFonts w:ascii="Arial" w:hAnsi="Arial" w:cs="Arial"/>
          <w:lang w:val="en-GB"/>
        </w:rPr>
      </w:pPr>
      <w:r w:rsidRPr="0085752F">
        <w:rPr>
          <w:rFonts w:ascii="Arial" w:hAnsi="Arial" w:cs="Arial"/>
          <w:lang w:val="en-GB"/>
        </w:rPr>
        <w:t xml:space="preserve">Aldrich, D.P. and Meyer, M.A., 2015. Social capital and community resilience. American Behavioral Scientist, 59(2), pp.254–269. Available at: </w:t>
      </w:r>
      <w:hyperlink r:id="rId14" w:tgtFrame="_new" w:history="1">
        <w:r w:rsidRPr="0085752F">
          <w:rPr>
            <w:rFonts w:ascii="Arial" w:hAnsi="Arial" w:cs="Arial"/>
            <w:lang w:val="en-GB"/>
          </w:rPr>
          <w:t>https://journals.sagepub.com/doi/pdf/10.1177/0002764214550299</w:t>
        </w:r>
      </w:hyperlink>
      <w:r w:rsidRPr="0085752F">
        <w:rPr>
          <w:rFonts w:ascii="Arial" w:hAnsi="Arial" w:cs="Arial"/>
          <w:lang w:val="en-GB"/>
        </w:rPr>
        <w:t xml:space="preserve"> (Accessed: 13 December 2025).</w:t>
      </w:r>
    </w:p>
    <w:p w14:paraId="19686453" w14:textId="77777777" w:rsidR="00DD162C" w:rsidRPr="0085752F" w:rsidRDefault="00DD162C" w:rsidP="00980C7C">
      <w:pPr>
        <w:spacing w:before="240" w:after="240" w:line="360" w:lineRule="auto"/>
        <w:jc w:val="both"/>
        <w:rPr>
          <w:rFonts w:ascii="Arial" w:hAnsi="Arial" w:cs="Arial"/>
          <w:lang w:val="en-GB"/>
        </w:rPr>
      </w:pPr>
      <w:r w:rsidRPr="0085752F">
        <w:rPr>
          <w:rFonts w:ascii="Arial" w:hAnsi="Arial" w:cs="Arial"/>
          <w:lang w:val="en-GB"/>
        </w:rPr>
        <w:t xml:space="preserve">Allin, S., Marchildon, G. and Peckham, S., 2021. Canada’s COVID-19 response: federalism and health policy. Canadian Public Policy, 47(2), pp.1–15. Available at: </w:t>
      </w:r>
      <w:hyperlink r:id="rId15" w:tgtFrame="_new" w:history="1">
        <w:r w:rsidRPr="0085752F">
          <w:rPr>
            <w:rFonts w:ascii="Arial" w:hAnsi="Arial" w:cs="Arial"/>
            <w:lang w:val="en-GB"/>
          </w:rPr>
          <w:t>https://www.ncbi.nlm.nih.gov/pmc/articles/PMC8326669/</w:t>
        </w:r>
      </w:hyperlink>
      <w:r w:rsidRPr="0085752F">
        <w:rPr>
          <w:rFonts w:ascii="Arial" w:hAnsi="Arial" w:cs="Arial"/>
          <w:lang w:val="en-GB"/>
        </w:rPr>
        <w:t xml:space="preserve"> (Accessed: 13 December 2025).</w:t>
      </w:r>
    </w:p>
    <w:p w14:paraId="54DD77ED" w14:textId="77777777" w:rsidR="00DD162C" w:rsidRPr="0085752F" w:rsidRDefault="00DD162C" w:rsidP="00255C2B">
      <w:pPr>
        <w:spacing w:before="240" w:after="240" w:line="360" w:lineRule="auto"/>
        <w:jc w:val="both"/>
        <w:rPr>
          <w:rFonts w:ascii="Arial" w:hAnsi="Arial" w:cs="Arial"/>
          <w:lang w:val="en-GB"/>
        </w:rPr>
      </w:pPr>
      <w:r w:rsidRPr="0085752F">
        <w:rPr>
          <w:rFonts w:ascii="Arial" w:hAnsi="Arial" w:cs="Arial"/>
          <w:lang w:val="en-GB"/>
        </w:rPr>
        <w:t xml:space="preserve">Ansell, C., Sørensen, E. and Torfing, J., 2021. The COVID-19 pandemic as a game changer for public governance. Public Management Review, 23(7), pp.949–960. Available at: </w:t>
      </w:r>
      <w:hyperlink r:id="rId16" w:tgtFrame="_new" w:history="1">
        <w:r w:rsidRPr="0085752F">
          <w:rPr>
            <w:rFonts w:ascii="Arial" w:hAnsi="Arial" w:cs="Arial"/>
            <w:lang w:val="en-GB"/>
          </w:rPr>
          <w:t>https://www.tandfonline.com/doi/full/10.1080/14719037.2020.1820272</w:t>
        </w:r>
      </w:hyperlink>
      <w:r w:rsidRPr="0085752F">
        <w:rPr>
          <w:rFonts w:ascii="Arial" w:hAnsi="Arial" w:cs="Arial"/>
          <w:lang w:val="en-GB"/>
        </w:rPr>
        <w:t xml:space="preserve"> (Accessed: 13 December 2025).</w:t>
      </w:r>
    </w:p>
    <w:p w14:paraId="4F4EACA4" w14:textId="77777777" w:rsidR="00DD162C" w:rsidRPr="0085752F" w:rsidRDefault="00DD162C" w:rsidP="00255C2B">
      <w:pPr>
        <w:spacing w:before="240" w:after="240" w:line="360" w:lineRule="auto"/>
        <w:jc w:val="both"/>
        <w:rPr>
          <w:rFonts w:ascii="Arial" w:hAnsi="Arial" w:cs="Arial"/>
          <w:lang w:val="en-GB"/>
        </w:rPr>
      </w:pPr>
      <w:r w:rsidRPr="0085752F">
        <w:rPr>
          <w:rFonts w:ascii="Arial" w:hAnsi="Arial" w:cs="Arial"/>
          <w:lang w:val="en-GB"/>
        </w:rPr>
        <w:t xml:space="preserve">Boin, A., ’t Hart, P., Stern, E. and Sundelius, B., 2017. The politics of crisis management. 2nd ed. Cambridge: Cambridge University Press. Available at: </w:t>
      </w:r>
      <w:hyperlink r:id="rId17" w:history="1">
        <w:r w:rsidRPr="0085752F">
          <w:rPr>
            <w:rFonts w:ascii="Arial" w:hAnsi="Arial" w:cs="Arial"/>
            <w:lang w:val="en-GB"/>
          </w:rPr>
          <w:t>https://assets.cambridge.org/97811071/50356/frontmatter/9781107150356_frontmatter.pdf</w:t>
        </w:r>
      </w:hyperlink>
      <w:r w:rsidRPr="0085752F">
        <w:rPr>
          <w:rFonts w:ascii="Arial" w:hAnsi="Arial" w:cs="Arial"/>
          <w:lang w:val="en-GB"/>
        </w:rPr>
        <w:t xml:space="preserve"> (Accessed: 13 December 2025).</w:t>
      </w:r>
    </w:p>
    <w:p w14:paraId="1841FED9" w14:textId="77777777" w:rsidR="00DD162C" w:rsidRPr="0085752F" w:rsidRDefault="00DD162C" w:rsidP="00255C2B">
      <w:pPr>
        <w:spacing w:before="240" w:after="240" w:line="360" w:lineRule="auto"/>
        <w:jc w:val="both"/>
        <w:rPr>
          <w:rFonts w:ascii="Arial" w:hAnsi="Arial" w:cs="Arial"/>
          <w:lang w:val="en-GB"/>
        </w:rPr>
      </w:pPr>
      <w:r w:rsidRPr="0085752F">
        <w:rPr>
          <w:rFonts w:ascii="Arial" w:hAnsi="Arial" w:cs="Arial"/>
          <w:lang w:val="en-GB"/>
        </w:rPr>
        <w:t xml:space="preserve">Capano, G., Howlett, M., Jarvis, D.S.L., Ramesh, M. and Goyal, N., 2020. Mobilizing policy capacities in times of crisis: COVID-19 and the resilience of public administration. Policy and Society, 39(3), pp.285–303. Available at: </w:t>
      </w:r>
      <w:hyperlink r:id="rId18" w:tgtFrame="_new" w:history="1">
        <w:r w:rsidRPr="0085752F">
          <w:rPr>
            <w:rFonts w:ascii="Arial" w:hAnsi="Arial" w:cs="Arial"/>
            <w:lang w:val="en-GB"/>
          </w:rPr>
          <w:t>https://www.tandfonline.com/doi/full/10.1080/14494035.2020.1787628</w:t>
        </w:r>
      </w:hyperlink>
      <w:r w:rsidRPr="0085752F">
        <w:rPr>
          <w:rFonts w:ascii="Arial" w:hAnsi="Arial" w:cs="Arial"/>
          <w:lang w:val="en-GB"/>
        </w:rPr>
        <w:t xml:space="preserve"> (Accessed: 13 December 2025).</w:t>
      </w:r>
    </w:p>
    <w:p w14:paraId="36DA9A8E" w14:textId="77777777" w:rsidR="00DD162C" w:rsidRPr="0085752F" w:rsidRDefault="00DD162C" w:rsidP="00255C2B">
      <w:pPr>
        <w:spacing w:before="240" w:after="240" w:line="360" w:lineRule="auto"/>
        <w:jc w:val="both"/>
        <w:rPr>
          <w:rFonts w:ascii="Arial" w:hAnsi="Arial" w:cs="Arial"/>
          <w:lang w:val="en-GB"/>
        </w:rPr>
      </w:pPr>
      <w:r w:rsidRPr="0085752F">
        <w:rPr>
          <w:rFonts w:ascii="Arial" w:hAnsi="Arial" w:cs="Arial"/>
          <w:lang w:val="en-GB"/>
        </w:rPr>
        <w:t xml:space="preserve">Carter, D.P. and May, P.J., 2020. Making sense of the COVID-19 crisis: A comparative policy perspective. Policy Studies Journal, 48(4), pp.1139–1164. Available at: </w:t>
      </w:r>
      <w:hyperlink r:id="rId19" w:history="1">
        <w:r w:rsidRPr="0085752F">
          <w:rPr>
            <w:rFonts w:ascii="Arial" w:hAnsi="Arial" w:cs="Arial"/>
            <w:lang w:val="en-GB"/>
          </w:rPr>
          <w:t>https://onlinelibrary.wiley.com/doi/full/10.1111/psj.12409</w:t>
        </w:r>
      </w:hyperlink>
      <w:r w:rsidRPr="0085752F">
        <w:rPr>
          <w:rFonts w:ascii="Arial" w:hAnsi="Arial" w:cs="Arial"/>
          <w:lang w:val="en-GB"/>
        </w:rPr>
        <w:t xml:space="preserve"> (Accessed: 13 December 2025).</w:t>
      </w:r>
    </w:p>
    <w:p w14:paraId="7B681D9D" w14:textId="77777777" w:rsidR="00DD162C" w:rsidRPr="0085752F" w:rsidRDefault="00DD162C" w:rsidP="00255C2B">
      <w:pPr>
        <w:spacing w:before="240" w:after="240" w:line="360" w:lineRule="auto"/>
        <w:jc w:val="both"/>
        <w:rPr>
          <w:rFonts w:ascii="Arial" w:hAnsi="Arial" w:cs="Arial"/>
          <w:lang w:val="en-GB"/>
        </w:rPr>
      </w:pPr>
      <w:r w:rsidRPr="0085752F">
        <w:rPr>
          <w:rFonts w:ascii="Arial" w:hAnsi="Arial" w:cs="Arial"/>
          <w:lang w:val="en-GB"/>
        </w:rPr>
        <w:t xml:space="preserve">Christensen, T. and Lægreid, P., 2020. Balancing governance capacity and legitimacy: How the Norwegian government handled COVID-19. Public Administration Review, 80(5), pp.774–779. Available at: </w:t>
      </w:r>
      <w:hyperlink r:id="rId20" w:history="1">
        <w:r w:rsidRPr="0085752F">
          <w:rPr>
            <w:rFonts w:ascii="Arial" w:hAnsi="Arial" w:cs="Arial"/>
            <w:lang w:val="en-GB"/>
          </w:rPr>
          <w:t>https://onlinelibrary.wiley.com/doi/full/10.1111/puar.13241</w:t>
        </w:r>
      </w:hyperlink>
      <w:r w:rsidRPr="0085752F">
        <w:rPr>
          <w:rFonts w:ascii="Arial" w:hAnsi="Arial" w:cs="Arial"/>
          <w:lang w:val="en-GB"/>
        </w:rPr>
        <w:t xml:space="preserve"> (Accessed: 13 December 2025).</w:t>
      </w:r>
    </w:p>
    <w:p w14:paraId="6444FCAE" w14:textId="77777777" w:rsidR="00DD162C" w:rsidRPr="0085752F" w:rsidRDefault="00DD162C" w:rsidP="00980C7C">
      <w:pPr>
        <w:spacing w:before="240" w:after="240" w:line="360" w:lineRule="auto"/>
        <w:jc w:val="both"/>
        <w:rPr>
          <w:rFonts w:ascii="Arial" w:hAnsi="Arial" w:cs="Arial"/>
          <w:lang w:val="en-GB"/>
        </w:rPr>
      </w:pPr>
      <w:r w:rsidRPr="0085752F">
        <w:rPr>
          <w:rFonts w:ascii="Arial" w:hAnsi="Arial" w:cs="Arial"/>
          <w:lang w:val="en-GB"/>
        </w:rPr>
        <w:t xml:space="preserve">Erkoreka, M., 2022. Decentralization as a handicap in fighting COVID-19: the response of regional governments in Spain. European Journal of Public Health, 32(5), pp.1–7. Available at: </w:t>
      </w:r>
      <w:hyperlink r:id="rId21" w:tgtFrame="_new" w:history="1">
        <w:r w:rsidRPr="0085752F">
          <w:rPr>
            <w:rFonts w:ascii="Arial" w:hAnsi="Arial" w:cs="Arial"/>
            <w:lang w:val="en-GB"/>
          </w:rPr>
          <w:t>https://www.ncbi.nlm.nih.gov/pmc/articles/PMC9349406/</w:t>
        </w:r>
      </w:hyperlink>
      <w:r w:rsidRPr="0085752F">
        <w:rPr>
          <w:rFonts w:ascii="Arial" w:hAnsi="Arial" w:cs="Arial"/>
          <w:lang w:val="en-GB"/>
        </w:rPr>
        <w:t xml:space="preserve"> (Accessed: 13 December 2025).</w:t>
      </w:r>
    </w:p>
    <w:p w14:paraId="459E87BC" w14:textId="77777777" w:rsidR="00DD162C" w:rsidRPr="0085752F" w:rsidRDefault="00DD162C" w:rsidP="00255C2B">
      <w:pPr>
        <w:spacing w:before="240" w:after="240" w:line="360" w:lineRule="auto"/>
        <w:jc w:val="both"/>
        <w:rPr>
          <w:rFonts w:ascii="Arial" w:hAnsi="Arial" w:cs="Arial"/>
          <w:lang w:val="en-GB"/>
        </w:rPr>
      </w:pPr>
      <w:r w:rsidRPr="0085752F">
        <w:rPr>
          <w:rFonts w:ascii="Arial" w:hAnsi="Arial" w:cs="Arial"/>
          <w:lang w:val="en-GB"/>
        </w:rPr>
        <w:t xml:space="preserve">Forman, R., Atun, R., McKee, M. and Mossialos, E., 2020. 12 lessons learned from the management of the coronavirus pandemic. Health Policy, 124(6), pp.577–580. Available at: </w:t>
      </w:r>
      <w:hyperlink r:id="rId22" w:history="1">
        <w:r w:rsidRPr="0085752F">
          <w:rPr>
            <w:rFonts w:ascii="Arial" w:hAnsi="Arial" w:cs="Arial"/>
            <w:lang w:val="en-GB"/>
          </w:rPr>
          <w:t>https://www.sciencedirect.com/science/article/pii/S0168851020301408</w:t>
        </w:r>
      </w:hyperlink>
      <w:r w:rsidRPr="0085752F">
        <w:rPr>
          <w:rFonts w:ascii="Arial" w:hAnsi="Arial" w:cs="Arial"/>
          <w:lang w:val="en-GB"/>
        </w:rPr>
        <w:t xml:space="preserve"> (Accessed: 13 December 2025).</w:t>
      </w:r>
    </w:p>
    <w:p w14:paraId="6DCA200B" w14:textId="77777777" w:rsidR="00DD162C" w:rsidRPr="0085752F" w:rsidRDefault="00DD162C" w:rsidP="00980C7C">
      <w:pPr>
        <w:spacing w:before="240" w:after="240" w:line="360" w:lineRule="auto"/>
        <w:jc w:val="both"/>
        <w:rPr>
          <w:rFonts w:ascii="Arial" w:hAnsi="Arial" w:cs="Arial"/>
          <w:lang w:val="en-GB"/>
        </w:rPr>
      </w:pPr>
      <w:r w:rsidRPr="0085752F">
        <w:rPr>
          <w:rFonts w:ascii="Arial" w:hAnsi="Arial" w:cs="Arial"/>
          <w:lang w:val="en-GB"/>
        </w:rPr>
        <w:t xml:space="preserve">García-Basteiro, A.L. et al., 2020. Evaluation of the COVID-19 response in Spain: principles and requirements. BMJ Global Health, 5(9), pp.1–9. Available at: </w:t>
      </w:r>
      <w:hyperlink r:id="rId23" w:tgtFrame="_new" w:history="1">
        <w:r w:rsidRPr="0085752F">
          <w:rPr>
            <w:rFonts w:ascii="Arial" w:hAnsi="Arial" w:cs="Arial"/>
            <w:lang w:val="en-GB"/>
          </w:rPr>
          <w:t>https://www.ncbi.nlm.nih.gov/pmc/articles/PMC7505572/</w:t>
        </w:r>
      </w:hyperlink>
      <w:r w:rsidRPr="0085752F">
        <w:rPr>
          <w:rFonts w:ascii="Arial" w:hAnsi="Arial" w:cs="Arial"/>
          <w:lang w:val="en-GB"/>
        </w:rPr>
        <w:t xml:space="preserve"> (Accessed: 13 December 2025).</w:t>
      </w:r>
    </w:p>
    <w:p w14:paraId="7E3C43A6" w14:textId="77777777" w:rsidR="00DD162C" w:rsidRPr="0085752F" w:rsidRDefault="00DD162C" w:rsidP="00255C2B">
      <w:pPr>
        <w:spacing w:before="240" w:after="240" w:line="360" w:lineRule="auto"/>
        <w:jc w:val="both"/>
        <w:rPr>
          <w:rFonts w:ascii="Arial" w:hAnsi="Arial" w:cs="Arial"/>
          <w:lang w:val="en-GB"/>
        </w:rPr>
      </w:pPr>
      <w:r w:rsidRPr="0085752F">
        <w:rPr>
          <w:rFonts w:ascii="Arial" w:hAnsi="Arial" w:cs="Arial"/>
          <w:lang w:val="en-GB"/>
        </w:rPr>
        <w:t xml:space="preserve">Greer, S.L., King, E.J., da Fonseca, E.M. and Peralta-Santos, A., 2021. The comparative politics of COVID-19: The need to understand government responses. Global Public Health, 16(8–9), pp.1413–1416. Available at: </w:t>
      </w:r>
      <w:hyperlink r:id="rId24" w:tgtFrame="_new" w:history="1">
        <w:r w:rsidRPr="0085752F">
          <w:rPr>
            <w:rFonts w:ascii="Arial" w:hAnsi="Arial" w:cs="Arial"/>
            <w:lang w:val="en-GB"/>
          </w:rPr>
          <w:t>https://www.tandfonline.com/doi/full/10.1080/17441692.2020.1783340</w:t>
        </w:r>
      </w:hyperlink>
      <w:r w:rsidRPr="0085752F">
        <w:rPr>
          <w:rFonts w:ascii="Arial" w:hAnsi="Arial" w:cs="Arial"/>
          <w:lang w:val="en-GB"/>
        </w:rPr>
        <w:t xml:space="preserve"> (Accessed: 13 December 2025).</w:t>
      </w:r>
    </w:p>
    <w:p w14:paraId="68FC28AB" w14:textId="77777777" w:rsidR="00DD162C" w:rsidRPr="0085752F" w:rsidRDefault="00DD162C" w:rsidP="00255C2B">
      <w:pPr>
        <w:spacing w:before="240" w:after="240" w:line="360" w:lineRule="auto"/>
        <w:jc w:val="both"/>
        <w:rPr>
          <w:rFonts w:ascii="Arial" w:hAnsi="Arial" w:cs="Arial"/>
          <w:lang w:val="en-GB"/>
        </w:rPr>
      </w:pPr>
      <w:r w:rsidRPr="0085752F">
        <w:rPr>
          <w:rFonts w:ascii="Arial" w:hAnsi="Arial" w:cs="Arial"/>
          <w:lang w:val="en-GB"/>
        </w:rPr>
        <w:t xml:space="preserve">Haldane, V. et al., 2021. Health systems resilience in managing the COVID-19 pandemic. BMJ Global Health, 6(5), pp.1–10. Available at: </w:t>
      </w:r>
      <w:hyperlink r:id="rId25" w:history="1">
        <w:r w:rsidRPr="0085752F">
          <w:rPr>
            <w:rFonts w:ascii="Arial" w:hAnsi="Arial" w:cs="Arial"/>
            <w:lang w:val="en-GB"/>
          </w:rPr>
          <w:t>https://www.ncbi.nlm.nih.gov/pmc/articles/PMC8149483/</w:t>
        </w:r>
      </w:hyperlink>
      <w:r w:rsidRPr="0085752F">
        <w:rPr>
          <w:rFonts w:ascii="Arial" w:hAnsi="Arial" w:cs="Arial"/>
          <w:lang w:val="en-GB"/>
        </w:rPr>
        <w:t xml:space="preserve"> (Accessed: 13 December 2025).</w:t>
      </w:r>
    </w:p>
    <w:p w14:paraId="2CB12195" w14:textId="77777777" w:rsidR="00DD162C" w:rsidRPr="0085752F" w:rsidRDefault="00DD162C" w:rsidP="00255C2B">
      <w:pPr>
        <w:spacing w:before="240" w:after="240" w:line="360" w:lineRule="auto"/>
        <w:jc w:val="both"/>
        <w:rPr>
          <w:rFonts w:ascii="Arial" w:hAnsi="Arial" w:cs="Arial"/>
          <w:lang w:val="en-GB"/>
        </w:rPr>
      </w:pPr>
      <w:r w:rsidRPr="0085752F">
        <w:rPr>
          <w:rFonts w:ascii="Arial" w:hAnsi="Arial" w:cs="Arial"/>
          <w:lang w:val="en-GB"/>
        </w:rPr>
        <w:t xml:space="preserve">Head, B.W., 2022. Wicked problems in public policy: COVID-19 and governance challenges. Public Policy and Administration, 37(3), pp.387–404. Available at: </w:t>
      </w:r>
      <w:hyperlink r:id="rId26" w:history="1">
        <w:r w:rsidRPr="0085752F">
          <w:rPr>
            <w:rFonts w:ascii="Arial" w:hAnsi="Arial" w:cs="Arial"/>
            <w:lang w:val="en-GB"/>
          </w:rPr>
          <w:t>https://journals.sagepub.com/doi/full/10.1177/09520767211044730</w:t>
        </w:r>
      </w:hyperlink>
      <w:r w:rsidRPr="0085752F">
        <w:rPr>
          <w:rFonts w:ascii="Arial" w:hAnsi="Arial" w:cs="Arial"/>
          <w:lang w:val="en-GB"/>
        </w:rPr>
        <w:t xml:space="preserve"> (Accessed: 13 December 2025).</w:t>
      </w:r>
    </w:p>
    <w:p w14:paraId="22621577" w14:textId="77777777" w:rsidR="00DD162C" w:rsidRPr="0085752F" w:rsidRDefault="00DD162C" w:rsidP="00255C2B">
      <w:pPr>
        <w:spacing w:before="240" w:after="240" w:line="360" w:lineRule="auto"/>
        <w:jc w:val="both"/>
        <w:rPr>
          <w:rFonts w:ascii="Arial" w:hAnsi="Arial" w:cs="Arial"/>
          <w:lang w:val="en-GB"/>
        </w:rPr>
      </w:pPr>
      <w:r w:rsidRPr="0085752F">
        <w:rPr>
          <w:rFonts w:ascii="Arial" w:hAnsi="Arial" w:cs="Arial"/>
          <w:lang w:val="en-GB"/>
        </w:rPr>
        <w:t xml:space="preserve">Hegele, Y. and Schnabel, J., 2021. Federalism and the management of the COVID-19 crisis. Regional &amp; Federal Studies, 31(4), pp.475–495. Available at: </w:t>
      </w:r>
      <w:hyperlink r:id="rId27" w:history="1">
        <w:r w:rsidRPr="0085752F">
          <w:rPr>
            <w:rFonts w:ascii="Arial" w:hAnsi="Arial" w:cs="Arial"/>
            <w:lang w:val="en-GB"/>
          </w:rPr>
          <w:t>https://www.tandfonline.com/doi/full/10.1080/13597566.2021.1882979</w:t>
        </w:r>
      </w:hyperlink>
      <w:r w:rsidRPr="0085752F">
        <w:rPr>
          <w:rFonts w:ascii="Arial" w:hAnsi="Arial" w:cs="Arial"/>
          <w:lang w:val="en-GB"/>
        </w:rPr>
        <w:t xml:space="preserve"> (Accessed: 13 December 2025).</w:t>
      </w:r>
    </w:p>
    <w:p w14:paraId="27DE42E2" w14:textId="77777777" w:rsidR="00DD162C" w:rsidRPr="0085752F" w:rsidRDefault="00DD162C" w:rsidP="00980C7C">
      <w:pPr>
        <w:spacing w:before="240" w:after="240" w:line="360" w:lineRule="auto"/>
        <w:jc w:val="both"/>
        <w:rPr>
          <w:rFonts w:ascii="Arial" w:hAnsi="Arial" w:cs="Arial"/>
          <w:lang w:val="en-GB"/>
        </w:rPr>
      </w:pPr>
      <w:r w:rsidRPr="0085752F">
        <w:rPr>
          <w:rFonts w:ascii="Arial" w:hAnsi="Arial" w:cs="Arial"/>
          <w:lang w:val="en-GB"/>
        </w:rPr>
        <w:t xml:space="preserve">Jeong, E., Hagose, M., Jung, H. and Ki, M., 2020. Understanding South Korea’s response to the COVID-19 outbreak. International Journal of Environmental Research and Public Health, 17(24), pp.1–15. Available at: </w:t>
      </w:r>
      <w:hyperlink r:id="rId28" w:tgtFrame="_new" w:history="1">
        <w:r w:rsidRPr="0085752F">
          <w:rPr>
            <w:rFonts w:ascii="Arial" w:hAnsi="Arial" w:cs="Arial"/>
            <w:lang w:val="en-GB"/>
          </w:rPr>
          <w:t>https://www.mdpi.com/1660-4601/17/24/9571</w:t>
        </w:r>
      </w:hyperlink>
      <w:r w:rsidRPr="0085752F">
        <w:rPr>
          <w:rFonts w:ascii="Arial" w:hAnsi="Arial" w:cs="Arial"/>
          <w:lang w:val="en-GB"/>
        </w:rPr>
        <w:t xml:space="preserve"> (Accessed: 13 December 2025).</w:t>
      </w:r>
    </w:p>
    <w:p w14:paraId="14B8AAFA" w14:textId="77777777" w:rsidR="00DD162C" w:rsidRPr="0085752F" w:rsidRDefault="00DD162C" w:rsidP="00255C2B">
      <w:pPr>
        <w:spacing w:before="240" w:after="240" w:line="360" w:lineRule="auto"/>
        <w:jc w:val="both"/>
        <w:rPr>
          <w:rFonts w:ascii="Arial" w:hAnsi="Arial" w:cs="Arial"/>
          <w:lang w:val="en-GB"/>
        </w:rPr>
      </w:pPr>
      <w:r w:rsidRPr="0085752F">
        <w:rPr>
          <w:rFonts w:ascii="Arial" w:hAnsi="Arial" w:cs="Arial"/>
          <w:lang w:val="en-GB"/>
        </w:rPr>
        <w:t xml:space="preserve">Kavanagh, M.M. and Singh, R., 2020. Democracy, capacity, and coercion in pandemic response. Journal of Health Politics, Policy and Law, 45(6), pp.997–1012. Available at: </w:t>
      </w:r>
      <w:hyperlink r:id="rId29" w:history="1">
        <w:r w:rsidRPr="0085752F">
          <w:rPr>
            <w:rFonts w:ascii="Arial" w:hAnsi="Arial" w:cs="Arial"/>
            <w:lang w:val="en-GB"/>
          </w:rPr>
          <w:t>https://read.dukeupress.edu/jhppl/article/45/6/997/167634</w:t>
        </w:r>
      </w:hyperlink>
      <w:r w:rsidRPr="0085752F">
        <w:rPr>
          <w:rFonts w:ascii="Arial" w:hAnsi="Arial" w:cs="Arial"/>
          <w:lang w:val="en-GB"/>
        </w:rPr>
        <w:t xml:space="preserve"> (Accessed: 13 December 2025).</w:t>
      </w:r>
    </w:p>
    <w:p w14:paraId="0B83E841" w14:textId="77777777" w:rsidR="00DD162C" w:rsidRPr="0085752F" w:rsidRDefault="00DD162C" w:rsidP="00980C7C">
      <w:pPr>
        <w:spacing w:before="240" w:after="240" w:line="360" w:lineRule="auto"/>
        <w:jc w:val="both"/>
        <w:rPr>
          <w:rFonts w:ascii="Arial" w:hAnsi="Arial" w:cs="Arial"/>
          <w:lang w:val="en-GB"/>
        </w:rPr>
      </w:pPr>
      <w:r w:rsidRPr="0085752F">
        <w:rPr>
          <w:rFonts w:ascii="Arial" w:hAnsi="Arial" w:cs="Arial"/>
          <w:lang w:val="en-GB"/>
        </w:rPr>
        <w:t xml:space="preserve">Kim, W., Moon, J. and Choi, Y., 2021. Governance and preparedness in South Korea’s COVID-19 response. International Journal of Infectious Diseases, 110, pp.1–8. Available at: </w:t>
      </w:r>
      <w:hyperlink r:id="rId30" w:tgtFrame="_new" w:history="1">
        <w:r w:rsidRPr="0085752F">
          <w:rPr>
            <w:rFonts w:ascii="Arial" w:hAnsi="Arial" w:cs="Arial"/>
            <w:lang w:val="en-GB"/>
          </w:rPr>
          <w:t>https://www.ncbi.nlm.nih.gov/pmc/articles/PMC8382722/</w:t>
        </w:r>
      </w:hyperlink>
      <w:r w:rsidRPr="0085752F">
        <w:rPr>
          <w:rFonts w:ascii="Arial" w:hAnsi="Arial" w:cs="Arial"/>
          <w:lang w:val="en-GB"/>
        </w:rPr>
        <w:t xml:space="preserve"> (Accessed: 13 December 2025).</w:t>
      </w:r>
    </w:p>
    <w:p w14:paraId="5E71B843" w14:textId="77777777" w:rsidR="00DD162C" w:rsidRPr="0085752F" w:rsidRDefault="00DD162C" w:rsidP="00980C7C">
      <w:pPr>
        <w:spacing w:before="240" w:after="240" w:line="360" w:lineRule="auto"/>
        <w:jc w:val="both"/>
        <w:rPr>
          <w:rFonts w:ascii="Arial" w:hAnsi="Arial" w:cs="Arial"/>
          <w:lang w:val="en-GB"/>
        </w:rPr>
      </w:pPr>
      <w:r w:rsidRPr="0085752F">
        <w:rPr>
          <w:rFonts w:ascii="Arial" w:hAnsi="Arial" w:cs="Arial"/>
          <w:lang w:val="en-GB"/>
        </w:rPr>
        <w:t xml:space="preserve">Laur, C.V. et al., 2021. Adaptive leadership and health service innovation during COVID-19. Healthcare Policy, 16(4), pp.1–14. Available at: </w:t>
      </w:r>
      <w:hyperlink r:id="rId31" w:tgtFrame="_new" w:history="1">
        <w:r w:rsidRPr="0085752F">
          <w:rPr>
            <w:rFonts w:ascii="Arial" w:hAnsi="Arial" w:cs="Arial"/>
            <w:lang w:val="en-GB"/>
          </w:rPr>
          <w:t>https://www.ncbi.nlm.nih.gov/pmc/articles/PMC7808765/</w:t>
        </w:r>
      </w:hyperlink>
      <w:r w:rsidRPr="0085752F">
        <w:rPr>
          <w:rFonts w:ascii="Arial" w:hAnsi="Arial" w:cs="Arial"/>
          <w:lang w:val="en-GB"/>
        </w:rPr>
        <w:t xml:space="preserve"> (Accessed: 13 December 2025).</w:t>
      </w:r>
    </w:p>
    <w:p w14:paraId="4BB6DA73" w14:textId="77777777" w:rsidR="00DD162C" w:rsidRPr="0085752F" w:rsidRDefault="00DD162C" w:rsidP="00255C2B">
      <w:pPr>
        <w:spacing w:before="240" w:after="240" w:line="360" w:lineRule="auto"/>
        <w:jc w:val="both"/>
        <w:rPr>
          <w:rFonts w:ascii="Arial" w:hAnsi="Arial" w:cs="Arial"/>
          <w:lang w:val="en-GB"/>
        </w:rPr>
      </w:pPr>
      <w:r w:rsidRPr="0085752F">
        <w:rPr>
          <w:rFonts w:ascii="Arial" w:hAnsi="Arial" w:cs="Arial"/>
          <w:lang w:val="en-GB"/>
        </w:rPr>
        <w:t xml:space="preserve">McConnell, A. and ’t Hart, P., 2020. Inaction and public leadership failures in crisis. Public Administration, 98(4), pp.887–900. Available at: </w:t>
      </w:r>
      <w:hyperlink r:id="rId32" w:history="1">
        <w:r w:rsidRPr="0085752F">
          <w:rPr>
            <w:rFonts w:ascii="Arial" w:hAnsi="Arial" w:cs="Arial"/>
            <w:lang w:val="en-GB"/>
          </w:rPr>
          <w:t>https://onlinelibrary.wiley.com/doi/full/10.1111/padm.12699</w:t>
        </w:r>
      </w:hyperlink>
      <w:r w:rsidRPr="0085752F">
        <w:rPr>
          <w:rFonts w:ascii="Arial" w:hAnsi="Arial" w:cs="Arial"/>
          <w:lang w:val="en-GB"/>
        </w:rPr>
        <w:t xml:space="preserve"> (Accessed: 13 December 2025).</w:t>
      </w:r>
    </w:p>
    <w:p w14:paraId="40E74E23" w14:textId="77777777" w:rsidR="00DD162C" w:rsidRPr="0085752F" w:rsidRDefault="00DD162C" w:rsidP="00255C2B">
      <w:pPr>
        <w:spacing w:before="240" w:after="240" w:line="360" w:lineRule="auto"/>
        <w:jc w:val="both"/>
        <w:rPr>
          <w:rFonts w:ascii="Arial" w:hAnsi="Arial" w:cs="Arial"/>
          <w:lang w:val="en-GB"/>
        </w:rPr>
      </w:pPr>
      <w:r w:rsidRPr="0085752F">
        <w:rPr>
          <w:rFonts w:ascii="Arial" w:hAnsi="Arial" w:cs="Arial"/>
          <w:lang w:val="en-GB"/>
        </w:rPr>
        <w:t xml:space="preserve">Mintrom, M. and O’Connor, R., 2020. The importance of policy narrative in COVID-19 responses. Policy Design and Practice, 3(3), pp.205–219. Available at: </w:t>
      </w:r>
      <w:hyperlink r:id="rId33" w:history="1">
        <w:r w:rsidRPr="0085752F">
          <w:rPr>
            <w:rFonts w:ascii="Arial" w:hAnsi="Arial" w:cs="Arial"/>
            <w:lang w:val="en-GB"/>
          </w:rPr>
          <w:t>https://www.tandfonline.com/doi/full/10.1080/25741292.2020.1813357</w:t>
        </w:r>
      </w:hyperlink>
      <w:r w:rsidRPr="0085752F">
        <w:rPr>
          <w:rFonts w:ascii="Arial" w:hAnsi="Arial" w:cs="Arial"/>
          <w:lang w:val="en-GB"/>
        </w:rPr>
        <w:t xml:space="preserve"> (Accessed: 13 December 2025).</w:t>
      </w:r>
    </w:p>
    <w:p w14:paraId="04AD5ED3" w14:textId="77777777" w:rsidR="00DD162C" w:rsidRPr="0085752F" w:rsidRDefault="00DD162C" w:rsidP="00255C2B">
      <w:pPr>
        <w:spacing w:before="240" w:after="240" w:line="360" w:lineRule="auto"/>
        <w:jc w:val="both"/>
        <w:rPr>
          <w:rFonts w:ascii="Arial" w:hAnsi="Arial" w:cs="Arial"/>
          <w:lang w:val="en-GB"/>
        </w:rPr>
      </w:pPr>
      <w:r w:rsidRPr="0085752F">
        <w:rPr>
          <w:rFonts w:ascii="Arial" w:hAnsi="Arial" w:cs="Arial"/>
          <w:lang w:val="en-GB"/>
        </w:rPr>
        <w:t xml:space="preserve">Moon, M.J., 2020. Fighting COVID-19 with agility, transparency, and participation: Wicked policy problems and new governance challenges. Public Administration Review, 80(4), pp.651–656. Available at: </w:t>
      </w:r>
      <w:hyperlink r:id="rId34" w:history="1">
        <w:r w:rsidRPr="0085752F">
          <w:rPr>
            <w:rFonts w:ascii="Arial" w:hAnsi="Arial" w:cs="Arial"/>
            <w:lang w:val="en-GB"/>
          </w:rPr>
          <w:t>https://onlinelibrary.wiley.com/doi/full/10.1111/puar.13214</w:t>
        </w:r>
      </w:hyperlink>
      <w:r w:rsidRPr="0085752F">
        <w:rPr>
          <w:rFonts w:ascii="Arial" w:hAnsi="Arial" w:cs="Arial"/>
          <w:lang w:val="en-GB"/>
        </w:rPr>
        <w:t xml:space="preserve"> (Accessed: 13 December 2025).</w:t>
      </w:r>
    </w:p>
    <w:p w14:paraId="0A1B6A6B" w14:textId="0E3DFA46" w:rsidR="00DD162C" w:rsidRPr="0085752F" w:rsidRDefault="00DD162C" w:rsidP="00255C2B">
      <w:pPr>
        <w:spacing w:before="240" w:after="240" w:line="360" w:lineRule="auto"/>
        <w:jc w:val="both"/>
        <w:rPr>
          <w:rFonts w:ascii="Arial" w:hAnsi="Arial" w:cs="Arial"/>
          <w:lang w:val="en-GB"/>
        </w:rPr>
      </w:pPr>
      <w:r w:rsidRPr="0085752F">
        <w:rPr>
          <w:rFonts w:ascii="Arial" w:hAnsi="Arial" w:cs="Arial"/>
          <w:lang w:val="en-GB"/>
        </w:rPr>
        <w:t>OECD</w:t>
      </w:r>
      <w:r w:rsidR="00AD786B">
        <w:rPr>
          <w:rFonts w:ascii="Arial" w:hAnsi="Arial" w:cs="Arial"/>
          <w:lang w:val="en-GB"/>
        </w:rPr>
        <w:t>.</w:t>
      </w:r>
      <w:r w:rsidRPr="0085752F">
        <w:rPr>
          <w:rFonts w:ascii="Arial" w:hAnsi="Arial" w:cs="Arial"/>
          <w:lang w:val="en-GB"/>
        </w:rPr>
        <w:t xml:space="preserve">, 2022. Building resilience to future shocks: COVID-19 lessons for public governance. Paris: OECD Publishing. Available at: </w:t>
      </w:r>
      <w:hyperlink r:id="rId35" w:history="1">
        <w:r w:rsidRPr="0085752F">
          <w:rPr>
            <w:rFonts w:ascii="Arial" w:hAnsi="Arial" w:cs="Arial"/>
            <w:lang w:val="en-GB"/>
          </w:rPr>
          <w:t>https://www.oecd.org/gov/building-resilience-to-future-shocks.pdf</w:t>
        </w:r>
      </w:hyperlink>
      <w:r w:rsidRPr="0085752F">
        <w:rPr>
          <w:rFonts w:ascii="Arial" w:hAnsi="Arial" w:cs="Arial"/>
          <w:lang w:val="en-GB"/>
        </w:rPr>
        <w:t xml:space="preserve"> (Accessed: 13 December 2025).</w:t>
      </w:r>
    </w:p>
    <w:p w14:paraId="58CE5353" w14:textId="77777777" w:rsidR="00DD162C" w:rsidRPr="0085752F" w:rsidRDefault="00DD162C" w:rsidP="00255C2B">
      <w:pPr>
        <w:spacing w:before="240" w:after="240" w:line="360" w:lineRule="auto"/>
        <w:jc w:val="both"/>
        <w:rPr>
          <w:rFonts w:ascii="Arial" w:hAnsi="Arial" w:cs="Arial"/>
          <w:lang w:val="en-GB"/>
        </w:rPr>
      </w:pPr>
      <w:r w:rsidRPr="0085752F">
        <w:rPr>
          <w:rFonts w:ascii="Arial" w:hAnsi="Arial" w:cs="Arial"/>
          <w:lang w:val="en-GB"/>
        </w:rPr>
        <w:t xml:space="preserve">Peters, B.G., Pierre, J. and Randma-Liiv, T., 2011. Global financial crisis, public administration and governance. Public Organization Review, 11, pp.13–28. Available at: </w:t>
      </w:r>
      <w:hyperlink r:id="rId36" w:history="1">
        <w:r w:rsidRPr="0085752F">
          <w:rPr>
            <w:rFonts w:ascii="Arial" w:hAnsi="Arial" w:cs="Arial"/>
            <w:lang w:val="en-GB"/>
          </w:rPr>
          <w:t>https://link.springer.com/article/10.1007/s11115-010-0140-1</w:t>
        </w:r>
      </w:hyperlink>
      <w:r w:rsidRPr="0085752F">
        <w:rPr>
          <w:rFonts w:ascii="Arial" w:hAnsi="Arial" w:cs="Arial"/>
          <w:lang w:val="en-GB"/>
        </w:rPr>
        <w:t xml:space="preserve"> (Accessed: 13 December 2025).</w:t>
      </w:r>
    </w:p>
    <w:p w14:paraId="7E5F89CA" w14:textId="77777777" w:rsidR="00DD162C" w:rsidRPr="0085752F" w:rsidRDefault="00DD162C" w:rsidP="00980C7C">
      <w:pPr>
        <w:spacing w:before="240" w:after="240" w:line="360" w:lineRule="auto"/>
        <w:jc w:val="both"/>
        <w:rPr>
          <w:rFonts w:ascii="Arial" w:hAnsi="Arial" w:cs="Arial"/>
          <w:lang w:val="en-GB"/>
        </w:rPr>
      </w:pPr>
      <w:r w:rsidRPr="0085752F">
        <w:rPr>
          <w:rFonts w:ascii="Arial" w:hAnsi="Arial" w:cs="Arial"/>
          <w:lang w:val="en-GB"/>
        </w:rPr>
        <w:t xml:space="preserve">Royo, S., 2020. Responding to COVID-19: the case of Spain. Public Administration and Development, 40(5), pp.256–271. Available at: </w:t>
      </w:r>
      <w:hyperlink r:id="rId37" w:tgtFrame="_new" w:history="1">
        <w:r w:rsidRPr="0085752F">
          <w:rPr>
            <w:rFonts w:ascii="Arial" w:hAnsi="Arial" w:cs="Arial"/>
            <w:lang w:val="en-GB"/>
          </w:rPr>
          <w:t>https://www.ncbi.nlm.nih.gov/pmc/articles/PMC7753436/</w:t>
        </w:r>
      </w:hyperlink>
      <w:r w:rsidRPr="0085752F">
        <w:rPr>
          <w:rFonts w:ascii="Arial" w:hAnsi="Arial" w:cs="Arial"/>
          <w:lang w:val="en-GB"/>
        </w:rPr>
        <w:t xml:space="preserve"> (Accessed: 13 December 2025).</w:t>
      </w:r>
    </w:p>
    <w:p w14:paraId="32360724" w14:textId="77777777" w:rsidR="00DD162C" w:rsidRPr="0085752F" w:rsidRDefault="00DD162C" w:rsidP="00255C2B">
      <w:pPr>
        <w:spacing w:before="240" w:after="240" w:line="360" w:lineRule="auto"/>
        <w:jc w:val="both"/>
        <w:rPr>
          <w:rFonts w:ascii="Arial" w:hAnsi="Arial" w:cs="Arial"/>
          <w:lang w:val="en-GB"/>
        </w:rPr>
      </w:pPr>
      <w:r w:rsidRPr="0085752F">
        <w:rPr>
          <w:rFonts w:ascii="Arial" w:hAnsi="Arial" w:cs="Arial"/>
          <w:lang w:val="en-GB"/>
        </w:rPr>
        <w:t xml:space="preserve">Sagan, A., Thomas, S. and Webb, E., 2021. COVID-19 and health systems resilience in Europe. Copenhagen: WHO Regional Office for Europe. Available at: </w:t>
      </w:r>
      <w:hyperlink r:id="rId38" w:history="1">
        <w:r w:rsidRPr="0085752F">
          <w:rPr>
            <w:rFonts w:ascii="Arial" w:hAnsi="Arial" w:cs="Arial"/>
            <w:lang w:val="en-GB"/>
          </w:rPr>
          <w:t>https://apps.who.int/iris/handle/10665/344134</w:t>
        </w:r>
      </w:hyperlink>
      <w:r w:rsidRPr="0085752F">
        <w:rPr>
          <w:rFonts w:ascii="Arial" w:hAnsi="Arial" w:cs="Arial"/>
          <w:lang w:val="en-GB"/>
        </w:rPr>
        <w:t xml:space="preserve"> (Accessed: 13 December 2025).</w:t>
      </w:r>
    </w:p>
    <w:p w14:paraId="5DBCB430" w14:textId="77777777" w:rsidR="00DD162C" w:rsidRPr="0085752F" w:rsidRDefault="00DD162C" w:rsidP="00980C7C">
      <w:pPr>
        <w:spacing w:before="240" w:after="240" w:line="360" w:lineRule="auto"/>
        <w:jc w:val="both"/>
        <w:rPr>
          <w:rFonts w:ascii="Arial" w:hAnsi="Arial" w:cs="Arial"/>
          <w:lang w:val="en-GB"/>
        </w:rPr>
      </w:pPr>
      <w:r w:rsidRPr="0085752F">
        <w:rPr>
          <w:rFonts w:ascii="Arial" w:hAnsi="Arial" w:cs="Arial"/>
          <w:lang w:val="en-GB"/>
        </w:rPr>
        <w:t xml:space="preserve">Sanders, J. et al., 2021. Clinical leadership during the COVID-19 pandemic: a systematic review. BMJ Leader, 5(2), pp.1–9. Available at: </w:t>
      </w:r>
      <w:hyperlink r:id="rId39" w:tgtFrame="_new" w:history="1">
        <w:r w:rsidRPr="0085752F">
          <w:rPr>
            <w:rFonts w:ascii="Arial" w:hAnsi="Arial" w:cs="Arial"/>
            <w:lang w:val="en-GB"/>
          </w:rPr>
          <w:t>https://www.ncbi.nlm.nih.gov/pmc/articles/PMC8547230/</w:t>
        </w:r>
      </w:hyperlink>
      <w:r w:rsidRPr="0085752F">
        <w:rPr>
          <w:rFonts w:ascii="Arial" w:hAnsi="Arial" w:cs="Arial"/>
          <w:lang w:val="en-GB"/>
        </w:rPr>
        <w:t xml:space="preserve"> (Accessed: 13 December 2025).</w:t>
      </w:r>
    </w:p>
    <w:p w14:paraId="2B59738D" w14:textId="77777777" w:rsidR="00DD162C" w:rsidRPr="0085752F" w:rsidRDefault="00DD162C" w:rsidP="00980C7C">
      <w:pPr>
        <w:spacing w:before="240" w:after="240" w:line="360" w:lineRule="auto"/>
        <w:jc w:val="both"/>
        <w:rPr>
          <w:rFonts w:ascii="Arial" w:hAnsi="Arial" w:cs="Arial"/>
          <w:lang w:val="en-GB"/>
        </w:rPr>
      </w:pPr>
      <w:r w:rsidRPr="0085752F">
        <w:rPr>
          <w:rFonts w:ascii="Arial" w:hAnsi="Arial" w:cs="Arial"/>
          <w:lang w:val="en-GB"/>
        </w:rPr>
        <w:t xml:space="preserve">Smith, R.W., Silva, D.S. and Upshur, R., 2022. Centralisation and integration of public health systems during COVID-19. BMC Public Health, 22, pp.1–12. Available at: </w:t>
      </w:r>
      <w:hyperlink r:id="rId40" w:tgtFrame="_new" w:history="1">
        <w:r w:rsidRPr="0085752F">
          <w:rPr>
            <w:rFonts w:ascii="Arial" w:hAnsi="Arial" w:cs="Arial"/>
            <w:lang w:val="en-GB"/>
          </w:rPr>
          <w:t>https://www.ncbi.nlm.nih.gov/pmc/articles/PMC9681988/</w:t>
        </w:r>
      </w:hyperlink>
      <w:r w:rsidRPr="0085752F">
        <w:rPr>
          <w:rFonts w:ascii="Arial" w:hAnsi="Arial" w:cs="Arial"/>
          <w:lang w:val="en-GB"/>
        </w:rPr>
        <w:t xml:space="preserve"> (Accessed: 13 December 2025).</w:t>
      </w:r>
    </w:p>
    <w:p w14:paraId="21B2A118" w14:textId="77777777" w:rsidR="00DD162C" w:rsidRPr="0085752F" w:rsidRDefault="00DD162C" w:rsidP="00255C2B">
      <w:pPr>
        <w:spacing w:before="240" w:after="240" w:line="360" w:lineRule="auto"/>
        <w:jc w:val="both"/>
        <w:rPr>
          <w:rFonts w:ascii="Arial" w:hAnsi="Arial" w:cs="Arial"/>
          <w:lang w:val="en-GB"/>
        </w:rPr>
      </w:pPr>
      <w:r w:rsidRPr="0085752F">
        <w:rPr>
          <w:rFonts w:ascii="Arial" w:hAnsi="Arial" w:cs="Arial"/>
          <w:lang w:val="en-GB"/>
        </w:rPr>
        <w:t xml:space="preserve">Van Doorn, E., Van der Meulen, B. and Van de Bovenkamp, H., 2021. Leadership in times of crisis: A qualitative study during COVID-19. BMC Health Services Research, 21, pp.1–12. Available at: </w:t>
      </w:r>
      <w:hyperlink r:id="rId41" w:history="1">
        <w:r w:rsidRPr="0085752F">
          <w:rPr>
            <w:rFonts w:ascii="Arial" w:hAnsi="Arial" w:cs="Arial"/>
            <w:lang w:val="en-GB"/>
          </w:rPr>
          <w:t>https://www.ncbi.nlm.nih.gov/pmc/articles/PMC7810892/</w:t>
        </w:r>
      </w:hyperlink>
      <w:r w:rsidRPr="0085752F">
        <w:rPr>
          <w:rFonts w:ascii="Arial" w:hAnsi="Arial" w:cs="Arial"/>
          <w:lang w:val="en-GB"/>
        </w:rPr>
        <w:t xml:space="preserve"> (Accessed: 13 December 2025).</w:t>
      </w:r>
    </w:p>
    <w:p w14:paraId="5CDAEA63" w14:textId="0849B1FD" w:rsidR="00DD162C" w:rsidRPr="0085752F" w:rsidRDefault="00DD162C" w:rsidP="00255C2B">
      <w:pPr>
        <w:spacing w:before="240" w:after="240" w:line="360" w:lineRule="auto"/>
        <w:jc w:val="both"/>
        <w:rPr>
          <w:rFonts w:ascii="Arial" w:hAnsi="Arial" w:cs="Arial"/>
          <w:lang w:val="en-GB"/>
        </w:rPr>
      </w:pPr>
      <w:r w:rsidRPr="0085752F">
        <w:rPr>
          <w:rFonts w:ascii="Arial" w:hAnsi="Arial" w:cs="Arial"/>
          <w:lang w:val="en-GB"/>
        </w:rPr>
        <w:t>WHO Europe</w:t>
      </w:r>
      <w:r w:rsidR="00AD786B">
        <w:rPr>
          <w:rFonts w:ascii="Arial" w:hAnsi="Arial" w:cs="Arial"/>
          <w:lang w:val="en-GB"/>
        </w:rPr>
        <w:t>.</w:t>
      </w:r>
      <w:r w:rsidRPr="0085752F">
        <w:rPr>
          <w:rFonts w:ascii="Arial" w:hAnsi="Arial" w:cs="Arial"/>
          <w:lang w:val="en-GB"/>
        </w:rPr>
        <w:t xml:space="preserve">, 2022. Strengthening health system governance during public health emergencies. Copenhagen: WHO. Available at: </w:t>
      </w:r>
      <w:hyperlink r:id="rId42" w:history="1">
        <w:r w:rsidRPr="0085752F">
          <w:rPr>
            <w:rFonts w:ascii="Arial" w:hAnsi="Arial" w:cs="Arial"/>
            <w:lang w:val="en-GB"/>
          </w:rPr>
          <w:t>https://apps.who.int/iris/bitstream/handle/10665/353944/WHO-EURO-2022-5403-45350-64904.pdf</w:t>
        </w:r>
      </w:hyperlink>
      <w:r w:rsidRPr="0085752F">
        <w:rPr>
          <w:rFonts w:ascii="Arial" w:hAnsi="Arial" w:cs="Arial"/>
          <w:lang w:val="en-GB"/>
        </w:rPr>
        <w:t xml:space="preserve"> (Accessed: 13 December 2025).</w:t>
      </w:r>
    </w:p>
    <w:p w14:paraId="555EBB8B" w14:textId="7DC4F721" w:rsidR="00DD162C" w:rsidRPr="0085752F" w:rsidRDefault="00DD162C" w:rsidP="00B31A7D">
      <w:pPr>
        <w:spacing w:before="240" w:after="240" w:line="360" w:lineRule="auto"/>
        <w:jc w:val="both"/>
        <w:rPr>
          <w:rFonts w:ascii="Arial" w:hAnsi="Arial" w:cs="Arial"/>
          <w:lang w:val="en-GB"/>
        </w:rPr>
      </w:pPr>
      <w:r w:rsidRPr="0085752F">
        <w:rPr>
          <w:rFonts w:ascii="Arial" w:hAnsi="Arial" w:cs="Arial"/>
          <w:lang w:val="en-GB"/>
        </w:rPr>
        <w:t>World Bank</w:t>
      </w:r>
      <w:r w:rsidR="00AD786B">
        <w:rPr>
          <w:rFonts w:ascii="Arial" w:hAnsi="Arial" w:cs="Arial"/>
          <w:lang w:val="en-GB"/>
        </w:rPr>
        <w:t>.</w:t>
      </w:r>
      <w:r w:rsidRPr="0085752F">
        <w:rPr>
          <w:rFonts w:ascii="Arial" w:hAnsi="Arial" w:cs="Arial"/>
          <w:lang w:val="en-GB"/>
        </w:rPr>
        <w:t xml:space="preserve">, 2023. Republic of Korea: COVID-19 preparedness and response case study. Washington DC: World Bank. Available at: </w:t>
      </w:r>
      <w:hyperlink r:id="rId43" w:tgtFrame="_new" w:history="1">
        <w:r w:rsidRPr="0085752F">
          <w:rPr>
            <w:rFonts w:ascii="Arial" w:hAnsi="Arial" w:cs="Arial"/>
            <w:lang w:val="en-GB"/>
          </w:rPr>
          <w:t>https://thedocs.worldbank.org/en/doc/214261388bdfa468bd8d180cb8ecb907-0070012023/original/Korea-case-study.pdf</w:t>
        </w:r>
      </w:hyperlink>
      <w:r w:rsidRPr="0085752F">
        <w:rPr>
          <w:rFonts w:ascii="Arial" w:hAnsi="Arial" w:cs="Arial"/>
          <w:lang w:val="en-GB"/>
        </w:rPr>
        <w:t xml:space="preserve"> (Accessed: 13 December 2025).</w:t>
      </w:r>
    </w:p>
    <w:p w14:paraId="4208FDE8" w14:textId="77777777" w:rsidR="00255C2B" w:rsidRPr="0085752F" w:rsidRDefault="00255C2B" w:rsidP="00B31A7D">
      <w:pPr>
        <w:spacing w:before="240" w:after="240" w:line="360" w:lineRule="auto"/>
        <w:jc w:val="both"/>
        <w:rPr>
          <w:rFonts w:ascii="Arial" w:hAnsi="Arial" w:cs="Arial"/>
          <w:lang w:val="en-GB"/>
        </w:rPr>
      </w:pPr>
    </w:p>
    <w:p w14:paraId="46D421FD" w14:textId="6ED038F6" w:rsidR="00A14D02" w:rsidRPr="0085752F" w:rsidRDefault="00A14D02" w:rsidP="00B31A7D">
      <w:pPr>
        <w:spacing w:before="240" w:after="240" w:line="360" w:lineRule="auto"/>
        <w:jc w:val="both"/>
        <w:rPr>
          <w:rFonts w:ascii="Arial" w:hAnsi="Arial" w:cs="Arial"/>
          <w:lang w:val="en-GB"/>
        </w:rPr>
      </w:pPr>
    </w:p>
    <w:sectPr w:rsidR="00A14D02" w:rsidRPr="0085752F" w:rsidSect="00314905">
      <w:footerReference w:type="default" r:id="rId44"/>
      <w:pgSz w:w="12240" w:h="15840"/>
      <w:pgMar w:top="1440" w:right="1440" w:bottom="1440" w:left="1440" w:header="720" w:footer="720" w:gutter="0"/>
      <w:pgBorders w:offsetFrom="page">
        <w:top w:val="thinThickSmallGap" w:sz="18" w:space="24" w:color="auto"/>
        <w:left w:val="thinThickSmallGap" w:sz="18" w:space="24" w:color="auto"/>
        <w:bottom w:val="thinThickSmallGap" w:sz="18" w:space="24" w:color="auto"/>
        <w:right w:val="thinThickSmallGap" w:sz="1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F361DE" w14:textId="77777777" w:rsidR="00032281" w:rsidRDefault="00032281" w:rsidP="00314905">
      <w:pPr>
        <w:spacing w:after="0" w:line="240" w:lineRule="auto"/>
      </w:pPr>
      <w:r>
        <w:separator/>
      </w:r>
    </w:p>
  </w:endnote>
  <w:endnote w:type="continuationSeparator" w:id="0">
    <w:p w14:paraId="39AED20D" w14:textId="77777777" w:rsidR="00032281" w:rsidRDefault="00032281" w:rsidP="003149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9271752"/>
      <w:docPartObj>
        <w:docPartGallery w:val="Page Numbers (Bottom of Page)"/>
        <w:docPartUnique/>
      </w:docPartObj>
    </w:sdtPr>
    <w:sdtEndPr>
      <w:rPr>
        <w:noProof/>
      </w:rPr>
    </w:sdtEndPr>
    <w:sdtContent>
      <w:p w14:paraId="435E17C7" w14:textId="55D85F4C" w:rsidR="00314905" w:rsidRDefault="003149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97643F" w14:textId="77777777" w:rsidR="00314905" w:rsidRDefault="003149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06941A" w14:textId="77777777" w:rsidR="00032281" w:rsidRDefault="00032281" w:rsidP="00314905">
      <w:pPr>
        <w:spacing w:after="0" w:line="240" w:lineRule="auto"/>
      </w:pPr>
      <w:r>
        <w:separator/>
      </w:r>
    </w:p>
  </w:footnote>
  <w:footnote w:type="continuationSeparator" w:id="0">
    <w:p w14:paraId="526211BF" w14:textId="77777777" w:rsidR="00032281" w:rsidRDefault="00032281" w:rsidP="003149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4E77BC"/>
    <w:multiLevelType w:val="multilevel"/>
    <w:tmpl w:val="8EAE1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125804"/>
    <w:multiLevelType w:val="multilevel"/>
    <w:tmpl w:val="99221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DA12F1"/>
    <w:multiLevelType w:val="multilevel"/>
    <w:tmpl w:val="B55AB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A4248B"/>
    <w:multiLevelType w:val="hybridMultilevel"/>
    <w:tmpl w:val="29C262F4"/>
    <w:lvl w:ilvl="0" w:tplc="04090001">
      <w:start w:val="1"/>
      <w:numFmt w:val="bullet"/>
      <w:lvlText w:val=""/>
      <w:lvlJc w:val="left"/>
      <w:pPr>
        <w:ind w:left="360" w:hanging="360"/>
      </w:pPr>
      <w:rPr>
        <w:rFonts w:ascii="Symbol" w:hAnsi="Symbol" w:hint="default"/>
      </w:rPr>
    </w:lvl>
    <w:lvl w:ilvl="1" w:tplc="B3CE6836">
      <w:numFmt w:val="bullet"/>
      <w:lvlText w:val="•"/>
      <w:lvlJc w:val="left"/>
      <w:pPr>
        <w:ind w:left="90" w:hanging="360"/>
      </w:pPr>
      <w:rPr>
        <w:rFonts w:ascii="Arial" w:eastAsiaTheme="minorHAnsi" w:hAnsi="Arial" w:cs="Arial"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num w:numId="1" w16cid:durableId="765075895">
    <w:abstractNumId w:val="3"/>
  </w:num>
  <w:num w:numId="2" w16cid:durableId="694309794">
    <w:abstractNumId w:val="0"/>
  </w:num>
  <w:num w:numId="3" w16cid:durableId="746728826">
    <w:abstractNumId w:val="2"/>
  </w:num>
  <w:num w:numId="4" w16cid:durableId="367684561">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8"/>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07A"/>
    <w:rsid w:val="0000691F"/>
    <w:rsid w:val="000121B3"/>
    <w:rsid w:val="0002393F"/>
    <w:rsid w:val="00026EDE"/>
    <w:rsid w:val="00032281"/>
    <w:rsid w:val="00037CFC"/>
    <w:rsid w:val="00041F16"/>
    <w:rsid w:val="00044EE9"/>
    <w:rsid w:val="00051506"/>
    <w:rsid w:val="00051966"/>
    <w:rsid w:val="00072E3C"/>
    <w:rsid w:val="0009086B"/>
    <w:rsid w:val="000A2130"/>
    <w:rsid w:val="000A21DE"/>
    <w:rsid w:val="000A2333"/>
    <w:rsid w:val="000B6875"/>
    <w:rsid w:val="000C5FDD"/>
    <w:rsid w:val="000D1423"/>
    <w:rsid w:val="000D17A8"/>
    <w:rsid w:val="000E6F0E"/>
    <w:rsid w:val="00102581"/>
    <w:rsid w:val="001104A9"/>
    <w:rsid w:val="00112B25"/>
    <w:rsid w:val="00113500"/>
    <w:rsid w:val="00120BF9"/>
    <w:rsid w:val="00127961"/>
    <w:rsid w:val="001316E8"/>
    <w:rsid w:val="001405E6"/>
    <w:rsid w:val="00152367"/>
    <w:rsid w:val="0015668E"/>
    <w:rsid w:val="00162D15"/>
    <w:rsid w:val="00167DAF"/>
    <w:rsid w:val="00170140"/>
    <w:rsid w:val="001960B5"/>
    <w:rsid w:val="001A082E"/>
    <w:rsid w:val="001A6202"/>
    <w:rsid w:val="001B19D7"/>
    <w:rsid w:val="001E71F2"/>
    <w:rsid w:val="001F4A5E"/>
    <w:rsid w:val="001F67A3"/>
    <w:rsid w:val="00233A54"/>
    <w:rsid w:val="00251953"/>
    <w:rsid w:val="00255C2B"/>
    <w:rsid w:val="002572E4"/>
    <w:rsid w:val="00257C1D"/>
    <w:rsid w:val="00261F0C"/>
    <w:rsid w:val="00267651"/>
    <w:rsid w:val="0028101F"/>
    <w:rsid w:val="00283453"/>
    <w:rsid w:val="00293204"/>
    <w:rsid w:val="00293A38"/>
    <w:rsid w:val="002A1B9E"/>
    <w:rsid w:val="002A7D9D"/>
    <w:rsid w:val="002B3725"/>
    <w:rsid w:val="002C0FE7"/>
    <w:rsid w:val="002D7BD6"/>
    <w:rsid w:val="002E19E7"/>
    <w:rsid w:val="002E22D2"/>
    <w:rsid w:val="002E2530"/>
    <w:rsid w:val="002E3867"/>
    <w:rsid w:val="002E61F8"/>
    <w:rsid w:val="003053B7"/>
    <w:rsid w:val="00307583"/>
    <w:rsid w:val="00314905"/>
    <w:rsid w:val="00315085"/>
    <w:rsid w:val="00325284"/>
    <w:rsid w:val="00332325"/>
    <w:rsid w:val="00337102"/>
    <w:rsid w:val="00342647"/>
    <w:rsid w:val="00363F62"/>
    <w:rsid w:val="00370CB1"/>
    <w:rsid w:val="003718B6"/>
    <w:rsid w:val="003765D8"/>
    <w:rsid w:val="00386A34"/>
    <w:rsid w:val="003A0F74"/>
    <w:rsid w:val="003A502F"/>
    <w:rsid w:val="003B3147"/>
    <w:rsid w:val="003C58B3"/>
    <w:rsid w:val="003C767E"/>
    <w:rsid w:val="003D7293"/>
    <w:rsid w:val="003E3016"/>
    <w:rsid w:val="003E793F"/>
    <w:rsid w:val="00400AE5"/>
    <w:rsid w:val="004111D7"/>
    <w:rsid w:val="00424B1E"/>
    <w:rsid w:val="0043087A"/>
    <w:rsid w:val="00441594"/>
    <w:rsid w:val="00453C5E"/>
    <w:rsid w:val="00462042"/>
    <w:rsid w:val="00465E3F"/>
    <w:rsid w:val="00480093"/>
    <w:rsid w:val="00496C54"/>
    <w:rsid w:val="004A1BEF"/>
    <w:rsid w:val="004B0E39"/>
    <w:rsid w:val="004B0F40"/>
    <w:rsid w:val="004B4483"/>
    <w:rsid w:val="004C212C"/>
    <w:rsid w:val="004D3F9A"/>
    <w:rsid w:val="004D4537"/>
    <w:rsid w:val="004D660F"/>
    <w:rsid w:val="004E0214"/>
    <w:rsid w:val="004E3144"/>
    <w:rsid w:val="004F5448"/>
    <w:rsid w:val="004F5D12"/>
    <w:rsid w:val="005048E0"/>
    <w:rsid w:val="005135BF"/>
    <w:rsid w:val="0051489D"/>
    <w:rsid w:val="005228B3"/>
    <w:rsid w:val="005229A2"/>
    <w:rsid w:val="0052418F"/>
    <w:rsid w:val="005266FB"/>
    <w:rsid w:val="00571C27"/>
    <w:rsid w:val="005749CD"/>
    <w:rsid w:val="00590BEE"/>
    <w:rsid w:val="00597647"/>
    <w:rsid w:val="005B779E"/>
    <w:rsid w:val="006025AA"/>
    <w:rsid w:val="00604202"/>
    <w:rsid w:val="00615005"/>
    <w:rsid w:val="00631579"/>
    <w:rsid w:val="00633708"/>
    <w:rsid w:val="00634D93"/>
    <w:rsid w:val="0064513A"/>
    <w:rsid w:val="00647B55"/>
    <w:rsid w:val="0065590B"/>
    <w:rsid w:val="006624DF"/>
    <w:rsid w:val="00663638"/>
    <w:rsid w:val="00680765"/>
    <w:rsid w:val="00691501"/>
    <w:rsid w:val="00692419"/>
    <w:rsid w:val="00695F33"/>
    <w:rsid w:val="006C0054"/>
    <w:rsid w:val="006D0AF1"/>
    <w:rsid w:val="006E0B25"/>
    <w:rsid w:val="006E70ED"/>
    <w:rsid w:val="00711726"/>
    <w:rsid w:val="00712588"/>
    <w:rsid w:val="007129FD"/>
    <w:rsid w:val="00716FF6"/>
    <w:rsid w:val="00720850"/>
    <w:rsid w:val="007210E2"/>
    <w:rsid w:val="00730C30"/>
    <w:rsid w:val="00734B90"/>
    <w:rsid w:val="00736C73"/>
    <w:rsid w:val="007522FF"/>
    <w:rsid w:val="00753B96"/>
    <w:rsid w:val="007659CA"/>
    <w:rsid w:val="007676C7"/>
    <w:rsid w:val="007730B9"/>
    <w:rsid w:val="007753E3"/>
    <w:rsid w:val="00786975"/>
    <w:rsid w:val="007902E2"/>
    <w:rsid w:val="00792593"/>
    <w:rsid w:val="00794DA8"/>
    <w:rsid w:val="00795B3C"/>
    <w:rsid w:val="007A70B6"/>
    <w:rsid w:val="007C33D3"/>
    <w:rsid w:val="007E4E08"/>
    <w:rsid w:val="007F0DE1"/>
    <w:rsid w:val="007F0EC7"/>
    <w:rsid w:val="007F3A72"/>
    <w:rsid w:val="007F47FC"/>
    <w:rsid w:val="00804223"/>
    <w:rsid w:val="00812A93"/>
    <w:rsid w:val="00815E5E"/>
    <w:rsid w:val="00815E8E"/>
    <w:rsid w:val="00820285"/>
    <w:rsid w:val="00836894"/>
    <w:rsid w:val="00837433"/>
    <w:rsid w:val="008377E5"/>
    <w:rsid w:val="00851CF7"/>
    <w:rsid w:val="0085752F"/>
    <w:rsid w:val="0086185B"/>
    <w:rsid w:val="008618BF"/>
    <w:rsid w:val="00862B65"/>
    <w:rsid w:val="00865A7F"/>
    <w:rsid w:val="008820F8"/>
    <w:rsid w:val="008931D4"/>
    <w:rsid w:val="008B4FE8"/>
    <w:rsid w:val="008B5B4F"/>
    <w:rsid w:val="008B6F90"/>
    <w:rsid w:val="008C7270"/>
    <w:rsid w:val="008D255B"/>
    <w:rsid w:val="008D3C81"/>
    <w:rsid w:val="008D7C44"/>
    <w:rsid w:val="008E35DA"/>
    <w:rsid w:val="008E55E9"/>
    <w:rsid w:val="0090160B"/>
    <w:rsid w:val="00902BFE"/>
    <w:rsid w:val="0090436A"/>
    <w:rsid w:val="00904ACE"/>
    <w:rsid w:val="009057A9"/>
    <w:rsid w:val="00921AAE"/>
    <w:rsid w:val="00924E49"/>
    <w:rsid w:val="00925042"/>
    <w:rsid w:val="00935590"/>
    <w:rsid w:val="00943EA9"/>
    <w:rsid w:val="00952F8F"/>
    <w:rsid w:val="00961433"/>
    <w:rsid w:val="0096760A"/>
    <w:rsid w:val="00971075"/>
    <w:rsid w:val="009800AA"/>
    <w:rsid w:val="00980C7C"/>
    <w:rsid w:val="00982585"/>
    <w:rsid w:val="00987B8B"/>
    <w:rsid w:val="00993D6F"/>
    <w:rsid w:val="009A54E8"/>
    <w:rsid w:val="009A637E"/>
    <w:rsid w:val="009A7C64"/>
    <w:rsid w:val="009C6854"/>
    <w:rsid w:val="009C7C51"/>
    <w:rsid w:val="009D611B"/>
    <w:rsid w:val="009E2A68"/>
    <w:rsid w:val="009F11F2"/>
    <w:rsid w:val="009F2B11"/>
    <w:rsid w:val="009F4B8E"/>
    <w:rsid w:val="00A013DC"/>
    <w:rsid w:val="00A13941"/>
    <w:rsid w:val="00A14D02"/>
    <w:rsid w:val="00A179DB"/>
    <w:rsid w:val="00A20716"/>
    <w:rsid w:val="00A265AF"/>
    <w:rsid w:val="00A27108"/>
    <w:rsid w:val="00A3352E"/>
    <w:rsid w:val="00A373D0"/>
    <w:rsid w:val="00A45D6A"/>
    <w:rsid w:val="00A50AEF"/>
    <w:rsid w:val="00A56986"/>
    <w:rsid w:val="00A6246D"/>
    <w:rsid w:val="00A663E5"/>
    <w:rsid w:val="00A6644A"/>
    <w:rsid w:val="00A82052"/>
    <w:rsid w:val="00A90B79"/>
    <w:rsid w:val="00AA008D"/>
    <w:rsid w:val="00AB3877"/>
    <w:rsid w:val="00AD786B"/>
    <w:rsid w:val="00AE1606"/>
    <w:rsid w:val="00AE5F08"/>
    <w:rsid w:val="00B0063D"/>
    <w:rsid w:val="00B037F4"/>
    <w:rsid w:val="00B179F8"/>
    <w:rsid w:val="00B31A7D"/>
    <w:rsid w:val="00B41B99"/>
    <w:rsid w:val="00B54423"/>
    <w:rsid w:val="00B61EC5"/>
    <w:rsid w:val="00B72385"/>
    <w:rsid w:val="00B73C65"/>
    <w:rsid w:val="00B771A6"/>
    <w:rsid w:val="00B86C87"/>
    <w:rsid w:val="00B92D04"/>
    <w:rsid w:val="00BA1117"/>
    <w:rsid w:val="00BC7731"/>
    <w:rsid w:val="00BD1CB8"/>
    <w:rsid w:val="00BD378C"/>
    <w:rsid w:val="00BD4BB4"/>
    <w:rsid w:val="00BE0DA4"/>
    <w:rsid w:val="00BE4AC0"/>
    <w:rsid w:val="00BF43F3"/>
    <w:rsid w:val="00C049F4"/>
    <w:rsid w:val="00C04FD9"/>
    <w:rsid w:val="00C2160B"/>
    <w:rsid w:val="00C30036"/>
    <w:rsid w:val="00C351A6"/>
    <w:rsid w:val="00C461CD"/>
    <w:rsid w:val="00C46E3A"/>
    <w:rsid w:val="00C47466"/>
    <w:rsid w:val="00C47C68"/>
    <w:rsid w:val="00C50ED8"/>
    <w:rsid w:val="00C75A6E"/>
    <w:rsid w:val="00C76C32"/>
    <w:rsid w:val="00C814A6"/>
    <w:rsid w:val="00C82F28"/>
    <w:rsid w:val="00C94969"/>
    <w:rsid w:val="00CC2ABD"/>
    <w:rsid w:val="00CD1522"/>
    <w:rsid w:val="00CD18C1"/>
    <w:rsid w:val="00CD2A90"/>
    <w:rsid w:val="00CF3016"/>
    <w:rsid w:val="00CF78D1"/>
    <w:rsid w:val="00D25242"/>
    <w:rsid w:val="00D35AE9"/>
    <w:rsid w:val="00D36BF9"/>
    <w:rsid w:val="00D407DC"/>
    <w:rsid w:val="00D535FE"/>
    <w:rsid w:val="00D568D5"/>
    <w:rsid w:val="00D837A3"/>
    <w:rsid w:val="00D90611"/>
    <w:rsid w:val="00DA48BB"/>
    <w:rsid w:val="00DC0513"/>
    <w:rsid w:val="00DC1F45"/>
    <w:rsid w:val="00DD162C"/>
    <w:rsid w:val="00DE1D48"/>
    <w:rsid w:val="00DF707A"/>
    <w:rsid w:val="00E11939"/>
    <w:rsid w:val="00E34B2A"/>
    <w:rsid w:val="00E46885"/>
    <w:rsid w:val="00E545BF"/>
    <w:rsid w:val="00E609CF"/>
    <w:rsid w:val="00E62D68"/>
    <w:rsid w:val="00E63434"/>
    <w:rsid w:val="00E6381D"/>
    <w:rsid w:val="00E64C4A"/>
    <w:rsid w:val="00E775A8"/>
    <w:rsid w:val="00E86602"/>
    <w:rsid w:val="00E878A0"/>
    <w:rsid w:val="00EA0FDC"/>
    <w:rsid w:val="00EA7900"/>
    <w:rsid w:val="00EB3068"/>
    <w:rsid w:val="00EB73F4"/>
    <w:rsid w:val="00EC3600"/>
    <w:rsid w:val="00ED0BE2"/>
    <w:rsid w:val="00EE2AE7"/>
    <w:rsid w:val="00EE7465"/>
    <w:rsid w:val="00F01C6D"/>
    <w:rsid w:val="00F059CA"/>
    <w:rsid w:val="00F06A01"/>
    <w:rsid w:val="00F06F97"/>
    <w:rsid w:val="00F10960"/>
    <w:rsid w:val="00F16BC3"/>
    <w:rsid w:val="00F504BD"/>
    <w:rsid w:val="00F50811"/>
    <w:rsid w:val="00F56C8A"/>
    <w:rsid w:val="00F60436"/>
    <w:rsid w:val="00F63C55"/>
    <w:rsid w:val="00F65C33"/>
    <w:rsid w:val="00F83352"/>
    <w:rsid w:val="00F929B1"/>
    <w:rsid w:val="00F94C45"/>
    <w:rsid w:val="00FB00A1"/>
    <w:rsid w:val="00FB0385"/>
    <w:rsid w:val="00FB2A31"/>
    <w:rsid w:val="00FD0E12"/>
    <w:rsid w:val="00FD2267"/>
    <w:rsid w:val="00FE189A"/>
    <w:rsid w:val="00FE5D4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E6743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3147"/>
    <w:pPr>
      <w:spacing w:line="259" w:lineRule="auto"/>
    </w:pPr>
    <w:rPr>
      <w:kern w:val="0"/>
      <w:sz w:val="22"/>
      <w:szCs w:val="22"/>
      <w:lang w:val="en-AU"/>
      <w14:ligatures w14:val="none"/>
    </w:rPr>
  </w:style>
  <w:style w:type="paragraph" w:styleId="Heading1">
    <w:name w:val="heading 1"/>
    <w:basedOn w:val="Normal"/>
    <w:next w:val="Normal"/>
    <w:link w:val="Heading1Char"/>
    <w:autoRedefine/>
    <w:uiPriority w:val="9"/>
    <w:qFormat/>
    <w:rsid w:val="00692419"/>
    <w:pPr>
      <w:keepNext/>
      <w:keepLines/>
      <w:spacing w:before="360" w:after="80"/>
      <w:outlineLvl w:val="0"/>
    </w:pPr>
    <w:rPr>
      <w:rFonts w:ascii="Times New Roman" w:eastAsiaTheme="majorEastAsia" w:hAnsi="Times New Roman" w:cstheme="majorBidi"/>
      <w:b/>
      <w:color w:val="000000" w:themeColor="text1"/>
      <w:sz w:val="24"/>
      <w:szCs w:val="40"/>
      <w:lang w:val="en-GB"/>
    </w:rPr>
  </w:style>
  <w:style w:type="paragraph" w:styleId="Heading2">
    <w:name w:val="heading 2"/>
    <w:basedOn w:val="Normal"/>
    <w:next w:val="Normal"/>
    <w:link w:val="Heading2Char"/>
    <w:autoRedefine/>
    <w:uiPriority w:val="9"/>
    <w:unhideWhenUsed/>
    <w:qFormat/>
    <w:rsid w:val="00692419"/>
    <w:pPr>
      <w:keepNext/>
      <w:keepLines/>
      <w:spacing w:before="160" w:after="80"/>
      <w:outlineLvl w:val="1"/>
    </w:pPr>
    <w:rPr>
      <w:rFonts w:ascii="Times New Roman" w:eastAsiaTheme="majorEastAsia" w:hAnsi="Times New Roman" w:cstheme="majorBidi"/>
      <w:b/>
      <w:color w:val="000000" w:themeColor="text1"/>
      <w:sz w:val="24"/>
      <w:szCs w:val="32"/>
      <w:lang w:val="en-GB"/>
    </w:rPr>
  </w:style>
  <w:style w:type="paragraph" w:styleId="Heading3">
    <w:name w:val="heading 3"/>
    <w:basedOn w:val="Normal"/>
    <w:next w:val="Normal"/>
    <w:link w:val="Heading3Char"/>
    <w:uiPriority w:val="9"/>
    <w:semiHidden/>
    <w:unhideWhenUsed/>
    <w:qFormat/>
    <w:rsid w:val="00DF707A"/>
    <w:pPr>
      <w:keepNext/>
      <w:keepLines/>
      <w:spacing w:before="160" w:after="80" w:line="278" w:lineRule="auto"/>
      <w:outlineLvl w:val="2"/>
    </w:pPr>
    <w:rPr>
      <w:rFonts w:eastAsiaTheme="majorEastAsia" w:cstheme="majorBidi"/>
      <w:color w:val="2F5496" w:themeColor="accent1" w:themeShade="BF"/>
      <w:kern w:val="2"/>
      <w:sz w:val="28"/>
      <w:szCs w:val="28"/>
      <w:lang w:val="en-US"/>
      <w14:ligatures w14:val="standardContextual"/>
    </w:rPr>
  </w:style>
  <w:style w:type="paragraph" w:styleId="Heading4">
    <w:name w:val="heading 4"/>
    <w:basedOn w:val="Normal"/>
    <w:next w:val="Normal"/>
    <w:link w:val="Heading4Char"/>
    <w:uiPriority w:val="9"/>
    <w:semiHidden/>
    <w:unhideWhenUsed/>
    <w:qFormat/>
    <w:rsid w:val="00DF707A"/>
    <w:pPr>
      <w:keepNext/>
      <w:keepLines/>
      <w:spacing w:before="80" w:after="40" w:line="278" w:lineRule="auto"/>
      <w:outlineLvl w:val="3"/>
    </w:pPr>
    <w:rPr>
      <w:rFonts w:eastAsiaTheme="majorEastAsia" w:cstheme="majorBidi"/>
      <w:i/>
      <w:iCs/>
      <w:color w:val="2F5496" w:themeColor="accent1" w:themeShade="BF"/>
      <w:kern w:val="2"/>
      <w:sz w:val="24"/>
      <w:szCs w:val="24"/>
      <w:lang w:val="en-US"/>
      <w14:ligatures w14:val="standardContextual"/>
    </w:rPr>
  </w:style>
  <w:style w:type="paragraph" w:styleId="Heading5">
    <w:name w:val="heading 5"/>
    <w:basedOn w:val="Normal"/>
    <w:next w:val="Normal"/>
    <w:link w:val="Heading5Char"/>
    <w:uiPriority w:val="9"/>
    <w:semiHidden/>
    <w:unhideWhenUsed/>
    <w:qFormat/>
    <w:rsid w:val="00DF707A"/>
    <w:pPr>
      <w:keepNext/>
      <w:keepLines/>
      <w:spacing w:before="80" w:after="40" w:line="278" w:lineRule="auto"/>
      <w:outlineLvl w:val="4"/>
    </w:pPr>
    <w:rPr>
      <w:rFonts w:eastAsiaTheme="majorEastAsia" w:cstheme="majorBidi"/>
      <w:color w:val="2F5496" w:themeColor="accent1" w:themeShade="BF"/>
      <w:kern w:val="2"/>
      <w:sz w:val="24"/>
      <w:szCs w:val="24"/>
      <w:lang w:val="en-US"/>
      <w14:ligatures w14:val="standardContextual"/>
    </w:rPr>
  </w:style>
  <w:style w:type="paragraph" w:styleId="Heading6">
    <w:name w:val="heading 6"/>
    <w:basedOn w:val="Normal"/>
    <w:next w:val="Normal"/>
    <w:link w:val="Heading6Char"/>
    <w:uiPriority w:val="9"/>
    <w:semiHidden/>
    <w:unhideWhenUsed/>
    <w:qFormat/>
    <w:rsid w:val="00DF707A"/>
    <w:pPr>
      <w:keepNext/>
      <w:keepLines/>
      <w:spacing w:before="40" w:after="0" w:line="278" w:lineRule="auto"/>
      <w:outlineLvl w:val="5"/>
    </w:pPr>
    <w:rPr>
      <w:rFonts w:eastAsiaTheme="majorEastAsia" w:cstheme="majorBidi"/>
      <w:i/>
      <w:iCs/>
      <w:color w:val="595959" w:themeColor="text1" w:themeTint="A6"/>
      <w:kern w:val="2"/>
      <w:sz w:val="24"/>
      <w:szCs w:val="24"/>
      <w:lang w:val="en-US"/>
      <w14:ligatures w14:val="standardContextual"/>
    </w:rPr>
  </w:style>
  <w:style w:type="paragraph" w:styleId="Heading7">
    <w:name w:val="heading 7"/>
    <w:basedOn w:val="Normal"/>
    <w:next w:val="Normal"/>
    <w:link w:val="Heading7Char"/>
    <w:uiPriority w:val="9"/>
    <w:semiHidden/>
    <w:unhideWhenUsed/>
    <w:qFormat/>
    <w:rsid w:val="00DF707A"/>
    <w:pPr>
      <w:keepNext/>
      <w:keepLines/>
      <w:spacing w:before="40" w:after="0" w:line="278" w:lineRule="auto"/>
      <w:outlineLvl w:val="6"/>
    </w:pPr>
    <w:rPr>
      <w:rFonts w:eastAsiaTheme="majorEastAsia" w:cstheme="majorBidi"/>
      <w:color w:val="595959" w:themeColor="text1" w:themeTint="A6"/>
      <w:kern w:val="2"/>
      <w:sz w:val="24"/>
      <w:szCs w:val="24"/>
      <w:lang w:val="en-US"/>
      <w14:ligatures w14:val="standardContextual"/>
    </w:rPr>
  </w:style>
  <w:style w:type="paragraph" w:styleId="Heading8">
    <w:name w:val="heading 8"/>
    <w:basedOn w:val="Normal"/>
    <w:next w:val="Normal"/>
    <w:link w:val="Heading8Char"/>
    <w:uiPriority w:val="9"/>
    <w:semiHidden/>
    <w:unhideWhenUsed/>
    <w:qFormat/>
    <w:rsid w:val="00DF707A"/>
    <w:pPr>
      <w:keepNext/>
      <w:keepLines/>
      <w:spacing w:after="0" w:line="278" w:lineRule="auto"/>
      <w:outlineLvl w:val="7"/>
    </w:pPr>
    <w:rPr>
      <w:rFonts w:eastAsiaTheme="majorEastAsia" w:cstheme="majorBidi"/>
      <w:i/>
      <w:iCs/>
      <w:color w:val="272727" w:themeColor="text1" w:themeTint="D8"/>
      <w:kern w:val="2"/>
      <w:sz w:val="24"/>
      <w:szCs w:val="24"/>
      <w:lang w:val="en-US"/>
      <w14:ligatures w14:val="standardContextual"/>
    </w:rPr>
  </w:style>
  <w:style w:type="paragraph" w:styleId="Heading9">
    <w:name w:val="heading 9"/>
    <w:basedOn w:val="Normal"/>
    <w:next w:val="Normal"/>
    <w:link w:val="Heading9Char"/>
    <w:uiPriority w:val="9"/>
    <w:semiHidden/>
    <w:unhideWhenUsed/>
    <w:qFormat/>
    <w:rsid w:val="00DF707A"/>
    <w:pPr>
      <w:keepNext/>
      <w:keepLines/>
      <w:spacing w:after="0" w:line="278" w:lineRule="auto"/>
      <w:outlineLvl w:val="8"/>
    </w:pPr>
    <w:rPr>
      <w:rFonts w:eastAsiaTheme="majorEastAsia" w:cstheme="majorBidi"/>
      <w:color w:val="272727" w:themeColor="text1" w:themeTint="D8"/>
      <w:kern w:val="2"/>
      <w:sz w:val="24"/>
      <w:szCs w:val="24"/>
      <w:lang w:val="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2419"/>
    <w:rPr>
      <w:rFonts w:ascii="Times New Roman" w:eastAsiaTheme="majorEastAsia" w:hAnsi="Times New Roman" w:cstheme="majorBidi"/>
      <w:b/>
      <w:color w:val="000000" w:themeColor="text1"/>
      <w:kern w:val="0"/>
      <w:szCs w:val="40"/>
      <w:lang w:val="en-GB"/>
      <w14:ligatures w14:val="none"/>
    </w:rPr>
  </w:style>
  <w:style w:type="character" w:customStyle="1" w:styleId="Heading2Char">
    <w:name w:val="Heading 2 Char"/>
    <w:basedOn w:val="DefaultParagraphFont"/>
    <w:link w:val="Heading2"/>
    <w:uiPriority w:val="9"/>
    <w:rsid w:val="00692419"/>
    <w:rPr>
      <w:rFonts w:ascii="Times New Roman" w:eastAsiaTheme="majorEastAsia" w:hAnsi="Times New Roman" w:cstheme="majorBidi"/>
      <w:b/>
      <w:color w:val="000000" w:themeColor="text1"/>
      <w:kern w:val="0"/>
      <w:szCs w:val="32"/>
      <w:lang w:val="en-GB"/>
      <w14:ligatures w14:val="none"/>
    </w:rPr>
  </w:style>
  <w:style w:type="character" w:customStyle="1" w:styleId="Heading3Char">
    <w:name w:val="Heading 3 Char"/>
    <w:basedOn w:val="DefaultParagraphFont"/>
    <w:link w:val="Heading3"/>
    <w:uiPriority w:val="9"/>
    <w:semiHidden/>
    <w:rsid w:val="00DF707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F707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F707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F70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70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70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707A"/>
    <w:rPr>
      <w:rFonts w:eastAsiaTheme="majorEastAsia" w:cstheme="majorBidi"/>
      <w:color w:val="272727" w:themeColor="text1" w:themeTint="D8"/>
    </w:rPr>
  </w:style>
  <w:style w:type="paragraph" w:styleId="Title">
    <w:name w:val="Title"/>
    <w:basedOn w:val="Normal"/>
    <w:next w:val="Normal"/>
    <w:link w:val="TitleChar"/>
    <w:uiPriority w:val="10"/>
    <w:qFormat/>
    <w:rsid w:val="00DF70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70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70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70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707A"/>
    <w:pPr>
      <w:spacing w:before="160"/>
      <w:jc w:val="center"/>
    </w:pPr>
    <w:rPr>
      <w:i/>
      <w:iCs/>
      <w:color w:val="404040" w:themeColor="text1" w:themeTint="BF"/>
    </w:rPr>
  </w:style>
  <w:style w:type="character" w:customStyle="1" w:styleId="QuoteChar">
    <w:name w:val="Quote Char"/>
    <w:basedOn w:val="DefaultParagraphFont"/>
    <w:link w:val="Quote"/>
    <w:uiPriority w:val="29"/>
    <w:rsid w:val="00DF707A"/>
    <w:rPr>
      <w:i/>
      <w:iCs/>
      <w:color w:val="404040" w:themeColor="text1" w:themeTint="BF"/>
    </w:rPr>
  </w:style>
  <w:style w:type="paragraph" w:styleId="ListParagraph">
    <w:name w:val="List Paragraph"/>
    <w:basedOn w:val="Normal"/>
    <w:uiPriority w:val="34"/>
    <w:qFormat/>
    <w:rsid w:val="00DF707A"/>
    <w:pPr>
      <w:spacing w:line="278" w:lineRule="auto"/>
      <w:ind w:left="720"/>
      <w:contextualSpacing/>
    </w:pPr>
    <w:rPr>
      <w:kern w:val="2"/>
      <w:sz w:val="24"/>
      <w:szCs w:val="24"/>
      <w:lang w:val="en-US"/>
      <w14:ligatures w14:val="standardContextual"/>
    </w:rPr>
  </w:style>
  <w:style w:type="character" w:styleId="IntenseEmphasis">
    <w:name w:val="Intense Emphasis"/>
    <w:basedOn w:val="DefaultParagraphFont"/>
    <w:uiPriority w:val="21"/>
    <w:qFormat/>
    <w:rsid w:val="00DF707A"/>
    <w:rPr>
      <w:i/>
      <w:iCs/>
      <w:color w:val="2F5496" w:themeColor="accent1" w:themeShade="BF"/>
    </w:rPr>
  </w:style>
  <w:style w:type="paragraph" w:styleId="IntenseQuote">
    <w:name w:val="Intense Quote"/>
    <w:basedOn w:val="Normal"/>
    <w:next w:val="Normal"/>
    <w:link w:val="IntenseQuoteChar"/>
    <w:uiPriority w:val="30"/>
    <w:qFormat/>
    <w:rsid w:val="00DF707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F707A"/>
    <w:rPr>
      <w:i/>
      <w:iCs/>
      <w:color w:val="2F5496" w:themeColor="accent1" w:themeShade="BF"/>
    </w:rPr>
  </w:style>
  <w:style w:type="character" w:styleId="IntenseReference">
    <w:name w:val="Intense Reference"/>
    <w:basedOn w:val="DefaultParagraphFont"/>
    <w:uiPriority w:val="32"/>
    <w:qFormat/>
    <w:rsid w:val="00DF707A"/>
    <w:rPr>
      <w:b/>
      <w:bCs/>
      <w:smallCaps/>
      <w:color w:val="2F5496" w:themeColor="accent1" w:themeShade="BF"/>
      <w:spacing w:val="5"/>
    </w:rPr>
  </w:style>
  <w:style w:type="paragraph" w:styleId="Header">
    <w:name w:val="header"/>
    <w:basedOn w:val="Normal"/>
    <w:link w:val="HeaderChar"/>
    <w:uiPriority w:val="99"/>
    <w:unhideWhenUsed/>
    <w:rsid w:val="00314905"/>
    <w:pPr>
      <w:tabs>
        <w:tab w:val="center" w:pos="4680"/>
        <w:tab w:val="right" w:pos="9360"/>
      </w:tabs>
      <w:spacing w:after="0" w:line="240" w:lineRule="auto"/>
    </w:pPr>
    <w:rPr>
      <w:kern w:val="2"/>
      <w:sz w:val="24"/>
      <w:szCs w:val="24"/>
      <w:lang w:val="en-US"/>
      <w14:ligatures w14:val="standardContextual"/>
    </w:rPr>
  </w:style>
  <w:style w:type="character" w:customStyle="1" w:styleId="HeaderChar">
    <w:name w:val="Header Char"/>
    <w:basedOn w:val="DefaultParagraphFont"/>
    <w:link w:val="Header"/>
    <w:uiPriority w:val="99"/>
    <w:rsid w:val="00314905"/>
  </w:style>
  <w:style w:type="paragraph" w:styleId="Footer">
    <w:name w:val="footer"/>
    <w:basedOn w:val="Normal"/>
    <w:link w:val="FooterChar"/>
    <w:uiPriority w:val="99"/>
    <w:unhideWhenUsed/>
    <w:rsid w:val="00314905"/>
    <w:pPr>
      <w:tabs>
        <w:tab w:val="center" w:pos="4680"/>
        <w:tab w:val="right" w:pos="9360"/>
      </w:tabs>
      <w:spacing w:after="0" w:line="240" w:lineRule="auto"/>
    </w:pPr>
    <w:rPr>
      <w:kern w:val="2"/>
      <w:sz w:val="24"/>
      <w:szCs w:val="24"/>
      <w:lang w:val="en-US"/>
      <w14:ligatures w14:val="standardContextual"/>
    </w:rPr>
  </w:style>
  <w:style w:type="character" w:customStyle="1" w:styleId="FooterChar">
    <w:name w:val="Footer Char"/>
    <w:basedOn w:val="DefaultParagraphFont"/>
    <w:link w:val="Footer"/>
    <w:uiPriority w:val="99"/>
    <w:rsid w:val="00314905"/>
  </w:style>
  <w:style w:type="character" w:styleId="Emphasis">
    <w:name w:val="Emphasis"/>
    <w:basedOn w:val="DefaultParagraphFont"/>
    <w:uiPriority w:val="20"/>
    <w:qFormat/>
    <w:rsid w:val="003B3147"/>
    <w:rPr>
      <w:i/>
      <w:iCs/>
    </w:rPr>
  </w:style>
  <w:style w:type="character" w:styleId="Hyperlink">
    <w:name w:val="Hyperlink"/>
    <w:basedOn w:val="DefaultParagraphFont"/>
    <w:uiPriority w:val="99"/>
    <w:unhideWhenUsed/>
    <w:rsid w:val="003B3147"/>
    <w:rPr>
      <w:color w:val="0000FF"/>
      <w:u w:val="single"/>
    </w:rPr>
  </w:style>
  <w:style w:type="paragraph" w:styleId="TOCHeading">
    <w:name w:val="TOC Heading"/>
    <w:basedOn w:val="Heading1"/>
    <w:next w:val="Normal"/>
    <w:uiPriority w:val="39"/>
    <w:unhideWhenUsed/>
    <w:qFormat/>
    <w:rsid w:val="003B3147"/>
    <w:pPr>
      <w:spacing w:before="240" w:after="0"/>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3B3147"/>
    <w:pPr>
      <w:spacing w:after="100"/>
    </w:pPr>
  </w:style>
  <w:style w:type="character" w:customStyle="1" w:styleId="diff-highlight">
    <w:name w:val="diff-highlight"/>
    <w:basedOn w:val="DefaultParagraphFont"/>
    <w:rsid w:val="003B3147"/>
  </w:style>
  <w:style w:type="table" w:styleId="TableGrid">
    <w:name w:val="Table Grid"/>
    <w:basedOn w:val="TableNormal"/>
    <w:uiPriority w:val="39"/>
    <w:rsid w:val="003B3147"/>
    <w:pPr>
      <w:spacing w:after="0" w:line="240" w:lineRule="auto"/>
      <w:jc w:val="both"/>
    </w:pPr>
    <w:rPr>
      <w:sz w:val="22"/>
      <w:szCs w:val="22"/>
      <w:lang w:val="en-AU"/>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B0F40"/>
    <w:rPr>
      <w:color w:val="605E5C"/>
      <w:shd w:val="clear" w:color="auto" w:fill="E1DFDD"/>
    </w:rPr>
  </w:style>
  <w:style w:type="character" w:styleId="FollowedHyperlink">
    <w:name w:val="FollowedHyperlink"/>
    <w:basedOn w:val="DefaultParagraphFont"/>
    <w:uiPriority w:val="99"/>
    <w:semiHidden/>
    <w:unhideWhenUsed/>
    <w:rsid w:val="004B0F40"/>
    <w:rPr>
      <w:color w:val="954F72" w:themeColor="followedHyperlink"/>
      <w:u w:val="single"/>
    </w:rPr>
  </w:style>
  <w:style w:type="paragraph" w:styleId="NormalWeb">
    <w:name w:val="Normal (Web)"/>
    <w:basedOn w:val="Normal"/>
    <w:uiPriority w:val="99"/>
    <w:semiHidden/>
    <w:unhideWhenUsed/>
    <w:rsid w:val="00315085"/>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ms-1">
    <w:name w:val="ms-1"/>
    <w:basedOn w:val="DefaultParagraphFont"/>
    <w:rsid w:val="00315085"/>
  </w:style>
  <w:style w:type="character" w:customStyle="1" w:styleId="max-w-15ch">
    <w:name w:val="max-w-[15ch]"/>
    <w:basedOn w:val="DefaultParagraphFont"/>
    <w:rsid w:val="00315085"/>
  </w:style>
  <w:style w:type="character" w:customStyle="1" w:styleId="-me-1">
    <w:name w:val="-me-1"/>
    <w:basedOn w:val="DefaultParagraphFont"/>
    <w:rsid w:val="00315085"/>
  </w:style>
  <w:style w:type="table" w:styleId="GridTable5Dark-Accent5">
    <w:name w:val="Grid Table 5 Dark Accent 5"/>
    <w:basedOn w:val="TableNormal"/>
    <w:uiPriority w:val="50"/>
    <w:rsid w:val="002C0FE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0FE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2">
    <w:name w:val="Grid Table 5 Dark Accent 2"/>
    <w:basedOn w:val="TableNormal"/>
    <w:uiPriority w:val="50"/>
    <w:rsid w:val="002C0FE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4">
    <w:name w:val="Grid Table 5 Dark Accent 4"/>
    <w:basedOn w:val="TableNormal"/>
    <w:uiPriority w:val="50"/>
    <w:rsid w:val="002C0FE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3">
    <w:name w:val="Grid Table 5 Dark Accent 3"/>
    <w:basedOn w:val="TableNormal"/>
    <w:uiPriority w:val="50"/>
    <w:rsid w:val="002C0FE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TOC2">
    <w:name w:val="toc 2"/>
    <w:basedOn w:val="Normal"/>
    <w:next w:val="Normal"/>
    <w:autoRedefine/>
    <w:uiPriority w:val="39"/>
    <w:unhideWhenUsed/>
    <w:rsid w:val="003053B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4.png" /><Relationship Id="rId18" Type="http://schemas.openxmlformats.org/officeDocument/2006/relationships/hyperlink" Target="https://www.tandfonline.com/doi/full/10.1080/14494035.2020.1787628" TargetMode="External" /><Relationship Id="rId26" Type="http://schemas.openxmlformats.org/officeDocument/2006/relationships/hyperlink" Target="https://journals.sagepub.com/doi/full/10.1177/09520767211044730" TargetMode="External" /><Relationship Id="rId39" Type="http://schemas.openxmlformats.org/officeDocument/2006/relationships/hyperlink" Target="https://www.ncbi.nlm.nih.gov/pmc/articles/PMC8547230/" TargetMode="External" /><Relationship Id="rId3" Type="http://schemas.openxmlformats.org/officeDocument/2006/relationships/styles" Target="styles.xml" /><Relationship Id="rId21" Type="http://schemas.openxmlformats.org/officeDocument/2006/relationships/hyperlink" Target="https://www.ncbi.nlm.nih.gov/pmc/articles/PMC9349406/" TargetMode="External" /><Relationship Id="rId34" Type="http://schemas.openxmlformats.org/officeDocument/2006/relationships/hyperlink" Target="https://onlinelibrary.wiley.com/doi/full/10.1111/puar.13214" TargetMode="External" /><Relationship Id="rId42" Type="http://schemas.openxmlformats.org/officeDocument/2006/relationships/hyperlink" Target="https://apps.who.int/iris/bitstream/handle/10665/353944/WHO-EURO-2022-5403-45350-64904.pdf" TargetMode="External" /><Relationship Id="rId7" Type="http://schemas.openxmlformats.org/officeDocument/2006/relationships/endnotes" Target="endnotes.xml" /><Relationship Id="rId12" Type="http://schemas.openxmlformats.org/officeDocument/2006/relationships/chart" Target="charts/chart2.xml" /><Relationship Id="rId17" Type="http://schemas.openxmlformats.org/officeDocument/2006/relationships/hyperlink" Target="https://assets.cambridge.org/97811071/50356/frontmatter/9781107150356_frontmatter.pdf" TargetMode="External" /><Relationship Id="rId25" Type="http://schemas.openxmlformats.org/officeDocument/2006/relationships/hyperlink" Target="https://www.ncbi.nlm.nih.gov/pmc/articles/PMC8149483/" TargetMode="External" /><Relationship Id="rId33" Type="http://schemas.openxmlformats.org/officeDocument/2006/relationships/hyperlink" Target="https://www.tandfonline.com/doi/full/10.1080/25741292.2020.1813357" TargetMode="External" /><Relationship Id="rId38" Type="http://schemas.openxmlformats.org/officeDocument/2006/relationships/hyperlink" Target="https://apps.who.int/iris/handle/10665/344134" TargetMode="External" /><Relationship Id="rId46"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www.tandfonline.com/doi/full/10.1080/14719037.2020.1820272" TargetMode="External" /><Relationship Id="rId20" Type="http://schemas.openxmlformats.org/officeDocument/2006/relationships/hyperlink" Target="https://onlinelibrary.wiley.com/doi/full/10.1111/puar.13241" TargetMode="External" /><Relationship Id="rId29" Type="http://schemas.openxmlformats.org/officeDocument/2006/relationships/hyperlink" Target="https://read.dukeupress.edu/jhppl/article/45/6/997/167634" TargetMode="External" /><Relationship Id="rId41" Type="http://schemas.openxmlformats.org/officeDocument/2006/relationships/hyperlink" Target="https://www.ncbi.nlm.nih.gov/pmc/articles/PMC7810892/"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24" Type="http://schemas.openxmlformats.org/officeDocument/2006/relationships/hyperlink" Target="https://www.tandfonline.com/doi/full/10.1080/17441692.2020.1783340" TargetMode="External" /><Relationship Id="rId32" Type="http://schemas.openxmlformats.org/officeDocument/2006/relationships/hyperlink" Target="https://onlinelibrary.wiley.com/doi/full/10.1111/padm.12699" TargetMode="External" /><Relationship Id="rId37" Type="http://schemas.openxmlformats.org/officeDocument/2006/relationships/hyperlink" Target="https://www.ncbi.nlm.nih.gov/pmc/articles/PMC7753436/" TargetMode="External" /><Relationship Id="rId40" Type="http://schemas.openxmlformats.org/officeDocument/2006/relationships/hyperlink" Target="https://www.ncbi.nlm.nih.gov/pmc/articles/PMC9681988/" TargetMode="External" /><Relationship Id="rId45"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www.ncbi.nlm.nih.gov/pmc/articles/PMC8326669/" TargetMode="External" /><Relationship Id="rId23" Type="http://schemas.openxmlformats.org/officeDocument/2006/relationships/hyperlink" Target="https://www.ncbi.nlm.nih.gov/pmc/articles/PMC7505572/" TargetMode="External" /><Relationship Id="rId28" Type="http://schemas.openxmlformats.org/officeDocument/2006/relationships/hyperlink" Target="https://www.mdpi.com/1660-4601/17/24/9571?utm_source=chatgpt.com" TargetMode="External" /><Relationship Id="rId36" Type="http://schemas.openxmlformats.org/officeDocument/2006/relationships/hyperlink" Target="https://link.springer.com/article/10.1007/s11115-010-0140-1" TargetMode="External" /><Relationship Id="rId10" Type="http://schemas.openxmlformats.org/officeDocument/2006/relationships/chart" Target="charts/chart1.xml" /><Relationship Id="rId19" Type="http://schemas.openxmlformats.org/officeDocument/2006/relationships/hyperlink" Target="https://onlinelibrary.wiley.com/doi/full/10.1111/psj.12409" TargetMode="External" /><Relationship Id="rId31" Type="http://schemas.openxmlformats.org/officeDocument/2006/relationships/hyperlink" Target="https://www.ncbi.nlm.nih.gov/pmc/articles/PMC7808765/" TargetMode="External" /><Relationship Id="rId44"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journals.sagepub.com/doi/pdf/10.1177/0002764214550299" TargetMode="External" /><Relationship Id="rId22" Type="http://schemas.openxmlformats.org/officeDocument/2006/relationships/hyperlink" Target="https://www.sciencedirect.com/science/article/pii/S0168851020301408" TargetMode="External" /><Relationship Id="rId27" Type="http://schemas.openxmlformats.org/officeDocument/2006/relationships/hyperlink" Target="https://www.tandfonline.com/doi/full/10.1080/13597566.2021.1882979" TargetMode="External" /><Relationship Id="rId30" Type="http://schemas.openxmlformats.org/officeDocument/2006/relationships/hyperlink" Target="https://www.ncbi.nlm.nih.gov/pmc/articles/PMC8382722/" TargetMode="External" /><Relationship Id="rId35" Type="http://schemas.openxmlformats.org/officeDocument/2006/relationships/hyperlink" Target="https://www.oecd.org/gov/building-resilience-to-future-shocks.pdf" TargetMode="External" /><Relationship Id="rId43" Type="http://schemas.openxmlformats.org/officeDocument/2006/relationships/hyperlink" Target="https://thedocs.worldbank.org/en/doc/214261388bdfa468bd8d180cb8ecb907-0070012023/original/Korea-case-study.pdf?utm_source=chatgpt.com" TargetMode="External"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 /><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 /><Relationship Id="rId2" Type="http://schemas.microsoft.com/office/2011/relationships/chartColorStyle" Target="colors2.xml" /><Relationship Id="rId1" Type="http://schemas.microsoft.com/office/2011/relationships/chartStyle" Target="style2.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b="1"/>
              <a:t>Governance Coordination in COVID-19 Responses</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Sheet1!$B$1</c:f>
              <c:strCache>
                <c:ptCount val="1"/>
                <c:pt idx="0">
                  <c:v>Policy Coordination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Sheet1!$A$2:$A$4</c:f>
              <c:strCache>
                <c:ptCount val="3"/>
                <c:pt idx="0">
                  <c:v>Spain</c:v>
                </c:pt>
                <c:pt idx="1">
                  <c:v>South Korea</c:v>
                </c:pt>
                <c:pt idx="2">
                  <c:v>Canada</c:v>
                </c:pt>
              </c:strCache>
            </c:strRef>
          </c:cat>
          <c:val>
            <c:numRef>
              <c:f>Sheet1!$B$2:$B$4</c:f>
              <c:numCache>
                <c:formatCode>General</c:formatCode>
                <c:ptCount val="3"/>
                <c:pt idx="0">
                  <c:v>2</c:v>
                </c:pt>
                <c:pt idx="1">
                  <c:v>5</c:v>
                </c:pt>
                <c:pt idx="2">
                  <c:v>3</c:v>
                </c:pt>
              </c:numCache>
            </c:numRef>
          </c:val>
          <c:extLst>
            <c:ext xmlns:c16="http://schemas.microsoft.com/office/drawing/2014/chart" uri="{C3380CC4-5D6E-409C-BE32-E72D297353CC}">
              <c16:uniqueId val="{00000000-AB23-4FA9-8A0B-62FA850DBD9B}"/>
            </c:ext>
          </c:extLst>
        </c:ser>
        <c:ser>
          <c:idx val="1"/>
          <c:order val="1"/>
          <c:tx>
            <c:strRef>
              <c:f>Sheet1!$C$1</c:f>
              <c:strCache>
                <c:ptCount val="1"/>
                <c:pt idx="0">
                  <c:v>Speed of Response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Sheet1!$A$2:$A$4</c:f>
              <c:strCache>
                <c:ptCount val="3"/>
                <c:pt idx="0">
                  <c:v>Spain</c:v>
                </c:pt>
                <c:pt idx="1">
                  <c:v>South Korea</c:v>
                </c:pt>
                <c:pt idx="2">
                  <c:v>Canada</c:v>
                </c:pt>
              </c:strCache>
            </c:strRef>
          </c:cat>
          <c:val>
            <c:numRef>
              <c:f>Sheet1!$C$2:$C$4</c:f>
              <c:numCache>
                <c:formatCode>General</c:formatCode>
                <c:ptCount val="3"/>
                <c:pt idx="0">
                  <c:v>2</c:v>
                </c:pt>
                <c:pt idx="1">
                  <c:v>5</c:v>
                </c:pt>
                <c:pt idx="2">
                  <c:v>3</c:v>
                </c:pt>
              </c:numCache>
            </c:numRef>
          </c:val>
          <c:extLst>
            <c:ext xmlns:c16="http://schemas.microsoft.com/office/drawing/2014/chart" uri="{C3380CC4-5D6E-409C-BE32-E72D297353CC}">
              <c16:uniqueId val="{00000001-AB23-4FA9-8A0B-62FA850DBD9B}"/>
            </c:ext>
          </c:extLst>
        </c:ser>
        <c:ser>
          <c:idx val="2"/>
          <c:order val="2"/>
          <c:tx>
            <c:strRef>
              <c:f>Sheet1!$D$1</c:f>
              <c:strCache>
                <c:ptCount val="1"/>
                <c:pt idx="0">
                  <c:v>Consistency of Measures</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Sheet1!$A$2:$A$4</c:f>
              <c:strCache>
                <c:ptCount val="3"/>
                <c:pt idx="0">
                  <c:v>Spain</c:v>
                </c:pt>
                <c:pt idx="1">
                  <c:v>South Korea</c:v>
                </c:pt>
                <c:pt idx="2">
                  <c:v>Canada</c:v>
                </c:pt>
              </c:strCache>
            </c:strRef>
          </c:cat>
          <c:val>
            <c:numRef>
              <c:f>Sheet1!$D$2:$D$4</c:f>
              <c:numCache>
                <c:formatCode>General</c:formatCode>
                <c:ptCount val="3"/>
                <c:pt idx="0">
                  <c:v>2</c:v>
                </c:pt>
                <c:pt idx="1">
                  <c:v>5</c:v>
                </c:pt>
                <c:pt idx="2">
                  <c:v>3</c:v>
                </c:pt>
              </c:numCache>
            </c:numRef>
          </c:val>
          <c:extLst>
            <c:ext xmlns:c16="http://schemas.microsoft.com/office/drawing/2014/chart" uri="{C3380CC4-5D6E-409C-BE32-E72D297353CC}">
              <c16:uniqueId val="{00000002-AB23-4FA9-8A0B-62FA850DBD9B}"/>
            </c:ext>
          </c:extLst>
        </c:ser>
        <c:ser>
          <c:idx val="3"/>
          <c:order val="3"/>
          <c:tx>
            <c:strRef>
              <c:f>Sheet1!$E$1</c:f>
              <c:strCache>
                <c:ptCount val="1"/>
                <c:pt idx="0">
                  <c:v>Equity of Resource Distribution</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Sheet1!$A$2:$A$4</c:f>
              <c:strCache>
                <c:ptCount val="3"/>
                <c:pt idx="0">
                  <c:v>Spain</c:v>
                </c:pt>
                <c:pt idx="1">
                  <c:v>South Korea</c:v>
                </c:pt>
                <c:pt idx="2">
                  <c:v>Canada</c:v>
                </c:pt>
              </c:strCache>
            </c:strRef>
          </c:cat>
          <c:val>
            <c:numRef>
              <c:f>Sheet1!$E$2:$E$4</c:f>
              <c:numCache>
                <c:formatCode>General</c:formatCode>
                <c:ptCount val="3"/>
                <c:pt idx="0">
                  <c:v>3</c:v>
                </c:pt>
                <c:pt idx="1">
                  <c:v>4</c:v>
                </c:pt>
                <c:pt idx="2">
                  <c:v>3</c:v>
                </c:pt>
              </c:numCache>
            </c:numRef>
          </c:val>
          <c:extLst>
            <c:ext xmlns:c16="http://schemas.microsoft.com/office/drawing/2014/chart" uri="{C3380CC4-5D6E-409C-BE32-E72D297353CC}">
              <c16:uniqueId val="{00000003-AB23-4FA9-8A0B-62FA850DBD9B}"/>
            </c:ext>
          </c:extLst>
        </c:ser>
        <c:dLbls>
          <c:showLegendKey val="0"/>
          <c:showVal val="1"/>
          <c:showCatName val="0"/>
          <c:showSerName val="0"/>
          <c:showPercent val="0"/>
          <c:showBubbleSize val="0"/>
        </c:dLbls>
        <c:gapWidth val="150"/>
        <c:shape val="box"/>
        <c:axId val="925421791"/>
        <c:axId val="925424671"/>
        <c:axId val="928903839"/>
      </c:bar3DChart>
      <c:catAx>
        <c:axId val="92542179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25424671"/>
        <c:crosses val="autoZero"/>
        <c:auto val="1"/>
        <c:lblAlgn val="ctr"/>
        <c:lblOffset val="100"/>
        <c:noMultiLvlLbl val="0"/>
      </c:catAx>
      <c:valAx>
        <c:axId val="925424671"/>
        <c:scaling>
          <c:orientation val="minMax"/>
        </c:scaling>
        <c:delete val="0"/>
        <c:axPos val="l"/>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25421791"/>
        <c:crosses val="autoZero"/>
        <c:crossBetween val="between"/>
      </c:valAx>
      <c:serAx>
        <c:axId val="928903839"/>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25424671"/>
        <c:crosses val="autoZero"/>
      </c:ser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Leadership Strength Distribution: South Korea (COVID-19 Response)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Weight (%)</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7E66-4FE4-9C22-C5ABD35C0044}"/>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7E66-4FE4-9C22-C5ABD35C0044}"/>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7E66-4FE4-9C22-C5ABD35C0044}"/>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7E66-4FE4-9C22-C5ABD35C0044}"/>
              </c:ext>
            </c:extLst>
          </c:dPt>
          <c:cat>
            <c:strRef>
              <c:f>Sheet1!$A$2:$A$5</c:f>
              <c:strCache>
                <c:ptCount val="4"/>
                <c:pt idx="0">
                  <c:v>Transparency</c:v>
                </c:pt>
                <c:pt idx="1">
                  <c:v>Adaptability</c:v>
                </c:pt>
                <c:pt idx="2">
                  <c:v>Public Trust</c:v>
                </c:pt>
                <c:pt idx="3">
                  <c:v>Coordination</c:v>
                </c:pt>
              </c:strCache>
            </c:strRef>
          </c:cat>
          <c:val>
            <c:numRef>
              <c:f>Sheet1!$B$2:$B$5</c:f>
              <c:numCache>
                <c:formatCode>General</c:formatCode>
                <c:ptCount val="4"/>
                <c:pt idx="0">
                  <c:v>30</c:v>
                </c:pt>
                <c:pt idx="1">
                  <c:v>25</c:v>
                </c:pt>
                <c:pt idx="2">
                  <c:v>25</c:v>
                </c:pt>
                <c:pt idx="3">
                  <c:v>20</c:v>
                </c:pt>
              </c:numCache>
            </c:numRef>
          </c:val>
          <c:extLst>
            <c:ext xmlns:c16="http://schemas.microsoft.com/office/drawing/2014/chart" uri="{C3380CC4-5D6E-409C-BE32-E72D297353CC}">
              <c16:uniqueId val="{00000000-E81F-48A0-AFC3-5DFB95965250}"/>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7DD1E5-D04A-4F5C-BA1C-1ED584337FA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7118</Words>
  <Characters>40576</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2025-12-15T18:41:00Z</dcterms:created>
  <dcterms:modified xsi:type="dcterms:W3CDTF">2025-12-15T18:41:00Z</dcterms:modified>
</cp:coreProperties>
</file>