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C36FD" w14:textId="77777777" w:rsidR="00B42042" w:rsidRPr="00E41A7F" w:rsidRDefault="00B42042" w:rsidP="00F33223">
      <w:pPr>
        <w:spacing w:line="360" w:lineRule="auto"/>
        <w:jc w:val="center"/>
        <w:rPr>
          <w:rFonts w:ascii="Arial" w:hAnsi="Arial" w:cs="Arial"/>
          <w:b/>
          <w:bCs/>
        </w:rPr>
      </w:pPr>
      <w:r w:rsidRPr="00E41A7F">
        <w:rPr>
          <w:rFonts w:ascii="Arial" w:hAnsi="Arial" w:cs="Arial"/>
          <w:b/>
          <w:bCs/>
        </w:rPr>
        <w:t>Developing and Managing Individuals and Teams</w:t>
      </w:r>
    </w:p>
    <w:p w14:paraId="47D67CB9" w14:textId="77777777" w:rsidR="00B42042" w:rsidRPr="00E41A7F" w:rsidRDefault="00B42042" w:rsidP="00F33223">
      <w:pPr>
        <w:spacing w:line="360" w:lineRule="auto"/>
        <w:jc w:val="center"/>
        <w:rPr>
          <w:rFonts w:ascii="Arial" w:hAnsi="Arial" w:cs="Arial"/>
        </w:rPr>
      </w:pPr>
      <w:r w:rsidRPr="00E41A7F">
        <w:rPr>
          <w:rFonts w:ascii="Arial" w:hAnsi="Arial" w:cs="Arial"/>
          <w:b/>
          <w:bCs/>
        </w:rPr>
        <w:t>Module Code:</w:t>
      </w:r>
      <w:r w:rsidRPr="00E41A7F">
        <w:rPr>
          <w:rFonts w:ascii="Arial" w:hAnsi="Arial" w:cs="Arial"/>
        </w:rPr>
        <w:t xml:space="preserve"> LCLM5002</w:t>
      </w:r>
    </w:p>
    <w:p w14:paraId="0A7BA5DE" w14:textId="31FD5983" w:rsidR="00B42042" w:rsidRPr="00E41A7F" w:rsidRDefault="00B42042" w:rsidP="00E41A7F">
      <w:pPr>
        <w:spacing w:line="360" w:lineRule="auto"/>
        <w:rPr>
          <w:rFonts w:ascii="Arial" w:hAnsi="Arial" w:cs="Arial"/>
        </w:rPr>
      </w:pPr>
    </w:p>
    <w:p w14:paraId="4496F543" w14:textId="77001DD5" w:rsidR="00B42042" w:rsidRPr="00F33223" w:rsidRDefault="00B42042" w:rsidP="00F33223">
      <w:pPr>
        <w:pStyle w:val="Title"/>
        <w:jc w:val="center"/>
        <w:rPr>
          <w:rFonts w:ascii="Arial" w:hAnsi="Arial" w:cs="Arial"/>
        </w:rPr>
      </w:pPr>
      <w:r w:rsidRPr="00F33223">
        <w:rPr>
          <w:rFonts w:ascii="Arial" w:hAnsi="Arial" w:cs="Arial"/>
        </w:rPr>
        <w:t xml:space="preserve">Component 2 </w:t>
      </w:r>
      <w:r w:rsidR="00F33223" w:rsidRPr="00F33223">
        <w:rPr>
          <w:rFonts w:ascii="Arial" w:hAnsi="Arial" w:cs="Arial"/>
        </w:rPr>
        <w:t>-</w:t>
      </w:r>
      <w:r w:rsidRPr="00F33223">
        <w:rPr>
          <w:rFonts w:ascii="Arial" w:hAnsi="Arial" w:cs="Arial"/>
        </w:rPr>
        <w:t xml:space="preserve"> Individual Report</w:t>
      </w:r>
    </w:p>
    <w:p w14:paraId="6E4BED58" w14:textId="77777777" w:rsidR="00B42042" w:rsidRPr="00F33223" w:rsidRDefault="00B42042" w:rsidP="00F33223">
      <w:pPr>
        <w:pStyle w:val="Title"/>
        <w:jc w:val="center"/>
        <w:rPr>
          <w:rFonts w:ascii="Arial" w:hAnsi="Arial" w:cs="Arial"/>
        </w:rPr>
      </w:pPr>
      <w:r w:rsidRPr="00F33223">
        <w:rPr>
          <w:rFonts w:ascii="Arial" w:hAnsi="Arial" w:cs="Arial"/>
        </w:rPr>
        <w:t>Contemporary Human Resource Challenges and Practices: A Critical Evaluation of Tesco plc</w:t>
      </w:r>
    </w:p>
    <w:p w14:paraId="71DD3949" w14:textId="79285419" w:rsidR="00B42042" w:rsidRDefault="00B42042" w:rsidP="00E41A7F">
      <w:pPr>
        <w:spacing w:line="360" w:lineRule="auto"/>
        <w:rPr>
          <w:rFonts w:ascii="Arial" w:hAnsi="Arial" w:cs="Arial"/>
        </w:rPr>
      </w:pPr>
    </w:p>
    <w:p w14:paraId="7DFEA73B" w14:textId="77777777" w:rsidR="00F33223" w:rsidRDefault="00F33223" w:rsidP="00E41A7F">
      <w:pPr>
        <w:spacing w:line="360" w:lineRule="auto"/>
        <w:rPr>
          <w:rFonts w:ascii="Arial" w:hAnsi="Arial" w:cs="Arial"/>
        </w:rPr>
      </w:pPr>
    </w:p>
    <w:p w14:paraId="35EA282B" w14:textId="77777777" w:rsidR="00F33223" w:rsidRDefault="00F33223" w:rsidP="00E41A7F">
      <w:pPr>
        <w:spacing w:line="360" w:lineRule="auto"/>
        <w:rPr>
          <w:rFonts w:ascii="Arial" w:hAnsi="Arial" w:cs="Arial"/>
        </w:rPr>
      </w:pPr>
    </w:p>
    <w:p w14:paraId="5A2E4CD7" w14:textId="77777777" w:rsidR="00F33223" w:rsidRDefault="00F33223" w:rsidP="00E41A7F">
      <w:pPr>
        <w:spacing w:line="360" w:lineRule="auto"/>
        <w:rPr>
          <w:rFonts w:ascii="Arial" w:hAnsi="Arial" w:cs="Arial"/>
        </w:rPr>
      </w:pPr>
    </w:p>
    <w:p w14:paraId="5DD09476" w14:textId="77777777" w:rsidR="00F33223" w:rsidRDefault="00F33223" w:rsidP="00E41A7F">
      <w:pPr>
        <w:spacing w:line="360" w:lineRule="auto"/>
        <w:rPr>
          <w:rFonts w:ascii="Arial" w:hAnsi="Arial" w:cs="Arial"/>
        </w:rPr>
      </w:pPr>
    </w:p>
    <w:p w14:paraId="1120FA4A" w14:textId="77777777" w:rsidR="00F33223" w:rsidRDefault="00F33223" w:rsidP="00E41A7F">
      <w:pPr>
        <w:spacing w:line="360" w:lineRule="auto"/>
        <w:rPr>
          <w:rFonts w:ascii="Arial" w:hAnsi="Arial" w:cs="Arial"/>
        </w:rPr>
      </w:pPr>
    </w:p>
    <w:p w14:paraId="4CB58125" w14:textId="77777777" w:rsidR="00F33223" w:rsidRDefault="00F33223" w:rsidP="00E41A7F">
      <w:pPr>
        <w:spacing w:line="360" w:lineRule="auto"/>
        <w:rPr>
          <w:rFonts w:ascii="Arial" w:hAnsi="Arial" w:cs="Arial"/>
        </w:rPr>
      </w:pPr>
    </w:p>
    <w:p w14:paraId="25C892BA" w14:textId="77777777" w:rsidR="00F33223" w:rsidRDefault="00F33223" w:rsidP="00E41A7F">
      <w:pPr>
        <w:spacing w:line="360" w:lineRule="auto"/>
        <w:rPr>
          <w:rFonts w:ascii="Arial" w:hAnsi="Arial" w:cs="Arial"/>
        </w:rPr>
      </w:pPr>
    </w:p>
    <w:p w14:paraId="2D3E4BE0" w14:textId="77777777" w:rsidR="00F33223" w:rsidRDefault="00F33223" w:rsidP="00E41A7F">
      <w:pPr>
        <w:spacing w:line="360" w:lineRule="auto"/>
        <w:rPr>
          <w:rFonts w:ascii="Arial" w:hAnsi="Arial" w:cs="Arial"/>
        </w:rPr>
      </w:pPr>
    </w:p>
    <w:p w14:paraId="53D4776A" w14:textId="77777777" w:rsidR="00F33223" w:rsidRDefault="00F33223" w:rsidP="00E41A7F">
      <w:pPr>
        <w:spacing w:line="360" w:lineRule="auto"/>
        <w:rPr>
          <w:rFonts w:ascii="Arial" w:hAnsi="Arial" w:cs="Arial"/>
        </w:rPr>
      </w:pPr>
    </w:p>
    <w:p w14:paraId="312A0B78" w14:textId="77777777" w:rsidR="00F33223" w:rsidRDefault="00F33223" w:rsidP="00E41A7F">
      <w:pPr>
        <w:spacing w:line="360" w:lineRule="auto"/>
        <w:rPr>
          <w:rFonts w:ascii="Arial" w:hAnsi="Arial" w:cs="Arial"/>
        </w:rPr>
      </w:pPr>
    </w:p>
    <w:p w14:paraId="5ED49D3E" w14:textId="77777777" w:rsidR="00F33223" w:rsidRDefault="00F33223" w:rsidP="00E41A7F">
      <w:pPr>
        <w:spacing w:line="360" w:lineRule="auto"/>
        <w:rPr>
          <w:rFonts w:ascii="Arial" w:hAnsi="Arial" w:cs="Arial"/>
        </w:rPr>
      </w:pPr>
    </w:p>
    <w:p w14:paraId="4AE8DF5F" w14:textId="77777777" w:rsidR="00F33223" w:rsidRDefault="00F33223" w:rsidP="00E41A7F">
      <w:pPr>
        <w:spacing w:line="360" w:lineRule="auto"/>
        <w:rPr>
          <w:rFonts w:ascii="Arial" w:hAnsi="Arial" w:cs="Arial"/>
        </w:rPr>
      </w:pPr>
    </w:p>
    <w:p w14:paraId="1816DEB7" w14:textId="77777777" w:rsidR="00F33223" w:rsidRPr="00E41A7F" w:rsidRDefault="00F33223" w:rsidP="00E41A7F">
      <w:pPr>
        <w:spacing w:line="360" w:lineRule="auto"/>
        <w:rPr>
          <w:rFonts w:ascii="Arial" w:hAnsi="Arial" w:cs="Arial"/>
        </w:rPr>
      </w:pPr>
    </w:p>
    <w:p w14:paraId="4EEB8A26" w14:textId="76FC1927" w:rsidR="00B42042" w:rsidRPr="00E41A7F" w:rsidRDefault="00B42042" w:rsidP="00E41A7F">
      <w:pPr>
        <w:spacing w:line="360" w:lineRule="auto"/>
        <w:rPr>
          <w:rFonts w:ascii="Arial" w:hAnsi="Arial" w:cs="Arial"/>
        </w:rPr>
      </w:pPr>
      <w:r w:rsidRPr="00E41A7F">
        <w:rPr>
          <w:rFonts w:ascii="Arial" w:hAnsi="Arial" w:cs="Arial"/>
          <w:b/>
          <w:bCs/>
        </w:rPr>
        <w:t>Student Name:</w:t>
      </w:r>
      <w:r w:rsidRPr="00E41A7F">
        <w:rPr>
          <w:rFonts w:ascii="Arial" w:hAnsi="Arial" w:cs="Arial"/>
        </w:rPr>
        <w:t xml:space="preserve"> </w:t>
      </w:r>
      <w:r w:rsidR="00F33223">
        <w:rPr>
          <w:rFonts w:ascii="Arial" w:hAnsi="Arial" w:cs="Arial"/>
        </w:rPr>
        <w:t>Xenia-Giorgiana Anghel</w:t>
      </w:r>
    </w:p>
    <w:p w14:paraId="3D1FAB8C" w14:textId="51C0EC58" w:rsidR="00B42042" w:rsidRPr="00E41A7F" w:rsidRDefault="00B42042" w:rsidP="00E41A7F">
      <w:pPr>
        <w:spacing w:line="360" w:lineRule="auto"/>
        <w:rPr>
          <w:rFonts w:ascii="Arial" w:hAnsi="Arial" w:cs="Arial"/>
        </w:rPr>
      </w:pPr>
      <w:r w:rsidRPr="00E41A7F">
        <w:rPr>
          <w:rFonts w:ascii="Arial" w:hAnsi="Arial" w:cs="Arial"/>
          <w:b/>
          <w:bCs/>
        </w:rPr>
        <w:t>Student ID:</w:t>
      </w:r>
      <w:r w:rsidRPr="00E41A7F">
        <w:rPr>
          <w:rFonts w:ascii="Arial" w:hAnsi="Arial" w:cs="Arial"/>
        </w:rPr>
        <w:t xml:space="preserve"> </w:t>
      </w:r>
      <w:r w:rsidR="00A15D8D">
        <w:rPr>
          <w:rFonts w:ascii="Arial" w:hAnsi="Arial" w:cs="Arial"/>
        </w:rPr>
        <w:t>2438527</w:t>
      </w:r>
    </w:p>
    <w:p w14:paraId="5C144459" w14:textId="77777777" w:rsidR="00A74E56" w:rsidRPr="00E41A7F" w:rsidRDefault="00A74E56" w:rsidP="00E41A7F">
      <w:pPr>
        <w:spacing w:line="360" w:lineRule="auto"/>
        <w:rPr>
          <w:rFonts w:ascii="Arial" w:hAnsi="Arial" w:cs="Arial"/>
        </w:rPr>
      </w:pPr>
    </w:p>
    <w:p w14:paraId="306EA50A" w14:textId="77777777" w:rsidR="00F96F19" w:rsidRPr="00E41A7F" w:rsidRDefault="00F96F19" w:rsidP="00E41A7F">
      <w:pPr>
        <w:spacing w:line="360" w:lineRule="auto"/>
        <w:rPr>
          <w:rFonts w:ascii="Arial" w:hAnsi="Arial" w:cs="Arial"/>
        </w:rPr>
      </w:pPr>
    </w:p>
    <w:sdt>
      <w:sdtPr>
        <w:id w:val="40149172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5C72997" w14:textId="647C3481" w:rsidR="007E0AD2" w:rsidRDefault="007E0AD2">
          <w:pPr>
            <w:pStyle w:val="TOCHeading"/>
          </w:pPr>
          <w:r>
            <w:t>Contents</w:t>
          </w:r>
        </w:p>
        <w:p w14:paraId="33B40926" w14:textId="57063A65" w:rsidR="007E0AD2" w:rsidRDefault="007E0AD2">
          <w:pPr>
            <w:pStyle w:val="TOC1"/>
            <w:tabs>
              <w:tab w:val="right" w:leader="dot" w:pos="9016"/>
            </w:tabs>
            <w:rPr>
              <w:noProof/>
            </w:rPr>
          </w:pPr>
          <w:r>
            <w:fldChar w:fldCharType="begin"/>
          </w:r>
          <w:r>
            <w:instrText xml:space="preserve"> TOC \o "1-3" \h \z \u </w:instrText>
          </w:r>
          <w:r>
            <w:fldChar w:fldCharType="separate"/>
          </w:r>
          <w:hyperlink w:anchor="_Toc235431612" w:history="1">
            <w:r w:rsidRPr="00A57F6A">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_Toc235431612 \h </w:instrText>
            </w:r>
            <w:r>
              <w:rPr>
                <w:noProof/>
                <w:webHidden/>
              </w:rPr>
            </w:r>
            <w:r>
              <w:rPr>
                <w:noProof/>
                <w:webHidden/>
              </w:rPr>
              <w:fldChar w:fldCharType="separate"/>
            </w:r>
            <w:r>
              <w:rPr>
                <w:noProof/>
                <w:webHidden/>
              </w:rPr>
              <w:t>3</w:t>
            </w:r>
            <w:r>
              <w:rPr>
                <w:noProof/>
                <w:webHidden/>
              </w:rPr>
              <w:fldChar w:fldCharType="end"/>
            </w:r>
          </w:hyperlink>
        </w:p>
        <w:p w14:paraId="1CCFC64E" w14:textId="520F7F0C" w:rsidR="007E0AD2" w:rsidRDefault="007E0AD2">
          <w:pPr>
            <w:pStyle w:val="TOC1"/>
            <w:tabs>
              <w:tab w:val="right" w:leader="dot" w:pos="9016"/>
            </w:tabs>
            <w:rPr>
              <w:noProof/>
            </w:rPr>
          </w:pPr>
          <w:hyperlink w:anchor="_Toc235431613" w:history="1">
            <w:r w:rsidRPr="00A57F6A">
              <w:rPr>
                <w:rStyle w:val="Hyperlink"/>
                <w:rFonts w:ascii="Arial" w:hAnsi="Arial" w:cs="Arial"/>
                <w:noProof/>
              </w:rPr>
              <w:t>2. Explanation of Key HR Challenge</w:t>
            </w:r>
            <w:r>
              <w:rPr>
                <w:noProof/>
                <w:webHidden/>
              </w:rPr>
              <w:tab/>
            </w:r>
            <w:r>
              <w:rPr>
                <w:noProof/>
                <w:webHidden/>
              </w:rPr>
              <w:fldChar w:fldCharType="begin"/>
            </w:r>
            <w:r>
              <w:rPr>
                <w:noProof/>
                <w:webHidden/>
              </w:rPr>
              <w:instrText xml:space="preserve"> PAGEREF _Toc235431613 \h </w:instrText>
            </w:r>
            <w:r>
              <w:rPr>
                <w:noProof/>
                <w:webHidden/>
              </w:rPr>
            </w:r>
            <w:r>
              <w:rPr>
                <w:noProof/>
                <w:webHidden/>
              </w:rPr>
              <w:fldChar w:fldCharType="separate"/>
            </w:r>
            <w:r>
              <w:rPr>
                <w:noProof/>
                <w:webHidden/>
              </w:rPr>
              <w:t>3</w:t>
            </w:r>
            <w:r>
              <w:rPr>
                <w:noProof/>
                <w:webHidden/>
              </w:rPr>
              <w:fldChar w:fldCharType="end"/>
            </w:r>
          </w:hyperlink>
        </w:p>
        <w:p w14:paraId="69F76D75" w14:textId="3C689628" w:rsidR="007E0AD2" w:rsidRDefault="007E0AD2">
          <w:pPr>
            <w:pStyle w:val="TOC2"/>
            <w:tabs>
              <w:tab w:val="right" w:leader="dot" w:pos="9016"/>
            </w:tabs>
            <w:rPr>
              <w:noProof/>
            </w:rPr>
          </w:pPr>
          <w:hyperlink w:anchor="_Toc235431614" w:history="1">
            <w:r w:rsidRPr="00A57F6A">
              <w:rPr>
                <w:rStyle w:val="Hyperlink"/>
                <w:rFonts w:ascii="Arial" w:hAnsi="Arial" w:cs="Arial"/>
                <w:noProof/>
              </w:rPr>
              <w:t>2.1 Adapting to Technological Advancement</w:t>
            </w:r>
            <w:r>
              <w:rPr>
                <w:noProof/>
                <w:webHidden/>
              </w:rPr>
              <w:tab/>
            </w:r>
            <w:r>
              <w:rPr>
                <w:noProof/>
                <w:webHidden/>
              </w:rPr>
              <w:fldChar w:fldCharType="begin"/>
            </w:r>
            <w:r>
              <w:rPr>
                <w:noProof/>
                <w:webHidden/>
              </w:rPr>
              <w:instrText xml:space="preserve"> PAGEREF _Toc235431614 \h </w:instrText>
            </w:r>
            <w:r>
              <w:rPr>
                <w:noProof/>
                <w:webHidden/>
              </w:rPr>
            </w:r>
            <w:r>
              <w:rPr>
                <w:noProof/>
                <w:webHidden/>
              </w:rPr>
              <w:fldChar w:fldCharType="separate"/>
            </w:r>
            <w:r>
              <w:rPr>
                <w:noProof/>
                <w:webHidden/>
              </w:rPr>
              <w:t>3</w:t>
            </w:r>
            <w:r>
              <w:rPr>
                <w:noProof/>
                <w:webHidden/>
              </w:rPr>
              <w:fldChar w:fldCharType="end"/>
            </w:r>
          </w:hyperlink>
        </w:p>
        <w:p w14:paraId="542F1A83" w14:textId="4AB73981" w:rsidR="007E0AD2" w:rsidRDefault="007E0AD2">
          <w:pPr>
            <w:pStyle w:val="TOC2"/>
            <w:tabs>
              <w:tab w:val="right" w:leader="dot" w:pos="9016"/>
            </w:tabs>
            <w:rPr>
              <w:noProof/>
            </w:rPr>
          </w:pPr>
          <w:hyperlink w:anchor="_Toc235431615" w:history="1">
            <w:r w:rsidRPr="00A57F6A">
              <w:rPr>
                <w:rStyle w:val="Hyperlink"/>
                <w:rFonts w:ascii="Arial" w:hAnsi="Arial" w:cs="Arial"/>
                <w:noProof/>
              </w:rPr>
              <w:t>2.2 Talent Acquisition and Retention</w:t>
            </w:r>
            <w:r>
              <w:rPr>
                <w:noProof/>
                <w:webHidden/>
              </w:rPr>
              <w:tab/>
            </w:r>
            <w:r>
              <w:rPr>
                <w:noProof/>
                <w:webHidden/>
              </w:rPr>
              <w:fldChar w:fldCharType="begin"/>
            </w:r>
            <w:r>
              <w:rPr>
                <w:noProof/>
                <w:webHidden/>
              </w:rPr>
              <w:instrText xml:space="preserve"> PAGEREF _Toc235431615 \h </w:instrText>
            </w:r>
            <w:r>
              <w:rPr>
                <w:noProof/>
                <w:webHidden/>
              </w:rPr>
            </w:r>
            <w:r>
              <w:rPr>
                <w:noProof/>
                <w:webHidden/>
              </w:rPr>
              <w:fldChar w:fldCharType="separate"/>
            </w:r>
            <w:r>
              <w:rPr>
                <w:noProof/>
                <w:webHidden/>
              </w:rPr>
              <w:t>3</w:t>
            </w:r>
            <w:r>
              <w:rPr>
                <w:noProof/>
                <w:webHidden/>
              </w:rPr>
              <w:fldChar w:fldCharType="end"/>
            </w:r>
          </w:hyperlink>
        </w:p>
        <w:p w14:paraId="2E18FAD8" w14:textId="32EADE92" w:rsidR="007E0AD2" w:rsidRDefault="007E0AD2">
          <w:pPr>
            <w:pStyle w:val="TOC2"/>
            <w:tabs>
              <w:tab w:val="right" w:leader="dot" w:pos="9016"/>
            </w:tabs>
            <w:rPr>
              <w:noProof/>
            </w:rPr>
          </w:pPr>
          <w:hyperlink w:anchor="_Toc235431616" w:history="1">
            <w:r w:rsidRPr="00A57F6A">
              <w:rPr>
                <w:rStyle w:val="Hyperlink"/>
                <w:rFonts w:ascii="Arial" w:hAnsi="Arial" w:cs="Arial"/>
                <w:noProof/>
              </w:rPr>
              <w:t>2.3 Diversity, Equity and Inclusion (DEI)</w:t>
            </w:r>
            <w:r>
              <w:rPr>
                <w:noProof/>
                <w:webHidden/>
              </w:rPr>
              <w:tab/>
            </w:r>
            <w:r>
              <w:rPr>
                <w:noProof/>
                <w:webHidden/>
              </w:rPr>
              <w:fldChar w:fldCharType="begin"/>
            </w:r>
            <w:r>
              <w:rPr>
                <w:noProof/>
                <w:webHidden/>
              </w:rPr>
              <w:instrText xml:space="preserve"> PAGEREF _Toc235431616 \h </w:instrText>
            </w:r>
            <w:r>
              <w:rPr>
                <w:noProof/>
                <w:webHidden/>
              </w:rPr>
            </w:r>
            <w:r>
              <w:rPr>
                <w:noProof/>
                <w:webHidden/>
              </w:rPr>
              <w:fldChar w:fldCharType="separate"/>
            </w:r>
            <w:r>
              <w:rPr>
                <w:noProof/>
                <w:webHidden/>
              </w:rPr>
              <w:t>4</w:t>
            </w:r>
            <w:r>
              <w:rPr>
                <w:noProof/>
                <w:webHidden/>
              </w:rPr>
              <w:fldChar w:fldCharType="end"/>
            </w:r>
          </w:hyperlink>
        </w:p>
        <w:p w14:paraId="0F5BEF7D" w14:textId="213AA377" w:rsidR="007E0AD2" w:rsidRDefault="007E0AD2">
          <w:pPr>
            <w:pStyle w:val="TOC1"/>
            <w:tabs>
              <w:tab w:val="right" w:leader="dot" w:pos="9016"/>
            </w:tabs>
            <w:rPr>
              <w:noProof/>
            </w:rPr>
          </w:pPr>
          <w:hyperlink w:anchor="_Toc235431617" w:history="1">
            <w:r w:rsidRPr="00A57F6A">
              <w:rPr>
                <w:rStyle w:val="Hyperlink"/>
                <w:rFonts w:ascii="Arial" w:hAnsi="Arial" w:cs="Arial"/>
                <w:noProof/>
              </w:rPr>
              <w:t>3. Evaluation of Contemporary HR Practices</w:t>
            </w:r>
            <w:r>
              <w:rPr>
                <w:noProof/>
                <w:webHidden/>
              </w:rPr>
              <w:tab/>
            </w:r>
            <w:r>
              <w:rPr>
                <w:noProof/>
                <w:webHidden/>
              </w:rPr>
              <w:fldChar w:fldCharType="begin"/>
            </w:r>
            <w:r>
              <w:rPr>
                <w:noProof/>
                <w:webHidden/>
              </w:rPr>
              <w:instrText xml:space="preserve"> PAGEREF _Toc235431617 \h </w:instrText>
            </w:r>
            <w:r>
              <w:rPr>
                <w:noProof/>
                <w:webHidden/>
              </w:rPr>
            </w:r>
            <w:r>
              <w:rPr>
                <w:noProof/>
                <w:webHidden/>
              </w:rPr>
              <w:fldChar w:fldCharType="separate"/>
            </w:r>
            <w:r>
              <w:rPr>
                <w:noProof/>
                <w:webHidden/>
              </w:rPr>
              <w:t>4</w:t>
            </w:r>
            <w:r>
              <w:rPr>
                <w:noProof/>
                <w:webHidden/>
              </w:rPr>
              <w:fldChar w:fldCharType="end"/>
            </w:r>
          </w:hyperlink>
        </w:p>
        <w:p w14:paraId="54FF38AB" w14:textId="7C155152" w:rsidR="007E0AD2" w:rsidRDefault="007E0AD2">
          <w:pPr>
            <w:pStyle w:val="TOC2"/>
            <w:tabs>
              <w:tab w:val="right" w:leader="dot" w:pos="9016"/>
            </w:tabs>
            <w:rPr>
              <w:noProof/>
            </w:rPr>
          </w:pPr>
          <w:hyperlink w:anchor="_Toc235431618" w:history="1">
            <w:r w:rsidRPr="00A57F6A">
              <w:rPr>
                <w:rStyle w:val="Hyperlink"/>
                <w:rFonts w:ascii="Arial" w:hAnsi="Arial" w:cs="Arial"/>
                <w:noProof/>
              </w:rPr>
              <w:t>3.1 Digital HR Systems and Workforce Analytics</w:t>
            </w:r>
            <w:r>
              <w:rPr>
                <w:noProof/>
                <w:webHidden/>
              </w:rPr>
              <w:tab/>
            </w:r>
            <w:r>
              <w:rPr>
                <w:noProof/>
                <w:webHidden/>
              </w:rPr>
              <w:fldChar w:fldCharType="begin"/>
            </w:r>
            <w:r>
              <w:rPr>
                <w:noProof/>
                <w:webHidden/>
              </w:rPr>
              <w:instrText xml:space="preserve"> PAGEREF _Toc235431618 \h </w:instrText>
            </w:r>
            <w:r>
              <w:rPr>
                <w:noProof/>
                <w:webHidden/>
              </w:rPr>
            </w:r>
            <w:r>
              <w:rPr>
                <w:noProof/>
                <w:webHidden/>
              </w:rPr>
              <w:fldChar w:fldCharType="separate"/>
            </w:r>
            <w:r>
              <w:rPr>
                <w:noProof/>
                <w:webHidden/>
              </w:rPr>
              <w:t>4</w:t>
            </w:r>
            <w:r>
              <w:rPr>
                <w:noProof/>
                <w:webHidden/>
              </w:rPr>
              <w:fldChar w:fldCharType="end"/>
            </w:r>
          </w:hyperlink>
        </w:p>
        <w:p w14:paraId="5E2DE30B" w14:textId="495DE714" w:rsidR="007E0AD2" w:rsidRDefault="007E0AD2">
          <w:pPr>
            <w:pStyle w:val="TOC2"/>
            <w:tabs>
              <w:tab w:val="right" w:leader="dot" w:pos="9016"/>
            </w:tabs>
            <w:rPr>
              <w:noProof/>
            </w:rPr>
          </w:pPr>
          <w:hyperlink w:anchor="_Toc235431619" w:history="1">
            <w:r w:rsidRPr="00A57F6A">
              <w:rPr>
                <w:rStyle w:val="Hyperlink"/>
                <w:rFonts w:ascii="Arial" w:hAnsi="Arial" w:cs="Arial"/>
                <w:noProof/>
              </w:rPr>
              <w:t>3.2 Employer Branding and Talent Management</w:t>
            </w:r>
            <w:r>
              <w:rPr>
                <w:noProof/>
                <w:webHidden/>
              </w:rPr>
              <w:tab/>
            </w:r>
            <w:r>
              <w:rPr>
                <w:noProof/>
                <w:webHidden/>
              </w:rPr>
              <w:fldChar w:fldCharType="begin"/>
            </w:r>
            <w:r>
              <w:rPr>
                <w:noProof/>
                <w:webHidden/>
              </w:rPr>
              <w:instrText xml:space="preserve"> PAGEREF _Toc235431619 \h </w:instrText>
            </w:r>
            <w:r>
              <w:rPr>
                <w:noProof/>
                <w:webHidden/>
              </w:rPr>
            </w:r>
            <w:r>
              <w:rPr>
                <w:noProof/>
                <w:webHidden/>
              </w:rPr>
              <w:fldChar w:fldCharType="separate"/>
            </w:r>
            <w:r>
              <w:rPr>
                <w:noProof/>
                <w:webHidden/>
              </w:rPr>
              <w:t>5</w:t>
            </w:r>
            <w:r>
              <w:rPr>
                <w:noProof/>
                <w:webHidden/>
              </w:rPr>
              <w:fldChar w:fldCharType="end"/>
            </w:r>
          </w:hyperlink>
        </w:p>
        <w:p w14:paraId="216BFE8E" w14:textId="0F120B38" w:rsidR="007E0AD2" w:rsidRDefault="007E0AD2">
          <w:pPr>
            <w:pStyle w:val="TOC2"/>
            <w:tabs>
              <w:tab w:val="right" w:leader="dot" w:pos="9016"/>
            </w:tabs>
            <w:rPr>
              <w:noProof/>
            </w:rPr>
          </w:pPr>
          <w:hyperlink w:anchor="_Toc235431620" w:history="1">
            <w:r w:rsidRPr="00A57F6A">
              <w:rPr>
                <w:rStyle w:val="Hyperlink"/>
                <w:rFonts w:ascii="Arial" w:hAnsi="Arial" w:cs="Arial"/>
                <w:noProof/>
              </w:rPr>
              <w:t>3.3 Diversity, Equity and Inclusion (DEI) Practices</w:t>
            </w:r>
            <w:r>
              <w:rPr>
                <w:noProof/>
                <w:webHidden/>
              </w:rPr>
              <w:tab/>
            </w:r>
            <w:r>
              <w:rPr>
                <w:noProof/>
                <w:webHidden/>
              </w:rPr>
              <w:fldChar w:fldCharType="begin"/>
            </w:r>
            <w:r>
              <w:rPr>
                <w:noProof/>
                <w:webHidden/>
              </w:rPr>
              <w:instrText xml:space="preserve"> PAGEREF _Toc235431620 \h </w:instrText>
            </w:r>
            <w:r>
              <w:rPr>
                <w:noProof/>
                <w:webHidden/>
              </w:rPr>
            </w:r>
            <w:r>
              <w:rPr>
                <w:noProof/>
                <w:webHidden/>
              </w:rPr>
              <w:fldChar w:fldCharType="separate"/>
            </w:r>
            <w:r>
              <w:rPr>
                <w:noProof/>
                <w:webHidden/>
              </w:rPr>
              <w:t>5</w:t>
            </w:r>
            <w:r>
              <w:rPr>
                <w:noProof/>
                <w:webHidden/>
              </w:rPr>
              <w:fldChar w:fldCharType="end"/>
            </w:r>
          </w:hyperlink>
        </w:p>
        <w:p w14:paraId="47115418" w14:textId="71A2CFC6" w:rsidR="007E0AD2" w:rsidRDefault="007E0AD2">
          <w:pPr>
            <w:pStyle w:val="TOC1"/>
            <w:tabs>
              <w:tab w:val="right" w:leader="dot" w:pos="9016"/>
            </w:tabs>
            <w:rPr>
              <w:noProof/>
            </w:rPr>
          </w:pPr>
          <w:hyperlink w:anchor="_Toc235431621" w:history="1">
            <w:r w:rsidRPr="00A57F6A">
              <w:rPr>
                <w:rStyle w:val="Hyperlink"/>
                <w:rFonts w:ascii="Arial" w:hAnsi="Arial" w:cs="Arial"/>
                <w:noProof/>
              </w:rPr>
              <w:t>4. Critical Evaluation of Managerial Implementation</w:t>
            </w:r>
            <w:r>
              <w:rPr>
                <w:noProof/>
                <w:webHidden/>
              </w:rPr>
              <w:tab/>
            </w:r>
            <w:r>
              <w:rPr>
                <w:noProof/>
                <w:webHidden/>
              </w:rPr>
              <w:fldChar w:fldCharType="begin"/>
            </w:r>
            <w:r>
              <w:rPr>
                <w:noProof/>
                <w:webHidden/>
              </w:rPr>
              <w:instrText xml:space="preserve"> PAGEREF _Toc235431621 \h </w:instrText>
            </w:r>
            <w:r>
              <w:rPr>
                <w:noProof/>
                <w:webHidden/>
              </w:rPr>
            </w:r>
            <w:r>
              <w:rPr>
                <w:noProof/>
                <w:webHidden/>
              </w:rPr>
              <w:fldChar w:fldCharType="separate"/>
            </w:r>
            <w:r>
              <w:rPr>
                <w:noProof/>
                <w:webHidden/>
              </w:rPr>
              <w:t>6</w:t>
            </w:r>
            <w:r>
              <w:rPr>
                <w:noProof/>
                <w:webHidden/>
              </w:rPr>
              <w:fldChar w:fldCharType="end"/>
            </w:r>
          </w:hyperlink>
        </w:p>
        <w:p w14:paraId="7ED3F3A2" w14:textId="2B2F539F" w:rsidR="007E0AD2" w:rsidRDefault="007E0AD2">
          <w:pPr>
            <w:pStyle w:val="TOC2"/>
            <w:tabs>
              <w:tab w:val="right" w:leader="dot" w:pos="9016"/>
            </w:tabs>
            <w:rPr>
              <w:noProof/>
            </w:rPr>
          </w:pPr>
          <w:hyperlink w:anchor="_Toc235431622" w:history="1">
            <w:r w:rsidRPr="00A57F6A">
              <w:rPr>
                <w:rStyle w:val="Hyperlink"/>
                <w:rFonts w:ascii="Arial" w:hAnsi="Arial" w:cs="Arial"/>
                <w:noProof/>
              </w:rPr>
              <w:t>4.1 Leadership Accountability</w:t>
            </w:r>
            <w:r>
              <w:rPr>
                <w:noProof/>
                <w:webHidden/>
              </w:rPr>
              <w:tab/>
            </w:r>
            <w:r>
              <w:rPr>
                <w:noProof/>
                <w:webHidden/>
              </w:rPr>
              <w:fldChar w:fldCharType="begin"/>
            </w:r>
            <w:r>
              <w:rPr>
                <w:noProof/>
                <w:webHidden/>
              </w:rPr>
              <w:instrText xml:space="preserve"> PAGEREF _Toc235431622 \h </w:instrText>
            </w:r>
            <w:r>
              <w:rPr>
                <w:noProof/>
                <w:webHidden/>
              </w:rPr>
            </w:r>
            <w:r>
              <w:rPr>
                <w:noProof/>
                <w:webHidden/>
              </w:rPr>
              <w:fldChar w:fldCharType="separate"/>
            </w:r>
            <w:r>
              <w:rPr>
                <w:noProof/>
                <w:webHidden/>
              </w:rPr>
              <w:t>6</w:t>
            </w:r>
            <w:r>
              <w:rPr>
                <w:noProof/>
                <w:webHidden/>
              </w:rPr>
              <w:fldChar w:fldCharType="end"/>
            </w:r>
          </w:hyperlink>
        </w:p>
        <w:p w14:paraId="243682AB" w14:textId="2B832CED" w:rsidR="007E0AD2" w:rsidRDefault="007E0AD2">
          <w:pPr>
            <w:pStyle w:val="TOC2"/>
            <w:tabs>
              <w:tab w:val="right" w:leader="dot" w:pos="9016"/>
            </w:tabs>
            <w:rPr>
              <w:noProof/>
            </w:rPr>
          </w:pPr>
          <w:hyperlink w:anchor="_Toc235431623" w:history="1">
            <w:r w:rsidRPr="00A57F6A">
              <w:rPr>
                <w:rStyle w:val="Hyperlink"/>
                <w:rFonts w:ascii="Arial" w:hAnsi="Arial" w:cs="Arial"/>
                <w:noProof/>
              </w:rPr>
              <w:t>4.2 Communication and Organisational Culture</w:t>
            </w:r>
            <w:r>
              <w:rPr>
                <w:noProof/>
                <w:webHidden/>
              </w:rPr>
              <w:tab/>
            </w:r>
            <w:r>
              <w:rPr>
                <w:noProof/>
                <w:webHidden/>
              </w:rPr>
              <w:fldChar w:fldCharType="begin"/>
            </w:r>
            <w:r>
              <w:rPr>
                <w:noProof/>
                <w:webHidden/>
              </w:rPr>
              <w:instrText xml:space="preserve"> PAGEREF _Toc235431623 \h </w:instrText>
            </w:r>
            <w:r>
              <w:rPr>
                <w:noProof/>
                <w:webHidden/>
              </w:rPr>
            </w:r>
            <w:r>
              <w:rPr>
                <w:noProof/>
                <w:webHidden/>
              </w:rPr>
              <w:fldChar w:fldCharType="separate"/>
            </w:r>
            <w:r>
              <w:rPr>
                <w:noProof/>
                <w:webHidden/>
              </w:rPr>
              <w:t>6</w:t>
            </w:r>
            <w:r>
              <w:rPr>
                <w:noProof/>
                <w:webHidden/>
              </w:rPr>
              <w:fldChar w:fldCharType="end"/>
            </w:r>
          </w:hyperlink>
        </w:p>
        <w:p w14:paraId="5A3F947D" w14:textId="7B192B40" w:rsidR="007E0AD2" w:rsidRDefault="007E0AD2">
          <w:pPr>
            <w:pStyle w:val="TOC2"/>
            <w:tabs>
              <w:tab w:val="right" w:leader="dot" w:pos="9016"/>
            </w:tabs>
            <w:rPr>
              <w:noProof/>
            </w:rPr>
          </w:pPr>
          <w:hyperlink w:anchor="_Toc235431624" w:history="1">
            <w:r w:rsidRPr="00A57F6A">
              <w:rPr>
                <w:rStyle w:val="Hyperlink"/>
                <w:rFonts w:ascii="Arial" w:hAnsi="Arial" w:cs="Arial"/>
                <w:noProof/>
              </w:rPr>
              <w:t>4.3 Performance Monitoring, Barriers and Continuous Improvement</w:t>
            </w:r>
            <w:r>
              <w:rPr>
                <w:noProof/>
                <w:webHidden/>
              </w:rPr>
              <w:tab/>
            </w:r>
            <w:r>
              <w:rPr>
                <w:noProof/>
                <w:webHidden/>
              </w:rPr>
              <w:fldChar w:fldCharType="begin"/>
            </w:r>
            <w:r>
              <w:rPr>
                <w:noProof/>
                <w:webHidden/>
              </w:rPr>
              <w:instrText xml:space="preserve"> PAGEREF _Toc235431624 \h </w:instrText>
            </w:r>
            <w:r>
              <w:rPr>
                <w:noProof/>
                <w:webHidden/>
              </w:rPr>
            </w:r>
            <w:r>
              <w:rPr>
                <w:noProof/>
                <w:webHidden/>
              </w:rPr>
              <w:fldChar w:fldCharType="separate"/>
            </w:r>
            <w:r>
              <w:rPr>
                <w:noProof/>
                <w:webHidden/>
              </w:rPr>
              <w:t>7</w:t>
            </w:r>
            <w:r>
              <w:rPr>
                <w:noProof/>
                <w:webHidden/>
              </w:rPr>
              <w:fldChar w:fldCharType="end"/>
            </w:r>
          </w:hyperlink>
        </w:p>
        <w:p w14:paraId="54306C5B" w14:textId="1B7B8645" w:rsidR="007E0AD2" w:rsidRDefault="007E0AD2">
          <w:pPr>
            <w:pStyle w:val="TOC1"/>
            <w:tabs>
              <w:tab w:val="right" w:leader="dot" w:pos="9016"/>
            </w:tabs>
            <w:rPr>
              <w:noProof/>
            </w:rPr>
          </w:pPr>
          <w:hyperlink w:anchor="_Toc235431625" w:history="1">
            <w:r w:rsidRPr="00A57F6A">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_Toc235431625 \h </w:instrText>
            </w:r>
            <w:r>
              <w:rPr>
                <w:noProof/>
                <w:webHidden/>
              </w:rPr>
            </w:r>
            <w:r>
              <w:rPr>
                <w:noProof/>
                <w:webHidden/>
              </w:rPr>
              <w:fldChar w:fldCharType="separate"/>
            </w:r>
            <w:r>
              <w:rPr>
                <w:noProof/>
                <w:webHidden/>
              </w:rPr>
              <w:t>7</w:t>
            </w:r>
            <w:r>
              <w:rPr>
                <w:noProof/>
                <w:webHidden/>
              </w:rPr>
              <w:fldChar w:fldCharType="end"/>
            </w:r>
          </w:hyperlink>
        </w:p>
        <w:p w14:paraId="60B9BCF1" w14:textId="1F258FD1" w:rsidR="007E0AD2" w:rsidRDefault="007E0AD2">
          <w:pPr>
            <w:pStyle w:val="TOC1"/>
            <w:tabs>
              <w:tab w:val="right" w:leader="dot" w:pos="9016"/>
            </w:tabs>
            <w:rPr>
              <w:noProof/>
            </w:rPr>
          </w:pPr>
          <w:hyperlink w:anchor="_Toc235431626" w:history="1">
            <w:r w:rsidRPr="00A57F6A">
              <w:rPr>
                <w:rStyle w:val="Hyperlink"/>
                <w:rFonts w:ascii="Arial" w:hAnsi="Arial" w:cs="Arial"/>
                <w:noProof/>
              </w:rPr>
              <w:t>6. Recommendations</w:t>
            </w:r>
            <w:r>
              <w:rPr>
                <w:noProof/>
                <w:webHidden/>
              </w:rPr>
              <w:tab/>
            </w:r>
            <w:r>
              <w:rPr>
                <w:noProof/>
                <w:webHidden/>
              </w:rPr>
              <w:fldChar w:fldCharType="begin"/>
            </w:r>
            <w:r>
              <w:rPr>
                <w:noProof/>
                <w:webHidden/>
              </w:rPr>
              <w:instrText xml:space="preserve"> PAGEREF _Toc235431626 \h </w:instrText>
            </w:r>
            <w:r>
              <w:rPr>
                <w:noProof/>
                <w:webHidden/>
              </w:rPr>
            </w:r>
            <w:r>
              <w:rPr>
                <w:noProof/>
                <w:webHidden/>
              </w:rPr>
              <w:fldChar w:fldCharType="separate"/>
            </w:r>
            <w:r>
              <w:rPr>
                <w:noProof/>
                <w:webHidden/>
              </w:rPr>
              <w:t>7</w:t>
            </w:r>
            <w:r>
              <w:rPr>
                <w:noProof/>
                <w:webHidden/>
              </w:rPr>
              <w:fldChar w:fldCharType="end"/>
            </w:r>
          </w:hyperlink>
        </w:p>
        <w:p w14:paraId="50925A3E" w14:textId="634A14B1" w:rsidR="007E0AD2" w:rsidRDefault="007E0AD2">
          <w:pPr>
            <w:pStyle w:val="TOC1"/>
            <w:tabs>
              <w:tab w:val="right" w:leader="dot" w:pos="9016"/>
            </w:tabs>
            <w:rPr>
              <w:noProof/>
            </w:rPr>
          </w:pPr>
          <w:hyperlink w:anchor="_Toc235431627" w:history="1">
            <w:r w:rsidRPr="00A57F6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_Toc235431627 \h </w:instrText>
            </w:r>
            <w:r>
              <w:rPr>
                <w:noProof/>
                <w:webHidden/>
              </w:rPr>
            </w:r>
            <w:r>
              <w:rPr>
                <w:noProof/>
                <w:webHidden/>
              </w:rPr>
              <w:fldChar w:fldCharType="separate"/>
            </w:r>
            <w:r>
              <w:rPr>
                <w:noProof/>
                <w:webHidden/>
              </w:rPr>
              <w:t>8</w:t>
            </w:r>
            <w:r>
              <w:rPr>
                <w:noProof/>
                <w:webHidden/>
              </w:rPr>
              <w:fldChar w:fldCharType="end"/>
            </w:r>
          </w:hyperlink>
        </w:p>
        <w:p w14:paraId="44932D91" w14:textId="2C08B107" w:rsidR="007E0AD2" w:rsidRDefault="007E0AD2">
          <w:r>
            <w:rPr>
              <w:b/>
              <w:bCs/>
              <w:noProof/>
            </w:rPr>
            <w:fldChar w:fldCharType="end"/>
          </w:r>
        </w:p>
      </w:sdtContent>
    </w:sdt>
    <w:p w14:paraId="5E61E1FC" w14:textId="77777777" w:rsidR="00F96F19" w:rsidRPr="00E41A7F" w:rsidRDefault="00F96F19" w:rsidP="00E41A7F">
      <w:pPr>
        <w:spacing w:line="360" w:lineRule="auto"/>
        <w:rPr>
          <w:rFonts w:ascii="Arial" w:hAnsi="Arial" w:cs="Arial"/>
        </w:rPr>
      </w:pPr>
    </w:p>
    <w:p w14:paraId="418EC26A" w14:textId="77777777" w:rsidR="00F96F19" w:rsidRPr="00E41A7F" w:rsidRDefault="00F96F19" w:rsidP="00E41A7F">
      <w:pPr>
        <w:spacing w:line="360" w:lineRule="auto"/>
        <w:rPr>
          <w:rFonts w:ascii="Arial" w:hAnsi="Arial" w:cs="Arial"/>
        </w:rPr>
      </w:pPr>
    </w:p>
    <w:p w14:paraId="609990C2" w14:textId="77777777" w:rsidR="00F11E1B" w:rsidRPr="00E41A7F" w:rsidRDefault="00F11E1B" w:rsidP="00E41A7F">
      <w:pPr>
        <w:spacing w:line="360" w:lineRule="auto"/>
        <w:rPr>
          <w:rFonts w:ascii="Arial" w:hAnsi="Arial" w:cs="Arial"/>
        </w:rPr>
      </w:pPr>
    </w:p>
    <w:p w14:paraId="5AFE586E" w14:textId="77777777" w:rsidR="00F11E1B" w:rsidRPr="00E41A7F" w:rsidRDefault="00F11E1B" w:rsidP="00E41A7F">
      <w:pPr>
        <w:spacing w:line="360" w:lineRule="auto"/>
        <w:rPr>
          <w:rFonts w:ascii="Arial" w:hAnsi="Arial" w:cs="Arial"/>
        </w:rPr>
      </w:pPr>
    </w:p>
    <w:p w14:paraId="34AB8EA4" w14:textId="77777777" w:rsidR="00F11E1B" w:rsidRPr="00E41A7F" w:rsidRDefault="00F11E1B" w:rsidP="00E41A7F">
      <w:pPr>
        <w:spacing w:line="360" w:lineRule="auto"/>
        <w:rPr>
          <w:rFonts w:ascii="Arial" w:hAnsi="Arial" w:cs="Arial"/>
        </w:rPr>
      </w:pPr>
    </w:p>
    <w:p w14:paraId="76D41AED" w14:textId="77777777" w:rsidR="00F11E1B" w:rsidRPr="00E41A7F" w:rsidRDefault="00F11E1B" w:rsidP="00E41A7F">
      <w:pPr>
        <w:spacing w:line="360" w:lineRule="auto"/>
        <w:rPr>
          <w:rFonts w:ascii="Arial" w:hAnsi="Arial" w:cs="Arial"/>
        </w:rPr>
      </w:pPr>
    </w:p>
    <w:p w14:paraId="7561A3E0" w14:textId="77777777" w:rsidR="00F11E1B" w:rsidRPr="00E41A7F" w:rsidRDefault="00F11E1B" w:rsidP="00E41A7F">
      <w:pPr>
        <w:spacing w:line="360" w:lineRule="auto"/>
        <w:rPr>
          <w:rFonts w:ascii="Arial" w:hAnsi="Arial" w:cs="Arial"/>
        </w:rPr>
      </w:pPr>
    </w:p>
    <w:p w14:paraId="41AA7AE5" w14:textId="77777777" w:rsidR="00F11E1B" w:rsidRPr="00E41A7F" w:rsidRDefault="00F11E1B" w:rsidP="00E41A7F">
      <w:pPr>
        <w:spacing w:line="360" w:lineRule="auto"/>
        <w:rPr>
          <w:rFonts w:ascii="Arial" w:hAnsi="Arial" w:cs="Arial"/>
        </w:rPr>
      </w:pPr>
    </w:p>
    <w:p w14:paraId="6A032A28" w14:textId="77777777" w:rsidR="00F11E1B" w:rsidRPr="00E41A7F" w:rsidRDefault="00F11E1B" w:rsidP="00E41A7F">
      <w:pPr>
        <w:spacing w:line="360" w:lineRule="auto"/>
        <w:rPr>
          <w:rFonts w:ascii="Arial" w:hAnsi="Arial" w:cs="Arial"/>
        </w:rPr>
      </w:pPr>
    </w:p>
    <w:p w14:paraId="29B1AFF2" w14:textId="77777777" w:rsidR="00F11E1B" w:rsidRPr="00E41A7F" w:rsidRDefault="00F11E1B" w:rsidP="00E41A7F">
      <w:pPr>
        <w:spacing w:line="360" w:lineRule="auto"/>
        <w:rPr>
          <w:rFonts w:ascii="Arial" w:hAnsi="Arial" w:cs="Arial"/>
        </w:rPr>
      </w:pPr>
    </w:p>
    <w:p w14:paraId="418ED316" w14:textId="77777777" w:rsidR="00F11E1B" w:rsidRPr="00E41A7F" w:rsidRDefault="00F11E1B" w:rsidP="00E41A7F">
      <w:pPr>
        <w:spacing w:line="360" w:lineRule="auto"/>
        <w:rPr>
          <w:rFonts w:ascii="Arial" w:hAnsi="Arial" w:cs="Arial"/>
        </w:rPr>
      </w:pPr>
    </w:p>
    <w:p w14:paraId="2FB49F0F" w14:textId="77777777" w:rsidR="00F11E1B" w:rsidRPr="00E41A7F" w:rsidRDefault="00F11E1B" w:rsidP="00E41A7F">
      <w:pPr>
        <w:spacing w:line="360" w:lineRule="auto"/>
        <w:rPr>
          <w:rFonts w:ascii="Arial" w:hAnsi="Arial" w:cs="Arial"/>
        </w:rPr>
      </w:pPr>
    </w:p>
    <w:p w14:paraId="79126681" w14:textId="77777777" w:rsidR="000965F2" w:rsidRPr="00E41A7F" w:rsidRDefault="000965F2" w:rsidP="00E41A7F">
      <w:pPr>
        <w:spacing w:line="360" w:lineRule="auto"/>
        <w:rPr>
          <w:rFonts w:ascii="Arial" w:hAnsi="Arial" w:cs="Arial"/>
        </w:rPr>
      </w:pPr>
    </w:p>
    <w:p w14:paraId="72715A47" w14:textId="1BEE8EF0" w:rsidR="00F96F19" w:rsidRPr="007E0AD2" w:rsidRDefault="00F96F19" w:rsidP="000965F2">
      <w:pPr>
        <w:pStyle w:val="Heading1"/>
        <w:rPr>
          <w:rFonts w:ascii="Arial" w:hAnsi="Arial" w:cs="Arial"/>
        </w:rPr>
      </w:pPr>
      <w:bookmarkStart w:id="0" w:name="_Toc235431612"/>
      <w:r w:rsidRPr="007E0AD2">
        <w:rPr>
          <w:rFonts w:ascii="Arial" w:hAnsi="Arial" w:cs="Arial"/>
        </w:rPr>
        <w:lastRenderedPageBreak/>
        <w:t>1. Introduction</w:t>
      </w:r>
      <w:bookmarkEnd w:id="0"/>
      <w:r w:rsidRPr="007E0AD2">
        <w:rPr>
          <w:rFonts w:ascii="Arial" w:hAnsi="Arial" w:cs="Arial"/>
        </w:rPr>
        <w:t xml:space="preserve"> </w:t>
      </w:r>
    </w:p>
    <w:p w14:paraId="68590700" w14:textId="77777777" w:rsidR="00F11E1B" w:rsidRPr="007E0AD2" w:rsidRDefault="007F21DF" w:rsidP="00E41A7F">
      <w:pPr>
        <w:spacing w:line="360" w:lineRule="auto"/>
        <w:rPr>
          <w:rFonts w:ascii="Arial" w:hAnsi="Arial" w:cs="Arial"/>
        </w:rPr>
      </w:pPr>
      <w:r w:rsidRPr="007E0AD2">
        <w:rPr>
          <w:rFonts w:ascii="Arial" w:hAnsi="Arial" w:cs="Arial"/>
        </w:rPr>
        <w:t xml:space="preserve">HRM plays a strategic role in enabling organizations to deal with changes in the business environment and to achieve aims regarding organization, employees and performance (Armstrong and Taylor, 2023). The retail company Tesco is one of the largest retailers in the UK. This company faces </w:t>
      </w:r>
      <w:proofErr w:type="gramStart"/>
      <w:r w:rsidRPr="007E0AD2">
        <w:rPr>
          <w:rFonts w:ascii="Arial" w:hAnsi="Arial" w:cs="Arial"/>
        </w:rPr>
        <w:t>a number of</w:t>
      </w:r>
      <w:proofErr w:type="gramEnd"/>
      <w:r w:rsidRPr="007E0AD2">
        <w:rPr>
          <w:rFonts w:ascii="Arial" w:hAnsi="Arial" w:cs="Arial"/>
        </w:rPr>
        <w:t xml:space="preserve"> challenges. The first challenge consists of technological advancement. The second challenge consists of talent acquisition and retention. The third challenge is posed by Diversity, Equity and Inclusion (DEI) (CIPD, 2023). This report describes the challenges, it describes </w:t>
      </w:r>
      <w:proofErr w:type="gramStart"/>
      <w:r w:rsidRPr="007E0AD2">
        <w:rPr>
          <w:rFonts w:ascii="Arial" w:hAnsi="Arial" w:cs="Arial"/>
        </w:rPr>
        <w:t>a number of</w:t>
      </w:r>
      <w:proofErr w:type="gramEnd"/>
      <w:r w:rsidRPr="007E0AD2">
        <w:rPr>
          <w:rFonts w:ascii="Arial" w:hAnsi="Arial" w:cs="Arial"/>
        </w:rPr>
        <w:t xml:space="preserve"> best practices for dealing with these challenges, and it describes </w:t>
      </w:r>
      <w:proofErr w:type="gramStart"/>
      <w:r w:rsidRPr="007E0AD2">
        <w:rPr>
          <w:rFonts w:ascii="Arial" w:hAnsi="Arial" w:cs="Arial"/>
        </w:rPr>
        <w:t>a number of</w:t>
      </w:r>
      <w:proofErr w:type="gramEnd"/>
      <w:r w:rsidRPr="007E0AD2">
        <w:rPr>
          <w:rFonts w:ascii="Arial" w:hAnsi="Arial" w:cs="Arial"/>
        </w:rPr>
        <w:t xml:space="preserve"> measures that managers can take </w:t>
      </w:r>
      <w:proofErr w:type="gramStart"/>
      <w:r w:rsidRPr="007E0AD2">
        <w:rPr>
          <w:rFonts w:ascii="Arial" w:hAnsi="Arial" w:cs="Arial"/>
        </w:rPr>
        <w:t>in order to</w:t>
      </w:r>
      <w:proofErr w:type="gramEnd"/>
      <w:r w:rsidRPr="007E0AD2">
        <w:rPr>
          <w:rFonts w:ascii="Arial" w:hAnsi="Arial" w:cs="Arial"/>
        </w:rPr>
        <w:t xml:space="preserve"> put these best practices into effect in the best possible way in the long term.</w:t>
      </w:r>
    </w:p>
    <w:p w14:paraId="05C9E494" w14:textId="77777777" w:rsidR="00F11E1B" w:rsidRPr="007E0AD2" w:rsidRDefault="007F21DF" w:rsidP="000965F2">
      <w:pPr>
        <w:pStyle w:val="Heading1"/>
        <w:rPr>
          <w:rFonts w:ascii="Arial" w:hAnsi="Arial" w:cs="Arial"/>
        </w:rPr>
      </w:pPr>
      <w:bookmarkStart w:id="1" w:name="_Toc235431613"/>
      <w:r w:rsidRPr="007E0AD2">
        <w:rPr>
          <w:rFonts w:ascii="Arial" w:hAnsi="Arial" w:cs="Arial"/>
        </w:rPr>
        <w:t>2. Explanation of Key HR Challenge</w:t>
      </w:r>
      <w:bookmarkEnd w:id="1"/>
    </w:p>
    <w:p w14:paraId="6130F70B" w14:textId="77777777" w:rsidR="00F11E1B" w:rsidRPr="007E0AD2" w:rsidRDefault="007F21DF" w:rsidP="000965F2">
      <w:pPr>
        <w:pStyle w:val="Heading2"/>
        <w:rPr>
          <w:rFonts w:ascii="Arial" w:hAnsi="Arial" w:cs="Arial"/>
        </w:rPr>
      </w:pPr>
      <w:bookmarkStart w:id="2" w:name="_Toc235431614"/>
      <w:r w:rsidRPr="007E0AD2">
        <w:rPr>
          <w:rFonts w:ascii="Arial" w:hAnsi="Arial" w:cs="Arial"/>
        </w:rPr>
        <w:t>2.1 Adapting to Technological Advancement</w:t>
      </w:r>
      <w:bookmarkEnd w:id="2"/>
    </w:p>
    <w:p w14:paraId="21D59AC2" w14:textId="77777777" w:rsidR="00F11E1B" w:rsidRPr="007E0AD2" w:rsidRDefault="007F21DF" w:rsidP="00E41A7F">
      <w:pPr>
        <w:spacing w:line="360" w:lineRule="auto"/>
        <w:rPr>
          <w:rFonts w:ascii="Arial" w:hAnsi="Arial" w:cs="Arial"/>
        </w:rPr>
      </w:pPr>
      <w:r w:rsidRPr="007E0AD2">
        <w:rPr>
          <w:rFonts w:ascii="Arial" w:hAnsi="Arial" w:cs="Arial"/>
        </w:rPr>
        <w:t xml:space="preserve">Technological change is increasingly becoming a reality which businesses must face </w:t>
      </w:r>
      <w:proofErr w:type="gramStart"/>
      <w:r w:rsidRPr="007E0AD2">
        <w:rPr>
          <w:rFonts w:ascii="Arial" w:hAnsi="Arial" w:cs="Arial"/>
        </w:rPr>
        <w:t>in order to</w:t>
      </w:r>
      <w:proofErr w:type="gramEnd"/>
      <w:r w:rsidRPr="007E0AD2">
        <w:rPr>
          <w:rFonts w:ascii="Arial" w:hAnsi="Arial" w:cs="Arial"/>
        </w:rPr>
        <w:t xml:space="preserve"> maintain their performance and their employees’ well-being. Technological change therefore presents a challenge to HRM which must support employees by using digital technologies </w:t>
      </w:r>
      <w:proofErr w:type="gramStart"/>
      <w:r w:rsidRPr="007E0AD2">
        <w:rPr>
          <w:rFonts w:ascii="Arial" w:hAnsi="Arial" w:cs="Arial"/>
        </w:rPr>
        <w:t>in order to</w:t>
      </w:r>
      <w:proofErr w:type="gramEnd"/>
      <w:r w:rsidRPr="007E0AD2">
        <w:rPr>
          <w:rFonts w:ascii="Arial" w:hAnsi="Arial" w:cs="Arial"/>
        </w:rPr>
        <w:t xml:space="preserve"> increase efficiency and make better decisions at work. An example of this can be seen in Tesco’s use of </w:t>
      </w:r>
      <w:proofErr w:type="gramStart"/>
      <w:r w:rsidRPr="007E0AD2">
        <w:rPr>
          <w:rFonts w:ascii="Arial" w:hAnsi="Arial" w:cs="Arial"/>
        </w:rPr>
        <w:t>a number of</w:t>
      </w:r>
      <w:proofErr w:type="gramEnd"/>
      <w:r w:rsidRPr="007E0AD2">
        <w:rPr>
          <w:rFonts w:ascii="Arial" w:hAnsi="Arial" w:cs="Arial"/>
        </w:rPr>
        <w:t xml:space="preserve"> different technologies, including automated systems, self-service technology, AI and workforce management systems (Tesco, 2025). Tesco’s use of these technologies is intended to make the company’s work more efficient, but this has meant that employees are required to change their ways of working </w:t>
      </w:r>
      <w:proofErr w:type="gramStart"/>
      <w:r w:rsidRPr="007E0AD2">
        <w:rPr>
          <w:rFonts w:ascii="Arial" w:hAnsi="Arial" w:cs="Arial"/>
        </w:rPr>
        <w:t>in order to</w:t>
      </w:r>
      <w:proofErr w:type="gramEnd"/>
      <w:r w:rsidRPr="007E0AD2">
        <w:rPr>
          <w:rFonts w:ascii="Arial" w:hAnsi="Arial" w:cs="Arial"/>
        </w:rPr>
        <w:t xml:space="preserve"> gain increased performance from the new technology. Many employees experience difficulties in adapting to new technology at work due to a lack of digital skills required to utilize the new systems effectively (</w:t>
      </w:r>
      <w:proofErr w:type="spellStart"/>
      <w:r w:rsidRPr="007E0AD2">
        <w:rPr>
          <w:rFonts w:ascii="Arial" w:hAnsi="Arial" w:cs="Arial"/>
        </w:rPr>
        <w:t>Bondarouk</w:t>
      </w:r>
      <w:proofErr w:type="spellEnd"/>
      <w:r w:rsidRPr="007E0AD2">
        <w:rPr>
          <w:rFonts w:ascii="Arial" w:hAnsi="Arial" w:cs="Arial"/>
        </w:rPr>
        <w:t xml:space="preserve"> and Brewster, 2016). HRM at work must be able to support employees who are required to undergo change at work, and this includes enabling employees to acquire new digital skills </w:t>
      </w:r>
      <w:proofErr w:type="gramStart"/>
      <w:r w:rsidRPr="007E0AD2">
        <w:rPr>
          <w:rFonts w:ascii="Arial" w:hAnsi="Arial" w:cs="Arial"/>
        </w:rPr>
        <w:t>in order to</w:t>
      </w:r>
      <w:proofErr w:type="gramEnd"/>
      <w:r w:rsidRPr="007E0AD2">
        <w:rPr>
          <w:rFonts w:ascii="Arial" w:hAnsi="Arial" w:cs="Arial"/>
        </w:rPr>
        <w:t xml:space="preserve"> increase their ability to perform at work effectively. For organizations to gain maximum performance from the technology they have invested in, HRM must support the technology by ensuring that there is strategic HRM planning that supports increased performance and innovation (Armstrong and Taylor, 2023; Marler and Boudreau, 2017; Deloitte, 2024).</w:t>
      </w:r>
    </w:p>
    <w:p w14:paraId="6FFBDA5A" w14:textId="77777777" w:rsidR="00F11E1B" w:rsidRPr="007E0AD2" w:rsidRDefault="007F21DF" w:rsidP="000965F2">
      <w:pPr>
        <w:pStyle w:val="Heading2"/>
        <w:rPr>
          <w:rFonts w:ascii="Arial" w:hAnsi="Arial" w:cs="Arial"/>
        </w:rPr>
      </w:pPr>
      <w:bookmarkStart w:id="3" w:name="_Toc235431615"/>
      <w:r w:rsidRPr="007E0AD2">
        <w:rPr>
          <w:rFonts w:ascii="Arial" w:hAnsi="Arial" w:cs="Arial"/>
        </w:rPr>
        <w:t>2.2 Talent Acquisition and Retention</w:t>
      </w:r>
      <w:bookmarkEnd w:id="3"/>
    </w:p>
    <w:p w14:paraId="33E93F6F" w14:textId="394D928C" w:rsidR="007F21DF" w:rsidRPr="007E0AD2" w:rsidRDefault="007F21DF" w:rsidP="00E41A7F">
      <w:pPr>
        <w:spacing w:line="360" w:lineRule="auto"/>
        <w:rPr>
          <w:rFonts w:ascii="Arial" w:hAnsi="Arial" w:cs="Arial"/>
        </w:rPr>
      </w:pPr>
      <w:r w:rsidRPr="007E0AD2">
        <w:rPr>
          <w:rFonts w:ascii="Arial" w:hAnsi="Arial" w:cs="Arial"/>
        </w:rPr>
        <w:t xml:space="preserve">Recruiting the right amount of talent with the right skills to fill various roles within Tesco is a challenge for HRM when there is a highly competitive labour market and organizations are vying for the best candidates </w:t>
      </w:r>
      <w:proofErr w:type="gramStart"/>
      <w:r w:rsidRPr="007E0AD2">
        <w:rPr>
          <w:rFonts w:ascii="Arial" w:hAnsi="Arial" w:cs="Arial"/>
        </w:rPr>
        <w:t>in order to</w:t>
      </w:r>
      <w:proofErr w:type="gramEnd"/>
      <w:r w:rsidRPr="007E0AD2">
        <w:rPr>
          <w:rFonts w:ascii="Arial" w:hAnsi="Arial" w:cs="Arial"/>
        </w:rPr>
        <w:t xml:space="preserve"> gain a competitive edge (CIPD, 2024). With Tesco </w:t>
      </w:r>
      <w:r w:rsidRPr="007E0AD2">
        <w:rPr>
          <w:rFonts w:ascii="Arial" w:hAnsi="Arial" w:cs="Arial"/>
        </w:rPr>
        <w:lastRenderedPageBreak/>
        <w:t xml:space="preserve">being the largest private sector employer in the UK, it is no surprise that there are </w:t>
      </w:r>
      <w:proofErr w:type="gramStart"/>
      <w:r w:rsidRPr="007E0AD2">
        <w:rPr>
          <w:rFonts w:ascii="Arial" w:hAnsi="Arial" w:cs="Arial"/>
        </w:rPr>
        <w:t>a number of</w:t>
      </w:r>
      <w:proofErr w:type="gramEnd"/>
      <w:r w:rsidRPr="007E0AD2">
        <w:rPr>
          <w:rFonts w:ascii="Arial" w:hAnsi="Arial" w:cs="Arial"/>
        </w:rPr>
        <w:t xml:space="preserve"> challenges which the retailer is currently facing in relation to staff turnover, employee engagement and utilizing employees effectively </w:t>
      </w:r>
      <w:proofErr w:type="gramStart"/>
      <w:r w:rsidRPr="007E0AD2">
        <w:rPr>
          <w:rFonts w:ascii="Arial" w:hAnsi="Arial" w:cs="Arial"/>
        </w:rPr>
        <w:t>in order to</w:t>
      </w:r>
      <w:proofErr w:type="gramEnd"/>
      <w:r w:rsidRPr="007E0AD2">
        <w:rPr>
          <w:rFonts w:ascii="Arial" w:hAnsi="Arial" w:cs="Arial"/>
        </w:rPr>
        <w:t xml:space="preserve"> deliver excellent customer service (Tesco, 2025). In the current environment, with many organizations within the retail sector experiencing labour shortages, and employees now apparently expecting to work in a flexible nature, this ensures greater pressure on businesses trying to recruit an appropriate amount of talented people who have key skills that can allow them to successfully meet increasing consumer demand (PwC, 2024). The methods adopted by HRM in the recruitment and retention of talent play an important role in identifying a skilled workforce which is both positive and committed, hence able to deliver quality service (Collings et al., 2015). Because of the long-term nature of most HRM strategies, organizations can adopt a range of practices to create a good employer brand, give employees career development opportunities, promote employee wellbeing and reward them appropriately (Armstrong and Taylor, 2023; CIPD, 2023).</w:t>
      </w:r>
    </w:p>
    <w:p w14:paraId="4130F3C2" w14:textId="0176801B" w:rsidR="001E0D56" w:rsidRPr="007E0AD2" w:rsidRDefault="001E0D56" w:rsidP="000965F2">
      <w:pPr>
        <w:pStyle w:val="Heading2"/>
        <w:rPr>
          <w:rFonts w:ascii="Arial" w:hAnsi="Arial" w:cs="Arial"/>
        </w:rPr>
      </w:pPr>
      <w:bookmarkStart w:id="4" w:name="_Toc235431616"/>
      <w:r w:rsidRPr="007E0AD2">
        <w:rPr>
          <w:rFonts w:ascii="Arial" w:hAnsi="Arial" w:cs="Arial"/>
        </w:rPr>
        <w:t>2.3 Diversity, Equity and Inclusion (DEI)</w:t>
      </w:r>
      <w:bookmarkEnd w:id="4"/>
      <w:r w:rsidRPr="007E0AD2">
        <w:rPr>
          <w:rFonts w:ascii="Arial" w:hAnsi="Arial" w:cs="Arial"/>
        </w:rPr>
        <w:t xml:space="preserve"> </w:t>
      </w:r>
    </w:p>
    <w:p w14:paraId="245BB42C" w14:textId="77777777" w:rsidR="004673F5" w:rsidRPr="007E0AD2" w:rsidRDefault="004673F5" w:rsidP="00E41A7F">
      <w:pPr>
        <w:spacing w:line="360" w:lineRule="auto"/>
        <w:rPr>
          <w:rFonts w:ascii="Arial" w:hAnsi="Arial" w:cs="Arial"/>
        </w:rPr>
      </w:pPr>
      <w:r w:rsidRPr="007E0AD2">
        <w:rPr>
          <w:rFonts w:ascii="Arial" w:hAnsi="Arial" w:cs="Arial"/>
        </w:rPr>
        <w:t>Diversity, Equity and Inclusion (DEI), with a diverse workforce creating increased creativity and performance at work as well as constructing a fair organization and help in the well-being of employees; strengthening DEI as an integral component of HRM function until date (Shore et. al., 2018). Tesco is also very talented at building and maintaining a workplace for all through the availability of equal opportunity for recruiting and development, as well as leadership creating an inclusive culture in which everyone can succeed (Tesco, 2025), yet few problems when being challenged to remove bias from HR decisions so that fair promotions occur or making an inclusive culture available to all (Roberson, 2019). Training on DEI is fundamentally important for the one-hundred percent commitment of employees, increase in overall engagement, building brand value and legislation compliance (Equality Act 2010) via integration into organizational strategy (CIPD, 2024.) By doing so it will help leverage a greater performer amongst its workforce and further provide sustainable competitive advantage in the long run. (Mor Barak, 2022; Deloitte, 2023)</w:t>
      </w:r>
    </w:p>
    <w:p w14:paraId="6D1BC509" w14:textId="77777777" w:rsidR="004673F5" w:rsidRPr="007E0AD2" w:rsidRDefault="004673F5" w:rsidP="000965F2">
      <w:pPr>
        <w:pStyle w:val="Heading1"/>
        <w:rPr>
          <w:rFonts w:ascii="Arial" w:hAnsi="Arial" w:cs="Arial"/>
        </w:rPr>
      </w:pPr>
      <w:bookmarkStart w:id="5" w:name="_Toc235431617"/>
      <w:r w:rsidRPr="007E0AD2">
        <w:rPr>
          <w:rFonts w:ascii="Arial" w:hAnsi="Arial" w:cs="Arial"/>
        </w:rPr>
        <w:t>3. Evaluation of Contemporary HR Practices</w:t>
      </w:r>
      <w:bookmarkEnd w:id="5"/>
    </w:p>
    <w:p w14:paraId="5D62EE4B" w14:textId="77777777" w:rsidR="004673F5" w:rsidRPr="007E0AD2" w:rsidRDefault="004673F5" w:rsidP="000965F2">
      <w:pPr>
        <w:pStyle w:val="Heading2"/>
        <w:rPr>
          <w:rFonts w:ascii="Arial" w:hAnsi="Arial" w:cs="Arial"/>
        </w:rPr>
      </w:pPr>
      <w:bookmarkStart w:id="6" w:name="_Toc235431618"/>
      <w:r w:rsidRPr="007E0AD2">
        <w:rPr>
          <w:rFonts w:ascii="Arial" w:hAnsi="Arial" w:cs="Arial"/>
        </w:rPr>
        <w:t>3.1 Digital HR Systems and Workforce Analytics</w:t>
      </w:r>
      <w:bookmarkEnd w:id="6"/>
    </w:p>
    <w:p w14:paraId="6E7C24BD" w14:textId="673CAE0E" w:rsidR="008925AF" w:rsidRPr="007E0AD2" w:rsidRDefault="004673F5" w:rsidP="00E41A7F">
      <w:pPr>
        <w:spacing w:line="360" w:lineRule="auto"/>
        <w:rPr>
          <w:rFonts w:ascii="Arial" w:hAnsi="Arial" w:cs="Arial"/>
        </w:rPr>
      </w:pPr>
      <w:r w:rsidRPr="007E0AD2">
        <w:rPr>
          <w:rFonts w:ascii="Arial" w:hAnsi="Arial" w:cs="Arial"/>
        </w:rPr>
        <w:t xml:space="preserve">Most of the contemporary HR practices make extensive use of digital technologies for the planning, decision making and management of the workforce and the work of employees (Stone et al., 2020). Tesco uses digital HR systems, workforce analytics and many self-service solutions for its recruitment processes, for the planning and organization of work, for </w:t>
      </w:r>
      <w:r w:rsidRPr="007E0AD2">
        <w:rPr>
          <w:rFonts w:ascii="Arial" w:hAnsi="Arial" w:cs="Arial"/>
        </w:rPr>
        <w:lastRenderedPageBreak/>
        <w:t>the performance management of employees and for communication with employees (Tesco, 2025). Workforce analytics allows to identify and analyse labour-related trends and to predict future requirements, allowing managers to make decisions regarding their HR based on evidence (Marler and Boudreau, 2017). However, digital HR practices also pose challenges for organizations, for example, issues with data protection, high costs for the implementation and use of the technology, as well as the need for continuous training and support of employees (</w:t>
      </w:r>
      <w:proofErr w:type="spellStart"/>
      <w:r w:rsidRPr="007E0AD2">
        <w:rPr>
          <w:rFonts w:ascii="Arial" w:hAnsi="Arial" w:cs="Arial"/>
        </w:rPr>
        <w:t>Bondarouk</w:t>
      </w:r>
      <w:proofErr w:type="spellEnd"/>
      <w:r w:rsidRPr="007E0AD2">
        <w:rPr>
          <w:rFonts w:ascii="Arial" w:hAnsi="Arial" w:cs="Arial"/>
        </w:rPr>
        <w:t xml:space="preserve"> and Brewster, 2016). Thus, HR practices that are based on digital solutions can support the organizational agility and raise the productivity of an organization only to the extent that the data are managed responsibly, sufficient financial and technological resources are available, and the digital solutions are accepted by the employees (Deloitte, 2024; CIPD, 2024).</w:t>
      </w:r>
    </w:p>
    <w:p w14:paraId="2B9A5B2D" w14:textId="596D66AD" w:rsidR="008925AF" w:rsidRPr="007E0AD2" w:rsidRDefault="008925AF" w:rsidP="000965F2">
      <w:pPr>
        <w:pStyle w:val="Heading2"/>
        <w:rPr>
          <w:rFonts w:ascii="Arial" w:hAnsi="Arial" w:cs="Arial"/>
        </w:rPr>
      </w:pPr>
      <w:bookmarkStart w:id="7" w:name="_Toc235431619"/>
      <w:r w:rsidRPr="007E0AD2">
        <w:rPr>
          <w:rFonts w:ascii="Arial" w:hAnsi="Arial" w:cs="Arial"/>
        </w:rPr>
        <w:t>3.2 Employer Branding and Talent Management</w:t>
      </w:r>
      <w:bookmarkEnd w:id="7"/>
      <w:r w:rsidRPr="007E0AD2">
        <w:rPr>
          <w:rFonts w:ascii="Arial" w:hAnsi="Arial" w:cs="Arial"/>
        </w:rPr>
        <w:t xml:space="preserve"> </w:t>
      </w:r>
    </w:p>
    <w:p w14:paraId="07488653" w14:textId="77777777" w:rsidR="00FE0936" w:rsidRPr="007E0AD2" w:rsidRDefault="00FE0936" w:rsidP="00E41A7F">
      <w:pPr>
        <w:spacing w:line="360" w:lineRule="auto"/>
        <w:rPr>
          <w:rFonts w:ascii="Arial" w:hAnsi="Arial" w:cs="Arial"/>
        </w:rPr>
      </w:pPr>
      <w:proofErr w:type="gramStart"/>
      <w:r w:rsidRPr="007E0AD2">
        <w:rPr>
          <w:rFonts w:ascii="Arial" w:hAnsi="Arial" w:cs="Arial"/>
        </w:rPr>
        <w:t>A number of</w:t>
      </w:r>
      <w:proofErr w:type="gramEnd"/>
      <w:r w:rsidRPr="007E0AD2">
        <w:rPr>
          <w:rFonts w:ascii="Arial" w:hAnsi="Arial" w:cs="Arial"/>
        </w:rPr>
        <w:t xml:space="preserve"> HR practices have been identified as essential for organizations to compete for skilled employees in today’s </w:t>
      </w:r>
      <w:proofErr w:type="spellStart"/>
      <w:r w:rsidRPr="007E0AD2">
        <w:rPr>
          <w:rFonts w:ascii="Arial" w:hAnsi="Arial" w:cs="Arial"/>
        </w:rPr>
        <w:t>labor</w:t>
      </w:r>
      <w:proofErr w:type="spellEnd"/>
      <w:r w:rsidRPr="007E0AD2">
        <w:rPr>
          <w:rFonts w:ascii="Arial" w:hAnsi="Arial" w:cs="Arial"/>
        </w:rPr>
        <w:t xml:space="preserve"> market (Backhaus and Tikoo, 2004). A key set of these practices is associated with employer branding and strategic talent management. These practices are designed to attract the best talent to an organization, and to develop and retain them </w:t>
      </w:r>
      <w:proofErr w:type="gramStart"/>
      <w:r w:rsidRPr="007E0AD2">
        <w:rPr>
          <w:rFonts w:ascii="Arial" w:hAnsi="Arial" w:cs="Arial"/>
        </w:rPr>
        <w:t>in order to</w:t>
      </w:r>
      <w:proofErr w:type="gramEnd"/>
      <w:r w:rsidRPr="007E0AD2">
        <w:rPr>
          <w:rFonts w:ascii="Arial" w:hAnsi="Arial" w:cs="Arial"/>
        </w:rPr>
        <w:t xml:space="preserve"> improve organizational performance (Collings, Scullion and </w:t>
      </w:r>
      <w:proofErr w:type="spellStart"/>
      <w:r w:rsidRPr="007E0AD2">
        <w:rPr>
          <w:rFonts w:ascii="Arial" w:hAnsi="Arial" w:cs="Arial"/>
        </w:rPr>
        <w:t>Vaiman</w:t>
      </w:r>
      <w:proofErr w:type="spellEnd"/>
      <w:r w:rsidRPr="007E0AD2">
        <w:rPr>
          <w:rFonts w:ascii="Arial" w:hAnsi="Arial" w:cs="Arial"/>
        </w:rPr>
        <w:t xml:space="preserve">, 2015). </w:t>
      </w:r>
      <w:proofErr w:type="gramStart"/>
      <w:r w:rsidRPr="007E0AD2">
        <w:rPr>
          <w:rFonts w:ascii="Arial" w:hAnsi="Arial" w:cs="Arial"/>
        </w:rPr>
        <w:t>In order to</w:t>
      </w:r>
      <w:proofErr w:type="gramEnd"/>
      <w:r w:rsidRPr="007E0AD2">
        <w:rPr>
          <w:rFonts w:ascii="Arial" w:hAnsi="Arial" w:cs="Arial"/>
        </w:rPr>
        <w:t xml:space="preserve"> attract skilled employees, Tesco is developing a strong employer brand that creates value for employees through practices that promote career development, flexible working, employee wellbeing and learning (Tesco, 2025). Maintaining a strong employer brand is critical to attract the best candidates to an organization; as labour market practices change and new challenges to recruitment arise, including labour shortages, organizations need to continue to invest and improve their employer brand </w:t>
      </w:r>
      <w:proofErr w:type="gramStart"/>
      <w:r w:rsidRPr="007E0AD2">
        <w:rPr>
          <w:rFonts w:ascii="Arial" w:hAnsi="Arial" w:cs="Arial"/>
        </w:rPr>
        <w:t>in order to</w:t>
      </w:r>
      <w:proofErr w:type="gramEnd"/>
      <w:r w:rsidRPr="007E0AD2">
        <w:rPr>
          <w:rFonts w:ascii="Arial" w:hAnsi="Arial" w:cs="Arial"/>
        </w:rPr>
        <w:t xml:space="preserve"> remain competitive (PwC, 2024). The integration of employer branding with practices such as succession planning, rewards and employee development can create a sustainable talent pipeline, which is critical to long-term organizational success (Armstrong and Taylor, 2023; CIPD, 2023).</w:t>
      </w:r>
    </w:p>
    <w:p w14:paraId="0455CD96" w14:textId="77777777" w:rsidR="00FE0936" w:rsidRPr="007E0AD2" w:rsidRDefault="00FE0936" w:rsidP="000965F2">
      <w:pPr>
        <w:pStyle w:val="Heading2"/>
        <w:rPr>
          <w:rFonts w:ascii="Arial" w:hAnsi="Arial" w:cs="Arial"/>
        </w:rPr>
      </w:pPr>
      <w:bookmarkStart w:id="8" w:name="_Toc235431620"/>
      <w:r w:rsidRPr="007E0AD2">
        <w:rPr>
          <w:rFonts w:ascii="Arial" w:hAnsi="Arial" w:cs="Arial"/>
        </w:rPr>
        <w:t>3.3 Diversity, Equity and Inclusion (DEI) Practices</w:t>
      </w:r>
      <w:bookmarkEnd w:id="8"/>
    </w:p>
    <w:p w14:paraId="6ABCA624" w14:textId="77777777" w:rsidR="00FE0936" w:rsidRPr="007E0AD2" w:rsidRDefault="00FE0936" w:rsidP="00E41A7F">
      <w:pPr>
        <w:spacing w:line="360" w:lineRule="auto"/>
        <w:rPr>
          <w:rFonts w:ascii="Arial" w:hAnsi="Arial" w:cs="Arial"/>
        </w:rPr>
      </w:pPr>
      <w:r w:rsidRPr="007E0AD2">
        <w:rPr>
          <w:rFonts w:ascii="Arial" w:hAnsi="Arial" w:cs="Arial"/>
        </w:rPr>
        <w:t xml:space="preserve">A variety of inclusive HR practices have been identified as drivers of innovation, employee engagement and organizational resilience (Mor Barak, 2022). The practices that Tesco uses to promote Diversity are those related to the recruitment process, leadership development, employee networks and equal opportunity (Tesco, 2025). These practices enable collaboration to take place which results in a stronger organization with a better reputation and higher levels of employee commitment (Shore et al., 2018). As with all practices that are designed to promote Diversity, Equity and Inclusion, they need to be constantly evaluated for </w:t>
      </w:r>
      <w:r w:rsidRPr="007E0AD2">
        <w:rPr>
          <w:rFonts w:ascii="Arial" w:hAnsi="Arial" w:cs="Arial"/>
        </w:rPr>
        <w:lastRenderedPageBreak/>
        <w:t xml:space="preserve">effectiveness. This is because of a variety of reasons including unconscious bias, inconsistent commitment from managers and a lack of accountability (Roberson, 2019). If the organization is to reap the benefits of DEI practices and achieve sustainable business performance, the objectives must be embedded into the organization’s overall strategy. Leadership accountability for the implementation of DEI objectives must also be reflected in the performance management of leaders. All HR practices and decisions should also be based on the organization’s DEI objectives </w:t>
      </w:r>
      <w:proofErr w:type="gramStart"/>
      <w:r w:rsidRPr="007E0AD2">
        <w:rPr>
          <w:rFonts w:ascii="Arial" w:hAnsi="Arial" w:cs="Arial"/>
        </w:rPr>
        <w:t>in order to</w:t>
      </w:r>
      <w:proofErr w:type="gramEnd"/>
      <w:r w:rsidRPr="007E0AD2">
        <w:rPr>
          <w:rFonts w:ascii="Arial" w:hAnsi="Arial" w:cs="Arial"/>
        </w:rPr>
        <w:t xml:space="preserve"> comply with relevant legislation, such as Equality Act in the UK (CIPD, 2024; ACAS, 2024).</w:t>
      </w:r>
    </w:p>
    <w:p w14:paraId="623EAB30" w14:textId="77777777" w:rsidR="00FE0936" w:rsidRPr="007E0AD2" w:rsidRDefault="00FE0936" w:rsidP="000965F2">
      <w:pPr>
        <w:pStyle w:val="Heading1"/>
        <w:rPr>
          <w:rFonts w:ascii="Arial" w:hAnsi="Arial" w:cs="Arial"/>
        </w:rPr>
      </w:pPr>
      <w:bookmarkStart w:id="9" w:name="_Toc235431621"/>
      <w:r w:rsidRPr="007E0AD2">
        <w:rPr>
          <w:rFonts w:ascii="Arial" w:hAnsi="Arial" w:cs="Arial"/>
        </w:rPr>
        <w:t>4. Critical Evaluation of Managerial Implementation</w:t>
      </w:r>
      <w:bookmarkEnd w:id="9"/>
    </w:p>
    <w:p w14:paraId="193A30CC" w14:textId="77777777" w:rsidR="00FE0936" w:rsidRPr="007E0AD2" w:rsidRDefault="00FE0936" w:rsidP="000965F2">
      <w:pPr>
        <w:pStyle w:val="Heading2"/>
        <w:rPr>
          <w:rFonts w:ascii="Arial" w:hAnsi="Arial" w:cs="Arial"/>
        </w:rPr>
      </w:pPr>
      <w:bookmarkStart w:id="10" w:name="_Toc235431622"/>
      <w:r w:rsidRPr="007E0AD2">
        <w:rPr>
          <w:rFonts w:ascii="Arial" w:hAnsi="Arial" w:cs="Arial"/>
        </w:rPr>
        <w:t>4.1 Leadership Accountability</w:t>
      </w:r>
      <w:bookmarkEnd w:id="10"/>
    </w:p>
    <w:p w14:paraId="7D9D261B" w14:textId="469B9E8B" w:rsidR="00FE0936" w:rsidRPr="007E0AD2" w:rsidRDefault="00FE0936" w:rsidP="00E41A7F">
      <w:pPr>
        <w:spacing w:line="360" w:lineRule="auto"/>
        <w:rPr>
          <w:rFonts w:ascii="Arial" w:hAnsi="Arial" w:cs="Arial"/>
        </w:rPr>
      </w:pPr>
      <w:r w:rsidRPr="007E0AD2">
        <w:rPr>
          <w:rFonts w:ascii="Arial" w:hAnsi="Arial" w:cs="Arial"/>
        </w:rPr>
        <w:t>Departmental managers are required to demonstrate leadership of HR practices within their department. This includes ensuring that the HR practices within their department are implemented effectively. They must display an understanding of the ethical implications of HR practices and show how HR practices support the overall strategy of the organization (Armstrong and Taylor, 2023). At Tesco, departmental managers support the retailer’s digital transformation, encourage employee development and embed inclusive workplace practices through their everyday leadership (Tesco, 2025). Strong managerial accountability of HR practices is important to gain employees’ trust and to improve organizational performance. If HR practices are implemented as intended, then they will have effective results (Purcell and Hutchinson</w:t>
      </w:r>
      <w:r w:rsidRPr="007E0AD2">
        <w:rPr>
          <w:rFonts w:ascii="Arial" w:hAnsi="Arial" w:cs="Arial"/>
          <w:b/>
          <w:bCs/>
        </w:rPr>
        <w:t>, 2007).</w:t>
      </w:r>
    </w:p>
    <w:p w14:paraId="5673F942" w14:textId="0A6B0C0B" w:rsidR="00F86672" w:rsidRPr="007E0AD2" w:rsidRDefault="00F86672" w:rsidP="000965F2">
      <w:pPr>
        <w:pStyle w:val="Heading2"/>
        <w:rPr>
          <w:rFonts w:ascii="Arial" w:hAnsi="Arial" w:cs="Arial"/>
        </w:rPr>
      </w:pPr>
      <w:bookmarkStart w:id="11" w:name="_Toc235431623"/>
      <w:r w:rsidRPr="007E0AD2">
        <w:rPr>
          <w:rFonts w:ascii="Arial" w:hAnsi="Arial" w:cs="Arial"/>
        </w:rPr>
        <w:t>4.2 Communication and Organisational Culture</w:t>
      </w:r>
      <w:bookmarkEnd w:id="11"/>
      <w:r w:rsidRPr="007E0AD2">
        <w:rPr>
          <w:rFonts w:ascii="Arial" w:hAnsi="Arial" w:cs="Arial"/>
        </w:rPr>
        <w:t xml:space="preserve"> </w:t>
      </w:r>
    </w:p>
    <w:p w14:paraId="15418062" w14:textId="77777777" w:rsidR="00295B77" w:rsidRPr="007E0AD2" w:rsidRDefault="00295B77" w:rsidP="00E41A7F">
      <w:pPr>
        <w:spacing w:line="360" w:lineRule="auto"/>
        <w:rPr>
          <w:rFonts w:ascii="Arial" w:hAnsi="Arial" w:cs="Arial"/>
        </w:rPr>
      </w:pPr>
      <w:r w:rsidRPr="007E0AD2">
        <w:rPr>
          <w:rFonts w:ascii="Arial" w:hAnsi="Arial" w:cs="Arial"/>
        </w:rPr>
        <w:t>That is why it should be emphasized that effective communication is one of the crucial factors in overcoming employee resistance and organizational change (Kotter, 2012). Communication of HR initiatives by managers and involvement in the decision-making process as well as regular opportunities for feedback present significant factors of influencing employee engagement and commitment (CIPD, 2024). Such an organizational culture is one that is collaborative, open and open to continuous learning in such a manner that it uses the perspectives of employees towards dealing with change newer technologies resulting from diversity initiatives (Schein and Schein 2021; Tesco 2025).</w:t>
      </w:r>
    </w:p>
    <w:p w14:paraId="0CE6DA8A" w14:textId="77777777" w:rsidR="00295B77" w:rsidRPr="007E0AD2" w:rsidRDefault="00295B77" w:rsidP="000965F2">
      <w:pPr>
        <w:pStyle w:val="Heading2"/>
        <w:rPr>
          <w:rFonts w:ascii="Arial" w:hAnsi="Arial" w:cs="Arial"/>
        </w:rPr>
      </w:pPr>
      <w:bookmarkStart w:id="12" w:name="_Toc235431624"/>
      <w:r w:rsidRPr="007E0AD2">
        <w:rPr>
          <w:rFonts w:ascii="Arial" w:hAnsi="Arial" w:cs="Arial"/>
        </w:rPr>
        <w:lastRenderedPageBreak/>
        <w:t>4.3 Performance Monitoring, Barriers and Continuous Improvement</w:t>
      </w:r>
      <w:bookmarkEnd w:id="12"/>
    </w:p>
    <w:p w14:paraId="0F5A96AF" w14:textId="77777777" w:rsidR="00295B77" w:rsidRPr="007E0AD2" w:rsidRDefault="00295B77" w:rsidP="00E41A7F">
      <w:pPr>
        <w:spacing w:line="360" w:lineRule="auto"/>
        <w:rPr>
          <w:rFonts w:ascii="Arial" w:hAnsi="Arial" w:cs="Arial"/>
        </w:rPr>
      </w:pPr>
      <w:r w:rsidRPr="007E0AD2">
        <w:rPr>
          <w:rFonts w:ascii="Arial" w:hAnsi="Arial" w:cs="Arial"/>
        </w:rPr>
        <w:t xml:space="preserve">Monitoring the effectiveness of HR practices by managers </w:t>
      </w:r>
      <w:proofErr w:type="gramStart"/>
      <w:r w:rsidRPr="007E0AD2">
        <w:rPr>
          <w:rFonts w:ascii="Arial" w:hAnsi="Arial" w:cs="Arial"/>
        </w:rPr>
        <w:t>through the use of</w:t>
      </w:r>
      <w:proofErr w:type="gramEnd"/>
      <w:r w:rsidRPr="007E0AD2">
        <w:rPr>
          <w:rFonts w:ascii="Arial" w:hAnsi="Arial" w:cs="Arial"/>
        </w:rPr>
        <w:t xml:space="preserve"> a range of performance indicators, employee engagement surveys, workforce analytics and performance reviews (Marler and Boudreau, 2017) is critical. Measuring the impact of HR practices by Tesco allows the organization to identify areas where HR practices are not meeting organizational objectives (Tesco, 2025). However, </w:t>
      </w:r>
      <w:proofErr w:type="gramStart"/>
      <w:r w:rsidRPr="007E0AD2">
        <w:rPr>
          <w:rFonts w:ascii="Arial" w:hAnsi="Arial" w:cs="Arial"/>
        </w:rPr>
        <w:t>a number of</w:t>
      </w:r>
      <w:proofErr w:type="gramEnd"/>
      <w:r w:rsidRPr="007E0AD2">
        <w:rPr>
          <w:rFonts w:ascii="Arial" w:hAnsi="Arial" w:cs="Arial"/>
        </w:rPr>
        <w:t xml:space="preserve"> barriers to the effective implementation of HR practices within an organization exist (</w:t>
      </w:r>
      <w:proofErr w:type="spellStart"/>
      <w:r w:rsidRPr="007E0AD2">
        <w:rPr>
          <w:rFonts w:ascii="Arial" w:hAnsi="Arial" w:cs="Arial"/>
        </w:rPr>
        <w:t>Bondarouk</w:t>
      </w:r>
      <w:proofErr w:type="spellEnd"/>
      <w:r w:rsidRPr="007E0AD2">
        <w:rPr>
          <w:rFonts w:ascii="Arial" w:hAnsi="Arial" w:cs="Arial"/>
        </w:rPr>
        <w:t xml:space="preserve"> and Brewster, 2016). These include employee resistance to change, a lack of capable managers, financial constraints and the inconsistent application of HR policies across functions and departments within an organization. Managers can firm up HR practice implementation by consistently training and developing employees, involving them in the practice, committing enough organizational resources toward it, and strengthening accountability with appropriate metrics backed by continuous feedback (Deloitte, 2024) Well-designed HR practices that are monitored and improved continuously over time will only enable sustained competitive advantage and above-average profitability (Ulrich et al., 2022; CIPD, 2023).</w:t>
      </w:r>
    </w:p>
    <w:p w14:paraId="2153740B" w14:textId="77777777" w:rsidR="00295B77" w:rsidRPr="007E0AD2" w:rsidRDefault="00295B77" w:rsidP="000965F2">
      <w:pPr>
        <w:pStyle w:val="Heading1"/>
        <w:rPr>
          <w:rFonts w:ascii="Arial" w:hAnsi="Arial" w:cs="Arial"/>
        </w:rPr>
      </w:pPr>
      <w:bookmarkStart w:id="13" w:name="_Toc235431625"/>
      <w:r w:rsidRPr="007E0AD2">
        <w:rPr>
          <w:rFonts w:ascii="Arial" w:hAnsi="Arial" w:cs="Arial"/>
        </w:rPr>
        <w:t>5. Conclusion</w:t>
      </w:r>
      <w:bookmarkEnd w:id="13"/>
    </w:p>
    <w:p w14:paraId="199793E1" w14:textId="77777777" w:rsidR="00295B77" w:rsidRPr="007E0AD2" w:rsidRDefault="00295B77" w:rsidP="00E41A7F">
      <w:pPr>
        <w:spacing w:line="360" w:lineRule="auto"/>
        <w:rPr>
          <w:rFonts w:ascii="Arial" w:hAnsi="Arial" w:cs="Arial"/>
        </w:rPr>
      </w:pPr>
      <w:r w:rsidRPr="007E0AD2">
        <w:rPr>
          <w:rFonts w:ascii="Arial" w:hAnsi="Arial" w:cs="Arial"/>
        </w:rPr>
        <w:t xml:space="preserve">Technology, Talent and Diversity, Equity and Inclusion are key drivers of performance in the new business environment in which Tesco operates. By adopting accountable leadership, effective communication and the performance measurement of HR practices, contemporary HR practices can address these key challenges </w:t>
      </w:r>
      <w:proofErr w:type="gramStart"/>
      <w:r w:rsidRPr="007E0AD2">
        <w:rPr>
          <w:rFonts w:ascii="Arial" w:hAnsi="Arial" w:cs="Arial"/>
        </w:rPr>
        <w:t>in order to</w:t>
      </w:r>
      <w:proofErr w:type="gramEnd"/>
      <w:r w:rsidRPr="007E0AD2">
        <w:rPr>
          <w:rFonts w:ascii="Arial" w:hAnsi="Arial" w:cs="Arial"/>
        </w:rPr>
        <w:t xml:space="preserve"> support employee engagement, organizational resilience and sustainable long-term business performance in Tesco.</w:t>
      </w:r>
    </w:p>
    <w:p w14:paraId="6710D5F5" w14:textId="77777777" w:rsidR="00295B77" w:rsidRPr="007E0AD2" w:rsidRDefault="00295B77" w:rsidP="000965F2">
      <w:pPr>
        <w:pStyle w:val="Heading1"/>
        <w:rPr>
          <w:rFonts w:ascii="Arial" w:hAnsi="Arial" w:cs="Arial"/>
        </w:rPr>
      </w:pPr>
      <w:bookmarkStart w:id="14" w:name="_Toc235431626"/>
      <w:r w:rsidRPr="007E0AD2">
        <w:rPr>
          <w:rFonts w:ascii="Arial" w:hAnsi="Arial" w:cs="Arial"/>
        </w:rPr>
        <w:t>6. Recommendations</w:t>
      </w:r>
      <w:bookmarkEnd w:id="14"/>
    </w:p>
    <w:p w14:paraId="0BED1331" w14:textId="77777777" w:rsidR="00295B77" w:rsidRPr="007E0AD2" w:rsidRDefault="00295B77" w:rsidP="00E41A7F">
      <w:pPr>
        <w:spacing w:line="360" w:lineRule="auto"/>
        <w:rPr>
          <w:rFonts w:ascii="Arial" w:hAnsi="Arial" w:cs="Arial"/>
        </w:rPr>
      </w:pPr>
      <w:r w:rsidRPr="007E0AD2">
        <w:rPr>
          <w:rFonts w:ascii="Arial" w:hAnsi="Arial" w:cs="Arial"/>
        </w:rPr>
        <w:t xml:space="preserve"> Tesco should continue to invest in digital HR systems and employees’ digital skills to support workforce transformation. Talent retention is a key focus of the organization, so it must keep working on its employer brand: career development opportunities and initiatives that support employee wellbeing. And, once organizations define measurable DEI objectives, these should be incorporated into managers' performance management and tracked continuously to ensure inclusive leadership sustains organizational performance.</w:t>
      </w:r>
    </w:p>
    <w:p w14:paraId="6311CD79" w14:textId="67068792" w:rsidR="00CA4C73" w:rsidRPr="007E0AD2" w:rsidRDefault="00BF08E2" w:rsidP="00E41A7F">
      <w:pPr>
        <w:spacing w:line="360" w:lineRule="auto"/>
        <w:rPr>
          <w:rFonts w:ascii="Arial" w:hAnsi="Arial" w:cs="Arial"/>
        </w:rPr>
      </w:pPr>
      <w:r w:rsidRPr="007E0AD2">
        <w:rPr>
          <w:rFonts w:ascii="Arial" w:hAnsi="Arial" w:cs="Arial"/>
        </w:rPr>
        <w:t>`</w:t>
      </w:r>
    </w:p>
    <w:p w14:paraId="70CA9337" w14:textId="77777777" w:rsidR="00CA4C73" w:rsidRPr="007E0AD2" w:rsidRDefault="00CA4C73" w:rsidP="00E41A7F">
      <w:pPr>
        <w:spacing w:line="360" w:lineRule="auto"/>
        <w:rPr>
          <w:rFonts w:ascii="Arial" w:hAnsi="Arial" w:cs="Arial"/>
        </w:rPr>
      </w:pPr>
    </w:p>
    <w:p w14:paraId="466D73FD" w14:textId="77777777" w:rsidR="00CA4C73" w:rsidRPr="007E0AD2" w:rsidRDefault="00CA4C73" w:rsidP="00E41A7F">
      <w:pPr>
        <w:spacing w:line="360" w:lineRule="auto"/>
        <w:rPr>
          <w:rFonts w:ascii="Arial" w:hAnsi="Arial" w:cs="Arial"/>
        </w:rPr>
      </w:pPr>
    </w:p>
    <w:p w14:paraId="46AE406B" w14:textId="77777777" w:rsidR="00CA4C73" w:rsidRPr="007E0AD2" w:rsidRDefault="00CA4C73" w:rsidP="000965F2">
      <w:pPr>
        <w:pStyle w:val="Heading1"/>
        <w:rPr>
          <w:rFonts w:ascii="Arial" w:hAnsi="Arial" w:cs="Arial"/>
        </w:rPr>
      </w:pPr>
      <w:bookmarkStart w:id="15" w:name="_Toc235431627"/>
      <w:r w:rsidRPr="007E0AD2">
        <w:rPr>
          <w:rFonts w:ascii="Arial" w:hAnsi="Arial" w:cs="Arial"/>
        </w:rPr>
        <w:lastRenderedPageBreak/>
        <w:t>References</w:t>
      </w:r>
      <w:bookmarkEnd w:id="15"/>
    </w:p>
    <w:p w14:paraId="25EA1C7E" w14:textId="77777777" w:rsidR="00CA4C73" w:rsidRPr="007E0AD2" w:rsidRDefault="00CA4C73" w:rsidP="00E41A7F">
      <w:pPr>
        <w:spacing w:line="360" w:lineRule="auto"/>
        <w:rPr>
          <w:rFonts w:ascii="Arial" w:hAnsi="Arial" w:cs="Arial"/>
        </w:rPr>
      </w:pPr>
      <w:r w:rsidRPr="007E0AD2">
        <w:rPr>
          <w:rFonts w:ascii="Arial" w:hAnsi="Arial" w:cs="Arial"/>
        </w:rPr>
        <w:t xml:space="preserve">ACAS (2024) </w:t>
      </w:r>
      <w:r w:rsidRPr="007E0AD2">
        <w:rPr>
          <w:rFonts w:ascii="Arial" w:hAnsi="Arial" w:cs="Arial"/>
          <w:i/>
          <w:iCs/>
        </w:rPr>
        <w:t>Equality, diversity and inclusion in the workplace</w:t>
      </w:r>
      <w:r w:rsidRPr="007E0AD2">
        <w:rPr>
          <w:rFonts w:ascii="Arial" w:hAnsi="Arial" w:cs="Arial"/>
        </w:rPr>
        <w:t>. Available at: https://www.acas.org.uk/equality-diversity-and-inclusion (Accessed: 20 July 2026).</w:t>
      </w:r>
    </w:p>
    <w:p w14:paraId="2153DC86" w14:textId="77777777" w:rsidR="00CA4C73" w:rsidRPr="007E0AD2" w:rsidRDefault="00CA4C73" w:rsidP="00E41A7F">
      <w:pPr>
        <w:spacing w:line="360" w:lineRule="auto"/>
        <w:rPr>
          <w:rFonts w:ascii="Arial" w:hAnsi="Arial" w:cs="Arial"/>
        </w:rPr>
      </w:pPr>
      <w:r w:rsidRPr="007E0AD2">
        <w:rPr>
          <w:rFonts w:ascii="Arial" w:hAnsi="Arial" w:cs="Arial"/>
        </w:rPr>
        <w:t xml:space="preserve">Armstrong, M. and Taylor, S. (2023) </w:t>
      </w:r>
      <w:r w:rsidRPr="007E0AD2">
        <w:rPr>
          <w:rFonts w:ascii="Arial" w:hAnsi="Arial" w:cs="Arial"/>
          <w:i/>
          <w:iCs/>
        </w:rPr>
        <w:t>Armstrong's Handbook of Human Resource Management Practice</w:t>
      </w:r>
      <w:r w:rsidRPr="007E0AD2">
        <w:rPr>
          <w:rFonts w:ascii="Arial" w:hAnsi="Arial" w:cs="Arial"/>
        </w:rPr>
        <w:t xml:space="preserve">. 16th </w:t>
      </w:r>
      <w:proofErr w:type="spellStart"/>
      <w:r w:rsidRPr="007E0AD2">
        <w:rPr>
          <w:rFonts w:ascii="Arial" w:hAnsi="Arial" w:cs="Arial"/>
        </w:rPr>
        <w:t>edn</w:t>
      </w:r>
      <w:proofErr w:type="spellEnd"/>
      <w:r w:rsidRPr="007E0AD2">
        <w:rPr>
          <w:rFonts w:ascii="Arial" w:hAnsi="Arial" w:cs="Arial"/>
        </w:rPr>
        <w:t>. London: Kogan Page.</w:t>
      </w:r>
    </w:p>
    <w:p w14:paraId="293FD6D9" w14:textId="77777777" w:rsidR="00CA4C73" w:rsidRPr="007E0AD2" w:rsidRDefault="00CA4C73" w:rsidP="00E41A7F">
      <w:pPr>
        <w:spacing w:line="360" w:lineRule="auto"/>
        <w:rPr>
          <w:rFonts w:ascii="Arial" w:hAnsi="Arial" w:cs="Arial"/>
        </w:rPr>
      </w:pPr>
      <w:r w:rsidRPr="007E0AD2">
        <w:rPr>
          <w:rFonts w:ascii="Arial" w:hAnsi="Arial" w:cs="Arial"/>
        </w:rPr>
        <w:t xml:space="preserve">Backhaus, K. and Tikoo, S. (2004) 'Conceptualizing and researching employer branding', </w:t>
      </w:r>
      <w:r w:rsidRPr="007E0AD2">
        <w:rPr>
          <w:rFonts w:ascii="Arial" w:hAnsi="Arial" w:cs="Arial"/>
          <w:i/>
          <w:iCs/>
        </w:rPr>
        <w:t>Career Development International</w:t>
      </w:r>
      <w:r w:rsidRPr="007E0AD2">
        <w:rPr>
          <w:rFonts w:ascii="Arial" w:hAnsi="Arial" w:cs="Arial"/>
        </w:rPr>
        <w:t>, 9(5), pp. 501–517.</w:t>
      </w:r>
    </w:p>
    <w:p w14:paraId="11221854" w14:textId="77777777" w:rsidR="00CA4C73" w:rsidRPr="007E0AD2" w:rsidRDefault="00CA4C73" w:rsidP="00E41A7F">
      <w:pPr>
        <w:spacing w:line="360" w:lineRule="auto"/>
        <w:rPr>
          <w:rFonts w:ascii="Arial" w:hAnsi="Arial" w:cs="Arial"/>
        </w:rPr>
      </w:pPr>
      <w:r w:rsidRPr="007E0AD2">
        <w:rPr>
          <w:rFonts w:ascii="Arial" w:hAnsi="Arial" w:cs="Arial"/>
        </w:rPr>
        <w:t xml:space="preserve">Bondarouk, T. and Brewster, C. (2016) 'Conceptualising the future of HRM and technology research', </w:t>
      </w:r>
      <w:r w:rsidRPr="007E0AD2">
        <w:rPr>
          <w:rFonts w:ascii="Arial" w:hAnsi="Arial" w:cs="Arial"/>
          <w:i/>
          <w:iCs/>
        </w:rPr>
        <w:t>The International Journal of Human Resource Management</w:t>
      </w:r>
      <w:r w:rsidRPr="007E0AD2">
        <w:rPr>
          <w:rFonts w:ascii="Arial" w:hAnsi="Arial" w:cs="Arial"/>
        </w:rPr>
        <w:t>, 27(21), pp. 2652–2671.</w:t>
      </w:r>
    </w:p>
    <w:p w14:paraId="640C0BA8" w14:textId="77777777" w:rsidR="00CA4C73" w:rsidRPr="007E0AD2" w:rsidRDefault="00CA4C73" w:rsidP="00E41A7F">
      <w:pPr>
        <w:spacing w:line="360" w:lineRule="auto"/>
        <w:rPr>
          <w:rFonts w:ascii="Arial" w:hAnsi="Arial" w:cs="Arial"/>
        </w:rPr>
      </w:pPr>
      <w:r w:rsidRPr="007E0AD2">
        <w:rPr>
          <w:rFonts w:ascii="Arial" w:hAnsi="Arial" w:cs="Arial"/>
        </w:rPr>
        <w:t xml:space="preserve">CIPD (2023) </w:t>
      </w:r>
      <w:r w:rsidRPr="007E0AD2">
        <w:rPr>
          <w:rFonts w:ascii="Arial" w:hAnsi="Arial" w:cs="Arial"/>
          <w:i/>
          <w:iCs/>
        </w:rPr>
        <w:t>Good Work Index 2023</w:t>
      </w:r>
      <w:r w:rsidRPr="007E0AD2">
        <w:rPr>
          <w:rFonts w:ascii="Arial" w:hAnsi="Arial" w:cs="Arial"/>
        </w:rPr>
        <w:t>. London: Chartered Institute of Personnel and Development. Available at: https://www.cipd.org/uk/knowledge/reports/good-work-index/ (Accessed: 20 July 2026).</w:t>
      </w:r>
    </w:p>
    <w:p w14:paraId="3D280E43" w14:textId="77777777" w:rsidR="00CA4C73" w:rsidRPr="007E0AD2" w:rsidRDefault="00CA4C73" w:rsidP="00E41A7F">
      <w:pPr>
        <w:spacing w:line="360" w:lineRule="auto"/>
        <w:rPr>
          <w:rFonts w:ascii="Arial" w:hAnsi="Arial" w:cs="Arial"/>
        </w:rPr>
      </w:pPr>
      <w:r w:rsidRPr="007E0AD2">
        <w:rPr>
          <w:rFonts w:ascii="Arial" w:hAnsi="Arial" w:cs="Arial"/>
        </w:rPr>
        <w:t xml:space="preserve">CIPD (2024) </w:t>
      </w:r>
      <w:r w:rsidRPr="007E0AD2">
        <w:rPr>
          <w:rFonts w:ascii="Arial" w:hAnsi="Arial" w:cs="Arial"/>
          <w:i/>
          <w:iCs/>
        </w:rPr>
        <w:t>People Profession Survey 2024</w:t>
      </w:r>
      <w:r w:rsidRPr="007E0AD2">
        <w:rPr>
          <w:rFonts w:ascii="Arial" w:hAnsi="Arial" w:cs="Arial"/>
        </w:rPr>
        <w:t xml:space="preserve">. London: Chartered Institute of Personnel and Development. Available at: </w:t>
      </w:r>
      <w:hyperlink r:id="rId4" w:tgtFrame="_new" w:history="1">
        <w:r w:rsidRPr="007E0AD2">
          <w:rPr>
            <w:rStyle w:val="Hyperlink"/>
            <w:rFonts w:ascii="Arial" w:hAnsi="Arial" w:cs="Arial"/>
          </w:rPr>
          <w:t>https://www.cipd.org/uk/knowledge/reports/people-profession-survey/</w:t>
        </w:r>
      </w:hyperlink>
      <w:r w:rsidRPr="007E0AD2">
        <w:rPr>
          <w:rFonts w:ascii="Arial" w:hAnsi="Arial" w:cs="Arial"/>
        </w:rPr>
        <w:t xml:space="preserve"> (Accessed: 20 July 2026).</w:t>
      </w:r>
    </w:p>
    <w:p w14:paraId="44B7FF33" w14:textId="77777777" w:rsidR="00CA4C73" w:rsidRPr="007E0AD2" w:rsidRDefault="00CA4C73" w:rsidP="00E41A7F">
      <w:pPr>
        <w:spacing w:line="360" w:lineRule="auto"/>
        <w:rPr>
          <w:rFonts w:ascii="Arial" w:hAnsi="Arial" w:cs="Arial"/>
        </w:rPr>
      </w:pPr>
      <w:r w:rsidRPr="007E0AD2">
        <w:rPr>
          <w:rFonts w:ascii="Arial" w:hAnsi="Arial" w:cs="Arial"/>
        </w:rPr>
        <w:t xml:space="preserve">Collings, D.G., Scullion, H. and </w:t>
      </w:r>
      <w:proofErr w:type="spellStart"/>
      <w:r w:rsidRPr="007E0AD2">
        <w:rPr>
          <w:rFonts w:ascii="Arial" w:hAnsi="Arial" w:cs="Arial"/>
        </w:rPr>
        <w:t>Vaiman</w:t>
      </w:r>
      <w:proofErr w:type="spellEnd"/>
      <w:r w:rsidRPr="007E0AD2">
        <w:rPr>
          <w:rFonts w:ascii="Arial" w:hAnsi="Arial" w:cs="Arial"/>
        </w:rPr>
        <w:t xml:space="preserve">, V. (2015) 'Talent management: Progress and prospects', </w:t>
      </w:r>
      <w:r w:rsidRPr="007E0AD2">
        <w:rPr>
          <w:rFonts w:ascii="Arial" w:hAnsi="Arial" w:cs="Arial"/>
          <w:i/>
          <w:iCs/>
        </w:rPr>
        <w:t>Human Resource Management Review</w:t>
      </w:r>
      <w:r w:rsidRPr="007E0AD2">
        <w:rPr>
          <w:rFonts w:ascii="Arial" w:hAnsi="Arial" w:cs="Arial"/>
        </w:rPr>
        <w:t>, 25(3), pp. 233–235.</w:t>
      </w:r>
    </w:p>
    <w:p w14:paraId="61C61FB7" w14:textId="77777777" w:rsidR="00CA4C73" w:rsidRPr="007E0AD2" w:rsidRDefault="00CA4C73" w:rsidP="00E41A7F">
      <w:pPr>
        <w:spacing w:line="360" w:lineRule="auto"/>
        <w:rPr>
          <w:rFonts w:ascii="Arial" w:hAnsi="Arial" w:cs="Arial"/>
        </w:rPr>
      </w:pPr>
      <w:r w:rsidRPr="007E0AD2">
        <w:rPr>
          <w:rFonts w:ascii="Arial" w:hAnsi="Arial" w:cs="Arial"/>
        </w:rPr>
        <w:t xml:space="preserve">Deloitte (2023) </w:t>
      </w:r>
      <w:r w:rsidRPr="007E0AD2">
        <w:rPr>
          <w:rFonts w:ascii="Arial" w:hAnsi="Arial" w:cs="Arial"/>
          <w:i/>
          <w:iCs/>
        </w:rPr>
        <w:t>Global Human Capital Trends 2023</w:t>
      </w:r>
      <w:r w:rsidRPr="007E0AD2">
        <w:rPr>
          <w:rFonts w:ascii="Arial" w:hAnsi="Arial" w:cs="Arial"/>
        </w:rPr>
        <w:t xml:space="preserve">. Available at: </w:t>
      </w:r>
      <w:hyperlink r:id="rId5" w:tgtFrame="_new" w:history="1">
        <w:r w:rsidRPr="007E0AD2">
          <w:rPr>
            <w:rStyle w:val="Hyperlink"/>
            <w:rFonts w:ascii="Arial" w:hAnsi="Arial" w:cs="Arial"/>
          </w:rPr>
          <w:t>https://www.deloitte.com</w:t>
        </w:r>
      </w:hyperlink>
      <w:r w:rsidRPr="007E0AD2">
        <w:rPr>
          <w:rFonts w:ascii="Arial" w:hAnsi="Arial" w:cs="Arial"/>
        </w:rPr>
        <w:t xml:space="preserve"> (Accessed: 20 July 2026).</w:t>
      </w:r>
    </w:p>
    <w:p w14:paraId="08BBA7AB" w14:textId="77777777" w:rsidR="00CA4C73" w:rsidRPr="007E0AD2" w:rsidRDefault="00CA4C73" w:rsidP="00E41A7F">
      <w:pPr>
        <w:spacing w:line="360" w:lineRule="auto"/>
        <w:rPr>
          <w:rFonts w:ascii="Arial" w:hAnsi="Arial" w:cs="Arial"/>
        </w:rPr>
      </w:pPr>
      <w:r w:rsidRPr="007E0AD2">
        <w:rPr>
          <w:rFonts w:ascii="Arial" w:hAnsi="Arial" w:cs="Arial"/>
        </w:rPr>
        <w:t xml:space="preserve">Deloitte (2024) </w:t>
      </w:r>
      <w:r w:rsidRPr="007E0AD2">
        <w:rPr>
          <w:rFonts w:ascii="Arial" w:hAnsi="Arial" w:cs="Arial"/>
          <w:i/>
          <w:iCs/>
        </w:rPr>
        <w:t>2024 Global Human Capital Trends</w:t>
      </w:r>
      <w:r w:rsidRPr="007E0AD2">
        <w:rPr>
          <w:rFonts w:ascii="Arial" w:hAnsi="Arial" w:cs="Arial"/>
        </w:rPr>
        <w:t xml:space="preserve">. Available at: </w:t>
      </w:r>
      <w:hyperlink r:id="rId6" w:tgtFrame="_new" w:history="1">
        <w:r w:rsidRPr="007E0AD2">
          <w:rPr>
            <w:rStyle w:val="Hyperlink"/>
            <w:rFonts w:ascii="Arial" w:hAnsi="Arial" w:cs="Arial"/>
          </w:rPr>
          <w:t>https://www.deloitte.com</w:t>
        </w:r>
      </w:hyperlink>
      <w:r w:rsidRPr="007E0AD2">
        <w:rPr>
          <w:rFonts w:ascii="Arial" w:hAnsi="Arial" w:cs="Arial"/>
        </w:rPr>
        <w:t xml:space="preserve"> (Accessed: 20 July 2026).</w:t>
      </w:r>
    </w:p>
    <w:p w14:paraId="221C0C16" w14:textId="77777777" w:rsidR="00CA4C73" w:rsidRPr="007E0AD2" w:rsidRDefault="00CA4C73" w:rsidP="00E41A7F">
      <w:pPr>
        <w:spacing w:line="360" w:lineRule="auto"/>
        <w:rPr>
          <w:rFonts w:ascii="Arial" w:hAnsi="Arial" w:cs="Arial"/>
        </w:rPr>
      </w:pPr>
      <w:r w:rsidRPr="007E0AD2">
        <w:rPr>
          <w:rFonts w:ascii="Arial" w:hAnsi="Arial" w:cs="Arial"/>
        </w:rPr>
        <w:t xml:space="preserve">Kotter, J.P. (2012) </w:t>
      </w:r>
      <w:r w:rsidRPr="007E0AD2">
        <w:rPr>
          <w:rFonts w:ascii="Arial" w:hAnsi="Arial" w:cs="Arial"/>
          <w:i/>
          <w:iCs/>
        </w:rPr>
        <w:t>Leading Change</w:t>
      </w:r>
      <w:r w:rsidRPr="007E0AD2">
        <w:rPr>
          <w:rFonts w:ascii="Arial" w:hAnsi="Arial" w:cs="Arial"/>
        </w:rPr>
        <w:t>. Boston, MA: Harvard Business Review Press.</w:t>
      </w:r>
    </w:p>
    <w:p w14:paraId="29086DFA" w14:textId="77777777" w:rsidR="00CA4C73" w:rsidRPr="007E0AD2" w:rsidRDefault="00CA4C73" w:rsidP="00E41A7F">
      <w:pPr>
        <w:spacing w:line="360" w:lineRule="auto"/>
        <w:rPr>
          <w:rFonts w:ascii="Arial" w:hAnsi="Arial" w:cs="Arial"/>
        </w:rPr>
      </w:pPr>
      <w:r w:rsidRPr="007E0AD2">
        <w:rPr>
          <w:rFonts w:ascii="Arial" w:hAnsi="Arial" w:cs="Arial"/>
        </w:rPr>
        <w:t xml:space="preserve">Marler, J.H. and Boudreau, J.W. (2017) 'An evidence-based review of HR Analytics', </w:t>
      </w:r>
      <w:r w:rsidRPr="007E0AD2">
        <w:rPr>
          <w:rFonts w:ascii="Arial" w:hAnsi="Arial" w:cs="Arial"/>
          <w:i/>
          <w:iCs/>
        </w:rPr>
        <w:t>The International Journal of Human Resource Management</w:t>
      </w:r>
      <w:r w:rsidRPr="007E0AD2">
        <w:rPr>
          <w:rFonts w:ascii="Arial" w:hAnsi="Arial" w:cs="Arial"/>
        </w:rPr>
        <w:t>, 28(1), pp. 3–26.</w:t>
      </w:r>
    </w:p>
    <w:p w14:paraId="436FDC52" w14:textId="77777777" w:rsidR="00CA4C73" w:rsidRPr="007E0AD2" w:rsidRDefault="00CA4C73" w:rsidP="00E41A7F">
      <w:pPr>
        <w:spacing w:line="360" w:lineRule="auto"/>
        <w:rPr>
          <w:rFonts w:ascii="Arial" w:hAnsi="Arial" w:cs="Arial"/>
        </w:rPr>
      </w:pPr>
      <w:r w:rsidRPr="007E0AD2">
        <w:rPr>
          <w:rFonts w:ascii="Arial" w:hAnsi="Arial" w:cs="Arial"/>
        </w:rPr>
        <w:t xml:space="preserve">Mor Barak, M.E. (2022) </w:t>
      </w:r>
      <w:r w:rsidRPr="007E0AD2">
        <w:rPr>
          <w:rFonts w:ascii="Arial" w:hAnsi="Arial" w:cs="Arial"/>
          <w:i/>
          <w:iCs/>
        </w:rPr>
        <w:t>Managing Diversity: Toward a Globally Inclusive Workplace</w:t>
      </w:r>
      <w:r w:rsidRPr="007E0AD2">
        <w:rPr>
          <w:rFonts w:ascii="Arial" w:hAnsi="Arial" w:cs="Arial"/>
        </w:rPr>
        <w:t xml:space="preserve">. 5th </w:t>
      </w:r>
      <w:proofErr w:type="spellStart"/>
      <w:r w:rsidRPr="007E0AD2">
        <w:rPr>
          <w:rFonts w:ascii="Arial" w:hAnsi="Arial" w:cs="Arial"/>
        </w:rPr>
        <w:t>edn</w:t>
      </w:r>
      <w:proofErr w:type="spellEnd"/>
      <w:r w:rsidRPr="007E0AD2">
        <w:rPr>
          <w:rFonts w:ascii="Arial" w:hAnsi="Arial" w:cs="Arial"/>
        </w:rPr>
        <w:t>. Thousand Oaks, CA: Sage.</w:t>
      </w:r>
    </w:p>
    <w:p w14:paraId="35642116" w14:textId="77777777" w:rsidR="00CA4C73" w:rsidRPr="007E0AD2" w:rsidRDefault="00CA4C73" w:rsidP="00E41A7F">
      <w:pPr>
        <w:spacing w:line="360" w:lineRule="auto"/>
        <w:rPr>
          <w:rFonts w:ascii="Arial" w:hAnsi="Arial" w:cs="Arial"/>
        </w:rPr>
      </w:pPr>
      <w:r w:rsidRPr="007E0AD2">
        <w:rPr>
          <w:rFonts w:ascii="Arial" w:hAnsi="Arial" w:cs="Arial"/>
        </w:rPr>
        <w:t xml:space="preserve">Purcell, J. and Hutchinson, S. (2007) 'Front-line managers as agents in the HRM-performance causal chain', </w:t>
      </w:r>
      <w:r w:rsidRPr="007E0AD2">
        <w:rPr>
          <w:rFonts w:ascii="Arial" w:hAnsi="Arial" w:cs="Arial"/>
          <w:i/>
          <w:iCs/>
        </w:rPr>
        <w:t>Human Resource Management Journal</w:t>
      </w:r>
      <w:r w:rsidRPr="007E0AD2">
        <w:rPr>
          <w:rFonts w:ascii="Arial" w:hAnsi="Arial" w:cs="Arial"/>
        </w:rPr>
        <w:t>, 17(1), pp. 3–20.</w:t>
      </w:r>
    </w:p>
    <w:p w14:paraId="5D562707" w14:textId="77777777" w:rsidR="00CA4C73" w:rsidRPr="007E0AD2" w:rsidRDefault="00CA4C73" w:rsidP="00E41A7F">
      <w:pPr>
        <w:spacing w:line="360" w:lineRule="auto"/>
        <w:rPr>
          <w:rFonts w:ascii="Arial" w:hAnsi="Arial" w:cs="Arial"/>
        </w:rPr>
      </w:pPr>
      <w:r w:rsidRPr="007E0AD2">
        <w:rPr>
          <w:rFonts w:ascii="Arial" w:hAnsi="Arial" w:cs="Arial"/>
        </w:rPr>
        <w:t xml:space="preserve">PwC (2024) </w:t>
      </w:r>
      <w:r w:rsidRPr="007E0AD2">
        <w:rPr>
          <w:rFonts w:ascii="Arial" w:hAnsi="Arial" w:cs="Arial"/>
          <w:i/>
          <w:iCs/>
        </w:rPr>
        <w:t>Global Workforce Hopes and Fears Survey 2024</w:t>
      </w:r>
      <w:r w:rsidRPr="007E0AD2">
        <w:rPr>
          <w:rFonts w:ascii="Arial" w:hAnsi="Arial" w:cs="Arial"/>
        </w:rPr>
        <w:t xml:space="preserve">. Available at: </w:t>
      </w:r>
      <w:hyperlink r:id="rId7" w:tgtFrame="_new" w:history="1">
        <w:r w:rsidRPr="007E0AD2">
          <w:rPr>
            <w:rStyle w:val="Hyperlink"/>
            <w:rFonts w:ascii="Arial" w:hAnsi="Arial" w:cs="Arial"/>
          </w:rPr>
          <w:t>https://www.pwc.com</w:t>
        </w:r>
      </w:hyperlink>
      <w:r w:rsidRPr="007E0AD2">
        <w:rPr>
          <w:rFonts w:ascii="Arial" w:hAnsi="Arial" w:cs="Arial"/>
        </w:rPr>
        <w:t xml:space="preserve"> (Accessed: 20 July 2026).</w:t>
      </w:r>
    </w:p>
    <w:p w14:paraId="4D240FCF" w14:textId="77777777" w:rsidR="00CA4C73" w:rsidRPr="007E0AD2" w:rsidRDefault="00CA4C73" w:rsidP="00E41A7F">
      <w:pPr>
        <w:spacing w:line="360" w:lineRule="auto"/>
        <w:rPr>
          <w:rFonts w:ascii="Arial" w:hAnsi="Arial" w:cs="Arial"/>
        </w:rPr>
      </w:pPr>
      <w:r w:rsidRPr="007E0AD2">
        <w:rPr>
          <w:rFonts w:ascii="Arial" w:hAnsi="Arial" w:cs="Arial"/>
        </w:rPr>
        <w:lastRenderedPageBreak/>
        <w:t xml:space="preserve">Roberson, Q. (2019) 'Diversity in the workplace: A review, synthesis and future research agenda', </w:t>
      </w:r>
      <w:r w:rsidRPr="007E0AD2">
        <w:rPr>
          <w:rFonts w:ascii="Arial" w:hAnsi="Arial" w:cs="Arial"/>
          <w:i/>
          <w:iCs/>
        </w:rPr>
        <w:t xml:space="preserve">Annual Review of Organizational Psychology and Organizational </w:t>
      </w:r>
      <w:proofErr w:type="spellStart"/>
      <w:r w:rsidRPr="007E0AD2">
        <w:rPr>
          <w:rFonts w:ascii="Arial" w:hAnsi="Arial" w:cs="Arial"/>
          <w:i/>
          <w:iCs/>
        </w:rPr>
        <w:t>Behavior</w:t>
      </w:r>
      <w:proofErr w:type="spellEnd"/>
      <w:r w:rsidRPr="007E0AD2">
        <w:rPr>
          <w:rFonts w:ascii="Arial" w:hAnsi="Arial" w:cs="Arial"/>
        </w:rPr>
        <w:t>, 6, pp. 69–88.</w:t>
      </w:r>
    </w:p>
    <w:p w14:paraId="7B7F50FC" w14:textId="77777777" w:rsidR="00CA4C73" w:rsidRPr="007E0AD2" w:rsidRDefault="00CA4C73" w:rsidP="00E41A7F">
      <w:pPr>
        <w:spacing w:line="360" w:lineRule="auto"/>
        <w:rPr>
          <w:rFonts w:ascii="Arial" w:hAnsi="Arial" w:cs="Arial"/>
        </w:rPr>
      </w:pPr>
      <w:r w:rsidRPr="007E0AD2">
        <w:rPr>
          <w:rFonts w:ascii="Arial" w:hAnsi="Arial" w:cs="Arial"/>
        </w:rPr>
        <w:t xml:space="preserve">Schein, E.H. and Schein, P. (2021) </w:t>
      </w:r>
      <w:r w:rsidRPr="007E0AD2">
        <w:rPr>
          <w:rFonts w:ascii="Arial" w:hAnsi="Arial" w:cs="Arial"/>
          <w:i/>
          <w:iCs/>
        </w:rPr>
        <w:t>Organizational Culture and Leadership</w:t>
      </w:r>
      <w:r w:rsidRPr="007E0AD2">
        <w:rPr>
          <w:rFonts w:ascii="Arial" w:hAnsi="Arial" w:cs="Arial"/>
        </w:rPr>
        <w:t xml:space="preserve">. 5th </w:t>
      </w:r>
      <w:proofErr w:type="spellStart"/>
      <w:r w:rsidRPr="007E0AD2">
        <w:rPr>
          <w:rFonts w:ascii="Arial" w:hAnsi="Arial" w:cs="Arial"/>
        </w:rPr>
        <w:t>edn</w:t>
      </w:r>
      <w:proofErr w:type="spellEnd"/>
      <w:r w:rsidRPr="007E0AD2">
        <w:rPr>
          <w:rFonts w:ascii="Arial" w:hAnsi="Arial" w:cs="Arial"/>
        </w:rPr>
        <w:t>. Hoboken, NJ: Wiley.</w:t>
      </w:r>
    </w:p>
    <w:p w14:paraId="5E52DD1D" w14:textId="77777777" w:rsidR="00CA4C73" w:rsidRPr="007E0AD2" w:rsidRDefault="00CA4C73" w:rsidP="00E41A7F">
      <w:pPr>
        <w:spacing w:line="360" w:lineRule="auto"/>
        <w:rPr>
          <w:rFonts w:ascii="Arial" w:hAnsi="Arial" w:cs="Arial"/>
        </w:rPr>
      </w:pPr>
      <w:r w:rsidRPr="007E0AD2">
        <w:rPr>
          <w:rFonts w:ascii="Arial" w:hAnsi="Arial" w:cs="Arial"/>
        </w:rPr>
        <w:t xml:space="preserve">Shore, L.M., Cleveland, J.N. and Sanchez, D. (2018) 'Inclusive workplaces: A review and model', </w:t>
      </w:r>
      <w:r w:rsidRPr="007E0AD2">
        <w:rPr>
          <w:rFonts w:ascii="Arial" w:hAnsi="Arial" w:cs="Arial"/>
          <w:i/>
          <w:iCs/>
        </w:rPr>
        <w:t>Human Resource Management Review</w:t>
      </w:r>
      <w:r w:rsidRPr="007E0AD2">
        <w:rPr>
          <w:rFonts w:ascii="Arial" w:hAnsi="Arial" w:cs="Arial"/>
        </w:rPr>
        <w:t>, 28(2), pp. 176–189.</w:t>
      </w:r>
    </w:p>
    <w:p w14:paraId="2BF98E42" w14:textId="77777777" w:rsidR="00CA4C73" w:rsidRPr="007E0AD2" w:rsidRDefault="00CA4C73" w:rsidP="00E41A7F">
      <w:pPr>
        <w:spacing w:line="360" w:lineRule="auto"/>
        <w:rPr>
          <w:rFonts w:ascii="Arial" w:hAnsi="Arial" w:cs="Arial"/>
        </w:rPr>
      </w:pPr>
      <w:r w:rsidRPr="007E0AD2">
        <w:rPr>
          <w:rFonts w:ascii="Arial" w:hAnsi="Arial" w:cs="Arial"/>
        </w:rPr>
        <w:t xml:space="preserve">Stone, D.L., Deadrick, D.L., Lukaszewski, K.M. and Johnson, R. (2020) 'The influence of technology on the future of human resource management', </w:t>
      </w:r>
      <w:r w:rsidRPr="007E0AD2">
        <w:rPr>
          <w:rFonts w:ascii="Arial" w:hAnsi="Arial" w:cs="Arial"/>
          <w:i/>
          <w:iCs/>
        </w:rPr>
        <w:t>Human Resource Management Review</w:t>
      </w:r>
      <w:r w:rsidRPr="007E0AD2">
        <w:rPr>
          <w:rFonts w:ascii="Arial" w:hAnsi="Arial" w:cs="Arial"/>
        </w:rPr>
        <w:t>, 30(1), 100686.</w:t>
      </w:r>
    </w:p>
    <w:p w14:paraId="1FD342F6" w14:textId="77777777" w:rsidR="00CA4C73" w:rsidRPr="007E0AD2" w:rsidRDefault="00CA4C73" w:rsidP="00E41A7F">
      <w:pPr>
        <w:spacing w:line="360" w:lineRule="auto"/>
        <w:rPr>
          <w:rFonts w:ascii="Arial" w:hAnsi="Arial" w:cs="Arial"/>
        </w:rPr>
      </w:pPr>
      <w:r w:rsidRPr="007E0AD2">
        <w:rPr>
          <w:rFonts w:ascii="Arial" w:hAnsi="Arial" w:cs="Arial"/>
        </w:rPr>
        <w:t xml:space="preserve">Tesco plc (2025) </w:t>
      </w:r>
      <w:r w:rsidRPr="007E0AD2">
        <w:rPr>
          <w:rFonts w:ascii="Arial" w:hAnsi="Arial" w:cs="Arial"/>
          <w:i/>
          <w:iCs/>
        </w:rPr>
        <w:t>Annual Report and Financial Statements 2025</w:t>
      </w:r>
      <w:r w:rsidRPr="007E0AD2">
        <w:rPr>
          <w:rFonts w:ascii="Arial" w:hAnsi="Arial" w:cs="Arial"/>
        </w:rPr>
        <w:t xml:space="preserve">. Welwyn Garden City: Tesco plc. Available at: </w:t>
      </w:r>
      <w:hyperlink r:id="rId8" w:tgtFrame="_new" w:history="1">
        <w:r w:rsidRPr="007E0AD2">
          <w:rPr>
            <w:rStyle w:val="Hyperlink"/>
            <w:rFonts w:ascii="Arial" w:hAnsi="Arial" w:cs="Arial"/>
          </w:rPr>
          <w:t>https://www.tescoplc.com/investors/reports-results-and-presentations/</w:t>
        </w:r>
      </w:hyperlink>
      <w:r w:rsidRPr="007E0AD2">
        <w:rPr>
          <w:rFonts w:ascii="Arial" w:hAnsi="Arial" w:cs="Arial"/>
        </w:rPr>
        <w:t xml:space="preserve"> (Accessed: 20 July 2026).</w:t>
      </w:r>
    </w:p>
    <w:p w14:paraId="06BC87B3" w14:textId="77777777" w:rsidR="00CA4C73" w:rsidRPr="007E0AD2" w:rsidRDefault="00CA4C73" w:rsidP="00E41A7F">
      <w:pPr>
        <w:spacing w:line="360" w:lineRule="auto"/>
        <w:rPr>
          <w:rFonts w:ascii="Arial" w:hAnsi="Arial" w:cs="Arial"/>
        </w:rPr>
      </w:pPr>
      <w:r w:rsidRPr="007E0AD2">
        <w:rPr>
          <w:rFonts w:ascii="Arial" w:hAnsi="Arial" w:cs="Arial"/>
        </w:rPr>
        <w:t xml:space="preserve">Ulrich, D., Younger, J., Brockbank, W. and Ulrich, M. (2022) </w:t>
      </w:r>
      <w:r w:rsidRPr="007E0AD2">
        <w:rPr>
          <w:rFonts w:ascii="Arial" w:hAnsi="Arial" w:cs="Arial"/>
          <w:i/>
          <w:iCs/>
        </w:rPr>
        <w:t>HR Competencies: Mastery at the Intersection of People and Business</w:t>
      </w:r>
      <w:r w:rsidRPr="007E0AD2">
        <w:rPr>
          <w:rFonts w:ascii="Arial" w:hAnsi="Arial" w:cs="Arial"/>
        </w:rPr>
        <w:t>. Alexandria, VA: Society for Human Resource Management.</w:t>
      </w:r>
    </w:p>
    <w:p w14:paraId="6C17FCC8" w14:textId="77777777" w:rsidR="00CA4C73" w:rsidRPr="00E41A7F" w:rsidRDefault="00CA4C73" w:rsidP="00E41A7F">
      <w:pPr>
        <w:spacing w:line="360" w:lineRule="auto"/>
        <w:rPr>
          <w:rFonts w:ascii="Arial" w:hAnsi="Arial" w:cs="Arial"/>
        </w:rPr>
      </w:pPr>
    </w:p>
    <w:sectPr w:rsidR="00CA4C73" w:rsidRPr="00E41A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501"/>
    <w:rsid w:val="00011B9A"/>
    <w:rsid w:val="00084B69"/>
    <w:rsid w:val="000965F2"/>
    <w:rsid w:val="0010442D"/>
    <w:rsid w:val="00157958"/>
    <w:rsid w:val="00175601"/>
    <w:rsid w:val="001E0D56"/>
    <w:rsid w:val="00295B77"/>
    <w:rsid w:val="003A3D98"/>
    <w:rsid w:val="0041755E"/>
    <w:rsid w:val="004673F5"/>
    <w:rsid w:val="007C2921"/>
    <w:rsid w:val="007E0AD2"/>
    <w:rsid w:val="007F21DF"/>
    <w:rsid w:val="008925AF"/>
    <w:rsid w:val="008E5501"/>
    <w:rsid w:val="00980827"/>
    <w:rsid w:val="00A15D8D"/>
    <w:rsid w:val="00A74E56"/>
    <w:rsid w:val="00B42042"/>
    <w:rsid w:val="00BF08E2"/>
    <w:rsid w:val="00BF12C6"/>
    <w:rsid w:val="00C626CA"/>
    <w:rsid w:val="00CA4C73"/>
    <w:rsid w:val="00D43BBF"/>
    <w:rsid w:val="00E41A7F"/>
    <w:rsid w:val="00F11E1B"/>
    <w:rsid w:val="00F31097"/>
    <w:rsid w:val="00F33223"/>
    <w:rsid w:val="00F664ED"/>
    <w:rsid w:val="00F86672"/>
    <w:rsid w:val="00F96F19"/>
    <w:rsid w:val="00FE0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7C086"/>
  <w15:chartTrackingRefBased/>
  <w15:docId w15:val="{0820DDF7-D703-4AA6-97F6-149EC0602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5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5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5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5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5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5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5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5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5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5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5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5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5501"/>
    <w:rPr>
      <w:rFonts w:eastAsiaTheme="majorEastAsia" w:cstheme="majorBidi"/>
      <w:color w:val="272727" w:themeColor="text1" w:themeTint="D8"/>
    </w:rPr>
  </w:style>
  <w:style w:type="paragraph" w:styleId="Title">
    <w:name w:val="Title"/>
    <w:basedOn w:val="Normal"/>
    <w:next w:val="Normal"/>
    <w:link w:val="TitleChar"/>
    <w:uiPriority w:val="10"/>
    <w:qFormat/>
    <w:rsid w:val="008E5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5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5501"/>
    <w:pPr>
      <w:spacing w:before="160"/>
      <w:jc w:val="center"/>
    </w:pPr>
    <w:rPr>
      <w:i/>
      <w:iCs/>
      <w:color w:val="404040" w:themeColor="text1" w:themeTint="BF"/>
    </w:rPr>
  </w:style>
  <w:style w:type="character" w:customStyle="1" w:styleId="QuoteChar">
    <w:name w:val="Quote Char"/>
    <w:basedOn w:val="DefaultParagraphFont"/>
    <w:link w:val="Quote"/>
    <w:uiPriority w:val="29"/>
    <w:rsid w:val="008E5501"/>
    <w:rPr>
      <w:i/>
      <w:iCs/>
      <w:color w:val="404040" w:themeColor="text1" w:themeTint="BF"/>
    </w:rPr>
  </w:style>
  <w:style w:type="paragraph" w:styleId="ListParagraph">
    <w:name w:val="List Paragraph"/>
    <w:basedOn w:val="Normal"/>
    <w:uiPriority w:val="34"/>
    <w:qFormat/>
    <w:rsid w:val="008E5501"/>
    <w:pPr>
      <w:ind w:left="720"/>
      <w:contextualSpacing/>
    </w:pPr>
  </w:style>
  <w:style w:type="character" w:styleId="IntenseEmphasis">
    <w:name w:val="Intense Emphasis"/>
    <w:basedOn w:val="DefaultParagraphFont"/>
    <w:uiPriority w:val="21"/>
    <w:qFormat/>
    <w:rsid w:val="008E5501"/>
    <w:rPr>
      <w:i/>
      <w:iCs/>
      <w:color w:val="0F4761" w:themeColor="accent1" w:themeShade="BF"/>
    </w:rPr>
  </w:style>
  <w:style w:type="paragraph" w:styleId="IntenseQuote">
    <w:name w:val="Intense Quote"/>
    <w:basedOn w:val="Normal"/>
    <w:next w:val="Normal"/>
    <w:link w:val="IntenseQuoteChar"/>
    <w:uiPriority w:val="30"/>
    <w:qFormat/>
    <w:rsid w:val="008E5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5501"/>
    <w:rPr>
      <w:i/>
      <w:iCs/>
      <w:color w:val="0F4761" w:themeColor="accent1" w:themeShade="BF"/>
    </w:rPr>
  </w:style>
  <w:style w:type="character" w:styleId="IntenseReference">
    <w:name w:val="Intense Reference"/>
    <w:basedOn w:val="DefaultParagraphFont"/>
    <w:uiPriority w:val="32"/>
    <w:qFormat/>
    <w:rsid w:val="008E5501"/>
    <w:rPr>
      <w:b/>
      <w:bCs/>
      <w:smallCaps/>
      <w:color w:val="0F4761" w:themeColor="accent1" w:themeShade="BF"/>
      <w:spacing w:val="5"/>
    </w:rPr>
  </w:style>
  <w:style w:type="character" w:styleId="Hyperlink">
    <w:name w:val="Hyperlink"/>
    <w:basedOn w:val="DefaultParagraphFont"/>
    <w:uiPriority w:val="99"/>
    <w:unhideWhenUsed/>
    <w:rsid w:val="00CA4C73"/>
    <w:rPr>
      <w:color w:val="467886" w:themeColor="hyperlink"/>
      <w:u w:val="single"/>
    </w:rPr>
  </w:style>
  <w:style w:type="character" w:styleId="UnresolvedMention">
    <w:name w:val="Unresolved Mention"/>
    <w:basedOn w:val="DefaultParagraphFont"/>
    <w:uiPriority w:val="99"/>
    <w:semiHidden/>
    <w:unhideWhenUsed/>
    <w:rsid w:val="00CA4C73"/>
    <w:rPr>
      <w:color w:val="605E5C"/>
      <w:shd w:val="clear" w:color="auto" w:fill="E1DFDD"/>
    </w:rPr>
  </w:style>
  <w:style w:type="paragraph" w:styleId="TOCHeading">
    <w:name w:val="TOC Heading"/>
    <w:basedOn w:val="Heading1"/>
    <w:next w:val="Normal"/>
    <w:uiPriority w:val="39"/>
    <w:unhideWhenUsed/>
    <w:qFormat/>
    <w:rsid w:val="007E0AD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E0AD2"/>
    <w:pPr>
      <w:spacing w:after="100"/>
    </w:pPr>
  </w:style>
  <w:style w:type="paragraph" w:styleId="TOC2">
    <w:name w:val="toc 2"/>
    <w:basedOn w:val="Normal"/>
    <w:next w:val="Normal"/>
    <w:autoRedefine/>
    <w:uiPriority w:val="39"/>
    <w:unhideWhenUsed/>
    <w:rsid w:val="007E0AD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investors/reports-results-and-presentations/" TargetMode="External"/><Relationship Id="rId3" Type="http://schemas.openxmlformats.org/officeDocument/2006/relationships/webSettings" Target="webSettings.xml"/><Relationship Id="rId7" Type="http://schemas.openxmlformats.org/officeDocument/2006/relationships/hyperlink" Target="https://www.pwc.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eloitte.com" TargetMode="External"/><Relationship Id="rId5" Type="http://schemas.openxmlformats.org/officeDocument/2006/relationships/hyperlink" Target="https://www.deloitte.com" TargetMode="External"/><Relationship Id="rId10" Type="http://schemas.openxmlformats.org/officeDocument/2006/relationships/theme" Target="theme/theme1.xml"/><Relationship Id="rId4" Type="http://schemas.openxmlformats.org/officeDocument/2006/relationships/hyperlink" Target="https://www.cipd.org/uk/knowledge/reports/people-profession-surve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9</Pages>
  <Words>2736</Words>
  <Characters>15596</Characters>
  <DocSecurity>0</DocSecurity>
  <Lines>129</Lines>
  <Paragraphs>36</Paragraphs>
  <ScaleCrop>false</ScaleCrop>
  <Company/>
  <LinksUpToDate>false</LinksUpToDate>
  <CharactersWithSpaces>18296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2026-07-20T06:42:00Z</dcterms:created>
  <dcterms:modified xsi:type="dcterms:W3CDTF">2026-07-20T08:20:00Z</dcterms:modified>
</cp:coreProperties>
</file>