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4246A" w14:textId="77777777" w:rsidR="00FF7C9C" w:rsidRDefault="00FF7C9C" w:rsidP="001B3E39">
      <w:pPr>
        <w:pStyle w:val="NoSpacing"/>
        <w:rPr>
          <w:b/>
          <w:sz w:val="48"/>
          <w:szCs w:val="44"/>
        </w:rPr>
      </w:pPr>
    </w:p>
    <w:p w14:paraId="27D25272" w14:textId="77777777" w:rsidR="00FF7C9C" w:rsidRDefault="00FF7C9C" w:rsidP="001B3E39">
      <w:pPr>
        <w:pStyle w:val="NoSpacing"/>
        <w:rPr>
          <w:b/>
          <w:sz w:val="48"/>
          <w:szCs w:val="44"/>
        </w:rPr>
      </w:pPr>
    </w:p>
    <w:p w14:paraId="1B7C4E0F" w14:textId="77777777" w:rsidR="00FF7C9C" w:rsidRDefault="00FF7C9C" w:rsidP="001B3E39">
      <w:pPr>
        <w:pStyle w:val="NoSpacing"/>
        <w:rPr>
          <w:b/>
          <w:sz w:val="48"/>
          <w:szCs w:val="44"/>
        </w:rPr>
      </w:pPr>
    </w:p>
    <w:p w14:paraId="37AA7060" w14:textId="77777777" w:rsidR="00FF7C9C" w:rsidRDefault="00FF7C9C" w:rsidP="001B3E39">
      <w:pPr>
        <w:pStyle w:val="NoSpacing"/>
        <w:rPr>
          <w:b/>
          <w:sz w:val="48"/>
          <w:szCs w:val="44"/>
        </w:rPr>
      </w:pPr>
    </w:p>
    <w:p w14:paraId="1A17C767" w14:textId="77777777" w:rsidR="00FF7C9C" w:rsidRDefault="00FF7C9C" w:rsidP="001B3E39">
      <w:pPr>
        <w:pStyle w:val="NoSpacing"/>
        <w:rPr>
          <w:b/>
          <w:sz w:val="48"/>
          <w:szCs w:val="44"/>
        </w:rPr>
      </w:pPr>
    </w:p>
    <w:p w14:paraId="1372FD79" w14:textId="79F9487D" w:rsidR="001B3E39" w:rsidRPr="00F34E5F" w:rsidRDefault="009444B1" w:rsidP="001B3E39">
      <w:pPr>
        <w:pStyle w:val="NoSpacing"/>
        <w:rPr>
          <w:b/>
          <w:sz w:val="48"/>
          <w:szCs w:val="44"/>
        </w:rPr>
      </w:pPr>
      <w:r>
        <w:rPr>
          <w:b/>
          <w:sz w:val="48"/>
          <w:szCs w:val="44"/>
        </w:rPr>
        <w:t>Financial Management and Planning</w:t>
      </w:r>
    </w:p>
    <w:p w14:paraId="3D72D8E2" w14:textId="0AB4E5AA" w:rsidR="001B3E39" w:rsidRPr="009444B1" w:rsidRDefault="009444B1" w:rsidP="001B3E39">
      <w:pPr>
        <w:pStyle w:val="NoSpacing"/>
        <w:rPr>
          <w:b/>
          <w:sz w:val="28"/>
        </w:rPr>
      </w:pPr>
      <w:r w:rsidRPr="009444B1">
        <w:rPr>
          <w:b/>
          <w:sz w:val="28"/>
        </w:rPr>
        <w:t>Board Report</w:t>
      </w:r>
    </w:p>
    <w:p w14:paraId="79F72C57" w14:textId="707EEF34" w:rsidR="001B3E39" w:rsidRPr="009444B1" w:rsidRDefault="001B3E39" w:rsidP="001B3E39">
      <w:pPr>
        <w:pStyle w:val="NoSpacing"/>
        <w:rPr>
          <w:b/>
          <w:sz w:val="28"/>
        </w:rPr>
      </w:pPr>
      <w:r w:rsidRPr="009444B1">
        <w:rPr>
          <w:b/>
          <w:sz w:val="28"/>
        </w:rPr>
        <w:t xml:space="preserve">Module Code: </w:t>
      </w:r>
      <w:r w:rsidR="00E56AD9" w:rsidRPr="009444B1">
        <w:rPr>
          <w:b/>
          <w:sz w:val="28"/>
        </w:rPr>
        <w:t>ACPA700</w:t>
      </w:r>
      <w:r w:rsidR="009444B1" w:rsidRPr="009444B1">
        <w:rPr>
          <w:b/>
          <w:sz w:val="28"/>
        </w:rPr>
        <w:t>2</w:t>
      </w:r>
    </w:p>
    <w:p w14:paraId="1A6D086F" w14:textId="242AF2F9" w:rsidR="001B3E39" w:rsidRDefault="001B3E39" w:rsidP="001B3E39">
      <w:pPr>
        <w:pStyle w:val="NoSpacing"/>
        <w:rPr>
          <w:b/>
          <w:sz w:val="28"/>
        </w:rPr>
      </w:pPr>
      <w:r w:rsidRPr="009444B1">
        <w:rPr>
          <w:b/>
          <w:sz w:val="28"/>
        </w:rPr>
        <w:t xml:space="preserve">Lecturer: </w:t>
      </w:r>
      <w:r w:rsidR="009444B1" w:rsidRPr="009444B1">
        <w:rPr>
          <w:b/>
          <w:sz w:val="28"/>
        </w:rPr>
        <w:t>Howard Davies</w:t>
      </w:r>
    </w:p>
    <w:p w14:paraId="643B4D17" w14:textId="77777777" w:rsidR="001B3E39" w:rsidRDefault="001B3E39">
      <w:pPr>
        <w:spacing w:after="200" w:line="276" w:lineRule="auto"/>
        <w:rPr>
          <w:b/>
          <w:sz w:val="28"/>
        </w:rPr>
      </w:pPr>
    </w:p>
    <w:p w14:paraId="3B04D320" w14:textId="77777777" w:rsidR="001B3E39" w:rsidRPr="00FF7C9C" w:rsidRDefault="001B3E39">
      <w:pPr>
        <w:spacing w:after="200" w:line="276" w:lineRule="auto"/>
        <w:rPr>
          <w:b/>
          <w:sz w:val="40"/>
          <w:szCs w:val="36"/>
        </w:rPr>
      </w:pPr>
      <w:r w:rsidRPr="00FF7C9C">
        <w:rPr>
          <w:b/>
          <w:sz w:val="40"/>
          <w:szCs w:val="36"/>
        </w:rPr>
        <w:t>MSc Industry 4.0 Advanced Manufacturing</w:t>
      </w:r>
    </w:p>
    <w:p w14:paraId="6B13F6AB" w14:textId="3FBFF8B0" w:rsidR="00FF7C9C" w:rsidRDefault="00FF7C9C" w:rsidP="00FF7C9C">
      <w:pPr>
        <w:spacing w:line="276" w:lineRule="auto"/>
        <w:rPr>
          <w:b/>
          <w:sz w:val="28"/>
        </w:rPr>
      </w:pPr>
      <w:r>
        <w:rPr>
          <w:b/>
          <w:sz w:val="28"/>
        </w:rPr>
        <w:t>Student ID: 2110656</w:t>
      </w:r>
    </w:p>
    <w:p w14:paraId="4E181B2B" w14:textId="77777777" w:rsidR="00FF7C9C" w:rsidRDefault="00FF7C9C" w:rsidP="00FF7C9C">
      <w:pPr>
        <w:spacing w:line="276" w:lineRule="auto"/>
        <w:rPr>
          <w:b/>
          <w:sz w:val="28"/>
        </w:rPr>
      </w:pPr>
      <w:r>
        <w:rPr>
          <w:b/>
          <w:sz w:val="28"/>
        </w:rPr>
        <w:t>Student Name: Nathan Darran Gunter</w:t>
      </w:r>
    </w:p>
    <w:p w14:paraId="27684094" w14:textId="6DBD9060" w:rsidR="00FF7C9C" w:rsidRDefault="00FF7C9C">
      <w:pPr>
        <w:spacing w:after="200" w:line="276" w:lineRule="auto"/>
        <w:rPr>
          <w:b/>
          <w:sz w:val="28"/>
        </w:rPr>
      </w:pPr>
      <w:r>
        <w:rPr>
          <w:b/>
          <w:sz w:val="28"/>
        </w:rPr>
        <w:t>Email:</w:t>
      </w:r>
      <w:r w:rsidRPr="0002749F">
        <w:rPr>
          <w:b/>
          <w:color w:val="000000" w:themeColor="text1"/>
          <w:sz w:val="28"/>
        </w:rPr>
        <w:t xml:space="preserve"> </w:t>
      </w:r>
      <w:hyperlink r:id="rId11" w:history="1">
        <w:r w:rsidRPr="0002749F">
          <w:rPr>
            <w:rStyle w:val="Hyperlink"/>
            <w:b/>
            <w:color w:val="000000" w:themeColor="text1"/>
            <w:sz w:val="28"/>
            <w:u w:val="none"/>
          </w:rPr>
          <w:t>2110656@student.uwtsd.ac.uk</w:t>
        </w:r>
      </w:hyperlink>
    </w:p>
    <w:p w14:paraId="43C68149" w14:textId="568E43AF" w:rsidR="00D9328A" w:rsidRDefault="009444B1">
      <w:pPr>
        <w:spacing w:after="200" w:line="276" w:lineRule="auto"/>
        <w:rPr>
          <w:b/>
          <w:sz w:val="28"/>
        </w:rPr>
      </w:pPr>
      <w:r>
        <w:rPr>
          <w:b/>
          <w:sz w:val="28"/>
        </w:rPr>
        <w:t>3</w:t>
      </w:r>
      <w:r w:rsidRPr="009444B1">
        <w:rPr>
          <w:b/>
          <w:sz w:val="28"/>
          <w:vertAlign w:val="superscript"/>
        </w:rPr>
        <w:t>rd</w:t>
      </w:r>
      <w:r>
        <w:rPr>
          <w:b/>
          <w:sz w:val="28"/>
        </w:rPr>
        <w:t xml:space="preserve"> October 2022</w:t>
      </w:r>
    </w:p>
    <w:p w14:paraId="3E8A0DEF" w14:textId="57BE8A25" w:rsidR="001B3E39" w:rsidRDefault="001B3E39">
      <w:pPr>
        <w:spacing w:after="200" w:line="276" w:lineRule="auto"/>
        <w:rPr>
          <w:b/>
          <w:sz w:val="28"/>
        </w:rPr>
      </w:pPr>
      <w:r>
        <w:rPr>
          <w:b/>
          <w:sz w:val="28"/>
        </w:rPr>
        <w:br w:type="page"/>
      </w:r>
    </w:p>
    <w:p w14:paraId="2B94F5BF" w14:textId="77777777" w:rsidR="006E2BF3" w:rsidRDefault="006E2BF3" w:rsidP="00B94CEC">
      <w:pPr>
        <w:pStyle w:val="NoSpacing"/>
        <w:rPr>
          <w:b/>
          <w:sz w:val="28"/>
        </w:rPr>
      </w:pPr>
    </w:p>
    <w:p w14:paraId="5145501B" w14:textId="77777777" w:rsidR="006E2BF3" w:rsidRDefault="007C04FD" w:rsidP="007C04FD">
      <w:pPr>
        <w:pStyle w:val="NoSpacing"/>
        <w:tabs>
          <w:tab w:val="left" w:pos="3480"/>
        </w:tabs>
        <w:rPr>
          <w:b/>
          <w:sz w:val="28"/>
        </w:rPr>
      </w:pPr>
      <w:r>
        <w:rPr>
          <w:b/>
          <w:sz w:val="28"/>
        </w:rPr>
        <w:tab/>
      </w:r>
    </w:p>
    <w:p w14:paraId="6B1F042E" w14:textId="77777777" w:rsidR="006E2BF3" w:rsidRDefault="006E2BF3" w:rsidP="00B94CEC">
      <w:pPr>
        <w:pStyle w:val="NoSpacing"/>
        <w:rPr>
          <w:b/>
          <w:sz w:val="28"/>
        </w:rPr>
      </w:pPr>
    </w:p>
    <w:p w14:paraId="1FF059E4" w14:textId="77777777" w:rsidR="006E2BF3" w:rsidRDefault="006E2BF3" w:rsidP="00B94CEC">
      <w:pPr>
        <w:pStyle w:val="NoSpacing"/>
        <w:rPr>
          <w:b/>
          <w:sz w:val="28"/>
        </w:rPr>
      </w:pPr>
    </w:p>
    <w:p w14:paraId="62B538FF" w14:textId="77777777" w:rsidR="007C04FD" w:rsidRDefault="007C04FD" w:rsidP="00B94CEC">
      <w:pPr>
        <w:pStyle w:val="NoSpacing"/>
        <w:rPr>
          <w:b/>
          <w:sz w:val="28"/>
        </w:rPr>
      </w:pPr>
    </w:p>
    <w:p w14:paraId="5D587F2D" w14:textId="77777777" w:rsidR="007C04FD" w:rsidRDefault="007C04FD" w:rsidP="00B94CEC">
      <w:pPr>
        <w:pStyle w:val="NoSpacing"/>
        <w:rPr>
          <w:b/>
          <w:sz w:val="28"/>
        </w:rPr>
      </w:pPr>
    </w:p>
    <w:p w14:paraId="2713DACF" w14:textId="77777777" w:rsidR="006E2BF3" w:rsidRDefault="006E2BF3" w:rsidP="00B94CEC">
      <w:pPr>
        <w:pStyle w:val="NoSpacing"/>
        <w:rPr>
          <w:b/>
          <w:sz w:val="28"/>
        </w:rPr>
      </w:pPr>
    </w:p>
    <w:p w14:paraId="3FBDFB89" w14:textId="77777777" w:rsidR="006E2BF3" w:rsidRDefault="00507062" w:rsidP="00507062">
      <w:pPr>
        <w:pStyle w:val="NoSpacing"/>
        <w:tabs>
          <w:tab w:val="left" w:pos="6900"/>
        </w:tabs>
        <w:rPr>
          <w:b/>
          <w:sz w:val="28"/>
        </w:rPr>
      </w:pPr>
      <w:r>
        <w:rPr>
          <w:b/>
          <w:sz w:val="28"/>
        </w:rPr>
        <w:tab/>
      </w:r>
    </w:p>
    <w:sdt>
      <w:sdtPr>
        <w:rPr>
          <w:sz w:val="56"/>
          <w:szCs w:val="56"/>
        </w:rPr>
        <w:alias w:val="Title"/>
        <w:tag w:val=""/>
        <w:id w:val="1358775511"/>
        <w:placeholder>
          <w:docPart w:val="DF286177BFDF40D09DE5793AD82DC161"/>
        </w:placeholder>
        <w:dataBinding w:prefixMappings="xmlns:ns0='http://purl.org/dc/elements/1.1/' xmlns:ns1='http://schemas.openxmlformats.org/package/2006/metadata/core-properties' " w:xpath="/ns1:coreProperties[1]/ns0:title[1]" w:storeItemID="{6C3C8BC8-F283-45AE-878A-BAB7291924A1}"/>
        <w:text/>
      </w:sdtPr>
      <w:sdtContent>
        <w:p w14:paraId="7C29991A" w14:textId="56C2CDD4" w:rsidR="005F7953" w:rsidRPr="00076F28" w:rsidRDefault="009444B1" w:rsidP="00076F28">
          <w:pPr>
            <w:pStyle w:val="Title"/>
            <w:rPr>
              <w:sz w:val="56"/>
              <w:szCs w:val="56"/>
            </w:rPr>
          </w:pPr>
          <w:r w:rsidRPr="009444B1">
            <w:rPr>
              <w:sz w:val="56"/>
              <w:szCs w:val="56"/>
            </w:rPr>
            <w:t>Drag Finishing-Financial Report</w:t>
          </w:r>
        </w:p>
      </w:sdtContent>
    </w:sdt>
    <w:p w14:paraId="62E376C0" w14:textId="77777777" w:rsidR="006E2BF3" w:rsidRDefault="006E2BF3" w:rsidP="00B94CEC">
      <w:pPr>
        <w:pStyle w:val="NoSpacing"/>
        <w:rPr>
          <w:b/>
          <w:sz w:val="28"/>
        </w:rPr>
      </w:pPr>
    </w:p>
    <w:p w14:paraId="4B4F8AC7" w14:textId="77777777" w:rsidR="006E2BF3" w:rsidRDefault="006E2BF3" w:rsidP="00B94CEC">
      <w:pPr>
        <w:pStyle w:val="NoSpacing"/>
        <w:rPr>
          <w:b/>
          <w:sz w:val="28"/>
        </w:rPr>
      </w:pPr>
    </w:p>
    <w:p w14:paraId="247DF656" w14:textId="77777777" w:rsidR="007C04FD" w:rsidRDefault="007C04FD" w:rsidP="00B94CEC">
      <w:pPr>
        <w:pStyle w:val="NoSpacing"/>
        <w:rPr>
          <w:b/>
          <w:sz w:val="28"/>
        </w:rPr>
      </w:pPr>
    </w:p>
    <w:p w14:paraId="0F6004AE" w14:textId="77777777" w:rsidR="007C04FD" w:rsidRDefault="007C04FD" w:rsidP="00B94CEC">
      <w:pPr>
        <w:pStyle w:val="NoSpacing"/>
        <w:rPr>
          <w:b/>
          <w:sz w:val="28"/>
        </w:rPr>
      </w:pPr>
    </w:p>
    <w:p w14:paraId="71A04CF7" w14:textId="77777777" w:rsidR="007C04FD" w:rsidRDefault="007C04FD" w:rsidP="00B94CEC">
      <w:pPr>
        <w:pStyle w:val="NoSpacing"/>
        <w:rPr>
          <w:b/>
          <w:sz w:val="28"/>
        </w:rPr>
      </w:pPr>
    </w:p>
    <w:p w14:paraId="2DB5A40E" w14:textId="77777777" w:rsidR="007C04FD" w:rsidRDefault="007C04FD" w:rsidP="00B94CEC">
      <w:pPr>
        <w:pStyle w:val="NoSpacing"/>
        <w:rPr>
          <w:b/>
          <w:sz w:val="28"/>
        </w:rPr>
      </w:pPr>
    </w:p>
    <w:p w14:paraId="7FFA1240" w14:textId="77777777" w:rsidR="007C04FD" w:rsidRDefault="007C04FD" w:rsidP="00B94CEC">
      <w:pPr>
        <w:pStyle w:val="NoSpacing"/>
        <w:rPr>
          <w:b/>
          <w:sz w:val="28"/>
        </w:rPr>
      </w:pPr>
    </w:p>
    <w:p w14:paraId="379B2234" w14:textId="77777777" w:rsidR="007C04FD" w:rsidRDefault="007C04FD" w:rsidP="00B94CEC">
      <w:pPr>
        <w:pStyle w:val="NoSpacing"/>
        <w:rPr>
          <w:b/>
          <w:sz w:val="28"/>
        </w:rPr>
      </w:pPr>
    </w:p>
    <w:p w14:paraId="557BEF98" w14:textId="63E9437E" w:rsidR="007C04FD" w:rsidRDefault="007C04FD" w:rsidP="00B94CEC">
      <w:pPr>
        <w:pStyle w:val="NoSpacing"/>
        <w:rPr>
          <w:b/>
          <w:sz w:val="28"/>
        </w:rPr>
      </w:pPr>
    </w:p>
    <w:p w14:paraId="06CF2952" w14:textId="5470DB85" w:rsidR="001B3E39" w:rsidRDefault="001B3E39" w:rsidP="00B94CEC">
      <w:pPr>
        <w:pStyle w:val="NoSpacing"/>
        <w:rPr>
          <w:b/>
          <w:sz w:val="28"/>
        </w:rPr>
      </w:pPr>
    </w:p>
    <w:p w14:paraId="08A26805" w14:textId="597D2E1B" w:rsidR="001B3E39" w:rsidRDefault="001B3E39" w:rsidP="00B94CEC">
      <w:pPr>
        <w:pStyle w:val="NoSpacing"/>
        <w:rPr>
          <w:b/>
          <w:sz w:val="28"/>
        </w:rPr>
      </w:pPr>
    </w:p>
    <w:p w14:paraId="325E94AE" w14:textId="717AAD00" w:rsidR="001B3E39" w:rsidRDefault="001B3E39" w:rsidP="00B94CEC">
      <w:pPr>
        <w:pStyle w:val="NoSpacing"/>
        <w:rPr>
          <w:b/>
          <w:sz w:val="28"/>
        </w:rPr>
      </w:pPr>
    </w:p>
    <w:p w14:paraId="3F82EDE8" w14:textId="77777777" w:rsidR="001B3E39" w:rsidRDefault="001B3E39" w:rsidP="00B94CEC">
      <w:pPr>
        <w:pStyle w:val="NoSpacing"/>
        <w:rPr>
          <w:b/>
          <w:sz w:val="28"/>
        </w:rPr>
      </w:pPr>
    </w:p>
    <w:p w14:paraId="0EA377BC" w14:textId="77777777" w:rsidR="007C04FD" w:rsidRDefault="007C04FD" w:rsidP="00B94CEC">
      <w:pPr>
        <w:pStyle w:val="NoSpacing"/>
        <w:rPr>
          <w:b/>
          <w:sz w:val="28"/>
        </w:rPr>
      </w:pPr>
    </w:p>
    <w:p w14:paraId="14570BC2" w14:textId="6A6AC553" w:rsidR="00E37EF2" w:rsidRDefault="00E37EF2" w:rsidP="00B94CEC">
      <w:pPr>
        <w:pStyle w:val="NoSpacing"/>
        <w:rPr>
          <w:b/>
          <w:sz w:val="28"/>
        </w:rPr>
      </w:pPr>
    </w:p>
    <w:p w14:paraId="1D20F5AB" w14:textId="147D65E9" w:rsidR="00E37EF2" w:rsidRDefault="00E37EF2" w:rsidP="00B94CEC">
      <w:pPr>
        <w:pStyle w:val="NoSpacing"/>
        <w:rPr>
          <w:b/>
          <w:sz w:val="28"/>
        </w:rPr>
      </w:pPr>
    </w:p>
    <w:p w14:paraId="29BB4562" w14:textId="77777777" w:rsidR="00E37EF2" w:rsidRDefault="00E37EF2" w:rsidP="00B94CEC">
      <w:pPr>
        <w:pStyle w:val="NoSpacing"/>
        <w:rPr>
          <w:b/>
          <w:sz w:val="28"/>
        </w:rPr>
      </w:pPr>
    </w:p>
    <w:p w14:paraId="25DFB27D" w14:textId="77777777" w:rsidR="00DF7288" w:rsidRDefault="00DF7288" w:rsidP="00B94CEC">
      <w:pPr>
        <w:pStyle w:val="NoSpacing"/>
        <w:rPr>
          <w:b/>
          <w:sz w:val="28"/>
        </w:rPr>
      </w:pPr>
    </w:p>
    <w:p w14:paraId="6825247D" w14:textId="77777777" w:rsidR="00770B54" w:rsidRDefault="00770B54" w:rsidP="00B94CEC">
      <w:pPr>
        <w:pStyle w:val="NoSpacing"/>
        <w:rPr>
          <w:b/>
          <w:sz w:val="28"/>
        </w:rPr>
      </w:pPr>
    </w:p>
    <w:p w14:paraId="36D47B19" w14:textId="77777777" w:rsidR="00770B54" w:rsidRDefault="00770B54" w:rsidP="00B94CEC">
      <w:pPr>
        <w:pStyle w:val="NoSpacing"/>
        <w:rPr>
          <w:b/>
          <w:sz w:val="28"/>
        </w:rPr>
      </w:pPr>
    </w:p>
    <w:p w14:paraId="161D8969" w14:textId="77777777" w:rsidR="00770B54" w:rsidRDefault="00770B54" w:rsidP="00B94CEC">
      <w:pPr>
        <w:pStyle w:val="NoSpacing"/>
        <w:rPr>
          <w:b/>
          <w:sz w:val="28"/>
        </w:rPr>
      </w:pPr>
    </w:p>
    <w:p w14:paraId="11DDABB1" w14:textId="77777777" w:rsidR="00770B54" w:rsidRDefault="00770B54" w:rsidP="00B94CEC">
      <w:pPr>
        <w:pStyle w:val="NoSpacing"/>
        <w:rPr>
          <w:b/>
          <w:sz w:val="28"/>
        </w:rPr>
      </w:pPr>
    </w:p>
    <w:p w14:paraId="0FC88958" w14:textId="77777777" w:rsidR="00770B54" w:rsidRDefault="00770B54" w:rsidP="00B94CEC">
      <w:pPr>
        <w:pStyle w:val="NoSpacing"/>
        <w:rPr>
          <w:b/>
          <w:sz w:val="28"/>
        </w:rPr>
      </w:pPr>
    </w:p>
    <w:p w14:paraId="76CC9A56" w14:textId="77777777" w:rsidR="00770B54" w:rsidRDefault="00770B54" w:rsidP="00B94CEC">
      <w:pPr>
        <w:pStyle w:val="NoSpacing"/>
        <w:rPr>
          <w:b/>
          <w:sz w:val="28"/>
        </w:rPr>
      </w:pPr>
    </w:p>
    <w:p w14:paraId="0718165F" w14:textId="77777777" w:rsidR="00770B54" w:rsidRDefault="00770B54" w:rsidP="00B94CEC">
      <w:pPr>
        <w:pStyle w:val="NoSpacing"/>
        <w:rPr>
          <w:b/>
          <w:sz w:val="28"/>
        </w:rPr>
      </w:pPr>
    </w:p>
    <w:p w14:paraId="392C629B" w14:textId="77777777" w:rsidR="00770B54" w:rsidRDefault="00770B54" w:rsidP="00B94CEC">
      <w:pPr>
        <w:pStyle w:val="NoSpacing"/>
        <w:rPr>
          <w:b/>
          <w:sz w:val="28"/>
        </w:rPr>
      </w:pPr>
    </w:p>
    <w:p w14:paraId="18AC15BB" w14:textId="77777777" w:rsidR="00770B54" w:rsidRDefault="00770B54" w:rsidP="00B94CEC">
      <w:pPr>
        <w:pStyle w:val="NoSpacing"/>
        <w:rPr>
          <w:b/>
          <w:sz w:val="28"/>
        </w:rPr>
      </w:pPr>
    </w:p>
    <w:p w14:paraId="19434819" w14:textId="77777777" w:rsidR="00770B54" w:rsidRDefault="00770B54" w:rsidP="00B94CEC">
      <w:pPr>
        <w:pStyle w:val="NoSpacing"/>
        <w:rPr>
          <w:b/>
          <w:sz w:val="28"/>
        </w:rPr>
      </w:pPr>
    </w:p>
    <w:p w14:paraId="1A39FAAD" w14:textId="77777777" w:rsidR="00770B54" w:rsidRDefault="00770B54" w:rsidP="00B94CEC">
      <w:pPr>
        <w:pStyle w:val="NoSpacing"/>
        <w:rPr>
          <w:b/>
          <w:sz w:val="28"/>
        </w:rPr>
      </w:pPr>
    </w:p>
    <w:p w14:paraId="21E40A34" w14:textId="77777777" w:rsidR="00770B54" w:rsidRDefault="00770B54" w:rsidP="00B94CEC">
      <w:pPr>
        <w:pStyle w:val="NoSpacing"/>
        <w:rPr>
          <w:b/>
          <w:sz w:val="28"/>
        </w:rPr>
      </w:pPr>
    </w:p>
    <w:p w14:paraId="4DF5BD12" w14:textId="3D5285CE" w:rsidR="00B94CEC" w:rsidRDefault="00B94CEC" w:rsidP="00B94CEC">
      <w:pPr>
        <w:pStyle w:val="NoSpacing"/>
        <w:rPr>
          <w:b/>
          <w:sz w:val="28"/>
        </w:rPr>
      </w:pPr>
      <w:r>
        <w:rPr>
          <w:b/>
          <w:sz w:val="28"/>
        </w:rPr>
        <w:t>Contents</w:t>
      </w:r>
    </w:p>
    <w:p w14:paraId="676348D2" w14:textId="77777777" w:rsidR="00B94CEC" w:rsidRDefault="00B94CEC" w:rsidP="00B94CEC">
      <w:pPr>
        <w:pStyle w:val="NoSpacing"/>
      </w:pPr>
    </w:p>
    <w:p w14:paraId="0E99173B" w14:textId="132081CA" w:rsidR="00910F94" w:rsidRDefault="00B94CEC">
      <w:pPr>
        <w:pStyle w:val="TOC1"/>
        <w:tabs>
          <w:tab w:val="left" w:pos="480"/>
          <w:tab w:val="right" w:leader="dot" w:pos="9016"/>
        </w:tabs>
        <w:rPr>
          <w:rFonts w:eastAsiaTheme="minorEastAsia" w:cstheme="minorBidi"/>
          <w:b w:val="0"/>
          <w:bCs w:val="0"/>
          <w:caps w:val="0"/>
          <w:noProof/>
          <w:sz w:val="22"/>
          <w:szCs w:val="22"/>
          <w:lang w:eastAsia="en-GB"/>
        </w:rPr>
      </w:pPr>
      <w:r>
        <w:fldChar w:fldCharType="begin"/>
      </w:r>
      <w:r>
        <w:instrText xml:space="preserve"> TOC \o "1-3" \h \z \u </w:instrText>
      </w:r>
      <w:r>
        <w:fldChar w:fldCharType="separate"/>
      </w:r>
      <w:hyperlink w:anchor="_Toc115644702" w:history="1">
        <w:r w:rsidR="00910F94" w:rsidRPr="000F6162">
          <w:rPr>
            <w:rStyle w:val="Hyperlink"/>
            <w:rFonts w:cstheme="minorHAnsi"/>
            <w:noProof/>
          </w:rPr>
          <w:t>1.</w:t>
        </w:r>
        <w:r w:rsidR="00910F94">
          <w:rPr>
            <w:rFonts w:eastAsiaTheme="minorEastAsia" w:cstheme="minorBidi"/>
            <w:b w:val="0"/>
            <w:bCs w:val="0"/>
            <w:caps w:val="0"/>
            <w:noProof/>
            <w:sz w:val="22"/>
            <w:szCs w:val="22"/>
            <w:lang w:eastAsia="en-GB"/>
          </w:rPr>
          <w:tab/>
        </w:r>
        <w:r w:rsidR="00910F94" w:rsidRPr="000F6162">
          <w:rPr>
            <w:rStyle w:val="Hyperlink"/>
            <w:rFonts w:cstheme="minorHAnsi"/>
            <w:noProof/>
          </w:rPr>
          <w:t>Situation Update</w:t>
        </w:r>
        <w:r w:rsidR="00910F94">
          <w:rPr>
            <w:noProof/>
            <w:webHidden/>
          </w:rPr>
          <w:tab/>
        </w:r>
        <w:r w:rsidR="00910F94">
          <w:rPr>
            <w:noProof/>
            <w:webHidden/>
          </w:rPr>
          <w:fldChar w:fldCharType="begin"/>
        </w:r>
        <w:r w:rsidR="00910F94">
          <w:rPr>
            <w:noProof/>
            <w:webHidden/>
          </w:rPr>
          <w:instrText xml:space="preserve"> PAGEREF _Toc115644702 \h </w:instrText>
        </w:r>
        <w:r w:rsidR="00910F94">
          <w:rPr>
            <w:noProof/>
            <w:webHidden/>
          </w:rPr>
        </w:r>
        <w:r w:rsidR="00910F94">
          <w:rPr>
            <w:noProof/>
            <w:webHidden/>
          </w:rPr>
          <w:fldChar w:fldCharType="separate"/>
        </w:r>
        <w:r w:rsidR="00910F94">
          <w:rPr>
            <w:noProof/>
            <w:webHidden/>
          </w:rPr>
          <w:t>3</w:t>
        </w:r>
        <w:r w:rsidR="00910F94">
          <w:rPr>
            <w:noProof/>
            <w:webHidden/>
          </w:rPr>
          <w:fldChar w:fldCharType="end"/>
        </w:r>
      </w:hyperlink>
    </w:p>
    <w:p w14:paraId="221CDEDE" w14:textId="2654025C" w:rsidR="00910F94" w:rsidRDefault="00910F94">
      <w:pPr>
        <w:pStyle w:val="TOC1"/>
        <w:tabs>
          <w:tab w:val="left" w:pos="480"/>
          <w:tab w:val="right" w:leader="dot" w:pos="9016"/>
        </w:tabs>
        <w:rPr>
          <w:rFonts w:eastAsiaTheme="minorEastAsia" w:cstheme="minorBidi"/>
          <w:b w:val="0"/>
          <w:bCs w:val="0"/>
          <w:caps w:val="0"/>
          <w:noProof/>
          <w:sz w:val="22"/>
          <w:szCs w:val="22"/>
          <w:lang w:eastAsia="en-GB"/>
        </w:rPr>
      </w:pPr>
      <w:hyperlink w:anchor="_Toc115644703" w:history="1">
        <w:r w:rsidRPr="000F6162">
          <w:rPr>
            <w:rStyle w:val="Hyperlink"/>
            <w:rFonts w:cstheme="minorHAnsi"/>
            <w:noProof/>
          </w:rPr>
          <w:t>2.</w:t>
        </w:r>
        <w:r>
          <w:rPr>
            <w:rFonts w:eastAsiaTheme="minorEastAsia" w:cstheme="minorBidi"/>
            <w:b w:val="0"/>
            <w:bCs w:val="0"/>
            <w:caps w:val="0"/>
            <w:noProof/>
            <w:sz w:val="22"/>
            <w:szCs w:val="22"/>
            <w:lang w:eastAsia="en-GB"/>
          </w:rPr>
          <w:tab/>
        </w:r>
        <w:r w:rsidRPr="000F6162">
          <w:rPr>
            <w:rStyle w:val="Hyperlink"/>
            <w:rFonts w:cstheme="minorHAnsi"/>
            <w:noProof/>
          </w:rPr>
          <w:t>Proposal</w:t>
        </w:r>
        <w:r>
          <w:rPr>
            <w:noProof/>
            <w:webHidden/>
          </w:rPr>
          <w:tab/>
        </w:r>
        <w:r>
          <w:rPr>
            <w:noProof/>
            <w:webHidden/>
          </w:rPr>
          <w:fldChar w:fldCharType="begin"/>
        </w:r>
        <w:r>
          <w:rPr>
            <w:noProof/>
            <w:webHidden/>
          </w:rPr>
          <w:instrText xml:space="preserve"> PAGEREF _Toc115644703 \h </w:instrText>
        </w:r>
        <w:r>
          <w:rPr>
            <w:noProof/>
            <w:webHidden/>
          </w:rPr>
        </w:r>
        <w:r>
          <w:rPr>
            <w:noProof/>
            <w:webHidden/>
          </w:rPr>
          <w:fldChar w:fldCharType="separate"/>
        </w:r>
        <w:r>
          <w:rPr>
            <w:noProof/>
            <w:webHidden/>
          </w:rPr>
          <w:t>3</w:t>
        </w:r>
        <w:r>
          <w:rPr>
            <w:noProof/>
            <w:webHidden/>
          </w:rPr>
          <w:fldChar w:fldCharType="end"/>
        </w:r>
      </w:hyperlink>
    </w:p>
    <w:p w14:paraId="489EB979" w14:textId="0F96E838" w:rsidR="00910F94" w:rsidRDefault="00910F94">
      <w:pPr>
        <w:pStyle w:val="TOC1"/>
        <w:tabs>
          <w:tab w:val="left" w:pos="480"/>
          <w:tab w:val="right" w:leader="dot" w:pos="9016"/>
        </w:tabs>
        <w:rPr>
          <w:rFonts w:eastAsiaTheme="minorEastAsia" w:cstheme="minorBidi"/>
          <w:b w:val="0"/>
          <w:bCs w:val="0"/>
          <w:caps w:val="0"/>
          <w:noProof/>
          <w:sz w:val="22"/>
          <w:szCs w:val="22"/>
          <w:lang w:eastAsia="en-GB"/>
        </w:rPr>
      </w:pPr>
      <w:hyperlink w:anchor="_Toc115644704" w:history="1">
        <w:r w:rsidRPr="000F6162">
          <w:rPr>
            <w:rStyle w:val="Hyperlink"/>
            <w:rFonts w:cstheme="minorHAnsi"/>
            <w:noProof/>
          </w:rPr>
          <w:t>3.</w:t>
        </w:r>
        <w:r>
          <w:rPr>
            <w:rFonts w:eastAsiaTheme="minorEastAsia" w:cstheme="minorBidi"/>
            <w:b w:val="0"/>
            <w:bCs w:val="0"/>
            <w:caps w:val="0"/>
            <w:noProof/>
            <w:sz w:val="22"/>
            <w:szCs w:val="22"/>
            <w:lang w:eastAsia="en-GB"/>
          </w:rPr>
          <w:tab/>
        </w:r>
        <w:r w:rsidRPr="000F6162">
          <w:rPr>
            <w:rStyle w:val="Hyperlink"/>
            <w:rFonts w:cstheme="minorHAnsi"/>
            <w:noProof/>
          </w:rPr>
          <w:t>Cost Analysis</w:t>
        </w:r>
        <w:r>
          <w:rPr>
            <w:noProof/>
            <w:webHidden/>
          </w:rPr>
          <w:tab/>
        </w:r>
        <w:r>
          <w:rPr>
            <w:noProof/>
            <w:webHidden/>
          </w:rPr>
          <w:fldChar w:fldCharType="begin"/>
        </w:r>
        <w:r>
          <w:rPr>
            <w:noProof/>
            <w:webHidden/>
          </w:rPr>
          <w:instrText xml:space="preserve"> PAGEREF _Toc115644704 \h </w:instrText>
        </w:r>
        <w:r>
          <w:rPr>
            <w:noProof/>
            <w:webHidden/>
          </w:rPr>
        </w:r>
        <w:r>
          <w:rPr>
            <w:noProof/>
            <w:webHidden/>
          </w:rPr>
          <w:fldChar w:fldCharType="separate"/>
        </w:r>
        <w:r>
          <w:rPr>
            <w:noProof/>
            <w:webHidden/>
          </w:rPr>
          <w:t>4</w:t>
        </w:r>
        <w:r>
          <w:rPr>
            <w:noProof/>
            <w:webHidden/>
          </w:rPr>
          <w:fldChar w:fldCharType="end"/>
        </w:r>
      </w:hyperlink>
    </w:p>
    <w:p w14:paraId="0C3E3419" w14:textId="7020E7B9" w:rsidR="00910F94" w:rsidRDefault="00910F94">
      <w:pPr>
        <w:pStyle w:val="TOC1"/>
        <w:tabs>
          <w:tab w:val="left" w:pos="480"/>
          <w:tab w:val="right" w:leader="dot" w:pos="9016"/>
        </w:tabs>
        <w:rPr>
          <w:rFonts w:eastAsiaTheme="minorEastAsia" w:cstheme="minorBidi"/>
          <w:b w:val="0"/>
          <w:bCs w:val="0"/>
          <w:caps w:val="0"/>
          <w:noProof/>
          <w:sz w:val="22"/>
          <w:szCs w:val="22"/>
          <w:lang w:eastAsia="en-GB"/>
        </w:rPr>
      </w:pPr>
      <w:hyperlink w:anchor="_Toc115644705" w:history="1">
        <w:r w:rsidRPr="000F6162">
          <w:rPr>
            <w:rStyle w:val="Hyperlink"/>
            <w:rFonts w:cstheme="minorHAnsi"/>
            <w:noProof/>
          </w:rPr>
          <w:t>4.</w:t>
        </w:r>
        <w:r>
          <w:rPr>
            <w:rFonts w:eastAsiaTheme="minorEastAsia" w:cstheme="minorBidi"/>
            <w:b w:val="0"/>
            <w:bCs w:val="0"/>
            <w:caps w:val="0"/>
            <w:noProof/>
            <w:sz w:val="22"/>
            <w:szCs w:val="22"/>
            <w:lang w:eastAsia="en-GB"/>
          </w:rPr>
          <w:tab/>
        </w:r>
        <w:r w:rsidRPr="000F6162">
          <w:rPr>
            <w:rStyle w:val="Hyperlink"/>
            <w:rFonts w:cstheme="minorHAnsi"/>
            <w:noProof/>
          </w:rPr>
          <w:t>Results</w:t>
        </w:r>
        <w:r>
          <w:rPr>
            <w:noProof/>
            <w:webHidden/>
          </w:rPr>
          <w:tab/>
        </w:r>
        <w:r>
          <w:rPr>
            <w:noProof/>
            <w:webHidden/>
          </w:rPr>
          <w:fldChar w:fldCharType="begin"/>
        </w:r>
        <w:r>
          <w:rPr>
            <w:noProof/>
            <w:webHidden/>
          </w:rPr>
          <w:instrText xml:space="preserve"> PAGEREF _Toc115644705 \h </w:instrText>
        </w:r>
        <w:r>
          <w:rPr>
            <w:noProof/>
            <w:webHidden/>
          </w:rPr>
        </w:r>
        <w:r>
          <w:rPr>
            <w:noProof/>
            <w:webHidden/>
          </w:rPr>
          <w:fldChar w:fldCharType="separate"/>
        </w:r>
        <w:r>
          <w:rPr>
            <w:noProof/>
            <w:webHidden/>
          </w:rPr>
          <w:t>5</w:t>
        </w:r>
        <w:r>
          <w:rPr>
            <w:noProof/>
            <w:webHidden/>
          </w:rPr>
          <w:fldChar w:fldCharType="end"/>
        </w:r>
      </w:hyperlink>
    </w:p>
    <w:p w14:paraId="49614E17" w14:textId="66E2DA74" w:rsidR="00910F94" w:rsidRDefault="00910F94">
      <w:pPr>
        <w:pStyle w:val="TOC1"/>
        <w:tabs>
          <w:tab w:val="left" w:pos="480"/>
          <w:tab w:val="right" w:leader="dot" w:pos="9016"/>
        </w:tabs>
        <w:rPr>
          <w:rFonts w:eastAsiaTheme="minorEastAsia" w:cstheme="minorBidi"/>
          <w:b w:val="0"/>
          <w:bCs w:val="0"/>
          <w:caps w:val="0"/>
          <w:noProof/>
          <w:sz w:val="22"/>
          <w:szCs w:val="22"/>
          <w:lang w:eastAsia="en-GB"/>
        </w:rPr>
      </w:pPr>
      <w:hyperlink w:anchor="_Toc115644706" w:history="1">
        <w:r w:rsidRPr="000F6162">
          <w:rPr>
            <w:rStyle w:val="Hyperlink"/>
            <w:rFonts w:cstheme="minorHAnsi"/>
            <w:noProof/>
          </w:rPr>
          <w:t>5.</w:t>
        </w:r>
        <w:r>
          <w:rPr>
            <w:rFonts w:eastAsiaTheme="minorEastAsia" w:cstheme="minorBidi"/>
            <w:b w:val="0"/>
            <w:bCs w:val="0"/>
            <w:caps w:val="0"/>
            <w:noProof/>
            <w:sz w:val="22"/>
            <w:szCs w:val="22"/>
            <w:lang w:eastAsia="en-GB"/>
          </w:rPr>
          <w:tab/>
        </w:r>
        <w:r w:rsidRPr="000F6162">
          <w:rPr>
            <w:rStyle w:val="Hyperlink"/>
            <w:rFonts w:cstheme="minorHAnsi"/>
            <w:noProof/>
          </w:rPr>
          <w:t>References</w:t>
        </w:r>
        <w:r>
          <w:rPr>
            <w:noProof/>
            <w:webHidden/>
          </w:rPr>
          <w:tab/>
        </w:r>
        <w:r>
          <w:rPr>
            <w:noProof/>
            <w:webHidden/>
          </w:rPr>
          <w:fldChar w:fldCharType="begin"/>
        </w:r>
        <w:r>
          <w:rPr>
            <w:noProof/>
            <w:webHidden/>
          </w:rPr>
          <w:instrText xml:space="preserve"> PAGEREF _Toc115644706 \h </w:instrText>
        </w:r>
        <w:r>
          <w:rPr>
            <w:noProof/>
            <w:webHidden/>
          </w:rPr>
        </w:r>
        <w:r>
          <w:rPr>
            <w:noProof/>
            <w:webHidden/>
          </w:rPr>
          <w:fldChar w:fldCharType="separate"/>
        </w:r>
        <w:r>
          <w:rPr>
            <w:noProof/>
            <w:webHidden/>
          </w:rPr>
          <w:t>6</w:t>
        </w:r>
        <w:r>
          <w:rPr>
            <w:noProof/>
            <w:webHidden/>
          </w:rPr>
          <w:fldChar w:fldCharType="end"/>
        </w:r>
      </w:hyperlink>
    </w:p>
    <w:p w14:paraId="34FDAC3C" w14:textId="14960DE3" w:rsidR="00910F94" w:rsidRDefault="00910F94">
      <w:pPr>
        <w:pStyle w:val="TOC1"/>
        <w:tabs>
          <w:tab w:val="left" w:pos="480"/>
          <w:tab w:val="right" w:leader="dot" w:pos="9016"/>
        </w:tabs>
        <w:rPr>
          <w:rFonts w:eastAsiaTheme="minorEastAsia" w:cstheme="minorBidi"/>
          <w:b w:val="0"/>
          <w:bCs w:val="0"/>
          <w:caps w:val="0"/>
          <w:noProof/>
          <w:sz w:val="22"/>
          <w:szCs w:val="22"/>
          <w:lang w:eastAsia="en-GB"/>
        </w:rPr>
      </w:pPr>
      <w:hyperlink w:anchor="_Toc115644707" w:history="1">
        <w:r w:rsidRPr="000F6162">
          <w:rPr>
            <w:rStyle w:val="Hyperlink"/>
            <w:rFonts w:cstheme="minorHAnsi"/>
            <w:noProof/>
          </w:rPr>
          <w:t>6.</w:t>
        </w:r>
        <w:r>
          <w:rPr>
            <w:rFonts w:eastAsiaTheme="minorEastAsia" w:cstheme="minorBidi"/>
            <w:b w:val="0"/>
            <w:bCs w:val="0"/>
            <w:caps w:val="0"/>
            <w:noProof/>
            <w:sz w:val="22"/>
            <w:szCs w:val="22"/>
            <w:lang w:eastAsia="en-GB"/>
          </w:rPr>
          <w:tab/>
        </w:r>
        <w:r w:rsidRPr="000F6162">
          <w:rPr>
            <w:rStyle w:val="Hyperlink"/>
            <w:rFonts w:cstheme="minorHAnsi"/>
            <w:noProof/>
          </w:rPr>
          <w:t>Appendix A-Tibial Demand Profiles</w:t>
        </w:r>
        <w:r>
          <w:rPr>
            <w:noProof/>
            <w:webHidden/>
          </w:rPr>
          <w:tab/>
        </w:r>
        <w:r>
          <w:rPr>
            <w:noProof/>
            <w:webHidden/>
          </w:rPr>
          <w:fldChar w:fldCharType="begin"/>
        </w:r>
        <w:r>
          <w:rPr>
            <w:noProof/>
            <w:webHidden/>
          </w:rPr>
          <w:instrText xml:space="preserve"> PAGEREF _Toc115644707 \h </w:instrText>
        </w:r>
        <w:r>
          <w:rPr>
            <w:noProof/>
            <w:webHidden/>
          </w:rPr>
        </w:r>
        <w:r>
          <w:rPr>
            <w:noProof/>
            <w:webHidden/>
          </w:rPr>
          <w:fldChar w:fldCharType="separate"/>
        </w:r>
        <w:r>
          <w:rPr>
            <w:noProof/>
            <w:webHidden/>
          </w:rPr>
          <w:t>7</w:t>
        </w:r>
        <w:r>
          <w:rPr>
            <w:noProof/>
            <w:webHidden/>
          </w:rPr>
          <w:fldChar w:fldCharType="end"/>
        </w:r>
      </w:hyperlink>
    </w:p>
    <w:p w14:paraId="02C55883" w14:textId="64BCEA80" w:rsidR="00910F94" w:rsidRDefault="00910F94">
      <w:pPr>
        <w:pStyle w:val="TOC1"/>
        <w:tabs>
          <w:tab w:val="left" w:pos="480"/>
          <w:tab w:val="right" w:leader="dot" w:pos="9016"/>
        </w:tabs>
        <w:rPr>
          <w:rFonts w:eastAsiaTheme="minorEastAsia" w:cstheme="minorBidi"/>
          <w:b w:val="0"/>
          <w:bCs w:val="0"/>
          <w:caps w:val="0"/>
          <w:noProof/>
          <w:sz w:val="22"/>
          <w:szCs w:val="22"/>
          <w:lang w:eastAsia="en-GB"/>
        </w:rPr>
      </w:pPr>
      <w:hyperlink w:anchor="_Toc115644708" w:history="1">
        <w:r w:rsidRPr="000F6162">
          <w:rPr>
            <w:rStyle w:val="Hyperlink"/>
            <w:rFonts w:cstheme="minorHAnsi"/>
            <w:noProof/>
          </w:rPr>
          <w:t>7.</w:t>
        </w:r>
        <w:r>
          <w:rPr>
            <w:rFonts w:eastAsiaTheme="minorEastAsia" w:cstheme="minorBidi"/>
            <w:b w:val="0"/>
            <w:bCs w:val="0"/>
            <w:caps w:val="0"/>
            <w:noProof/>
            <w:sz w:val="22"/>
            <w:szCs w:val="22"/>
            <w:lang w:eastAsia="en-GB"/>
          </w:rPr>
          <w:tab/>
        </w:r>
        <w:r w:rsidRPr="000F6162">
          <w:rPr>
            <w:rStyle w:val="Hyperlink"/>
            <w:rFonts w:cstheme="minorHAnsi"/>
            <w:noProof/>
          </w:rPr>
          <w:t>Appendix B-Required Manning Levels</w:t>
        </w:r>
        <w:r>
          <w:rPr>
            <w:noProof/>
            <w:webHidden/>
          </w:rPr>
          <w:tab/>
        </w:r>
        <w:r>
          <w:rPr>
            <w:noProof/>
            <w:webHidden/>
          </w:rPr>
          <w:fldChar w:fldCharType="begin"/>
        </w:r>
        <w:r>
          <w:rPr>
            <w:noProof/>
            <w:webHidden/>
          </w:rPr>
          <w:instrText xml:space="preserve"> PAGEREF _Toc115644708 \h </w:instrText>
        </w:r>
        <w:r>
          <w:rPr>
            <w:noProof/>
            <w:webHidden/>
          </w:rPr>
        </w:r>
        <w:r>
          <w:rPr>
            <w:noProof/>
            <w:webHidden/>
          </w:rPr>
          <w:fldChar w:fldCharType="separate"/>
        </w:r>
        <w:r>
          <w:rPr>
            <w:noProof/>
            <w:webHidden/>
          </w:rPr>
          <w:t>8</w:t>
        </w:r>
        <w:r>
          <w:rPr>
            <w:noProof/>
            <w:webHidden/>
          </w:rPr>
          <w:fldChar w:fldCharType="end"/>
        </w:r>
      </w:hyperlink>
    </w:p>
    <w:p w14:paraId="67E13D7A" w14:textId="0941E55F" w:rsidR="00910F94" w:rsidRDefault="00910F94">
      <w:pPr>
        <w:pStyle w:val="TOC1"/>
        <w:tabs>
          <w:tab w:val="left" w:pos="480"/>
          <w:tab w:val="right" w:leader="dot" w:pos="9016"/>
        </w:tabs>
        <w:rPr>
          <w:rFonts w:eastAsiaTheme="minorEastAsia" w:cstheme="minorBidi"/>
          <w:b w:val="0"/>
          <w:bCs w:val="0"/>
          <w:caps w:val="0"/>
          <w:noProof/>
          <w:sz w:val="22"/>
          <w:szCs w:val="22"/>
          <w:lang w:eastAsia="en-GB"/>
        </w:rPr>
      </w:pPr>
      <w:hyperlink w:anchor="_Toc115644709" w:history="1">
        <w:r w:rsidRPr="000F6162">
          <w:rPr>
            <w:rStyle w:val="Hyperlink"/>
            <w:rFonts w:cstheme="minorHAnsi"/>
            <w:noProof/>
          </w:rPr>
          <w:t>8.</w:t>
        </w:r>
        <w:r>
          <w:rPr>
            <w:rFonts w:eastAsiaTheme="minorEastAsia" w:cstheme="minorBidi"/>
            <w:b w:val="0"/>
            <w:bCs w:val="0"/>
            <w:caps w:val="0"/>
            <w:noProof/>
            <w:sz w:val="22"/>
            <w:szCs w:val="22"/>
            <w:lang w:eastAsia="en-GB"/>
          </w:rPr>
          <w:tab/>
        </w:r>
        <w:r w:rsidRPr="000F6162">
          <w:rPr>
            <w:rStyle w:val="Hyperlink"/>
            <w:rFonts w:cstheme="minorHAnsi"/>
            <w:noProof/>
          </w:rPr>
          <w:t>Appendix C-Financial Calculations</w:t>
        </w:r>
        <w:r>
          <w:rPr>
            <w:noProof/>
            <w:webHidden/>
          </w:rPr>
          <w:tab/>
        </w:r>
        <w:r>
          <w:rPr>
            <w:noProof/>
            <w:webHidden/>
          </w:rPr>
          <w:fldChar w:fldCharType="begin"/>
        </w:r>
        <w:r>
          <w:rPr>
            <w:noProof/>
            <w:webHidden/>
          </w:rPr>
          <w:instrText xml:space="preserve"> PAGEREF _Toc115644709 \h </w:instrText>
        </w:r>
        <w:r>
          <w:rPr>
            <w:noProof/>
            <w:webHidden/>
          </w:rPr>
        </w:r>
        <w:r>
          <w:rPr>
            <w:noProof/>
            <w:webHidden/>
          </w:rPr>
          <w:fldChar w:fldCharType="separate"/>
        </w:r>
        <w:r>
          <w:rPr>
            <w:noProof/>
            <w:webHidden/>
          </w:rPr>
          <w:t>9</w:t>
        </w:r>
        <w:r>
          <w:rPr>
            <w:noProof/>
            <w:webHidden/>
          </w:rPr>
          <w:fldChar w:fldCharType="end"/>
        </w:r>
      </w:hyperlink>
    </w:p>
    <w:p w14:paraId="470071C0" w14:textId="06C169CB" w:rsidR="00910F94" w:rsidRDefault="00910F94">
      <w:pPr>
        <w:pStyle w:val="TOC1"/>
        <w:tabs>
          <w:tab w:val="left" w:pos="480"/>
          <w:tab w:val="right" w:leader="dot" w:pos="9016"/>
        </w:tabs>
        <w:rPr>
          <w:rFonts w:eastAsiaTheme="minorEastAsia" w:cstheme="minorBidi"/>
          <w:b w:val="0"/>
          <w:bCs w:val="0"/>
          <w:caps w:val="0"/>
          <w:noProof/>
          <w:sz w:val="22"/>
          <w:szCs w:val="22"/>
          <w:lang w:eastAsia="en-GB"/>
        </w:rPr>
      </w:pPr>
      <w:hyperlink w:anchor="_Toc115644710" w:history="1">
        <w:r w:rsidRPr="000F6162">
          <w:rPr>
            <w:rStyle w:val="Hyperlink"/>
            <w:rFonts w:cstheme="minorHAnsi"/>
            <w:noProof/>
          </w:rPr>
          <w:t>9.</w:t>
        </w:r>
        <w:r>
          <w:rPr>
            <w:rFonts w:eastAsiaTheme="minorEastAsia" w:cstheme="minorBidi"/>
            <w:b w:val="0"/>
            <w:bCs w:val="0"/>
            <w:caps w:val="0"/>
            <w:noProof/>
            <w:sz w:val="22"/>
            <w:szCs w:val="22"/>
            <w:lang w:eastAsia="en-GB"/>
          </w:rPr>
          <w:tab/>
        </w:r>
        <w:r w:rsidRPr="000F6162">
          <w:rPr>
            <w:rStyle w:val="Hyperlink"/>
            <w:rFonts w:cstheme="minorHAnsi"/>
            <w:noProof/>
          </w:rPr>
          <w:t>Appendix D-Account Rate of Return</w:t>
        </w:r>
        <w:r>
          <w:rPr>
            <w:noProof/>
            <w:webHidden/>
          </w:rPr>
          <w:tab/>
        </w:r>
        <w:r>
          <w:rPr>
            <w:noProof/>
            <w:webHidden/>
          </w:rPr>
          <w:fldChar w:fldCharType="begin"/>
        </w:r>
        <w:r>
          <w:rPr>
            <w:noProof/>
            <w:webHidden/>
          </w:rPr>
          <w:instrText xml:space="preserve"> PAGEREF _Toc115644710 \h </w:instrText>
        </w:r>
        <w:r>
          <w:rPr>
            <w:noProof/>
            <w:webHidden/>
          </w:rPr>
        </w:r>
        <w:r>
          <w:rPr>
            <w:noProof/>
            <w:webHidden/>
          </w:rPr>
          <w:fldChar w:fldCharType="separate"/>
        </w:r>
        <w:r>
          <w:rPr>
            <w:noProof/>
            <w:webHidden/>
          </w:rPr>
          <w:t>10</w:t>
        </w:r>
        <w:r>
          <w:rPr>
            <w:noProof/>
            <w:webHidden/>
          </w:rPr>
          <w:fldChar w:fldCharType="end"/>
        </w:r>
      </w:hyperlink>
    </w:p>
    <w:p w14:paraId="7718A9F7" w14:textId="0A4DEFFD" w:rsidR="00910F94" w:rsidRDefault="00910F94">
      <w:pPr>
        <w:pStyle w:val="TOC1"/>
        <w:tabs>
          <w:tab w:val="left" w:pos="480"/>
          <w:tab w:val="right" w:leader="dot" w:pos="9016"/>
        </w:tabs>
        <w:rPr>
          <w:rFonts w:eastAsiaTheme="minorEastAsia" w:cstheme="minorBidi"/>
          <w:b w:val="0"/>
          <w:bCs w:val="0"/>
          <w:caps w:val="0"/>
          <w:noProof/>
          <w:sz w:val="22"/>
          <w:szCs w:val="22"/>
          <w:lang w:eastAsia="en-GB"/>
        </w:rPr>
      </w:pPr>
      <w:hyperlink w:anchor="_Toc115644711" w:history="1">
        <w:r w:rsidRPr="000F6162">
          <w:rPr>
            <w:rStyle w:val="Hyperlink"/>
            <w:rFonts w:cstheme="minorHAnsi"/>
            <w:noProof/>
          </w:rPr>
          <w:t>10.</w:t>
        </w:r>
        <w:r>
          <w:rPr>
            <w:rFonts w:eastAsiaTheme="minorEastAsia" w:cstheme="minorBidi"/>
            <w:b w:val="0"/>
            <w:bCs w:val="0"/>
            <w:caps w:val="0"/>
            <w:noProof/>
            <w:sz w:val="22"/>
            <w:szCs w:val="22"/>
            <w:lang w:eastAsia="en-GB"/>
          </w:rPr>
          <w:tab/>
        </w:r>
        <w:r w:rsidRPr="000F6162">
          <w:rPr>
            <w:rStyle w:val="Hyperlink"/>
            <w:rFonts w:cstheme="minorHAnsi"/>
            <w:noProof/>
          </w:rPr>
          <w:t>Appendix E-Rosler Equipment Costs</w:t>
        </w:r>
        <w:r>
          <w:rPr>
            <w:noProof/>
            <w:webHidden/>
          </w:rPr>
          <w:tab/>
        </w:r>
        <w:r>
          <w:rPr>
            <w:noProof/>
            <w:webHidden/>
          </w:rPr>
          <w:fldChar w:fldCharType="begin"/>
        </w:r>
        <w:r>
          <w:rPr>
            <w:noProof/>
            <w:webHidden/>
          </w:rPr>
          <w:instrText xml:space="preserve"> PAGEREF _Toc115644711 \h </w:instrText>
        </w:r>
        <w:r>
          <w:rPr>
            <w:noProof/>
            <w:webHidden/>
          </w:rPr>
        </w:r>
        <w:r>
          <w:rPr>
            <w:noProof/>
            <w:webHidden/>
          </w:rPr>
          <w:fldChar w:fldCharType="separate"/>
        </w:r>
        <w:r>
          <w:rPr>
            <w:noProof/>
            <w:webHidden/>
          </w:rPr>
          <w:t>11</w:t>
        </w:r>
        <w:r>
          <w:rPr>
            <w:noProof/>
            <w:webHidden/>
          </w:rPr>
          <w:fldChar w:fldCharType="end"/>
        </w:r>
      </w:hyperlink>
    </w:p>
    <w:p w14:paraId="21BA099D" w14:textId="083D530F" w:rsidR="00B94CEC" w:rsidRDefault="00B94CEC" w:rsidP="00B94CEC">
      <w:pPr>
        <w:pStyle w:val="NoSpacing"/>
      </w:pPr>
      <w:r>
        <w:fldChar w:fldCharType="end"/>
      </w:r>
    </w:p>
    <w:p w14:paraId="790F8D38" w14:textId="77777777" w:rsidR="00B94CEC" w:rsidRDefault="00B94CEC">
      <w:pPr>
        <w:spacing w:after="200" w:line="276" w:lineRule="auto"/>
      </w:pPr>
      <w:r>
        <w:br w:type="page"/>
      </w:r>
    </w:p>
    <w:p w14:paraId="64A99E98" w14:textId="31764AF0" w:rsidR="0066487E" w:rsidRDefault="009444B1" w:rsidP="006E2BF3">
      <w:pPr>
        <w:pStyle w:val="Heading1"/>
        <w:rPr>
          <w:rFonts w:asciiTheme="minorHAnsi" w:hAnsiTheme="minorHAnsi" w:cstheme="minorHAnsi"/>
        </w:rPr>
      </w:pPr>
      <w:bookmarkStart w:id="0" w:name="_Toc115644702"/>
      <w:r>
        <w:rPr>
          <w:rFonts w:asciiTheme="minorHAnsi" w:hAnsiTheme="minorHAnsi" w:cstheme="minorHAnsi"/>
        </w:rPr>
        <w:lastRenderedPageBreak/>
        <w:t>Situation Update</w:t>
      </w:r>
      <w:bookmarkEnd w:id="0"/>
    </w:p>
    <w:p w14:paraId="501BCD02" w14:textId="07A6EDCD" w:rsidR="00A90146" w:rsidRDefault="000E70DA" w:rsidP="00D9520C">
      <w:pPr>
        <w:rPr>
          <w:rFonts w:asciiTheme="minorHAnsi" w:hAnsiTheme="minorHAnsi" w:cstheme="minorHAnsi"/>
          <w:sz w:val="22"/>
          <w:szCs w:val="22"/>
        </w:rPr>
      </w:pPr>
      <w:r>
        <w:rPr>
          <w:rFonts w:asciiTheme="minorHAnsi" w:hAnsiTheme="minorHAnsi" w:cstheme="minorHAnsi"/>
          <w:sz w:val="22"/>
          <w:szCs w:val="22"/>
        </w:rPr>
        <w:t>New regulations from the FDA and B</w:t>
      </w:r>
      <w:r w:rsidR="00CF6779">
        <w:rPr>
          <w:rFonts w:asciiTheme="minorHAnsi" w:hAnsiTheme="minorHAnsi" w:cstheme="minorHAnsi"/>
          <w:sz w:val="22"/>
          <w:szCs w:val="22"/>
        </w:rPr>
        <w:t>S</w:t>
      </w:r>
      <w:r>
        <w:rPr>
          <w:rFonts w:asciiTheme="minorHAnsi" w:hAnsiTheme="minorHAnsi" w:cstheme="minorHAnsi"/>
          <w:sz w:val="22"/>
          <w:szCs w:val="22"/>
        </w:rPr>
        <w:t>i have resulted in a massive remediation effort of the existing company product portfolio. Significant cost</w:t>
      </w:r>
      <w:r w:rsidR="00FB06C9">
        <w:rPr>
          <w:rFonts w:asciiTheme="minorHAnsi" w:hAnsiTheme="minorHAnsi" w:cstheme="minorHAnsi"/>
          <w:sz w:val="22"/>
          <w:szCs w:val="22"/>
        </w:rPr>
        <w:t xml:space="preserve"> is already assigned to ensure that product with expiring certificates have design history files</w:t>
      </w:r>
      <w:r w:rsidR="006C3EE8">
        <w:rPr>
          <w:rFonts w:asciiTheme="minorHAnsi" w:hAnsiTheme="minorHAnsi" w:cstheme="minorHAnsi"/>
          <w:sz w:val="22"/>
          <w:szCs w:val="22"/>
        </w:rPr>
        <w:t xml:space="preserve"> (DHF)</w:t>
      </w:r>
      <w:r w:rsidR="00FB06C9">
        <w:rPr>
          <w:rFonts w:asciiTheme="minorHAnsi" w:hAnsiTheme="minorHAnsi" w:cstheme="minorHAnsi"/>
          <w:sz w:val="22"/>
          <w:szCs w:val="22"/>
        </w:rPr>
        <w:t xml:space="preserve"> revised to meet the new medical device requirements. Teir 1 and premium products have been prior</w:t>
      </w:r>
      <w:r w:rsidR="006C3EE8">
        <w:rPr>
          <w:rFonts w:asciiTheme="minorHAnsi" w:hAnsiTheme="minorHAnsi" w:cstheme="minorHAnsi"/>
          <w:sz w:val="22"/>
          <w:szCs w:val="22"/>
        </w:rPr>
        <w:t xml:space="preserve">itised in this remediation effort but there </w:t>
      </w:r>
      <w:r w:rsidR="007D4DD4">
        <w:rPr>
          <w:rFonts w:asciiTheme="minorHAnsi" w:hAnsiTheme="minorHAnsi" w:cstheme="minorHAnsi"/>
          <w:sz w:val="22"/>
          <w:szCs w:val="22"/>
        </w:rPr>
        <w:t>are</w:t>
      </w:r>
      <w:r w:rsidR="006C3EE8">
        <w:rPr>
          <w:rFonts w:asciiTheme="minorHAnsi" w:hAnsiTheme="minorHAnsi" w:cstheme="minorHAnsi"/>
          <w:sz w:val="22"/>
          <w:szCs w:val="22"/>
        </w:rPr>
        <w:t xml:space="preserve"> insufficient resources to revise every DHF before the certificates expire. Zimmer Biomet will not be able to manufacture or sell any new product with an expired certificate, but product manufactured prior to expiration can continue to be sold in already approved regions.</w:t>
      </w:r>
    </w:p>
    <w:p w14:paraId="6F0C564A" w14:textId="33BB89A9" w:rsidR="00C15E9A" w:rsidRDefault="006C3EE8" w:rsidP="00C15E9A">
      <w:pPr>
        <w:spacing w:before="240"/>
        <w:rPr>
          <w:rFonts w:asciiTheme="minorHAnsi" w:hAnsiTheme="minorHAnsi" w:cstheme="minorHAnsi"/>
          <w:sz w:val="22"/>
          <w:szCs w:val="22"/>
        </w:rPr>
      </w:pPr>
      <w:r>
        <w:rPr>
          <w:rFonts w:asciiTheme="minorHAnsi" w:hAnsiTheme="minorHAnsi" w:cstheme="minorHAnsi"/>
          <w:sz w:val="22"/>
          <w:szCs w:val="22"/>
        </w:rPr>
        <w:t>The result of this is a massive shake up of production planning and scheduling to ensure that critical products are in stock at distribution centres.</w:t>
      </w:r>
      <w:r w:rsidR="00C15E9A">
        <w:rPr>
          <w:rFonts w:asciiTheme="minorHAnsi" w:hAnsiTheme="minorHAnsi" w:cstheme="minorHAnsi"/>
          <w:sz w:val="22"/>
          <w:szCs w:val="22"/>
        </w:rPr>
        <w:t xml:space="preserve"> This will cause a major upset for tibial tray manufacture at ZB Bridgend where the latest </w:t>
      </w:r>
      <w:r w:rsidR="00C15E9A" w:rsidRPr="007D4DD4">
        <w:rPr>
          <w:rFonts w:asciiTheme="minorHAnsi" w:hAnsiTheme="minorHAnsi" w:cstheme="minorHAnsi"/>
          <w:sz w:val="22"/>
          <w:szCs w:val="22"/>
        </w:rPr>
        <w:t>demand</w:t>
      </w:r>
      <w:r w:rsidR="007F773B" w:rsidRPr="007D4DD4">
        <w:rPr>
          <w:rFonts w:asciiTheme="minorHAnsi" w:hAnsiTheme="minorHAnsi" w:cstheme="minorHAnsi"/>
          <w:sz w:val="22"/>
          <w:szCs w:val="22"/>
        </w:rPr>
        <w:t xml:space="preserve"> (Appendix</w:t>
      </w:r>
      <w:r w:rsidR="007F773B" w:rsidRPr="00CF6779">
        <w:rPr>
          <w:rFonts w:asciiTheme="minorHAnsi" w:hAnsiTheme="minorHAnsi" w:cstheme="minorHAnsi"/>
          <w:sz w:val="22"/>
          <w:szCs w:val="22"/>
        </w:rPr>
        <w:t xml:space="preserve"> A),</w:t>
      </w:r>
      <w:r w:rsidR="00C15E9A">
        <w:rPr>
          <w:rFonts w:asciiTheme="minorHAnsi" w:hAnsiTheme="minorHAnsi" w:cstheme="minorHAnsi"/>
          <w:sz w:val="22"/>
          <w:szCs w:val="22"/>
        </w:rPr>
        <w:t xml:space="preserve"> is six times higher than what the cell was originally designed to </w:t>
      </w:r>
      <w:r w:rsidR="00774D32">
        <w:rPr>
          <w:rFonts w:asciiTheme="minorHAnsi" w:hAnsiTheme="minorHAnsi" w:cstheme="minorHAnsi"/>
          <w:sz w:val="22"/>
          <w:szCs w:val="22"/>
        </w:rPr>
        <w:t>manage</w:t>
      </w:r>
      <w:r w:rsidR="00C15E9A">
        <w:rPr>
          <w:rFonts w:asciiTheme="minorHAnsi" w:hAnsiTheme="minorHAnsi" w:cstheme="minorHAnsi"/>
          <w:sz w:val="22"/>
          <w:szCs w:val="22"/>
        </w:rPr>
        <w:t>.</w:t>
      </w:r>
      <w:r w:rsidR="00CF6779">
        <w:rPr>
          <w:rFonts w:asciiTheme="minorHAnsi" w:hAnsiTheme="minorHAnsi" w:cstheme="minorHAnsi"/>
          <w:sz w:val="22"/>
          <w:szCs w:val="22"/>
        </w:rPr>
        <w:t xml:space="preserve"> </w:t>
      </w:r>
      <w:r w:rsidR="00025F3B">
        <w:rPr>
          <w:rFonts w:asciiTheme="minorHAnsi" w:hAnsiTheme="minorHAnsi" w:cstheme="minorHAnsi"/>
          <w:sz w:val="22"/>
          <w:szCs w:val="22"/>
        </w:rPr>
        <w:t>The certificates for Vanguard Tibial Trays are set to expire in March 2025. ZB Bridgend has been given until February 2025 to meet the demand. Failure to do so will result in stock shortages and possibly affect surgeries.</w:t>
      </w:r>
      <w:r w:rsidR="009060C0">
        <w:rPr>
          <w:rFonts w:asciiTheme="minorHAnsi" w:hAnsiTheme="minorHAnsi" w:cstheme="minorHAnsi"/>
          <w:sz w:val="22"/>
          <w:szCs w:val="22"/>
        </w:rPr>
        <w:t xml:space="preserve"> Engineering functions at ZB Bridgend have been tasked with finding alternatives to increasing the site head count and the increased polishing spindle and consumable costs it would incur should </w:t>
      </w:r>
      <w:r w:rsidR="00D8568D">
        <w:rPr>
          <w:rFonts w:asciiTheme="minorHAnsi" w:hAnsiTheme="minorHAnsi" w:cstheme="minorHAnsi"/>
          <w:sz w:val="22"/>
          <w:szCs w:val="22"/>
        </w:rPr>
        <w:t>the current process be scaled up to meet the coming demand spike.</w:t>
      </w:r>
    </w:p>
    <w:p w14:paraId="67A24622" w14:textId="21CE9F8E" w:rsidR="0066487E" w:rsidRPr="008247F0" w:rsidRDefault="009444B1" w:rsidP="006E2BF3">
      <w:pPr>
        <w:pStyle w:val="Heading1"/>
        <w:rPr>
          <w:rFonts w:asciiTheme="minorHAnsi" w:hAnsiTheme="minorHAnsi" w:cstheme="minorHAnsi"/>
        </w:rPr>
      </w:pPr>
      <w:bookmarkStart w:id="1" w:name="_Toc115644703"/>
      <w:r>
        <w:rPr>
          <w:rFonts w:asciiTheme="minorHAnsi" w:hAnsiTheme="minorHAnsi" w:cstheme="minorHAnsi"/>
        </w:rPr>
        <w:t>Propos</w:t>
      </w:r>
      <w:r w:rsidR="008529D0">
        <w:rPr>
          <w:rFonts w:asciiTheme="minorHAnsi" w:hAnsiTheme="minorHAnsi" w:cstheme="minorHAnsi"/>
        </w:rPr>
        <w:t>al</w:t>
      </w:r>
      <w:bookmarkEnd w:id="1"/>
    </w:p>
    <w:p w14:paraId="3D1E6FD2" w14:textId="5633A262" w:rsidR="00025F3B" w:rsidRDefault="00025F3B" w:rsidP="00CD677F">
      <w:pPr>
        <w:spacing w:after="240"/>
        <w:rPr>
          <w:rFonts w:asciiTheme="minorHAnsi" w:hAnsiTheme="minorHAnsi" w:cstheme="minorBidi"/>
          <w:sz w:val="22"/>
          <w:szCs w:val="22"/>
        </w:rPr>
      </w:pPr>
      <w:r>
        <w:rPr>
          <w:rFonts w:asciiTheme="minorHAnsi" w:hAnsiTheme="minorHAnsi" w:cstheme="minorBidi"/>
          <w:sz w:val="22"/>
          <w:szCs w:val="22"/>
        </w:rPr>
        <w:t xml:space="preserve">The current manufacturing method for tibial trays involves </w:t>
      </w:r>
      <w:r w:rsidR="006E47CC">
        <w:rPr>
          <w:rFonts w:asciiTheme="minorHAnsi" w:hAnsiTheme="minorHAnsi" w:cstheme="minorBidi"/>
          <w:sz w:val="22"/>
          <w:szCs w:val="22"/>
        </w:rPr>
        <w:t>electro-chemical machining to a near-net finish. The tibial trays are then manually linished and polished to the current drawing specification. This process is very labour intensive and due to site line clearance procedures, SOP104, an operator must finish an entire batch of 6 parts within an 8-hour shift. This inadvertently limits capacity of electro-chemical machining to 25% as only a single batch can be processed during a cycle.</w:t>
      </w:r>
      <w:r w:rsidR="00CD677F">
        <w:rPr>
          <w:rFonts w:asciiTheme="minorHAnsi" w:hAnsiTheme="minorHAnsi" w:cstheme="minorBidi"/>
          <w:sz w:val="22"/>
          <w:szCs w:val="22"/>
        </w:rPr>
        <w:t xml:space="preserve"> A cost breakdown of the current manual finishing for a batch of six tibial trays is as follows:</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75"/>
        <w:gridCol w:w="2160"/>
      </w:tblGrid>
      <w:tr w:rsidR="00CD677F" w14:paraId="193F6BA8" w14:textId="77777777" w:rsidTr="007F773B">
        <w:trPr>
          <w:jc w:val="center"/>
        </w:trPr>
        <w:tc>
          <w:tcPr>
            <w:tcW w:w="2175" w:type="dxa"/>
            <w:vAlign w:val="center"/>
          </w:tcPr>
          <w:p w14:paraId="07A55B50" w14:textId="43153D77" w:rsidR="00CD677F" w:rsidRDefault="00CD677F" w:rsidP="007F773B">
            <w:pPr>
              <w:jc w:val="right"/>
              <w:rPr>
                <w:rFonts w:asciiTheme="minorHAnsi" w:hAnsiTheme="minorHAnsi" w:cstheme="minorBidi"/>
                <w:sz w:val="22"/>
                <w:szCs w:val="22"/>
              </w:rPr>
            </w:pPr>
            <w:r>
              <w:rPr>
                <w:rFonts w:asciiTheme="minorHAnsi" w:hAnsiTheme="minorHAnsi" w:cstheme="minorBidi"/>
                <w:sz w:val="22"/>
                <w:szCs w:val="22"/>
              </w:rPr>
              <w:t>Batch Cycle Time</w:t>
            </w:r>
          </w:p>
        </w:tc>
        <w:tc>
          <w:tcPr>
            <w:tcW w:w="2160" w:type="dxa"/>
            <w:vAlign w:val="center"/>
          </w:tcPr>
          <w:p w14:paraId="6DACCCF3" w14:textId="73B2E340" w:rsidR="00CD677F" w:rsidRDefault="00CD677F" w:rsidP="00CD677F">
            <w:pPr>
              <w:jc w:val="center"/>
              <w:rPr>
                <w:rFonts w:asciiTheme="minorHAnsi" w:hAnsiTheme="minorHAnsi" w:cstheme="minorBidi"/>
                <w:sz w:val="22"/>
                <w:szCs w:val="22"/>
              </w:rPr>
            </w:pPr>
            <w:r>
              <w:rPr>
                <w:rFonts w:asciiTheme="minorHAnsi" w:hAnsiTheme="minorHAnsi" w:cstheme="minorBidi"/>
                <w:sz w:val="22"/>
                <w:szCs w:val="22"/>
              </w:rPr>
              <w:t>432 mins (7.2 hours)</w:t>
            </w:r>
          </w:p>
        </w:tc>
      </w:tr>
      <w:tr w:rsidR="00CD677F" w14:paraId="626A354D" w14:textId="77777777" w:rsidTr="007F773B">
        <w:trPr>
          <w:jc w:val="center"/>
        </w:trPr>
        <w:tc>
          <w:tcPr>
            <w:tcW w:w="2175" w:type="dxa"/>
            <w:vAlign w:val="center"/>
          </w:tcPr>
          <w:p w14:paraId="3111DCBB" w14:textId="0CF8B70C" w:rsidR="00CD677F" w:rsidRDefault="00CD677F" w:rsidP="007F773B">
            <w:pPr>
              <w:jc w:val="right"/>
              <w:rPr>
                <w:rFonts w:asciiTheme="minorHAnsi" w:hAnsiTheme="minorHAnsi" w:cstheme="minorBidi"/>
                <w:sz w:val="22"/>
                <w:szCs w:val="22"/>
              </w:rPr>
            </w:pPr>
            <w:r>
              <w:rPr>
                <w:rFonts w:asciiTheme="minorHAnsi" w:hAnsiTheme="minorHAnsi" w:cstheme="minorBidi"/>
                <w:sz w:val="22"/>
                <w:szCs w:val="22"/>
              </w:rPr>
              <w:t>Consumable Cost</w:t>
            </w:r>
          </w:p>
        </w:tc>
        <w:tc>
          <w:tcPr>
            <w:tcW w:w="2160" w:type="dxa"/>
            <w:vAlign w:val="center"/>
          </w:tcPr>
          <w:p w14:paraId="154DBD77" w14:textId="7B3F3ABE" w:rsidR="00CD677F" w:rsidRDefault="00CD677F" w:rsidP="00CD677F">
            <w:pPr>
              <w:jc w:val="center"/>
              <w:rPr>
                <w:rFonts w:asciiTheme="minorHAnsi" w:hAnsiTheme="minorHAnsi" w:cstheme="minorBidi"/>
                <w:sz w:val="22"/>
                <w:szCs w:val="22"/>
              </w:rPr>
            </w:pPr>
            <w:r>
              <w:rPr>
                <w:rFonts w:asciiTheme="minorHAnsi" w:hAnsiTheme="minorHAnsi" w:cstheme="minorBidi"/>
                <w:sz w:val="22"/>
                <w:szCs w:val="22"/>
              </w:rPr>
              <w:t>£54.66</w:t>
            </w:r>
          </w:p>
        </w:tc>
      </w:tr>
      <w:tr w:rsidR="00CD677F" w14:paraId="4B93A5DE" w14:textId="77777777" w:rsidTr="007F773B">
        <w:trPr>
          <w:jc w:val="center"/>
        </w:trPr>
        <w:tc>
          <w:tcPr>
            <w:tcW w:w="2175" w:type="dxa"/>
            <w:vAlign w:val="center"/>
          </w:tcPr>
          <w:p w14:paraId="1F8BB838" w14:textId="589C5CCB" w:rsidR="00CD677F" w:rsidRDefault="00CD677F" w:rsidP="007F773B">
            <w:pPr>
              <w:jc w:val="right"/>
              <w:rPr>
                <w:rFonts w:asciiTheme="minorHAnsi" w:hAnsiTheme="minorHAnsi" w:cstheme="minorBidi"/>
                <w:sz w:val="22"/>
                <w:szCs w:val="22"/>
              </w:rPr>
            </w:pPr>
            <w:r>
              <w:rPr>
                <w:rFonts w:asciiTheme="minorHAnsi" w:hAnsiTheme="minorHAnsi" w:cstheme="minorBidi"/>
                <w:sz w:val="22"/>
                <w:szCs w:val="22"/>
              </w:rPr>
              <w:t>Labour Time</w:t>
            </w:r>
          </w:p>
        </w:tc>
        <w:tc>
          <w:tcPr>
            <w:tcW w:w="2160" w:type="dxa"/>
            <w:vAlign w:val="center"/>
          </w:tcPr>
          <w:p w14:paraId="4E270FBD" w14:textId="5E866032" w:rsidR="00CD677F" w:rsidRDefault="00CD677F" w:rsidP="00CD677F">
            <w:pPr>
              <w:jc w:val="center"/>
              <w:rPr>
                <w:rFonts w:asciiTheme="minorHAnsi" w:hAnsiTheme="minorHAnsi" w:cstheme="minorBidi"/>
                <w:sz w:val="22"/>
                <w:szCs w:val="22"/>
              </w:rPr>
            </w:pPr>
            <w:r>
              <w:rPr>
                <w:rFonts w:asciiTheme="minorHAnsi" w:hAnsiTheme="minorHAnsi" w:cstheme="minorBidi"/>
                <w:sz w:val="22"/>
                <w:szCs w:val="22"/>
              </w:rPr>
              <w:t>432 mins (7.2 hours)</w:t>
            </w:r>
          </w:p>
        </w:tc>
      </w:tr>
      <w:tr w:rsidR="00CD677F" w14:paraId="3381FA7C" w14:textId="77777777" w:rsidTr="007F773B">
        <w:trPr>
          <w:jc w:val="center"/>
        </w:trPr>
        <w:tc>
          <w:tcPr>
            <w:tcW w:w="2175" w:type="dxa"/>
            <w:vAlign w:val="center"/>
          </w:tcPr>
          <w:p w14:paraId="7A4F182D" w14:textId="6C88CE5B" w:rsidR="00CD677F" w:rsidRDefault="00CD677F" w:rsidP="007F773B">
            <w:pPr>
              <w:jc w:val="right"/>
              <w:rPr>
                <w:rFonts w:asciiTheme="minorHAnsi" w:hAnsiTheme="minorHAnsi" w:cstheme="minorBidi"/>
                <w:sz w:val="22"/>
                <w:szCs w:val="22"/>
              </w:rPr>
            </w:pPr>
            <w:r>
              <w:rPr>
                <w:rFonts w:asciiTheme="minorHAnsi" w:hAnsiTheme="minorHAnsi" w:cstheme="minorBidi"/>
                <w:sz w:val="22"/>
                <w:szCs w:val="22"/>
              </w:rPr>
              <w:t>Labour Cost</w:t>
            </w:r>
          </w:p>
        </w:tc>
        <w:tc>
          <w:tcPr>
            <w:tcW w:w="2160" w:type="dxa"/>
            <w:vAlign w:val="center"/>
          </w:tcPr>
          <w:p w14:paraId="475F7115" w14:textId="76E180F2" w:rsidR="00CD677F" w:rsidRDefault="00CD677F" w:rsidP="00CD677F">
            <w:pPr>
              <w:jc w:val="center"/>
              <w:rPr>
                <w:rFonts w:asciiTheme="minorHAnsi" w:hAnsiTheme="minorHAnsi" w:cstheme="minorBidi"/>
                <w:sz w:val="22"/>
                <w:szCs w:val="22"/>
              </w:rPr>
            </w:pPr>
            <w:r>
              <w:rPr>
                <w:rFonts w:asciiTheme="minorHAnsi" w:hAnsiTheme="minorHAnsi" w:cstheme="minorBidi"/>
                <w:sz w:val="22"/>
                <w:szCs w:val="22"/>
              </w:rPr>
              <w:t>£180</w:t>
            </w:r>
          </w:p>
        </w:tc>
      </w:tr>
      <w:tr w:rsidR="00CD677F" w14:paraId="40D20948" w14:textId="77777777" w:rsidTr="007F773B">
        <w:trPr>
          <w:jc w:val="center"/>
        </w:trPr>
        <w:tc>
          <w:tcPr>
            <w:tcW w:w="2175" w:type="dxa"/>
            <w:vAlign w:val="center"/>
          </w:tcPr>
          <w:p w14:paraId="1C73484E" w14:textId="46E3FFFB" w:rsidR="00CD677F" w:rsidRDefault="00CD677F" w:rsidP="007F773B">
            <w:pPr>
              <w:jc w:val="right"/>
              <w:rPr>
                <w:rFonts w:asciiTheme="minorHAnsi" w:hAnsiTheme="minorHAnsi" w:cstheme="minorBidi"/>
                <w:sz w:val="22"/>
                <w:szCs w:val="22"/>
              </w:rPr>
            </w:pPr>
            <w:r>
              <w:rPr>
                <w:rFonts w:asciiTheme="minorHAnsi" w:hAnsiTheme="minorHAnsi" w:cstheme="minorBidi"/>
                <w:sz w:val="22"/>
                <w:szCs w:val="22"/>
              </w:rPr>
              <w:t>Cost per Batch</w:t>
            </w:r>
          </w:p>
        </w:tc>
        <w:tc>
          <w:tcPr>
            <w:tcW w:w="2160" w:type="dxa"/>
            <w:vAlign w:val="center"/>
          </w:tcPr>
          <w:p w14:paraId="0DA9A956" w14:textId="12352CC1" w:rsidR="00CD677F" w:rsidRDefault="00CD677F" w:rsidP="00CD677F">
            <w:pPr>
              <w:jc w:val="center"/>
              <w:rPr>
                <w:rFonts w:asciiTheme="minorHAnsi" w:hAnsiTheme="minorHAnsi" w:cstheme="minorBidi"/>
                <w:sz w:val="22"/>
                <w:szCs w:val="22"/>
              </w:rPr>
            </w:pPr>
            <w:r>
              <w:rPr>
                <w:rFonts w:asciiTheme="minorHAnsi" w:hAnsiTheme="minorHAnsi" w:cstheme="minorBidi"/>
                <w:sz w:val="22"/>
                <w:szCs w:val="22"/>
              </w:rPr>
              <w:t>£234.66</w:t>
            </w:r>
          </w:p>
        </w:tc>
      </w:tr>
      <w:tr w:rsidR="00CD677F" w14:paraId="148B9AE6" w14:textId="77777777" w:rsidTr="007F773B">
        <w:trPr>
          <w:jc w:val="center"/>
        </w:trPr>
        <w:tc>
          <w:tcPr>
            <w:tcW w:w="2175" w:type="dxa"/>
            <w:vAlign w:val="center"/>
          </w:tcPr>
          <w:p w14:paraId="54BADC1B" w14:textId="26BF5BB0" w:rsidR="00CD677F" w:rsidRDefault="00CD677F" w:rsidP="007F773B">
            <w:pPr>
              <w:jc w:val="right"/>
              <w:rPr>
                <w:rFonts w:asciiTheme="minorHAnsi" w:hAnsiTheme="minorHAnsi" w:cstheme="minorBidi"/>
                <w:sz w:val="22"/>
                <w:szCs w:val="22"/>
              </w:rPr>
            </w:pPr>
            <w:r>
              <w:rPr>
                <w:rFonts w:asciiTheme="minorHAnsi" w:hAnsiTheme="minorHAnsi" w:cstheme="minorBidi"/>
                <w:sz w:val="22"/>
                <w:szCs w:val="22"/>
              </w:rPr>
              <w:t>Cost per Component</w:t>
            </w:r>
          </w:p>
        </w:tc>
        <w:tc>
          <w:tcPr>
            <w:tcW w:w="2160" w:type="dxa"/>
            <w:vAlign w:val="center"/>
          </w:tcPr>
          <w:p w14:paraId="1F9AE68E" w14:textId="657C43E2" w:rsidR="00CD677F" w:rsidRDefault="00CD677F" w:rsidP="00CD677F">
            <w:pPr>
              <w:jc w:val="center"/>
              <w:rPr>
                <w:rFonts w:asciiTheme="minorHAnsi" w:hAnsiTheme="minorHAnsi" w:cstheme="minorBidi"/>
                <w:sz w:val="22"/>
                <w:szCs w:val="22"/>
              </w:rPr>
            </w:pPr>
            <w:r>
              <w:rPr>
                <w:rFonts w:asciiTheme="minorHAnsi" w:hAnsiTheme="minorHAnsi" w:cstheme="minorBidi"/>
                <w:sz w:val="22"/>
                <w:szCs w:val="22"/>
              </w:rPr>
              <w:t>£39.11</w:t>
            </w:r>
          </w:p>
        </w:tc>
      </w:tr>
    </w:tbl>
    <w:p w14:paraId="674CCC64" w14:textId="3642E0F5" w:rsidR="004942A8" w:rsidRPr="00C87B9F" w:rsidRDefault="008529D0" w:rsidP="00CF6779">
      <w:pPr>
        <w:rPr>
          <w:rFonts w:asciiTheme="minorHAnsi" w:hAnsiTheme="minorHAnsi" w:cstheme="minorHAnsi"/>
          <w:b/>
          <w:bCs/>
          <w:sz w:val="22"/>
          <w:szCs w:val="22"/>
        </w:rPr>
      </w:pPr>
      <w:r>
        <w:rPr>
          <w:rFonts w:asciiTheme="minorHAnsi" w:hAnsiTheme="minorHAnsi" w:cstheme="minorHAnsi"/>
          <w:b/>
          <w:bCs/>
          <w:sz w:val="22"/>
          <w:szCs w:val="22"/>
        </w:rPr>
        <w:t>Introduction of Drag Finishing</w:t>
      </w:r>
    </w:p>
    <w:p w14:paraId="5BAFCC4A" w14:textId="7AEC3CAF" w:rsidR="00515DED" w:rsidRDefault="008529D0" w:rsidP="00DC6112">
      <w:pPr>
        <w:rPr>
          <w:rFonts w:asciiTheme="minorHAnsi" w:hAnsiTheme="minorHAnsi" w:cstheme="minorBidi"/>
          <w:sz w:val="22"/>
          <w:szCs w:val="22"/>
        </w:rPr>
      </w:pPr>
      <w:r>
        <w:rPr>
          <w:rFonts w:asciiTheme="minorHAnsi" w:hAnsiTheme="minorHAnsi" w:cstheme="minorBidi"/>
          <w:sz w:val="22"/>
          <w:szCs w:val="22"/>
        </w:rPr>
        <w:t xml:space="preserve">In 2014, the NPD department investigated drag finishing of highly polished components. It was noted that finding new employees with the necessary polishing skills was increasing in difficulty. While robotic polishing cells had been introduced for many years at the ZB Bridgend site, they are not able to reach the </w:t>
      </w:r>
      <w:r w:rsidR="00846ED4">
        <w:rPr>
          <w:rFonts w:asciiTheme="minorHAnsi" w:hAnsiTheme="minorHAnsi" w:cstheme="minorBidi"/>
          <w:sz w:val="22"/>
          <w:szCs w:val="22"/>
        </w:rPr>
        <w:t>intricate details</w:t>
      </w:r>
      <w:r>
        <w:rPr>
          <w:rFonts w:asciiTheme="minorHAnsi" w:hAnsiTheme="minorHAnsi" w:cstheme="minorBidi"/>
          <w:sz w:val="22"/>
          <w:szCs w:val="22"/>
        </w:rPr>
        <w:t xml:space="preserve"> often found on tibial trays. The positioning tolerance of the existing cells also equated to almost 50% of the </w:t>
      </w:r>
      <w:r w:rsidR="00752012">
        <w:rPr>
          <w:rFonts w:asciiTheme="minorHAnsi" w:hAnsiTheme="minorHAnsi" w:cstheme="minorBidi"/>
          <w:sz w:val="22"/>
          <w:szCs w:val="22"/>
        </w:rPr>
        <w:t>tolerances found on Vanguard tibial trays. This disqualified the future use of robotic finishing using the existing cells.</w:t>
      </w:r>
    </w:p>
    <w:p w14:paraId="57AC7A9A" w14:textId="5EE38E6F" w:rsidR="00752012" w:rsidRDefault="00752012" w:rsidP="00752012">
      <w:pPr>
        <w:spacing w:before="240" w:after="240"/>
        <w:rPr>
          <w:rFonts w:asciiTheme="minorHAnsi" w:hAnsiTheme="minorHAnsi" w:cstheme="minorBidi"/>
          <w:sz w:val="22"/>
          <w:szCs w:val="22"/>
        </w:rPr>
      </w:pPr>
      <w:r>
        <w:rPr>
          <w:rFonts w:asciiTheme="minorHAnsi" w:hAnsiTheme="minorHAnsi" w:cstheme="minorBidi"/>
          <w:sz w:val="22"/>
          <w:szCs w:val="22"/>
        </w:rPr>
        <w:t>Contact was made with Rosler UK</w:t>
      </w:r>
      <w:r w:rsidR="00945132">
        <w:rPr>
          <w:rFonts w:asciiTheme="minorHAnsi" w:hAnsiTheme="minorHAnsi" w:cstheme="minorBidi"/>
          <w:sz w:val="22"/>
          <w:szCs w:val="22"/>
        </w:rPr>
        <w:t xml:space="preserve"> who were briefed on the potential skill shortage the site may face in the future.</w:t>
      </w:r>
      <w:r>
        <w:rPr>
          <w:rFonts w:asciiTheme="minorHAnsi" w:hAnsiTheme="minorHAnsi" w:cstheme="minorBidi"/>
          <w:sz w:val="22"/>
          <w:szCs w:val="22"/>
        </w:rPr>
        <w:t xml:space="preserve"> </w:t>
      </w:r>
      <w:r w:rsidR="00945132">
        <w:rPr>
          <w:rFonts w:asciiTheme="minorHAnsi" w:hAnsiTheme="minorHAnsi" w:cstheme="minorBidi"/>
          <w:sz w:val="22"/>
          <w:szCs w:val="22"/>
        </w:rPr>
        <w:t>T</w:t>
      </w:r>
      <w:r>
        <w:rPr>
          <w:rFonts w:asciiTheme="minorHAnsi" w:hAnsiTheme="minorHAnsi" w:cstheme="minorBidi"/>
          <w:sz w:val="22"/>
          <w:szCs w:val="22"/>
        </w:rPr>
        <w:t>ri</w:t>
      </w:r>
      <w:r w:rsidR="007D4DD4">
        <w:rPr>
          <w:rFonts w:asciiTheme="minorHAnsi" w:hAnsiTheme="minorHAnsi" w:cstheme="minorBidi"/>
          <w:sz w:val="22"/>
          <w:szCs w:val="22"/>
        </w:rPr>
        <w:t>a</w:t>
      </w:r>
      <w:r>
        <w:rPr>
          <w:rFonts w:asciiTheme="minorHAnsi" w:hAnsiTheme="minorHAnsi" w:cstheme="minorBidi"/>
          <w:sz w:val="22"/>
          <w:szCs w:val="22"/>
        </w:rPr>
        <w:t xml:space="preserve">ls were conducted </w:t>
      </w:r>
      <w:r w:rsidR="00E32B42">
        <w:rPr>
          <w:rFonts w:asciiTheme="minorHAnsi" w:hAnsiTheme="minorHAnsi" w:cstheme="minorBidi"/>
          <w:sz w:val="22"/>
          <w:szCs w:val="22"/>
        </w:rPr>
        <w:t>using a Rosler R4/700 SF and</w:t>
      </w:r>
      <w:r>
        <w:rPr>
          <w:rFonts w:asciiTheme="minorHAnsi" w:hAnsiTheme="minorHAnsi" w:cstheme="minorBidi"/>
          <w:sz w:val="22"/>
          <w:szCs w:val="22"/>
        </w:rPr>
        <w:t xml:space="preserve"> several </w:t>
      </w:r>
      <w:proofErr w:type="gramStart"/>
      <w:r>
        <w:rPr>
          <w:rFonts w:asciiTheme="minorHAnsi" w:hAnsiTheme="minorHAnsi" w:cstheme="minorBidi"/>
          <w:sz w:val="22"/>
          <w:szCs w:val="22"/>
        </w:rPr>
        <w:t>different products</w:t>
      </w:r>
      <w:proofErr w:type="gramEnd"/>
      <w:r w:rsidR="00E32B42">
        <w:rPr>
          <w:rFonts w:asciiTheme="minorHAnsi" w:hAnsiTheme="minorHAnsi" w:cstheme="minorBidi"/>
          <w:sz w:val="22"/>
          <w:szCs w:val="22"/>
        </w:rPr>
        <w:t xml:space="preserve"> from the Zimmer Biomet portfolio,</w:t>
      </w:r>
      <w:r>
        <w:rPr>
          <w:rFonts w:asciiTheme="minorHAnsi" w:hAnsiTheme="minorHAnsi" w:cstheme="minorBidi"/>
          <w:sz w:val="22"/>
          <w:szCs w:val="22"/>
        </w:rPr>
        <w:t xml:space="preserve"> with particular focus on tibial trays.</w:t>
      </w:r>
      <w:r w:rsidR="00945132">
        <w:rPr>
          <w:rFonts w:asciiTheme="minorHAnsi" w:hAnsiTheme="minorHAnsi" w:cstheme="minorBidi"/>
          <w:sz w:val="22"/>
          <w:szCs w:val="22"/>
        </w:rPr>
        <w:t xml:space="preserve"> </w:t>
      </w:r>
      <w:r w:rsidR="00163CB9">
        <w:rPr>
          <w:rFonts w:asciiTheme="minorHAnsi" w:hAnsiTheme="minorHAnsi" w:cstheme="minorBidi"/>
          <w:sz w:val="22"/>
          <w:szCs w:val="22"/>
        </w:rPr>
        <w:t xml:space="preserve">A basic process was </w:t>
      </w:r>
      <w:r w:rsidR="00846ED4">
        <w:rPr>
          <w:rFonts w:asciiTheme="minorHAnsi" w:hAnsiTheme="minorHAnsi" w:cstheme="minorBidi"/>
          <w:sz w:val="22"/>
          <w:szCs w:val="22"/>
        </w:rPr>
        <w:t>designed</w:t>
      </w:r>
      <w:r w:rsidR="00163CB9">
        <w:rPr>
          <w:rFonts w:asciiTheme="minorHAnsi" w:hAnsiTheme="minorHAnsi" w:cstheme="minorBidi"/>
          <w:sz w:val="22"/>
          <w:szCs w:val="22"/>
        </w:rPr>
        <w:t xml:space="preserve"> and resulted in lower overall cycle times and labour requirements. Drag finishing processes multiple parts at once allowing an entire batch of six parts to be finished at once. </w:t>
      </w:r>
      <w:r w:rsidR="009060C0">
        <w:rPr>
          <w:rFonts w:asciiTheme="minorHAnsi" w:hAnsiTheme="minorHAnsi" w:cstheme="minorBidi"/>
          <w:sz w:val="22"/>
          <w:szCs w:val="22"/>
        </w:rPr>
        <w:t xml:space="preserve">This feature will allow operations at ZB Bridgend to </w:t>
      </w:r>
      <w:r w:rsidR="00846ED4">
        <w:rPr>
          <w:rFonts w:asciiTheme="minorHAnsi" w:hAnsiTheme="minorHAnsi" w:cstheme="minorBidi"/>
          <w:sz w:val="22"/>
          <w:szCs w:val="22"/>
        </w:rPr>
        <w:t>use</w:t>
      </w:r>
      <w:r w:rsidR="009060C0">
        <w:rPr>
          <w:rFonts w:asciiTheme="minorHAnsi" w:hAnsiTheme="minorHAnsi" w:cstheme="minorBidi"/>
          <w:sz w:val="22"/>
          <w:szCs w:val="22"/>
        </w:rPr>
        <w:t xml:space="preserve"> more of the spare capacity at electro-chemical machining and by increasing batch sizes to 12</w:t>
      </w:r>
      <w:r w:rsidR="004F1742">
        <w:rPr>
          <w:rFonts w:asciiTheme="minorHAnsi" w:hAnsiTheme="minorHAnsi" w:cstheme="minorBidi"/>
          <w:sz w:val="22"/>
          <w:szCs w:val="22"/>
        </w:rPr>
        <w:t xml:space="preserve"> and weekly maximum finishing capacity to 480 parts</w:t>
      </w:r>
      <w:r w:rsidR="009060C0">
        <w:rPr>
          <w:rFonts w:asciiTheme="minorHAnsi" w:hAnsiTheme="minorHAnsi" w:cstheme="minorBidi"/>
          <w:sz w:val="22"/>
          <w:szCs w:val="22"/>
        </w:rPr>
        <w:t>.</w:t>
      </w:r>
      <w:r>
        <w:rPr>
          <w:rFonts w:asciiTheme="minorHAnsi" w:hAnsiTheme="minorHAnsi" w:cstheme="minorBidi"/>
          <w:sz w:val="22"/>
          <w:szCs w:val="22"/>
        </w:rPr>
        <w:t xml:space="preserve"> </w:t>
      </w:r>
      <w:r w:rsidR="00945132">
        <w:rPr>
          <w:rFonts w:asciiTheme="minorHAnsi" w:hAnsiTheme="minorHAnsi" w:cstheme="minorBidi"/>
          <w:sz w:val="22"/>
          <w:szCs w:val="22"/>
        </w:rPr>
        <w:t>The c</w:t>
      </w:r>
      <w:r>
        <w:rPr>
          <w:rFonts w:asciiTheme="minorHAnsi" w:hAnsiTheme="minorHAnsi" w:cstheme="minorBidi"/>
          <w:sz w:val="22"/>
          <w:szCs w:val="22"/>
        </w:rPr>
        <w:t>ost analysis results</w:t>
      </w:r>
      <w:r w:rsidR="00945132">
        <w:rPr>
          <w:rFonts w:asciiTheme="minorHAnsi" w:hAnsiTheme="minorHAnsi" w:cstheme="minorBidi"/>
          <w:sz w:val="22"/>
          <w:szCs w:val="22"/>
        </w:rPr>
        <w:t xml:space="preserve"> for a batch of </w:t>
      </w:r>
      <w:r w:rsidR="009060C0">
        <w:rPr>
          <w:rFonts w:asciiTheme="minorHAnsi" w:hAnsiTheme="minorHAnsi" w:cstheme="minorBidi"/>
          <w:sz w:val="22"/>
          <w:szCs w:val="22"/>
        </w:rPr>
        <w:t>6 and 12</w:t>
      </w:r>
      <w:r w:rsidR="00945132">
        <w:rPr>
          <w:rFonts w:asciiTheme="minorHAnsi" w:hAnsiTheme="minorHAnsi" w:cstheme="minorBidi"/>
          <w:sz w:val="22"/>
          <w:szCs w:val="22"/>
        </w:rPr>
        <w:t xml:space="preserve"> tibial trays is as</w:t>
      </w:r>
      <w:r>
        <w:rPr>
          <w:rFonts w:asciiTheme="minorHAnsi" w:hAnsiTheme="minorHAnsi" w:cstheme="minorBidi"/>
          <w:sz w:val="22"/>
          <w:szCs w:val="22"/>
        </w:rPr>
        <w:t xml:space="preserve"> follows:</w:t>
      </w:r>
    </w:p>
    <w:p w14:paraId="5ADC2292" w14:textId="77777777" w:rsidR="00846ED4" w:rsidRDefault="00846ED4" w:rsidP="00752012">
      <w:pPr>
        <w:spacing w:before="240" w:after="240"/>
        <w:rPr>
          <w:rFonts w:asciiTheme="minorHAnsi" w:hAnsiTheme="minorHAnsi" w:cstheme="minorBidi"/>
          <w:sz w:val="22"/>
          <w:szCs w:val="22"/>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75"/>
        <w:gridCol w:w="2160"/>
        <w:gridCol w:w="2160"/>
      </w:tblGrid>
      <w:tr w:rsidR="009060C0" w14:paraId="7E017CF5" w14:textId="77777777" w:rsidTr="00D37EC4">
        <w:trPr>
          <w:jc w:val="center"/>
        </w:trPr>
        <w:tc>
          <w:tcPr>
            <w:tcW w:w="2175" w:type="dxa"/>
            <w:vAlign w:val="center"/>
          </w:tcPr>
          <w:p w14:paraId="3B97CE8A" w14:textId="77777777" w:rsidR="009060C0" w:rsidRDefault="009060C0" w:rsidP="00ED0885">
            <w:pPr>
              <w:jc w:val="center"/>
              <w:rPr>
                <w:rFonts w:asciiTheme="minorHAnsi" w:hAnsiTheme="minorHAnsi" w:cstheme="minorBidi"/>
                <w:sz w:val="22"/>
                <w:szCs w:val="22"/>
              </w:rPr>
            </w:pPr>
          </w:p>
        </w:tc>
        <w:tc>
          <w:tcPr>
            <w:tcW w:w="2160" w:type="dxa"/>
            <w:vAlign w:val="center"/>
          </w:tcPr>
          <w:p w14:paraId="49DB6889" w14:textId="58629A48" w:rsidR="009060C0" w:rsidRDefault="009060C0" w:rsidP="00ED0885">
            <w:pPr>
              <w:jc w:val="center"/>
              <w:rPr>
                <w:rFonts w:asciiTheme="minorHAnsi" w:hAnsiTheme="minorHAnsi" w:cstheme="minorBidi"/>
                <w:sz w:val="22"/>
                <w:szCs w:val="22"/>
              </w:rPr>
            </w:pPr>
            <w:r>
              <w:rPr>
                <w:rFonts w:asciiTheme="minorHAnsi" w:hAnsiTheme="minorHAnsi" w:cstheme="minorBidi"/>
                <w:sz w:val="22"/>
                <w:szCs w:val="22"/>
              </w:rPr>
              <w:t>Batch of 6</w:t>
            </w:r>
          </w:p>
        </w:tc>
        <w:tc>
          <w:tcPr>
            <w:tcW w:w="2160" w:type="dxa"/>
          </w:tcPr>
          <w:p w14:paraId="014638E6" w14:textId="22252E76" w:rsidR="009060C0" w:rsidRDefault="009060C0" w:rsidP="00ED0885">
            <w:pPr>
              <w:jc w:val="center"/>
              <w:rPr>
                <w:rFonts w:asciiTheme="minorHAnsi" w:hAnsiTheme="minorHAnsi" w:cstheme="minorBidi"/>
                <w:sz w:val="22"/>
                <w:szCs w:val="22"/>
              </w:rPr>
            </w:pPr>
            <w:r>
              <w:rPr>
                <w:rFonts w:asciiTheme="minorHAnsi" w:hAnsiTheme="minorHAnsi" w:cstheme="minorBidi"/>
                <w:sz w:val="22"/>
                <w:szCs w:val="22"/>
              </w:rPr>
              <w:t>Batch of 12</w:t>
            </w:r>
          </w:p>
        </w:tc>
      </w:tr>
      <w:tr w:rsidR="009060C0" w14:paraId="5BE8CA6A" w14:textId="691842FD" w:rsidTr="00652B03">
        <w:trPr>
          <w:jc w:val="center"/>
        </w:trPr>
        <w:tc>
          <w:tcPr>
            <w:tcW w:w="2175" w:type="dxa"/>
            <w:vAlign w:val="center"/>
          </w:tcPr>
          <w:p w14:paraId="055D5021" w14:textId="77777777" w:rsidR="009060C0" w:rsidRDefault="009060C0" w:rsidP="00652B03">
            <w:pPr>
              <w:jc w:val="right"/>
              <w:rPr>
                <w:rFonts w:asciiTheme="minorHAnsi" w:hAnsiTheme="minorHAnsi" w:cstheme="minorBidi"/>
                <w:sz w:val="22"/>
                <w:szCs w:val="22"/>
              </w:rPr>
            </w:pPr>
            <w:r>
              <w:rPr>
                <w:rFonts w:asciiTheme="minorHAnsi" w:hAnsiTheme="minorHAnsi" w:cstheme="minorBidi"/>
                <w:sz w:val="22"/>
                <w:szCs w:val="22"/>
              </w:rPr>
              <w:t>Batch Cycle Time</w:t>
            </w:r>
          </w:p>
        </w:tc>
        <w:tc>
          <w:tcPr>
            <w:tcW w:w="2160" w:type="dxa"/>
            <w:vAlign w:val="center"/>
          </w:tcPr>
          <w:p w14:paraId="67D7C68C" w14:textId="09A520EB" w:rsidR="009060C0" w:rsidRDefault="009060C0" w:rsidP="009060C0">
            <w:pPr>
              <w:jc w:val="center"/>
              <w:rPr>
                <w:rFonts w:asciiTheme="minorHAnsi" w:hAnsiTheme="minorHAnsi" w:cstheme="minorBidi"/>
                <w:sz w:val="22"/>
                <w:szCs w:val="22"/>
              </w:rPr>
            </w:pPr>
            <w:r>
              <w:rPr>
                <w:rFonts w:asciiTheme="minorHAnsi" w:hAnsiTheme="minorHAnsi" w:cstheme="minorBidi"/>
                <w:sz w:val="22"/>
                <w:szCs w:val="22"/>
              </w:rPr>
              <w:t>180mins (3 hours)</w:t>
            </w:r>
          </w:p>
        </w:tc>
        <w:tc>
          <w:tcPr>
            <w:tcW w:w="2160" w:type="dxa"/>
            <w:vAlign w:val="center"/>
          </w:tcPr>
          <w:p w14:paraId="62CEE16A" w14:textId="56E3C7E0" w:rsidR="009060C0" w:rsidRDefault="009060C0" w:rsidP="009060C0">
            <w:pPr>
              <w:jc w:val="center"/>
              <w:rPr>
                <w:rFonts w:asciiTheme="minorHAnsi" w:hAnsiTheme="minorHAnsi" w:cstheme="minorBidi"/>
                <w:sz w:val="22"/>
                <w:szCs w:val="22"/>
              </w:rPr>
            </w:pPr>
            <w:r>
              <w:rPr>
                <w:rFonts w:asciiTheme="minorHAnsi" w:hAnsiTheme="minorHAnsi" w:cstheme="minorBidi"/>
                <w:sz w:val="22"/>
                <w:szCs w:val="22"/>
              </w:rPr>
              <w:t>180mins (3 hours)</w:t>
            </w:r>
          </w:p>
        </w:tc>
      </w:tr>
      <w:tr w:rsidR="009060C0" w14:paraId="2B1225FC" w14:textId="35AA82DD" w:rsidTr="00652B03">
        <w:trPr>
          <w:jc w:val="center"/>
        </w:trPr>
        <w:tc>
          <w:tcPr>
            <w:tcW w:w="2175" w:type="dxa"/>
            <w:vAlign w:val="center"/>
          </w:tcPr>
          <w:p w14:paraId="0CAA3162" w14:textId="77777777" w:rsidR="009060C0" w:rsidRDefault="009060C0" w:rsidP="00652B03">
            <w:pPr>
              <w:jc w:val="right"/>
              <w:rPr>
                <w:rFonts w:asciiTheme="minorHAnsi" w:hAnsiTheme="minorHAnsi" w:cstheme="minorBidi"/>
                <w:sz w:val="22"/>
                <w:szCs w:val="22"/>
              </w:rPr>
            </w:pPr>
            <w:r>
              <w:rPr>
                <w:rFonts w:asciiTheme="minorHAnsi" w:hAnsiTheme="minorHAnsi" w:cstheme="minorBidi"/>
                <w:sz w:val="22"/>
                <w:szCs w:val="22"/>
              </w:rPr>
              <w:t>Consumable Cost</w:t>
            </w:r>
          </w:p>
        </w:tc>
        <w:tc>
          <w:tcPr>
            <w:tcW w:w="2160" w:type="dxa"/>
            <w:vAlign w:val="center"/>
          </w:tcPr>
          <w:p w14:paraId="78352D27" w14:textId="7DFB539D" w:rsidR="009060C0" w:rsidRDefault="009060C0" w:rsidP="009060C0">
            <w:pPr>
              <w:jc w:val="center"/>
              <w:rPr>
                <w:rFonts w:asciiTheme="minorHAnsi" w:hAnsiTheme="minorHAnsi" w:cstheme="minorBidi"/>
                <w:sz w:val="22"/>
                <w:szCs w:val="22"/>
              </w:rPr>
            </w:pPr>
            <w:r>
              <w:rPr>
                <w:rFonts w:asciiTheme="minorHAnsi" w:hAnsiTheme="minorHAnsi" w:cstheme="minorBidi"/>
                <w:sz w:val="22"/>
                <w:szCs w:val="22"/>
              </w:rPr>
              <w:t>£33.17</w:t>
            </w:r>
          </w:p>
        </w:tc>
        <w:tc>
          <w:tcPr>
            <w:tcW w:w="2160" w:type="dxa"/>
            <w:vAlign w:val="center"/>
          </w:tcPr>
          <w:p w14:paraId="696B2C94" w14:textId="7B77D0BC" w:rsidR="009060C0" w:rsidRDefault="009060C0" w:rsidP="009060C0">
            <w:pPr>
              <w:jc w:val="center"/>
              <w:rPr>
                <w:rFonts w:asciiTheme="minorHAnsi" w:hAnsiTheme="minorHAnsi" w:cstheme="minorBidi"/>
                <w:sz w:val="22"/>
                <w:szCs w:val="22"/>
              </w:rPr>
            </w:pPr>
            <w:r>
              <w:rPr>
                <w:rFonts w:asciiTheme="minorHAnsi" w:hAnsiTheme="minorHAnsi" w:cstheme="minorBidi"/>
                <w:sz w:val="22"/>
                <w:szCs w:val="22"/>
              </w:rPr>
              <w:t>£33.17</w:t>
            </w:r>
          </w:p>
        </w:tc>
      </w:tr>
      <w:tr w:rsidR="009060C0" w14:paraId="025E35AE" w14:textId="4F9A10DE" w:rsidTr="00652B03">
        <w:trPr>
          <w:jc w:val="center"/>
        </w:trPr>
        <w:tc>
          <w:tcPr>
            <w:tcW w:w="2175" w:type="dxa"/>
            <w:vAlign w:val="center"/>
          </w:tcPr>
          <w:p w14:paraId="7247EEEA" w14:textId="77777777" w:rsidR="009060C0" w:rsidRDefault="009060C0" w:rsidP="00652B03">
            <w:pPr>
              <w:jc w:val="right"/>
              <w:rPr>
                <w:rFonts w:asciiTheme="minorHAnsi" w:hAnsiTheme="minorHAnsi" w:cstheme="minorBidi"/>
                <w:sz w:val="22"/>
                <w:szCs w:val="22"/>
              </w:rPr>
            </w:pPr>
            <w:r>
              <w:rPr>
                <w:rFonts w:asciiTheme="minorHAnsi" w:hAnsiTheme="minorHAnsi" w:cstheme="minorBidi"/>
                <w:sz w:val="22"/>
                <w:szCs w:val="22"/>
              </w:rPr>
              <w:t>Labour Time</w:t>
            </w:r>
          </w:p>
        </w:tc>
        <w:tc>
          <w:tcPr>
            <w:tcW w:w="2160" w:type="dxa"/>
            <w:vAlign w:val="center"/>
          </w:tcPr>
          <w:p w14:paraId="4CA573F4" w14:textId="357EE7DE" w:rsidR="009060C0" w:rsidRDefault="009060C0" w:rsidP="009060C0">
            <w:pPr>
              <w:jc w:val="center"/>
              <w:rPr>
                <w:rFonts w:asciiTheme="minorHAnsi" w:hAnsiTheme="minorHAnsi" w:cstheme="minorBidi"/>
                <w:sz w:val="22"/>
                <w:szCs w:val="22"/>
              </w:rPr>
            </w:pPr>
            <w:r>
              <w:rPr>
                <w:rFonts w:asciiTheme="minorHAnsi" w:hAnsiTheme="minorHAnsi" w:cstheme="minorBidi"/>
                <w:sz w:val="22"/>
                <w:szCs w:val="22"/>
              </w:rPr>
              <w:t>60 mins (1 hour)</w:t>
            </w:r>
          </w:p>
        </w:tc>
        <w:tc>
          <w:tcPr>
            <w:tcW w:w="2160" w:type="dxa"/>
            <w:vAlign w:val="center"/>
          </w:tcPr>
          <w:p w14:paraId="6485EC16" w14:textId="3E8FBFDF" w:rsidR="009060C0" w:rsidRDefault="009060C0" w:rsidP="009060C0">
            <w:pPr>
              <w:jc w:val="center"/>
              <w:rPr>
                <w:rFonts w:asciiTheme="minorHAnsi" w:hAnsiTheme="minorHAnsi" w:cstheme="minorBidi"/>
                <w:sz w:val="22"/>
                <w:szCs w:val="22"/>
              </w:rPr>
            </w:pPr>
            <w:r>
              <w:rPr>
                <w:rFonts w:asciiTheme="minorHAnsi" w:hAnsiTheme="minorHAnsi" w:cstheme="minorBidi"/>
                <w:sz w:val="22"/>
                <w:szCs w:val="22"/>
              </w:rPr>
              <w:t>60 mins (1 hour)</w:t>
            </w:r>
          </w:p>
        </w:tc>
      </w:tr>
      <w:tr w:rsidR="009060C0" w14:paraId="3DBEED5C" w14:textId="00BF073A" w:rsidTr="00652B03">
        <w:trPr>
          <w:jc w:val="center"/>
        </w:trPr>
        <w:tc>
          <w:tcPr>
            <w:tcW w:w="2175" w:type="dxa"/>
            <w:vAlign w:val="center"/>
          </w:tcPr>
          <w:p w14:paraId="733E061C" w14:textId="77777777" w:rsidR="009060C0" w:rsidRDefault="009060C0" w:rsidP="00652B03">
            <w:pPr>
              <w:jc w:val="right"/>
              <w:rPr>
                <w:rFonts w:asciiTheme="minorHAnsi" w:hAnsiTheme="minorHAnsi" w:cstheme="minorBidi"/>
                <w:sz w:val="22"/>
                <w:szCs w:val="22"/>
              </w:rPr>
            </w:pPr>
            <w:r>
              <w:rPr>
                <w:rFonts w:asciiTheme="minorHAnsi" w:hAnsiTheme="minorHAnsi" w:cstheme="minorBidi"/>
                <w:sz w:val="22"/>
                <w:szCs w:val="22"/>
              </w:rPr>
              <w:t>Labour Cost</w:t>
            </w:r>
          </w:p>
        </w:tc>
        <w:tc>
          <w:tcPr>
            <w:tcW w:w="2160" w:type="dxa"/>
            <w:vAlign w:val="center"/>
          </w:tcPr>
          <w:p w14:paraId="2D7D5F54" w14:textId="7A4F8C9A" w:rsidR="009060C0" w:rsidRDefault="009060C0" w:rsidP="009060C0">
            <w:pPr>
              <w:jc w:val="center"/>
              <w:rPr>
                <w:rFonts w:asciiTheme="minorHAnsi" w:hAnsiTheme="minorHAnsi" w:cstheme="minorBidi"/>
                <w:sz w:val="22"/>
                <w:szCs w:val="22"/>
              </w:rPr>
            </w:pPr>
            <w:r>
              <w:rPr>
                <w:rFonts w:asciiTheme="minorHAnsi" w:hAnsiTheme="minorHAnsi" w:cstheme="minorBidi"/>
                <w:sz w:val="22"/>
                <w:szCs w:val="22"/>
              </w:rPr>
              <w:t>£25</w:t>
            </w:r>
          </w:p>
        </w:tc>
        <w:tc>
          <w:tcPr>
            <w:tcW w:w="2160" w:type="dxa"/>
            <w:vAlign w:val="center"/>
          </w:tcPr>
          <w:p w14:paraId="3B84D985" w14:textId="2BC0A65B" w:rsidR="009060C0" w:rsidRDefault="009060C0" w:rsidP="009060C0">
            <w:pPr>
              <w:jc w:val="center"/>
              <w:rPr>
                <w:rFonts w:asciiTheme="minorHAnsi" w:hAnsiTheme="minorHAnsi" w:cstheme="minorBidi"/>
                <w:sz w:val="22"/>
                <w:szCs w:val="22"/>
              </w:rPr>
            </w:pPr>
            <w:r>
              <w:rPr>
                <w:rFonts w:asciiTheme="minorHAnsi" w:hAnsiTheme="minorHAnsi" w:cstheme="minorBidi"/>
                <w:sz w:val="22"/>
                <w:szCs w:val="22"/>
              </w:rPr>
              <w:t>£25</w:t>
            </w:r>
          </w:p>
        </w:tc>
      </w:tr>
      <w:tr w:rsidR="009060C0" w14:paraId="092F0429" w14:textId="7299858D" w:rsidTr="00652B03">
        <w:trPr>
          <w:jc w:val="center"/>
        </w:trPr>
        <w:tc>
          <w:tcPr>
            <w:tcW w:w="2175" w:type="dxa"/>
            <w:vAlign w:val="center"/>
          </w:tcPr>
          <w:p w14:paraId="60A4C613" w14:textId="77777777" w:rsidR="009060C0" w:rsidRDefault="009060C0" w:rsidP="00652B03">
            <w:pPr>
              <w:jc w:val="right"/>
              <w:rPr>
                <w:rFonts w:asciiTheme="minorHAnsi" w:hAnsiTheme="minorHAnsi" w:cstheme="minorBidi"/>
                <w:sz w:val="22"/>
                <w:szCs w:val="22"/>
              </w:rPr>
            </w:pPr>
            <w:r>
              <w:rPr>
                <w:rFonts w:asciiTheme="minorHAnsi" w:hAnsiTheme="minorHAnsi" w:cstheme="minorBidi"/>
                <w:sz w:val="22"/>
                <w:szCs w:val="22"/>
              </w:rPr>
              <w:t>Cost per Batch</w:t>
            </w:r>
          </w:p>
        </w:tc>
        <w:tc>
          <w:tcPr>
            <w:tcW w:w="2160" w:type="dxa"/>
            <w:vAlign w:val="center"/>
          </w:tcPr>
          <w:p w14:paraId="2C4FB712" w14:textId="5968E5DB" w:rsidR="009060C0" w:rsidRDefault="009060C0" w:rsidP="009060C0">
            <w:pPr>
              <w:jc w:val="center"/>
              <w:rPr>
                <w:rFonts w:asciiTheme="minorHAnsi" w:hAnsiTheme="minorHAnsi" w:cstheme="minorBidi"/>
                <w:sz w:val="22"/>
                <w:szCs w:val="22"/>
              </w:rPr>
            </w:pPr>
            <w:r>
              <w:rPr>
                <w:rFonts w:asciiTheme="minorHAnsi" w:hAnsiTheme="minorHAnsi" w:cstheme="minorBidi"/>
                <w:sz w:val="22"/>
                <w:szCs w:val="22"/>
              </w:rPr>
              <w:t>£58.17</w:t>
            </w:r>
          </w:p>
        </w:tc>
        <w:tc>
          <w:tcPr>
            <w:tcW w:w="2160" w:type="dxa"/>
            <w:vAlign w:val="center"/>
          </w:tcPr>
          <w:p w14:paraId="06A56D69" w14:textId="18BAAA75" w:rsidR="009060C0" w:rsidRDefault="009060C0" w:rsidP="009060C0">
            <w:pPr>
              <w:jc w:val="center"/>
              <w:rPr>
                <w:rFonts w:asciiTheme="minorHAnsi" w:hAnsiTheme="minorHAnsi" w:cstheme="minorBidi"/>
                <w:sz w:val="22"/>
                <w:szCs w:val="22"/>
              </w:rPr>
            </w:pPr>
            <w:r>
              <w:rPr>
                <w:rFonts w:asciiTheme="minorHAnsi" w:hAnsiTheme="minorHAnsi" w:cstheme="minorBidi"/>
                <w:sz w:val="22"/>
                <w:szCs w:val="22"/>
              </w:rPr>
              <w:t>£58.17</w:t>
            </w:r>
          </w:p>
        </w:tc>
      </w:tr>
      <w:tr w:rsidR="009060C0" w14:paraId="54FDAFED" w14:textId="1362F9F0" w:rsidTr="00652B03">
        <w:trPr>
          <w:jc w:val="center"/>
        </w:trPr>
        <w:tc>
          <w:tcPr>
            <w:tcW w:w="2175" w:type="dxa"/>
            <w:vAlign w:val="center"/>
          </w:tcPr>
          <w:p w14:paraId="6BBF4B78" w14:textId="77777777" w:rsidR="009060C0" w:rsidRDefault="009060C0" w:rsidP="00652B03">
            <w:pPr>
              <w:jc w:val="right"/>
              <w:rPr>
                <w:rFonts w:asciiTheme="minorHAnsi" w:hAnsiTheme="minorHAnsi" w:cstheme="minorBidi"/>
                <w:sz w:val="22"/>
                <w:szCs w:val="22"/>
              </w:rPr>
            </w:pPr>
            <w:r>
              <w:rPr>
                <w:rFonts w:asciiTheme="minorHAnsi" w:hAnsiTheme="minorHAnsi" w:cstheme="minorBidi"/>
                <w:sz w:val="22"/>
                <w:szCs w:val="22"/>
              </w:rPr>
              <w:t>Cost per Component</w:t>
            </w:r>
          </w:p>
        </w:tc>
        <w:tc>
          <w:tcPr>
            <w:tcW w:w="2160" w:type="dxa"/>
            <w:vAlign w:val="center"/>
          </w:tcPr>
          <w:p w14:paraId="24BF2BBD" w14:textId="4DFAAF3B" w:rsidR="009060C0" w:rsidRDefault="009060C0" w:rsidP="009060C0">
            <w:pPr>
              <w:jc w:val="center"/>
              <w:rPr>
                <w:rFonts w:asciiTheme="minorHAnsi" w:hAnsiTheme="minorHAnsi" w:cstheme="minorBidi"/>
                <w:sz w:val="22"/>
                <w:szCs w:val="22"/>
              </w:rPr>
            </w:pPr>
            <w:r>
              <w:rPr>
                <w:rFonts w:asciiTheme="minorHAnsi" w:hAnsiTheme="minorHAnsi" w:cstheme="minorBidi"/>
                <w:sz w:val="22"/>
                <w:szCs w:val="22"/>
              </w:rPr>
              <w:t>£9.70</w:t>
            </w:r>
          </w:p>
        </w:tc>
        <w:tc>
          <w:tcPr>
            <w:tcW w:w="2160" w:type="dxa"/>
            <w:vAlign w:val="center"/>
          </w:tcPr>
          <w:p w14:paraId="571B26C8" w14:textId="104B636A" w:rsidR="009060C0" w:rsidRDefault="009060C0" w:rsidP="009060C0">
            <w:pPr>
              <w:jc w:val="center"/>
              <w:rPr>
                <w:rFonts w:asciiTheme="minorHAnsi" w:hAnsiTheme="minorHAnsi" w:cstheme="minorBidi"/>
                <w:sz w:val="22"/>
                <w:szCs w:val="22"/>
              </w:rPr>
            </w:pPr>
            <w:r>
              <w:rPr>
                <w:rFonts w:asciiTheme="minorHAnsi" w:hAnsiTheme="minorHAnsi" w:cstheme="minorBidi"/>
                <w:sz w:val="22"/>
                <w:szCs w:val="22"/>
              </w:rPr>
              <w:t>£4.85</w:t>
            </w:r>
          </w:p>
        </w:tc>
      </w:tr>
    </w:tbl>
    <w:p w14:paraId="79DA77CB" w14:textId="425E72B4" w:rsidR="00752012" w:rsidRDefault="00652B03" w:rsidP="00872BDB">
      <w:pPr>
        <w:rPr>
          <w:rFonts w:asciiTheme="minorHAnsi" w:hAnsiTheme="minorHAnsi" w:cstheme="minorBidi"/>
          <w:sz w:val="22"/>
          <w:szCs w:val="22"/>
        </w:rPr>
      </w:pPr>
      <w:r>
        <w:rPr>
          <w:rFonts w:asciiTheme="minorHAnsi" w:hAnsiTheme="minorHAnsi" w:cstheme="minorBidi"/>
          <w:sz w:val="22"/>
          <w:szCs w:val="22"/>
        </w:rPr>
        <w:t xml:space="preserve">The total equipment cost is £96,190. A full breakdown of the cost can be </w:t>
      </w:r>
      <w:r w:rsidRPr="00CF6779">
        <w:rPr>
          <w:rFonts w:asciiTheme="minorHAnsi" w:hAnsiTheme="minorHAnsi" w:cstheme="minorBidi"/>
          <w:sz w:val="22"/>
          <w:szCs w:val="22"/>
        </w:rPr>
        <w:t xml:space="preserve">found in Appendix </w:t>
      </w:r>
      <w:r w:rsidR="00CF6779">
        <w:rPr>
          <w:rFonts w:asciiTheme="minorHAnsi" w:hAnsiTheme="minorHAnsi" w:cstheme="minorBidi"/>
          <w:sz w:val="22"/>
          <w:szCs w:val="22"/>
        </w:rPr>
        <w:t>E</w:t>
      </w:r>
      <w:r>
        <w:rPr>
          <w:rFonts w:asciiTheme="minorHAnsi" w:hAnsiTheme="minorHAnsi" w:cstheme="minorBidi"/>
          <w:sz w:val="22"/>
          <w:szCs w:val="22"/>
        </w:rPr>
        <w:t>. There will be a validation and biocompatibility requirement. The cost of this</w:t>
      </w:r>
      <w:r w:rsidR="00EF2F3F">
        <w:rPr>
          <w:rFonts w:asciiTheme="minorHAnsi" w:hAnsiTheme="minorHAnsi" w:cstheme="minorBidi"/>
          <w:sz w:val="22"/>
          <w:szCs w:val="22"/>
        </w:rPr>
        <w:t xml:space="preserve"> is £35,402.30, making the total capex investment £131,552.30.</w:t>
      </w:r>
    </w:p>
    <w:p w14:paraId="2CF96213" w14:textId="606973FD" w:rsidR="003E5020" w:rsidRPr="008247F0" w:rsidRDefault="009444B1" w:rsidP="003E5020">
      <w:pPr>
        <w:pStyle w:val="Heading1"/>
        <w:rPr>
          <w:rFonts w:asciiTheme="minorHAnsi" w:hAnsiTheme="minorHAnsi" w:cstheme="minorHAnsi"/>
        </w:rPr>
      </w:pPr>
      <w:bookmarkStart w:id="2" w:name="_Toc115644704"/>
      <w:r>
        <w:rPr>
          <w:rFonts w:asciiTheme="minorHAnsi" w:hAnsiTheme="minorHAnsi" w:cstheme="minorHAnsi"/>
        </w:rPr>
        <w:t>Cost Analysis</w:t>
      </w:r>
      <w:bookmarkEnd w:id="2"/>
    </w:p>
    <w:p w14:paraId="4A0C8D66" w14:textId="543F5E73" w:rsidR="004C2B21" w:rsidRPr="00C87B9F" w:rsidRDefault="00BB48B7" w:rsidP="004C2B21">
      <w:pPr>
        <w:rPr>
          <w:rFonts w:asciiTheme="minorHAnsi" w:hAnsiTheme="minorHAnsi" w:cstheme="minorHAnsi"/>
          <w:b/>
          <w:bCs/>
          <w:sz w:val="22"/>
          <w:szCs w:val="22"/>
        </w:rPr>
      </w:pPr>
      <w:r>
        <w:rPr>
          <w:rFonts w:asciiTheme="minorHAnsi" w:hAnsiTheme="minorHAnsi" w:cstheme="minorHAnsi"/>
          <w:b/>
          <w:bCs/>
          <w:sz w:val="22"/>
          <w:szCs w:val="22"/>
        </w:rPr>
        <w:t xml:space="preserve">Savings Over Manual Finishing </w:t>
      </w:r>
    </w:p>
    <w:p w14:paraId="5E996B67" w14:textId="077030AE" w:rsidR="004C2B21" w:rsidRDefault="00BB48B7" w:rsidP="005D0714">
      <w:pPr>
        <w:rPr>
          <w:rFonts w:asciiTheme="minorHAnsi" w:hAnsiTheme="minorHAnsi" w:cstheme="minorBidi"/>
          <w:sz w:val="22"/>
          <w:szCs w:val="22"/>
        </w:rPr>
      </w:pPr>
      <w:r>
        <w:rPr>
          <w:rFonts w:asciiTheme="minorHAnsi" w:hAnsiTheme="minorHAnsi" w:cstheme="minorBidi"/>
          <w:sz w:val="22"/>
          <w:szCs w:val="22"/>
        </w:rPr>
        <w:t xml:space="preserve">The potential cost savings per part if adopting drag finishing is £34.26. Applying this saving over the </w:t>
      </w:r>
      <w:r w:rsidR="000A5CDB">
        <w:rPr>
          <w:rFonts w:asciiTheme="minorHAnsi" w:hAnsiTheme="minorHAnsi" w:cstheme="minorBidi"/>
          <w:sz w:val="22"/>
          <w:szCs w:val="22"/>
        </w:rPr>
        <w:t>demand to January 2023 give the following savings:</w:t>
      </w:r>
    </w:p>
    <w:p w14:paraId="76082D65" w14:textId="62875D94" w:rsidR="000A5CDB" w:rsidRDefault="000A5CDB" w:rsidP="000A5CDB">
      <w:pPr>
        <w:pStyle w:val="ListParagraph"/>
        <w:numPr>
          <w:ilvl w:val="0"/>
          <w:numId w:val="14"/>
        </w:numPr>
        <w:rPr>
          <w:rFonts w:asciiTheme="minorHAnsi" w:hAnsiTheme="minorHAnsi" w:cstheme="minorBidi"/>
          <w:sz w:val="22"/>
          <w:szCs w:val="22"/>
        </w:rPr>
      </w:pPr>
      <w:r>
        <w:rPr>
          <w:rFonts w:asciiTheme="minorHAnsi" w:hAnsiTheme="minorHAnsi" w:cstheme="minorBidi"/>
          <w:sz w:val="22"/>
          <w:szCs w:val="22"/>
        </w:rPr>
        <w:t>Yr1-£284,395.12 (Apr’23 to Dec’23)</w:t>
      </w:r>
    </w:p>
    <w:p w14:paraId="1D363934" w14:textId="1A9540C4" w:rsidR="000A5CDB" w:rsidRDefault="000A5CDB" w:rsidP="000A5CDB">
      <w:pPr>
        <w:pStyle w:val="ListParagraph"/>
        <w:numPr>
          <w:ilvl w:val="0"/>
          <w:numId w:val="14"/>
        </w:numPr>
        <w:rPr>
          <w:rFonts w:asciiTheme="minorHAnsi" w:hAnsiTheme="minorHAnsi" w:cstheme="minorBidi"/>
          <w:sz w:val="22"/>
          <w:szCs w:val="22"/>
        </w:rPr>
      </w:pPr>
      <w:r>
        <w:rPr>
          <w:rFonts w:asciiTheme="minorHAnsi" w:hAnsiTheme="minorHAnsi" w:cstheme="minorBidi"/>
          <w:sz w:val="22"/>
          <w:szCs w:val="22"/>
        </w:rPr>
        <w:t>Yr2-£373,321.39</w:t>
      </w:r>
    </w:p>
    <w:p w14:paraId="6AE250CE" w14:textId="44932536" w:rsidR="000A5CDB" w:rsidRDefault="000A5CDB" w:rsidP="000A5CDB">
      <w:pPr>
        <w:pStyle w:val="ListParagraph"/>
        <w:numPr>
          <w:ilvl w:val="0"/>
          <w:numId w:val="14"/>
        </w:numPr>
        <w:rPr>
          <w:rFonts w:asciiTheme="minorHAnsi" w:hAnsiTheme="minorHAnsi" w:cstheme="minorBidi"/>
          <w:sz w:val="22"/>
          <w:szCs w:val="22"/>
        </w:rPr>
      </w:pPr>
      <w:r>
        <w:rPr>
          <w:rFonts w:asciiTheme="minorHAnsi" w:hAnsiTheme="minorHAnsi" w:cstheme="minorBidi"/>
          <w:sz w:val="22"/>
          <w:szCs w:val="22"/>
        </w:rPr>
        <w:t>Yr3-£5,396.34 (Demand for Jan’25 only)</w:t>
      </w:r>
    </w:p>
    <w:p w14:paraId="1E74EEF2" w14:textId="31D309D4" w:rsidR="000A5CDB" w:rsidRPr="000A5CDB" w:rsidRDefault="000A5CDB" w:rsidP="00872BDB">
      <w:pPr>
        <w:rPr>
          <w:rFonts w:asciiTheme="minorHAnsi" w:hAnsiTheme="minorHAnsi" w:cstheme="minorBidi"/>
          <w:sz w:val="22"/>
          <w:szCs w:val="22"/>
        </w:rPr>
      </w:pPr>
      <w:r>
        <w:rPr>
          <w:rFonts w:asciiTheme="minorHAnsi" w:hAnsiTheme="minorHAnsi" w:cstheme="minorBidi"/>
          <w:sz w:val="22"/>
          <w:szCs w:val="22"/>
        </w:rPr>
        <w:t xml:space="preserve">These figures do not include energy costs though the savings would be greater if they were included in the calculations. This is due to the requirement to not only scale up available headcount to complete the demand, but also increasing the number of polishing spindles </w:t>
      </w:r>
      <w:r w:rsidR="00910F94">
        <w:rPr>
          <w:rFonts w:asciiTheme="minorHAnsi" w:hAnsiTheme="minorHAnsi" w:cstheme="minorBidi"/>
          <w:sz w:val="22"/>
          <w:szCs w:val="22"/>
        </w:rPr>
        <w:t>needed</w:t>
      </w:r>
      <w:r>
        <w:rPr>
          <w:rFonts w:asciiTheme="minorHAnsi" w:hAnsiTheme="minorHAnsi" w:cstheme="minorBidi"/>
          <w:sz w:val="22"/>
          <w:szCs w:val="22"/>
        </w:rPr>
        <w:t>, thus increasing demand on the site’s energy supply.</w:t>
      </w:r>
    </w:p>
    <w:p w14:paraId="15B9608E" w14:textId="0C21BFAB" w:rsidR="00BB48B7" w:rsidRPr="00C87B9F" w:rsidRDefault="000A5CDB" w:rsidP="00BB48B7">
      <w:pPr>
        <w:spacing w:before="240"/>
        <w:rPr>
          <w:rFonts w:asciiTheme="minorHAnsi" w:hAnsiTheme="minorHAnsi" w:cstheme="minorHAnsi"/>
          <w:b/>
          <w:bCs/>
          <w:sz w:val="22"/>
          <w:szCs w:val="22"/>
        </w:rPr>
      </w:pPr>
      <w:r>
        <w:rPr>
          <w:rFonts w:asciiTheme="minorHAnsi" w:hAnsiTheme="minorHAnsi" w:cstheme="minorHAnsi"/>
          <w:b/>
          <w:bCs/>
          <w:sz w:val="22"/>
          <w:szCs w:val="22"/>
        </w:rPr>
        <w:t>Returns and Investment Payback</w:t>
      </w:r>
    </w:p>
    <w:p w14:paraId="03B9F464" w14:textId="3B14926A" w:rsidR="00BB48B7" w:rsidRDefault="000A5CDB" w:rsidP="005D0714">
      <w:pPr>
        <w:spacing w:after="240"/>
        <w:rPr>
          <w:rFonts w:asciiTheme="minorHAnsi" w:hAnsiTheme="minorHAnsi" w:cstheme="minorBidi"/>
          <w:sz w:val="22"/>
          <w:szCs w:val="22"/>
        </w:rPr>
      </w:pPr>
      <w:r>
        <w:rPr>
          <w:rFonts w:asciiTheme="minorHAnsi" w:hAnsiTheme="minorHAnsi" w:cstheme="minorBidi"/>
          <w:sz w:val="22"/>
          <w:szCs w:val="22"/>
        </w:rPr>
        <w:t xml:space="preserve">The total investment </w:t>
      </w:r>
      <w:r w:rsidR="00910F94">
        <w:rPr>
          <w:rFonts w:asciiTheme="minorHAnsi" w:hAnsiTheme="minorHAnsi" w:cstheme="minorBidi"/>
          <w:sz w:val="22"/>
          <w:szCs w:val="22"/>
        </w:rPr>
        <w:t>needed</w:t>
      </w:r>
      <w:r>
        <w:rPr>
          <w:rFonts w:asciiTheme="minorHAnsi" w:hAnsiTheme="minorHAnsi" w:cstheme="minorBidi"/>
          <w:sz w:val="22"/>
          <w:szCs w:val="22"/>
        </w:rPr>
        <w:t xml:space="preserve"> for the introduction of drag finishing to the Tibial Tray cell is £131,552.30.</w:t>
      </w:r>
      <w:r w:rsidR="005D0714">
        <w:rPr>
          <w:rFonts w:asciiTheme="minorHAnsi" w:hAnsiTheme="minorHAnsi" w:cstheme="minorBidi"/>
          <w:sz w:val="22"/>
          <w:szCs w:val="22"/>
        </w:rPr>
        <w:t xml:space="preserve"> Currently the weighted average cost of capital (WACC), sits at 9%. Due to the high savings, the payback period has been calculated in months, so a WACC of 0.75% has been used. The corporate standard indicators for project appraisals and investments are as follows:</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05"/>
        <w:gridCol w:w="1367"/>
      </w:tblGrid>
      <w:tr w:rsidR="005D0714" w14:paraId="3933AB7D" w14:textId="77777777" w:rsidTr="005D0714">
        <w:trPr>
          <w:jc w:val="center"/>
        </w:trPr>
        <w:tc>
          <w:tcPr>
            <w:tcW w:w="2105" w:type="dxa"/>
            <w:vAlign w:val="center"/>
          </w:tcPr>
          <w:p w14:paraId="74A11B8F" w14:textId="284DF8E1" w:rsidR="005D0714" w:rsidRDefault="005D0714" w:rsidP="005D0714">
            <w:pPr>
              <w:jc w:val="right"/>
              <w:rPr>
                <w:rFonts w:asciiTheme="minorHAnsi" w:hAnsiTheme="minorHAnsi" w:cstheme="minorBidi"/>
                <w:sz w:val="22"/>
                <w:szCs w:val="22"/>
              </w:rPr>
            </w:pPr>
            <w:r>
              <w:rPr>
                <w:rFonts w:asciiTheme="minorHAnsi" w:hAnsiTheme="minorHAnsi" w:cstheme="minorBidi"/>
                <w:sz w:val="22"/>
                <w:szCs w:val="22"/>
              </w:rPr>
              <w:t>Total Investment</w:t>
            </w:r>
          </w:p>
        </w:tc>
        <w:tc>
          <w:tcPr>
            <w:tcW w:w="1367" w:type="dxa"/>
            <w:vAlign w:val="center"/>
          </w:tcPr>
          <w:p w14:paraId="63AB2EEA" w14:textId="2D5632ED" w:rsidR="005D0714" w:rsidRDefault="003B5737" w:rsidP="005D0714">
            <w:pPr>
              <w:jc w:val="center"/>
              <w:rPr>
                <w:rFonts w:asciiTheme="minorHAnsi" w:hAnsiTheme="minorHAnsi" w:cstheme="minorBidi"/>
                <w:sz w:val="22"/>
                <w:szCs w:val="22"/>
              </w:rPr>
            </w:pPr>
            <w:r>
              <w:rPr>
                <w:rFonts w:asciiTheme="minorHAnsi" w:hAnsiTheme="minorHAnsi" w:cstheme="minorBidi"/>
                <w:sz w:val="22"/>
                <w:szCs w:val="22"/>
              </w:rPr>
              <w:t>£</w:t>
            </w:r>
            <w:r w:rsidR="005D0714">
              <w:rPr>
                <w:rFonts w:asciiTheme="minorHAnsi" w:hAnsiTheme="minorHAnsi" w:cstheme="minorBidi"/>
                <w:sz w:val="22"/>
                <w:szCs w:val="22"/>
              </w:rPr>
              <w:t>131,552.30</w:t>
            </w:r>
          </w:p>
        </w:tc>
      </w:tr>
      <w:tr w:rsidR="005D0714" w14:paraId="5D0864A1" w14:textId="77777777" w:rsidTr="005D0714">
        <w:trPr>
          <w:jc w:val="center"/>
        </w:trPr>
        <w:tc>
          <w:tcPr>
            <w:tcW w:w="2105" w:type="dxa"/>
            <w:vAlign w:val="center"/>
          </w:tcPr>
          <w:p w14:paraId="0E46A425" w14:textId="3EBC0179" w:rsidR="005D0714" w:rsidRDefault="005D0714" w:rsidP="005D0714">
            <w:pPr>
              <w:jc w:val="right"/>
              <w:rPr>
                <w:rFonts w:asciiTheme="minorHAnsi" w:hAnsiTheme="minorHAnsi" w:cstheme="minorBidi"/>
                <w:sz w:val="22"/>
                <w:szCs w:val="22"/>
              </w:rPr>
            </w:pPr>
            <w:r>
              <w:rPr>
                <w:rFonts w:asciiTheme="minorHAnsi" w:hAnsiTheme="minorHAnsi" w:cstheme="minorBidi"/>
                <w:sz w:val="22"/>
                <w:szCs w:val="22"/>
              </w:rPr>
              <w:t>Timescale</w:t>
            </w:r>
          </w:p>
        </w:tc>
        <w:tc>
          <w:tcPr>
            <w:tcW w:w="1367" w:type="dxa"/>
            <w:vAlign w:val="center"/>
          </w:tcPr>
          <w:p w14:paraId="4713C8BA" w14:textId="131765B3" w:rsidR="005D0714" w:rsidRDefault="005D0714" w:rsidP="005D0714">
            <w:pPr>
              <w:jc w:val="center"/>
              <w:rPr>
                <w:rFonts w:asciiTheme="minorHAnsi" w:hAnsiTheme="minorHAnsi" w:cstheme="minorBidi"/>
                <w:sz w:val="22"/>
                <w:szCs w:val="22"/>
              </w:rPr>
            </w:pPr>
            <w:r>
              <w:rPr>
                <w:rFonts w:asciiTheme="minorHAnsi" w:hAnsiTheme="minorHAnsi" w:cstheme="minorBidi"/>
                <w:sz w:val="22"/>
                <w:szCs w:val="22"/>
              </w:rPr>
              <w:t>22 months</w:t>
            </w:r>
          </w:p>
        </w:tc>
      </w:tr>
      <w:tr w:rsidR="005D0714" w14:paraId="76CDA35E" w14:textId="77777777" w:rsidTr="005D0714">
        <w:trPr>
          <w:jc w:val="center"/>
        </w:trPr>
        <w:tc>
          <w:tcPr>
            <w:tcW w:w="2105" w:type="dxa"/>
            <w:vAlign w:val="center"/>
          </w:tcPr>
          <w:p w14:paraId="26096542" w14:textId="55DFF8E8" w:rsidR="005D0714" w:rsidRDefault="005D0714" w:rsidP="005D0714">
            <w:pPr>
              <w:jc w:val="right"/>
              <w:rPr>
                <w:rFonts w:asciiTheme="minorHAnsi" w:hAnsiTheme="minorHAnsi" w:cstheme="minorBidi"/>
                <w:sz w:val="22"/>
                <w:szCs w:val="22"/>
              </w:rPr>
            </w:pPr>
            <w:r>
              <w:rPr>
                <w:rFonts w:asciiTheme="minorHAnsi" w:hAnsiTheme="minorHAnsi" w:cstheme="minorBidi"/>
                <w:sz w:val="22"/>
                <w:szCs w:val="22"/>
              </w:rPr>
              <w:t>WACC</w:t>
            </w:r>
          </w:p>
        </w:tc>
        <w:tc>
          <w:tcPr>
            <w:tcW w:w="1367" w:type="dxa"/>
            <w:vAlign w:val="center"/>
          </w:tcPr>
          <w:p w14:paraId="517E569D" w14:textId="00B500EE" w:rsidR="005D0714" w:rsidRDefault="005D0714" w:rsidP="005D0714">
            <w:pPr>
              <w:jc w:val="center"/>
              <w:rPr>
                <w:rFonts w:asciiTheme="minorHAnsi" w:hAnsiTheme="minorHAnsi" w:cstheme="minorBidi"/>
                <w:sz w:val="22"/>
                <w:szCs w:val="22"/>
              </w:rPr>
            </w:pPr>
            <w:r>
              <w:rPr>
                <w:rFonts w:asciiTheme="minorHAnsi" w:hAnsiTheme="minorHAnsi" w:cstheme="minorBidi"/>
                <w:sz w:val="22"/>
                <w:szCs w:val="22"/>
              </w:rPr>
              <w:t>0.75%</w:t>
            </w:r>
          </w:p>
        </w:tc>
      </w:tr>
      <w:tr w:rsidR="005D0714" w14:paraId="04D8E1E3" w14:textId="77777777" w:rsidTr="005D0714">
        <w:trPr>
          <w:jc w:val="center"/>
        </w:trPr>
        <w:tc>
          <w:tcPr>
            <w:tcW w:w="2105" w:type="dxa"/>
            <w:vAlign w:val="center"/>
          </w:tcPr>
          <w:p w14:paraId="4A014149" w14:textId="23EED59A" w:rsidR="005D0714" w:rsidRDefault="005D0714" w:rsidP="005D0714">
            <w:pPr>
              <w:jc w:val="right"/>
              <w:rPr>
                <w:rFonts w:asciiTheme="minorHAnsi" w:hAnsiTheme="minorHAnsi" w:cstheme="minorBidi"/>
                <w:sz w:val="22"/>
                <w:szCs w:val="22"/>
              </w:rPr>
            </w:pPr>
            <w:r>
              <w:rPr>
                <w:rFonts w:asciiTheme="minorHAnsi" w:hAnsiTheme="minorHAnsi" w:cstheme="minorBidi"/>
                <w:sz w:val="22"/>
                <w:szCs w:val="22"/>
              </w:rPr>
              <w:t>Payback Period</w:t>
            </w:r>
          </w:p>
        </w:tc>
        <w:tc>
          <w:tcPr>
            <w:tcW w:w="1367" w:type="dxa"/>
            <w:vAlign w:val="center"/>
          </w:tcPr>
          <w:p w14:paraId="2D327C57" w14:textId="506285D3" w:rsidR="005D0714" w:rsidRDefault="005D0714" w:rsidP="005D0714">
            <w:pPr>
              <w:jc w:val="center"/>
              <w:rPr>
                <w:rFonts w:asciiTheme="minorHAnsi" w:hAnsiTheme="minorHAnsi" w:cstheme="minorBidi"/>
                <w:sz w:val="22"/>
                <w:szCs w:val="22"/>
              </w:rPr>
            </w:pPr>
            <w:r>
              <w:rPr>
                <w:rFonts w:asciiTheme="minorHAnsi" w:hAnsiTheme="minorHAnsi" w:cstheme="minorBidi"/>
                <w:sz w:val="22"/>
                <w:szCs w:val="22"/>
              </w:rPr>
              <w:t>4 ½ months</w:t>
            </w:r>
          </w:p>
        </w:tc>
      </w:tr>
      <w:tr w:rsidR="00872BDB" w14:paraId="2E8E05DB" w14:textId="77777777" w:rsidTr="005D0714">
        <w:trPr>
          <w:jc w:val="center"/>
        </w:trPr>
        <w:tc>
          <w:tcPr>
            <w:tcW w:w="2105" w:type="dxa"/>
            <w:vAlign w:val="center"/>
          </w:tcPr>
          <w:p w14:paraId="433EA378" w14:textId="2442F0F6" w:rsidR="00872BDB" w:rsidRDefault="00872BDB" w:rsidP="005D0714">
            <w:pPr>
              <w:jc w:val="right"/>
              <w:rPr>
                <w:rFonts w:asciiTheme="minorHAnsi" w:hAnsiTheme="minorHAnsi" w:cstheme="minorBidi"/>
                <w:sz w:val="22"/>
                <w:szCs w:val="22"/>
              </w:rPr>
            </w:pPr>
            <w:r>
              <w:rPr>
                <w:rFonts w:asciiTheme="minorHAnsi" w:hAnsiTheme="minorHAnsi" w:cstheme="minorBidi"/>
                <w:sz w:val="22"/>
                <w:szCs w:val="22"/>
              </w:rPr>
              <w:t>NPV</w:t>
            </w:r>
          </w:p>
        </w:tc>
        <w:tc>
          <w:tcPr>
            <w:tcW w:w="1367" w:type="dxa"/>
            <w:vAlign w:val="center"/>
          </w:tcPr>
          <w:p w14:paraId="5511FFC5" w14:textId="2A2C79FB" w:rsidR="00872BDB" w:rsidRDefault="00872BDB" w:rsidP="005D0714">
            <w:pPr>
              <w:jc w:val="center"/>
              <w:rPr>
                <w:rFonts w:asciiTheme="minorHAnsi" w:hAnsiTheme="minorHAnsi" w:cstheme="minorBidi"/>
                <w:sz w:val="22"/>
                <w:szCs w:val="22"/>
              </w:rPr>
            </w:pPr>
            <w:r>
              <w:rPr>
                <w:rFonts w:asciiTheme="minorHAnsi" w:hAnsiTheme="minorHAnsi" w:cstheme="minorBidi"/>
                <w:sz w:val="22"/>
                <w:szCs w:val="22"/>
              </w:rPr>
              <w:t>£176,33.28</w:t>
            </w:r>
          </w:p>
        </w:tc>
      </w:tr>
      <w:tr w:rsidR="005D0714" w14:paraId="477C4420" w14:textId="77777777" w:rsidTr="005D0714">
        <w:trPr>
          <w:jc w:val="center"/>
        </w:trPr>
        <w:tc>
          <w:tcPr>
            <w:tcW w:w="2105" w:type="dxa"/>
            <w:vAlign w:val="center"/>
          </w:tcPr>
          <w:p w14:paraId="0F5E717F" w14:textId="40BDC68A" w:rsidR="005D0714" w:rsidRDefault="005D0714" w:rsidP="005D0714">
            <w:pPr>
              <w:jc w:val="right"/>
              <w:rPr>
                <w:rFonts w:asciiTheme="minorHAnsi" w:hAnsiTheme="minorHAnsi" w:cstheme="minorBidi"/>
                <w:sz w:val="22"/>
                <w:szCs w:val="22"/>
              </w:rPr>
            </w:pPr>
            <w:r>
              <w:rPr>
                <w:rFonts w:asciiTheme="minorHAnsi" w:hAnsiTheme="minorHAnsi" w:cstheme="minorBidi"/>
                <w:sz w:val="22"/>
                <w:szCs w:val="22"/>
              </w:rPr>
              <w:t>Rate of Return (IRR)</w:t>
            </w:r>
          </w:p>
        </w:tc>
        <w:tc>
          <w:tcPr>
            <w:tcW w:w="1367" w:type="dxa"/>
            <w:vAlign w:val="center"/>
          </w:tcPr>
          <w:p w14:paraId="3534D92C" w14:textId="4460BB34" w:rsidR="005D0714" w:rsidRDefault="005D0714" w:rsidP="005D0714">
            <w:pPr>
              <w:jc w:val="center"/>
              <w:rPr>
                <w:rFonts w:asciiTheme="minorHAnsi" w:hAnsiTheme="minorHAnsi" w:cstheme="minorBidi"/>
                <w:sz w:val="22"/>
                <w:szCs w:val="22"/>
              </w:rPr>
            </w:pPr>
            <w:r>
              <w:rPr>
                <w:rFonts w:asciiTheme="minorHAnsi" w:hAnsiTheme="minorHAnsi" w:cstheme="minorBidi"/>
                <w:sz w:val="22"/>
                <w:szCs w:val="22"/>
              </w:rPr>
              <w:t>18.38%</w:t>
            </w:r>
          </w:p>
        </w:tc>
      </w:tr>
    </w:tbl>
    <w:p w14:paraId="1EE9907C" w14:textId="104080AF" w:rsidR="005D0714" w:rsidRDefault="005D0714" w:rsidP="00BB48B7">
      <w:pPr>
        <w:rPr>
          <w:rFonts w:asciiTheme="minorHAnsi" w:hAnsiTheme="minorHAnsi" w:cstheme="minorBidi"/>
          <w:sz w:val="22"/>
          <w:szCs w:val="22"/>
        </w:rPr>
      </w:pPr>
      <w:r>
        <w:rPr>
          <w:rFonts w:asciiTheme="minorHAnsi" w:hAnsiTheme="minorHAnsi" w:cstheme="minorBidi"/>
          <w:sz w:val="22"/>
          <w:szCs w:val="22"/>
        </w:rPr>
        <w:t>These figures have been checked by calculating the Profitability Index (PI), and the Benefit Cost Ratio (BCR).</w:t>
      </w:r>
      <w:r w:rsidR="001C7DB3">
        <w:rPr>
          <w:rFonts w:asciiTheme="minorHAnsi" w:hAnsiTheme="minorHAnsi" w:cstheme="minorBidi"/>
          <w:sz w:val="22"/>
          <w:szCs w:val="22"/>
        </w:rPr>
        <w:t xml:space="preserve"> When calculating PI, the figure remains below 1.0 until the initial investment has been recovered. BCR has a similar function only it will display a negative until such time that the investment costs have been recovered. When this happens, </w:t>
      </w:r>
      <w:r w:rsidR="007D4DD4">
        <w:rPr>
          <w:rFonts w:asciiTheme="minorHAnsi" w:hAnsiTheme="minorHAnsi" w:cstheme="minorBidi"/>
          <w:sz w:val="22"/>
          <w:szCs w:val="22"/>
        </w:rPr>
        <w:t>BCR</w:t>
      </w:r>
      <w:r w:rsidR="001C7DB3">
        <w:rPr>
          <w:rFonts w:asciiTheme="minorHAnsi" w:hAnsiTheme="minorHAnsi" w:cstheme="minorBidi"/>
          <w:sz w:val="22"/>
          <w:szCs w:val="22"/>
        </w:rPr>
        <w:t xml:space="preserve"> will equal PI-1. The resulting PI and BCR figures are as follows:</w:t>
      </w:r>
    </w:p>
    <w:p w14:paraId="7BDED1FA" w14:textId="6ED53BFD" w:rsidR="001C7DB3" w:rsidRDefault="001C7DB3" w:rsidP="001C7DB3">
      <w:pPr>
        <w:pStyle w:val="ListParagraph"/>
        <w:numPr>
          <w:ilvl w:val="0"/>
          <w:numId w:val="15"/>
        </w:numPr>
        <w:rPr>
          <w:rFonts w:asciiTheme="minorHAnsi" w:hAnsiTheme="minorHAnsi" w:cstheme="minorBidi"/>
          <w:sz w:val="22"/>
          <w:szCs w:val="22"/>
        </w:rPr>
      </w:pPr>
      <w:r>
        <w:rPr>
          <w:rFonts w:asciiTheme="minorHAnsi" w:hAnsiTheme="minorHAnsi" w:cstheme="minorBidi"/>
          <w:sz w:val="22"/>
          <w:szCs w:val="22"/>
        </w:rPr>
        <w:t>PI=2.34</w:t>
      </w:r>
    </w:p>
    <w:p w14:paraId="056B5E10" w14:textId="5EEC6B16" w:rsidR="001C7DB3" w:rsidRDefault="001C7DB3" w:rsidP="001C7DB3">
      <w:pPr>
        <w:pStyle w:val="ListParagraph"/>
        <w:numPr>
          <w:ilvl w:val="0"/>
          <w:numId w:val="15"/>
        </w:numPr>
        <w:rPr>
          <w:rFonts w:asciiTheme="minorHAnsi" w:hAnsiTheme="minorHAnsi" w:cstheme="minorBidi"/>
          <w:sz w:val="22"/>
          <w:szCs w:val="22"/>
        </w:rPr>
      </w:pPr>
      <w:r>
        <w:rPr>
          <w:rFonts w:asciiTheme="minorHAnsi" w:hAnsiTheme="minorHAnsi" w:cstheme="minorBidi"/>
          <w:sz w:val="22"/>
          <w:szCs w:val="22"/>
        </w:rPr>
        <w:t>BCR=1</w:t>
      </w:r>
      <w:r w:rsidR="003B5737">
        <w:rPr>
          <w:rFonts w:asciiTheme="minorHAnsi" w:hAnsiTheme="minorHAnsi" w:cstheme="minorBidi"/>
          <w:sz w:val="22"/>
          <w:szCs w:val="22"/>
        </w:rPr>
        <w:t>.</w:t>
      </w:r>
      <w:r>
        <w:rPr>
          <w:rFonts w:asciiTheme="minorHAnsi" w:hAnsiTheme="minorHAnsi" w:cstheme="minorBidi"/>
          <w:sz w:val="22"/>
          <w:szCs w:val="22"/>
        </w:rPr>
        <w:t>34</w:t>
      </w:r>
    </w:p>
    <w:p w14:paraId="591AE949" w14:textId="76D6ACD8" w:rsidR="001C7DB3" w:rsidRDefault="001C7DB3" w:rsidP="001C7DB3">
      <w:pPr>
        <w:rPr>
          <w:rFonts w:asciiTheme="minorHAnsi" w:hAnsiTheme="minorHAnsi" w:cstheme="minorBidi"/>
          <w:sz w:val="22"/>
          <w:szCs w:val="22"/>
        </w:rPr>
      </w:pPr>
      <w:r>
        <w:rPr>
          <w:rFonts w:asciiTheme="minorHAnsi" w:hAnsiTheme="minorHAnsi" w:cstheme="minorBidi"/>
          <w:sz w:val="22"/>
          <w:szCs w:val="22"/>
        </w:rPr>
        <w:t>These figures indicate that the figures calculated previously are correct.</w:t>
      </w:r>
    </w:p>
    <w:p w14:paraId="48B36FFB" w14:textId="39D330F6" w:rsidR="007F773B" w:rsidRDefault="007F773B" w:rsidP="001C7DB3">
      <w:pPr>
        <w:rPr>
          <w:rFonts w:asciiTheme="minorHAnsi" w:hAnsiTheme="minorHAnsi" w:cstheme="minorBidi"/>
          <w:sz w:val="22"/>
          <w:szCs w:val="22"/>
        </w:rPr>
      </w:pPr>
      <w:r>
        <w:rPr>
          <w:rFonts w:asciiTheme="minorHAnsi" w:hAnsiTheme="minorHAnsi" w:cstheme="minorBidi"/>
          <w:sz w:val="22"/>
          <w:szCs w:val="22"/>
        </w:rPr>
        <w:t xml:space="preserve">The above corporate standards and terms are not very well known outside of the financial Teams. Because of this, </w:t>
      </w:r>
      <w:r w:rsidR="00910F94">
        <w:rPr>
          <w:rFonts w:asciiTheme="minorHAnsi" w:hAnsiTheme="minorHAnsi" w:cstheme="minorBidi"/>
          <w:sz w:val="22"/>
          <w:szCs w:val="22"/>
        </w:rPr>
        <w:t>more</w:t>
      </w:r>
      <w:r>
        <w:rPr>
          <w:rFonts w:asciiTheme="minorHAnsi" w:hAnsiTheme="minorHAnsi" w:cstheme="minorBidi"/>
          <w:sz w:val="22"/>
          <w:szCs w:val="22"/>
        </w:rPr>
        <w:t xml:space="preserve"> calculations were made to show the total net income and the accounting rate of return (ARR). These calculations are as follows:</w:t>
      </w:r>
    </w:p>
    <w:tbl>
      <w:tblPr>
        <w:tblW w:w="3229" w:type="dxa"/>
        <w:jc w:val="center"/>
        <w:tblCellMar>
          <w:left w:w="0" w:type="dxa"/>
          <w:right w:w="0" w:type="dxa"/>
        </w:tblCellMar>
        <w:tblLook w:val="0600" w:firstRow="0" w:lastRow="0" w:firstColumn="0" w:lastColumn="0" w:noHBand="1" w:noVBand="1"/>
      </w:tblPr>
      <w:tblGrid>
        <w:gridCol w:w="1905"/>
        <w:gridCol w:w="1324"/>
      </w:tblGrid>
      <w:tr w:rsidR="007F773B" w:rsidRPr="004F1742" w14:paraId="1A3C993C" w14:textId="77777777" w:rsidTr="007F773B">
        <w:trPr>
          <w:trHeight w:val="198"/>
          <w:jc w:val="center"/>
        </w:trPr>
        <w:tc>
          <w:tcPr>
            <w:tcW w:w="1905" w:type="dxa"/>
            <w:shd w:val="clear" w:color="auto" w:fill="auto"/>
            <w:tcMar>
              <w:top w:w="15" w:type="dxa"/>
              <w:left w:w="15" w:type="dxa"/>
              <w:bottom w:w="0" w:type="dxa"/>
              <w:right w:w="15" w:type="dxa"/>
            </w:tcMar>
            <w:vAlign w:val="center"/>
            <w:hideMark/>
          </w:tcPr>
          <w:p w14:paraId="58881E10" w14:textId="77777777" w:rsidR="007F773B" w:rsidRPr="004F1742" w:rsidRDefault="007F773B" w:rsidP="00D73FD7">
            <w:pPr>
              <w:jc w:val="right"/>
              <w:rPr>
                <w:rFonts w:asciiTheme="minorHAnsi" w:hAnsiTheme="minorHAnsi" w:cstheme="minorBidi"/>
                <w:sz w:val="22"/>
                <w:szCs w:val="22"/>
              </w:rPr>
            </w:pPr>
            <w:r>
              <w:rPr>
                <w:rFonts w:asciiTheme="minorHAnsi" w:hAnsiTheme="minorHAnsi" w:cstheme="minorBidi"/>
                <w:sz w:val="22"/>
                <w:szCs w:val="22"/>
              </w:rPr>
              <w:t>*</w:t>
            </w:r>
            <w:r w:rsidRPr="004F1742">
              <w:rPr>
                <w:rFonts w:asciiTheme="minorHAnsi" w:hAnsiTheme="minorHAnsi" w:cstheme="minorBidi"/>
                <w:sz w:val="22"/>
                <w:szCs w:val="22"/>
              </w:rPr>
              <w:t>Depreciation</w:t>
            </w:r>
          </w:p>
        </w:tc>
        <w:tc>
          <w:tcPr>
            <w:tcW w:w="1324" w:type="dxa"/>
            <w:shd w:val="clear" w:color="auto" w:fill="auto"/>
            <w:tcMar>
              <w:top w:w="15" w:type="dxa"/>
              <w:left w:w="15" w:type="dxa"/>
              <w:bottom w:w="0" w:type="dxa"/>
              <w:right w:w="15" w:type="dxa"/>
            </w:tcMar>
            <w:vAlign w:val="center"/>
            <w:hideMark/>
          </w:tcPr>
          <w:p w14:paraId="78F64186" w14:textId="77777777" w:rsidR="007F773B" w:rsidRPr="004F1742" w:rsidRDefault="007F773B" w:rsidP="00D73FD7">
            <w:pPr>
              <w:jc w:val="center"/>
              <w:rPr>
                <w:rFonts w:asciiTheme="minorHAnsi" w:hAnsiTheme="minorHAnsi" w:cstheme="minorBidi"/>
                <w:sz w:val="22"/>
                <w:szCs w:val="22"/>
              </w:rPr>
            </w:pPr>
            <w:r w:rsidRPr="004F1742">
              <w:rPr>
                <w:rFonts w:asciiTheme="minorHAnsi" w:hAnsiTheme="minorHAnsi" w:cstheme="minorBidi"/>
                <w:sz w:val="22"/>
                <w:szCs w:val="22"/>
              </w:rPr>
              <w:t>£5,978.29</w:t>
            </w:r>
          </w:p>
        </w:tc>
      </w:tr>
      <w:tr w:rsidR="007F773B" w:rsidRPr="004F1742" w14:paraId="02D84316" w14:textId="77777777" w:rsidTr="007F773B">
        <w:trPr>
          <w:trHeight w:val="268"/>
          <w:jc w:val="center"/>
        </w:trPr>
        <w:tc>
          <w:tcPr>
            <w:tcW w:w="1905" w:type="dxa"/>
            <w:shd w:val="clear" w:color="auto" w:fill="auto"/>
            <w:tcMar>
              <w:top w:w="15" w:type="dxa"/>
              <w:left w:w="15" w:type="dxa"/>
              <w:bottom w:w="0" w:type="dxa"/>
              <w:right w:w="15" w:type="dxa"/>
            </w:tcMar>
            <w:vAlign w:val="center"/>
            <w:hideMark/>
          </w:tcPr>
          <w:p w14:paraId="5DD3C78D" w14:textId="77777777" w:rsidR="007F773B" w:rsidRPr="004F1742" w:rsidRDefault="007F773B" w:rsidP="00D73FD7">
            <w:pPr>
              <w:jc w:val="right"/>
              <w:rPr>
                <w:rFonts w:asciiTheme="minorHAnsi" w:hAnsiTheme="minorHAnsi" w:cstheme="minorBidi"/>
                <w:sz w:val="22"/>
                <w:szCs w:val="22"/>
              </w:rPr>
            </w:pPr>
            <w:r w:rsidRPr="004F1742">
              <w:rPr>
                <w:rFonts w:asciiTheme="minorHAnsi" w:hAnsiTheme="minorHAnsi" w:cstheme="minorBidi"/>
                <w:sz w:val="22"/>
                <w:szCs w:val="22"/>
              </w:rPr>
              <w:t>ARR</w:t>
            </w:r>
          </w:p>
        </w:tc>
        <w:tc>
          <w:tcPr>
            <w:tcW w:w="1324" w:type="dxa"/>
            <w:shd w:val="clear" w:color="auto" w:fill="auto"/>
            <w:tcMar>
              <w:top w:w="15" w:type="dxa"/>
              <w:left w:w="15" w:type="dxa"/>
              <w:bottom w:w="0" w:type="dxa"/>
              <w:right w:w="15" w:type="dxa"/>
            </w:tcMar>
            <w:vAlign w:val="center"/>
            <w:hideMark/>
          </w:tcPr>
          <w:p w14:paraId="209B59FF" w14:textId="77777777" w:rsidR="007F773B" w:rsidRPr="004F1742" w:rsidRDefault="007F773B" w:rsidP="00D73FD7">
            <w:pPr>
              <w:jc w:val="center"/>
              <w:rPr>
                <w:rFonts w:asciiTheme="minorHAnsi" w:hAnsiTheme="minorHAnsi" w:cstheme="minorBidi"/>
                <w:sz w:val="22"/>
                <w:szCs w:val="22"/>
              </w:rPr>
            </w:pPr>
            <w:r w:rsidRPr="004F1742">
              <w:rPr>
                <w:rFonts w:asciiTheme="minorHAnsi" w:hAnsiTheme="minorHAnsi" w:cstheme="minorBidi"/>
                <w:sz w:val="22"/>
                <w:szCs w:val="22"/>
              </w:rPr>
              <w:t>36.74%</w:t>
            </w:r>
          </w:p>
        </w:tc>
      </w:tr>
      <w:tr w:rsidR="007F773B" w:rsidRPr="004F1742" w14:paraId="6568D0EA" w14:textId="77777777" w:rsidTr="007F773B">
        <w:trPr>
          <w:trHeight w:val="137"/>
          <w:jc w:val="center"/>
        </w:trPr>
        <w:tc>
          <w:tcPr>
            <w:tcW w:w="1905" w:type="dxa"/>
            <w:shd w:val="clear" w:color="auto" w:fill="auto"/>
            <w:tcMar>
              <w:top w:w="15" w:type="dxa"/>
              <w:left w:w="15" w:type="dxa"/>
              <w:bottom w:w="0" w:type="dxa"/>
              <w:right w:w="15" w:type="dxa"/>
            </w:tcMar>
            <w:vAlign w:val="center"/>
            <w:hideMark/>
          </w:tcPr>
          <w:p w14:paraId="3D92665A" w14:textId="77777777" w:rsidR="007F773B" w:rsidRPr="004F1742" w:rsidRDefault="007F773B" w:rsidP="00D73FD7">
            <w:pPr>
              <w:jc w:val="right"/>
              <w:rPr>
                <w:rFonts w:asciiTheme="minorHAnsi" w:hAnsiTheme="minorHAnsi" w:cstheme="minorBidi"/>
                <w:sz w:val="22"/>
                <w:szCs w:val="22"/>
              </w:rPr>
            </w:pPr>
            <w:r w:rsidRPr="004F1742">
              <w:rPr>
                <w:rFonts w:asciiTheme="minorHAnsi" w:hAnsiTheme="minorHAnsi" w:cstheme="minorBidi"/>
                <w:sz w:val="22"/>
                <w:szCs w:val="22"/>
              </w:rPr>
              <w:t>Total Cashflow</w:t>
            </w:r>
          </w:p>
        </w:tc>
        <w:tc>
          <w:tcPr>
            <w:tcW w:w="1324" w:type="dxa"/>
            <w:shd w:val="clear" w:color="auto" w:fill="auto"/>
            <w:tcMar>
              <w:top w:w="15" w:type="dxa"/>
              <w:left w:w="15" w:type="dxa"/>
              <w:bottom w:w="0" w:type="dxa"/>
              <w:right w:w="15" w:type="dxa"/>
            </w:tcMar>
            <w:vAlign w:val="center"/>
            <w:hideMark/>
          </w:tcPr>
          <w:p w14:paraId="346D6FDA" w14:textId="77777777" w:rsidR="007F773B" w:rsidRPr="004F1742" w:rsidRDefault="007F773B" w:rsidP="00D73FD7">
            <w:pPr>
              <w:jc w:val="center"/>
              <w:rPr>
                <w:rFonts w:asciiTheme="minorHAnsi" w:hAnsiTheme="minorHAnsi" w:cstheme="minorBidi"/>
                <w:sz w:val="22"/>
                <w:szCs w:val="22"/>
              </w:rPr>
            </w:pPr>
            <w:r w:rsidRPr="004F1742">
              <w:rPr>
                <w:rFonts w:asciiTheme="minorHAnsi" w:hAnsiTheme="minorHAnsi" w:cstheme="minorBidi"/>
                <w:sz w:val="22"/>
                <w:szCs w:val="22"/>
              </w:rPr>
              <w:t>£663,122.00</w:t>
            </w:r>
          </w:p>
        </w:tc>
      </w:tr>
      <w:tr w:rsidR="007F773B" w:rsidRPr="004F1742" w14:paraId="7C19B883" w14:textId="77777777" w:rsidTr="007F773B">
        <w:trPr>
          <w:trHeight w:val="177"/>
          <w:jc w:val="center"/>
        </w:trPr>
        <w:tc>
          <w:tcPr>
            <w:tcW w:w="1905" w:type="dxa"/>
            <w:shd w:val="clear" w:color="auto" w:fill="auto"/>
            <w:tcMar>
              <w:top w:w="15" w:type="dxa"/>
              <w:left w:w="15" w:type="dxa"/>
              <w:bottom w:w="0" w:type="dxa"/>
              <w:right w:w="15" w:type="dxa"/>
            </w:tcMar>
            <w:vAlign w:val="center"/>
            <w:hideMark/>
          </w:tcPr>
          <w:p w14:paraId="01238F3B" w14:textId="77777777" w:rsidR="007F773B" w:rsidRPr="004F1742" w:rsidRDefault="007F773B" w:rsidP="00D73FD7">
            <w:pPr>
              <w:jc w:val="right"/>
              <w:rPr>
                <w:rFonts w:asciiTheme="minorHAnsi" w:hAnsiTheme="minorHAnsi" w:cstheme="minorBidi"/>
                <w:sz w:val="22"/>
                <w:szCs w:val="22"/>
              </w:rPr>
            </w:pPr>
            <w:r w:rsidRPr="004F1742">
              <w:rPr>
                <w:rFonts w:asciiTheme="minorHAnsi" w:hAnsiTheme="minorHAnsi" w:cstheme="minorBidi"/>
                <w:sz w:val="22"/>
                <w:szCs w:val="22"/>
              </w:rPr>
              <w:t>Net Income/Profit</w:t>
            </w:r>
          </w:p>
        </w:tc>
        <w:tc>
          <w:tcPr>
            <w:tcW w:w="1324" w:type="dxa"/>
            <w:shd w:val="clear" w:color="auto" w:fill="auto"/>
            <w:tcMar>
              <w:top w:w="15" w:type="dxa"/>
              <w:left w:w="15" w:type="dxa"/>
              <w:bottom w:w="0" w:type="dxa"/>
              <w:right w:w="15" w:type="dxa"/>
            </w:tcMar>
            <w:vAlign w:val="center"/>
            <w:hideMark/>
          </w:tcPr>
          <w:p w14:paraId="4C3A8554" w14:textId="77777777" w:rsidR="007F773B" w:rsidRPr="004F1742" w:rsidRDefault="007F773B" w:rsidP="00D73FD7">
            <w:pPr>
              <w:jc w:val="center"/>
              <w:rPr>
                <w:rFonts w:asciiTheme="minorHAnsi" w:hAnsiTheme="minorHAnsi" w:cstheme="minorBidi"/>
                <w:sz w:val="22"/>
                <w:szCs w:val="22"/>
              </w:rPr>
            </w:pPr>
            <w:r w:rsidRPr="004F1742">
              <w:rPr>
                <w:rFonts w:asciiTheme="minorHAnsi" w:hAnsiTheme="minorHAnsi" w:cstheme="minorBidi"/>
                <w:sz w:val="22"/>
                <w:szCs w:val="22"/>
              </w:rPr>
              <w:t>£531,599.70</w:t>
            </w:r>
          </w:p>
        </w:tc>
      </w:tr>
    </w:tbl>
    <w:p w14:paraId="3FF6FE98" w14:textId="4A4EF53C" w:rsidR="00480BFE" w:rsidRPr="00480BFE" w:rsidRDefault="00480BFE" w:rsidP="007F773B">
      <w:pPr>
        <w:rPr>
          <w:rFonts w:asciiTheme="minorHAnsi" w:hAnsiTheme="minorHAnsi" w:cstheme="minorBidi"/>
          <w:sz w:val="22"/>
          <w:szCs w:val="22"/>
        </w:rPr>
      </w:pPr>
      <w:r w:rsidRPr="00480BFE">
        <w:rPr>
          <w:rFonts w:asciiTheme="minorHAnsi" w:hAnsiTheme="minorHAnsi" w:cstheme="minorBidi"/>
          <w:sz w:val="22"/>
          <w:szCs w:val="22"/>
        </w:rPr>
        <w:lastRenderedPageBreak/>
        <w:t>Fo</w:t>
      </w:r>
      <w:r>
        <w:rPr>
          <w:rFonts w:asciiTheme="minorHAnsi" w:hAnsiTheme="minorHAnsi" w:cstheme="minorBidi"/>
          <w:sz w:val="22"/>
          <w:szCs w:val="22"/>
        </w:rPr>
        <w:t xml:space="preserve">r these calculations, the </w:t>
      </w:r>
      <w:r w:rsidR="003B5737">
        <w:rPr>
          <w:rFonts w:asciiTheme="minorHAnsi" w:hAnsiTheme="minorHAnsi" w:cstheme="minorBidi"/>
          <w:sz w:val="22"/>
          <w:szCs w:val="22"/>
        </w:rPr>
        <w:t>equipment</w:t>
      </w:r>
      <w:r>
        <w:rPr>
          <w:rFonts w:asciiTheme="minorHAnsi" w:hAnsiTheme="minorHAnsi" w:cstheme="minorBidi"/>
          <w:sz w:val="22"/>
          <w:szCs w:val="22"/>
        </w:rPr>
        <w:t xml:space="preserve"> was </w:t>
      </w:r>
      <w:proofErr w:type="gramStart"/>
      <w:r>
        <w:rPr>
          <w:rFonts w:asciiTheme="minorHAnsi" w:hAnsiTheme="minorHAnsi" w:cstheme="minorBidi"/>
          <w:sz w:val="22"/>
          <w:szCs w:val="22"/>
        </w:rPr>
        <w:t>deemed</w:t>
      </w:r>
      <w:proofErr w:type="gramEnd"/>
      <w:r>
        <w:rPr>
          <w:rFonts w:asciiTheme="minorHAnsi" w:hAnsiTheme="minorHAnsi" w:cstheme="minorBidi"/>
          <w:sz w:val="22"/>
          <w:szCs w:val="22"/>
        </w:rPr>
        <w:t xml:space="preserve"> to have no value at the end of the 22 months. Therefore, the depreciation is simply the total investment divided by the time scale to give £5,978.29 per month. Likely, the equipment will still be operational and could be repurposed. This would </w:t>
      </w:r>
      <w:r w:rsidR="00C30CEB">
        <w:rPr>
          <w:rFonts w:asciiTheme="minorHAnsi" w:hAnsiTheme="minorHAnsi" w:cstheme="minorBidi"/>
          <w:sz w:val="22"/>
          <w:szCs w:val="22"/>
        </w:rPr>
        <w:t>lower the deprec</w:t>
      </w:r>
      <w:r w:rsidR="003B5737">
        <w:rPr>
          <w:rFonts w:asciiTheme="minorHAnsi" w:hAnsiTheme="minorHAnsi" w:cstheme="minorBidi"/>
          <w:sz w:val="22"/>
          <w:szCs w:val="22"/>
        </w:rPr>
        <w:t>i</w:t>
      </w:r>
      <w:r w:rsidR="00C30CEB">
        <w:rPr>
          <w:rFonts w:asciiTheme="minorHAnsi" w:hAnsiTheme="minorHAnsi" w:cstheme="minorBidi"/>
          <w:sz w:val="22"/>
          <w:szCs w:val="22"/>
        </w:rPr>
        <w:t>ation figure and increase the net income after month 22.</w:t>
      </w:r>
    </w:p>
    <w:p w14:paraId="4FFF8A73" w14:textId="3A6B4306" w:rsidR="001C7DB3" w:rsidRPr="00C87B9F" w:rsidRDefault="007F773B" w:rsidP="00480BFE">
      <w:pPr>
        <w:spacing w:before="240"/>
        <w:rPr>
          <w:rFonts w:asciiTheme="minorHAnsi" w:hAnsiTheme="minorHAnsi" w:cstheme="minorHAnsi"/>
          <w:b/>
          <w:bCs/>
          <w:sz w:val="22"/>
          <w:szCs w:val="22"/>
        </w:rPr>
      </w:pPr>
      <w:r>
        <w:rPr>
          <w:rFonts w:asciiTheme="minorHAnsi" w:hAnsiTheme="minorHAnsi" w:cstheme="minorHAnsi"/>
          <w:b/>
          <w:bCs/>
          <w:sz w:val="22"/>
          <w:szCs w:val="22"/>
        </w:rPr>
        <w:t>Issues with the</w:t>
      </w:r>
      <w:r w:rsidR="001C7DB3">
        <w:rPr>
          <w:rFonts w:asciiTheme="minorHAnsi" w:hAnsiTheme="minorHAnsi" w:cstheme="minorHAnsi"/>
          <w:b/>
          <w:bCs/>
          <w:sz w:val="22"/>
          <w:szCs w:val="22"/>
        </w:rPr>
        <w:t xml:space="preserve"> Financial Calculations</w:t>
      </w:r>
    </w:p>
    <w:p w14:paraId="58910C5D" w14:textId="2281FA01" w:rsidR="004F1742" w:rsidRDefault="001C7DB3" w:rsidP="004F1742">
      <w:pPr>
        <w:rPr>
          <w:rFonts w:asciiTheme="minorHAnsi" w:hAnsiTheme="minorHAnsi" w:cstheme="minorBidi"/>
          <w:sz w:val="22"/>
          <w:szCs w:val="22"/>
        </w:rPr>
      </w:pPr>
      <w:r>
        <w:rPr>
          <w:rFonts w:asciiTheme="minorHAnsi" w:hAnsiTheme="minorHAnsi" w:cstheme="minorBidi"/>
          <w:sz w:val="22"/>
          <w:szCs w:val="22"/>
        </w:rPr>
        <w:t xml:space="preserve">There are </w:t>
      </w:r>
      <w:proofErr w:type="gramStart"/>
      <w:r>
        <w:rPr>
          <w:rFonts w:asciiTheme="minorHAnsi" w:hAnsiTheme="minorHAnsi" w:cstheme="minorBidi"/>
          <w:sz w:val="22"/>
          <w:szCs w:val="22"/>
        </w:rPr>
        <w:t>some</w:t>
      </w:r>
      <w:proofErr w:type="gramEnd"/>
      <w:r>
        <w:rPr>
          <w:rFonts w:asciiTheme="minorHAnsi" w:hAnsiTheme="minorHAnsi" w:cstheme="minorBidi"/>
          <w:sz w:val="22"/>
          <w:szCs w:val="22"/>
        </w:rPr>
        <w:t xml:space="preserve"> issues with the corporate standards for calculating project investments and appraisals.</w:t>
      </w:r>
      <w:r w:rsidR="00872BDB">
        <w:rPr>
          <w:rFonts w:asciiTheme="minorHAnsi" w:hAnsiTheme="minorHAnsi" w:cstheme="minorBidi"/>
          <w:sz w:val="22"/>
          <w:szCs w:val="22"/>
        </w:rPr>
        <w:t xml:space="preserve"> The first is the use of NPV and the disadvantages it poses. </w:t>
      </w:r>
      <w:r w:rsidR="00872BDB" w:rsidRPr="00872BDB">
        <w:rPr>
          <w:rFonts w:asciiTheme="minorHAnsi" w:hAnsiTheme="minorHAnsi" w:cstheme="minorBidi"/>
          <w:i/>
          <w:iCs/>
          <w:sz w:val="22"/>
          <w:szCs w:val="22"/>
        </w:rPr>
        <w:t xml:space="preserve">The biggest disadvantage to the net present value method is that it requires </w:t>
      </w:r>
      <w:proofErr w:type="gramStart"/>
      <w:r w:rsidR="00872BDB" w:rsidRPr="00872BDB">
        <w:rPr>
          <w:rFonts w:asciiTheme="minorHAnsi" w:hAnsiTheme="minorHAnsi" w:cstheme="minorBidi"/>
          <w:i/>
          <w:iCs/>
          <w:sz w:val="22"/>
          <w:szCs w:val="22"/>
        </w:rPr>
        <w:t>some</w:t>
      </w:r>
      <w:proofErr w:type="gramEnd"/>
      <w:r w:rsidR="00872BDB" w:rsidRPr="00872BDB">
        <w:rPr>
          <w:rFonts w:asciiTheme="minorHAnsi" w:hAnsiTheme="minorHAnsi" w:cstheme="minorBidi"/>
          <w:i/>
          <w:iCs/>
          <w:sz w:val="22"/>
          <w:szCs w:val="22"/>
        </w:rPr>
        <w:t xml:space="preserve"> guesswork about the firm's cost of capital. Assuming a cost of capital that is too low will result in making suboptimal investments. Assuming a cost of capital that is too high will result in forgoing too many good investments</w:t>
      </w:r>
      <w:r w:rsidR="00872BDB">
        <w:rPr>
          <w:rFonts w:asciiTheme="minorHAnsi" w:hAnsiTheme="minorHAnsi" w:cstheme="minorBidi"/>
          <w:i/>
          <w:iCs/>
          <w:sz w:val="22"/>
          <w:szCs w:val="22"/>
        </w:rPr>
        <w:t xml:space="preserve"> </w:t>
      </w:r>
      <w:sdt>
        <w:sdtPr>
          <w:rPr>
            <w:rFonts w:asciiTheme="minorHAnsi" w:hAnsiTheme="minorHAnsi" w:cstheme="minorBidi"/>
            <w:i/>
            <w:iCs/>
            <w:sz w:val="22"/>
            <w:szCs w:val="22"/>
          </w:rPr>
          <w:id w:val="1179084482"/>
          <w:citation/>
        </w:sdtPr>
        <w:sdtContent>
          <w:r w:rsidR="00872BDB">
            <w:rPr>
              <w:rFonts w:asciiTheme="minorHAnsi" w:hAnsiTheme="minorHAnsi" w:cstheme="minorBidi"/>
              <w:i/>
              <w:iCs/>
              <w:sz w:val="22"/>
              <w:szCs w:val="22"/>
            </w:rPr>
            <w:fldChar w:fldCharType="begin"/>
          </w:r>
          <w:r w:rsidR="006E25E1">
            <w:rPr>
              <w:rFonts w:asciiTheme="minorHAnsi" w:hAnsiTheme="minorHAnsi" w:cstheme="minorBidi"/>
              <w:i/>
              <w:iCs/>
              <w:sz w:val="22"/>
              <w:szCs w:val="22"/>
            </w:rPr>
            <w:instrText xml:space="preserve">CITATION Nas15 \l 2057 </w:instrText>
          </w:r>
          <w:r w:rsidR="00872BDB">
            <w:rPr>
              <w:rFonts w:asciiTheme="minorHAnsi" w:hAnsiTheme="minorHAnsi" w:cstheme="minorBidi"/>
              <w:i/>
              <w:iCs/>
              <w:sz w:val="22"/>
              <w:szCs w:val="22"/>
            </w:rPr>
            <w:fldChar w:fldCharType="separate"/>
          </w:r>
          <w:r w:rsidR="00770B54" w:rsidRPr="00770B54">
            <w:rPr>
              <w:rFonts w:asciiTheme="minorHAnsi" w:hAnsiTheme="minorHAnsi" w:cstheme="minorBidi"/>
              <w:noProof/>
              <w:sz w:val="22"/>
              <w:szCs w:val="22"/>
            </w:rPr>
            <w:t>(Nasdaq, 2015)</w:t>
          </w:r>
          <w:r w:rsidR="00872BDB">
            <w:rPr>
              <w:rFonts w:asciiTheme="minorHAnsi" w:hAnsiTheme="minorHAnsi" w:cstheme="minorBidi"/>
              <w:i/>
              <w:iCs/>
              <w:sz w:val="22"/>
              <w:szCs w:val="22"/>
            </w:rPr>
            <w:fldChar w:fldCharType="end"/>
          </w:r>
        </w:sdtContent>
      </w:sdt>
      <w:r w:rsidR="009F45BA">
        <w:rPr>
          <w:rFonts w:asciiTheme="minorHAnsi" w:hAnsiTheme="minorHAnsi" w:cstheme="minorBidi"/>
          <w:sz w:val="22"/>
          <w:szCs w:val="22"/>
        </w:rPr>
        <w:t xml:space="preserve">. Zimmer Biomet is a publicly traded company and is subject to changes in share prices that can affect the calculation of WACC, resulting in </w:t>
      </w:r>
      <w:r w:rsidR="003B5737">
        <w:rPr>
          <w:rFonts w:asciiTheme="minorHAnsi" w:hAnsiTheme="minorHAnsi" w:cstheme="minorBidi"/>
          <w:sz w:val="22"/>
          <w:szCs w:val="22"/>
        </w:rPr>
        <w:t xml:space="preserve">an </w:t>
      </w:r>
      <w:r w:rsidR="009F45BA">
        <w:rPr>
          <w:rFonts w:asciiTheme="minorHAnsi" w:hAnsiTheme="minorHAnsi" w:cstheme="minorBidi"/>
          <w:sz w:val="22"/>
          <w:szCs w:val="22"/>
        </w:rPr>
        <w:t>NPV that can vary from week to week</w:t>
      </w:r>
      <w:r w:rsidR="00F4219F">
        <w:rPr>
          <w:rFonts w:asciiTheme="minorHAnsi" w:hAnsiTheme="minorHAnsi" w:cstheme="minorBidi"/>
          <w:sz w:val="22"/>
          <w:szCs w:val="22"/>
        </w:rPr>
        <w:t xml:space="preserve"> making the use of NPV nothing more than an assumption</w:t>
      </w:r>
      <w:r w:rsidR="009F45BA">
        <w:rPr>
          <w:rFonts w:asciiTheme="minorHAnsi" w:hAnsiTheme="minorHAnsi" w:cstheme="minorBidi"/>
          <w:sz w:val="22"/>
          <w:szCs w:val="22"/>
        </w:rPr>
        <w:t xml:space="preserve">. NPV is currently used to </w:t>
      </w:r>
      <w:proofErr w:type="gramStart"/>
      <w:r w:rsidR="009F45BA">
        <w:rPr>
          <w:rFonts w:asciiTheme="minorHAnsi" w:hAnsiTheme="minorHAnsi" w:cstheme="minorBidi"/>
          <w:sz w:val="22"/>
          <w:szCs w:val="22"/>
        </w:rPr>
        <w:t>determine</w:t>
      </w:r>
      <w:proofErr w:type="gramEnd"/>
      <w:r w:rsidR="009F45BA">
        <w:rPr>
          <w:rFonts w:asciiTheme="minorHAnsi" w:hAnsiTheme="minorHAnsi" w:cstheme="minorBidi"/>
          <w:sz w:val="22"/>
          <w:szCs w:val="22"/>
        </w:rPr>
        <w:t xml:space="preserve"> future projects viability, especially at ZB Bridgend. NPV is not suitable for this as </w:t>
      </w:r>
      <w:r w:rsidR="00F4219F">
        <w:rPr>
          <w:rFonts w:asciiTheme="minorHAnsi" w:hAnsiTheme="minorHAnsi" w:cstheme="minorBidi"/>
          <w:sz w:val="22"/>
          <w:szCs w:val="22"/>
        </w:rPr>
        <w:t xml:space="preserve">a higher investment will have a much higher NPV when compared to </w:t>
      </w:r>
      <w:proofErr w:type="gramStart"/>
      <w:r w:rsidR="00F4219F">
        <w:rPr>
          <w:rFonts w:asciiTheme="minorHAnsi" w:hAnsiTheme="minorHAnsi" w:cstheme="minorBidi"/>
          <w:sz w:val="22"/>
          <w:szCs w:val="22"/>
        </w:rPr>
        <w:t>some</w:t>
      </w:r>
      <w:proofErr w:type="gramEnd"/>
      <w:r w:rsidR="00F4219F">
        <w:rPr>
          <w:rFonts w:asciiTheme="minorHAnsi" w:hAnsiTheme="minorHAnsi" w:cstheme="minorBidi"/>
          <w:sz w:val="22"/>
          <w:szCs w:val="22"/>
        </w:rPr>
        <w:t xml:space="preserve"> smaller investments, regardless of the returns.</w:t>
      </w:r>
      <w:r w:rsidR="00FE03FE">
        <w:rPr>
          <w:rFonts w:asciiTheme="minorHAnsi" w:hAnsiTheme="minorHAnsi" w:cstheme="minorBidi"/>
          <w:sz w:val="22"/>
          <w:szCs w:val="22"/>
        </w:rPr>
        <w:t xml:space="preserve"> IRR suffers from </w:t>
      </w:r>
      <w:proofErr w:type="gramStart"/>
      <w:r w:rsidR="00FE03FE">
        <w:rPr>
          <w:rFonts w:asciiTheme="minorHAnsi" w:hAnsiTheme="minorHAnsi" w:cstheme="minorBidi"/>
          <w:sz w:val="22"/>
          <w:szCs w:val="22"/>
        </w:rPr>
        <w:t>many</w:t>
      </w:r>
      <w:proofErr w:type="gramEnd"/>
      <w:r w:rsidR="00FE03FE">
        <w:rPr>
          <w:rFonts w:asciiTheme="minorHAnsi" w:hAnsiTheme="minorHAnsi" w:cstheme="minorBidi"/>
          <w:sz w:val="22"/>
          <w:szCs w:val="22"/>
        </w:rPr>
        <w:t xml:space="preserve"> of the same problems It ignores the investment size when comparing two different values. </w:t>
      </w:r>
      <w:r w:rsidR="00FE03FE" w:rsidRPr="00FE03FE">
        <w:rPr>
          <w:rFonts w:asciiTheme="minorHAnsi" w:hAnsiTheme="minorHAnsi" w:cstheme="minorBidi"/>
          <w:i/>
          <w:iCs/>
          <w:sz w:val="22"/>
          <w:szCs w:val="22"/>
        </w:rPr>
        <w:t>A disadvantage of using the IRR method is that it does not account for the project size when comparing projects. Cash flows are simply compared to the amount of capital outlay generating those cash flows. This can be troublesome when two projects require a significantly different amount of capital outlay, but the smaller project returns a higher IRR.</w:t>
      </w:r>
      <w:sdt>
        <w:sdtPr>
          <w:rPr>
            <w:rFonts w:asciiTheme="minorHAnsi" w:hAnsiTheme="minorHAnsi" w:cstheme="minorBidi"/>
            <w:i/>
            <w:iCs/>
            <w:sz w:val="22"/>
            <w:szCs w:val="22"/>
          </w:rPr>
          <w:id w:val="1772968356"/>
          <w:citation/>
        </w:sdtPr>
        <w:sdtContent>
          <w:r w:rsidR="00FE03FE">
            <w:rPr>
              <w:rFonts w:asciiTheme="minorHAnsi" w:hAnsiTheme="minorHAnsi" w:cstheme="minorBidi"/>
              <w:i/>
              <w:iCs/>
              <w:sz w:val="22"/>
              <w:szCs w:val="22"/>
            </w:rPr>
            <w:fldChar w:fldCharType="begin"/>
          </w:r>
          <w:r w:rsidR="00FE03FE">
            <w:rPr>
              <w:rFonts w:asciiTheme="minorHAnsi" w:hAnsiTheme="minorHAnsi" w:cstheme="minorBidi"/>
              <w:i/>
              <w:iCs/>
              <w:sz w:val="22"/>
              <w:szCs w:val="22"/>
            </w:rPr>
            <w:instrText xml:space="preserve"> CITATION Kat21 \l 2057 </w:instrText>
          </w:r>
          <w:r w:rsidR="00FE03FE">
            <w:rPr>
              <w:rFonts w:asciiTheme="minorHAnsi" w:hAnsiTheme="minorHAnsi" w:cstheme="minorBidi"/>
              <w:i/>
              <w:iCs/>
              <w:sz w:val="22"/>
              <w:szCs w:val="22"/>
            </w:rPr>
            <w:fldChar w:fldCharType="separate"/>
          </w:r>
          <w:r w:rsidR="00770B54">
            <w:rPr>
              <w:rFonts w:asciiTheme="minorHAnsi" w:hAnsiTheme="minorHAnsi" w:cstheme="minorBidi"/>
              <w:i/>
              <w:iCs/>
              <w:noProof/>
              <w:sz w:val="22"/>
              <w:szCs w:val="22"/>
            </w:rPr>
            <w:t xml:space="preserve"> </w:t>
          </w:r>
          <w:r w:rsidR="00770B54" w:rsidRPr="00770B54">
            <w:rPr>
              <w:rFonts w:asciiTheme="minorHAnsi" w:hAnsiTheme="minorHAnsi" w:cstheme="minorBidi"/>
              <w:noProof/>
              <w:sz w:val="22"/>
              <w:szCs w:val="22"/>
            </w:rPr>
            <w:t>(Kattan, 2021)</w:t>
          </w:r>
          <w:r w:rsidR="00FE03FE">
            <w:rPr>
              <w:rFonts w:asciiTheme="minorHAnsi" w:hAnsiTheme="minorHAnsi" w:cstheme="minorBidi"/>
              <w:i/>
              <w:iCs/>
              <w:sz w:val="22"/>
              <w:szCs w:val="22"/>
            </w:rPr>
            <w:fldChar w:fldCharType="end"/>
          </w:r>
        </w:sdtContent>
      </w:sdt>
      <w:r w:rsidR="00FE03FE">
        <w:rPr>
          <w:rFonts w:asciiTheme="minorHAnsi" w:hAnsiTheme="minorHAnsi" w:cstheme="minorBidi"/>
          <w:sz w:val="22"/>
          <w:szCs w:val="22"/>
        </w:rPr>
        <w:t xml:space="preserve">. In his paper, </w:t>
      </w:r>
      <w:r w:rsidR="00FE03FE" w:rsidRPr="00FE03FE">
        <w:rPr>
          <w:rFonts w:asciiTheme="minorHAnsi" w:hAnsiTheme="minorHAnsi" w:cstheme="minorBidi"/>
          <w:sz w:val="22"/>
          <w:szCs w:val="22"/>
        </w:rPr>
        <w:t>On the (non-)equivalence of IRR and NPV</w:t>
      </w:r>
      <w:r w:rsidR="00FE03FE">
        <w:rPr>
          <w:rFonts w:asciiTheme="minorHAnsi" w:hAnsiTheme="minorHAnsi" w:cstheme="minorBidi"/>
          <w:sz w:val="22"/>
          <w:szCs w:val="22"/>
        </w:rPr>
        <w:t>, Thomas Webber discusses the use of Selective IRR</w:t>
      </w:r>
      <w:r w:rsidR="007F773B">
        <w:rPr>
          <w:rFonts w:asciiTheme="minorHAnsi" w:hAnsiTheme="minorHAnsi" w:cstheme="minorBidi"/>
          <w:sz w:val="22"/>
          <w:szCs w:val="22"/>
        </w:rPr>
        <w:t>;</w:t>
      </w:r>
      <w:r w:rsidR="00FE03FE">
        <w:rPr>
          <w:rFonts w:asciiTheme="minorHAnsi" w:hAnsiTheme="minorHAnsi" w:cstheme="minorBidi"/>
          <w:sz w:val="22"/>
          <w:szCs w:val="22"/>
        </w:rPr>
        <w:t xml:space="preserve"> </w:t>
      </w:r>
      <w:r w:rsidR="00FE03FE" w:rsidRPr="00FE03FE">
        <w:rPr>
          <w:rFonts w:asciiTheme="minorHAnsi" w:hAnsiTheme="minorHAnsi" w:cstheme="minorBidi"/>
          <w:i/>
          <w:iCs/>
          <w:sz w:val="22"/>
          <w:szCs w:val="22"/>
        </w:rPr>
        <w:t>The selective IRR does not suffer from the drawbacks that plague other rate-of-return criteria.</w:t>
      </w:r>
      <w:sdt>
        <w:sdtPr>
          <w:rPr>
            <w:rFonts w:asciiTheme="minorHAnsi" w:hAnsiTheme="minorHAnsi" w:cstheme="minorBidi"/>
            <w:i/>
            <w:iCs/>
            <w:sz w:val="22"/>
            <w:szCs w:val="22"/>
          </w:rPr>
          <w:id w:val="792795857"/>
          <w:citation/>
        </w:sdtPr>
        <w:sdtContent>
          <w:r w:rsidR="00FE03FE">
            <w:rPr>
              <w:rFonts w:asciiTheme="minorHAnsi" w:hAnsiTheme="minorHAnsi" w:cstheme="minorBidi"/>
              <w:i/>
              <w:iCs/>
              <w:sz w:val="22"/>
              <w:szCs w:val="22"/>
            </w:rPr>
            <w:fldChar w:fldCharType="begin"/>
          </w:r>
          <w:r w:rsidR="00FE03FE">
            <w:rPr>
              <w:rFonts w:asciiTheme="minorHAnsi" w:hAnsiTheme="minorHAnsi" w:cstheme="minorBidi"/>
              <w:sz w:val="22"/>
              <w:szCs w:val="22"/>
            </w:rPr>
            <w:instrText xml:space="preserve"> CITATION Web14 \l 2057 </w:instrText>
          </w:r>
          <w:r w:rsidR="00FE03FE">
            <w:rPr>
              <w:rFonts w:asciiTheme="minorHAnsi" w:hAnsiTheme="minorHAnsi" w:cstheme="minorBidi"/>
              <w:i/>
              <w:iCs/>
              <w:sz w:val="22"/>
              <w:szCs w:val="22"/>
            </w:rPr>
            <w:fldChar w:fldCharType="separate"/>
          </w:r>
          <w:r w:rsidR="00770B54">
            <w:rPr>
              <w:rFonts w:asciiTheme="minorHAnsi" w:hAnsiTheme="minorHAnsi" w:cstheme="minorBidi"/>
              <w:noProof/>
              <w:sz w:val="22"/>
              <w:szCs w:val="22"/>
            </w:rPr>
            <w:t xml:space="preserve"> </w:t>
          </w:r>
          <w:r w:rsidR="00770B54" w:rsidRPr="00770B54">
            <w:rPr>
              <w:rFonts w:asciiTheme="minorHAnsi" w:hAnsiTheme="minorHAnsi" w:cstheme="minorBidi"/>
              <w:noProof/>
              <w:sz w:val="22"/>
              <w:szCs w:val="22"/>
            </w:rPr>
            <w:t>(Webber, 2014)</w:t>
          </w:r>
          <w:r w:rsidR="00FE03FE">
            <w:rPr>
              <w:rFonts w:asciiTheme="minorHAnsi" w:hAnsiTheme="minorHAnsi" w:cstheme="minorBidi"/>
              <w:i/>
              <w:iCs/>
              <w:sz w:val="22"/>
              <w:szCs w:val="22"/>
            </w:rPr>
            <w:fldChar w:fldCharType="end"/>
          </w:r>
        </w:sdtContent>
      </w:sdt>
      <w:r w:rsidR="00FE03FE">
        <w:rPr>
          <w:rFonts w:asciiTheme="minorHAnsi" w:hAnsiTheme="minorHAnsi" w:cstheme="minorBidi"/>
          <w:sz w:val="22"/>
          <w:szCs w:val="22"/>
        </w:rPr>
        <w:t>.</w:t>
      </w:r>
      <w:r w:rsidR="003B5737">
        <w:rPr>
          <w:rFonts w:asciiTheme="minorHAnsi" w:hAnsiTheme="minorHAnsi" w:cstheme="minorBidi"/>
          <w:sz w:val="22"/>
          <w:szCs w:val="22"/>
        </w:rPr>
        <w:t>It may be worthwhile to use Selective IRR as a corporate standard.</w:t>
      </w:r>
      <w:r w:rsidR="00FE03FE">
        <w:rPr>
          <w:rFonts w:asciiTheme="minorHAnsi" w:hAnsiTheme="minorHAnsi" w:cstheme="minorBidi"/>
          <w:sz w:val="22"/>
          <w:szCs w:val="22"/>
        </w:rPr>
        <w:t xml:space="preserve"> </w:t>
      </w:r>
      <w:r w:rsidR="00480BFE">
        <w:rPr>
          <w:rFonts w:asciiTheme="minorHAnsi" w:hAnsiTheme="minorHAnsi" w:cstheme="minorBidi"/>
          <w:sz w:val="22"/>
          <w:szCs w:val="22"/>
        </w:rPr>
        <w:t>ARR differs from IRR in that it is calculated by simply dividing the average profit by the average investment. ARR should therefore give a more reliable result when judging two projects with different investment amounts.</w:t>
      </w:r>
      <w:r w:rsidR="00461707">
        <w:rPr>
          <w:rFonts w:asciiTheme="minorHAnsi" w:hAnsiTheme="minorHAnsi" w:cstheme="minorBidi"/>
          <w:sz w:val="22"/>
          <w:szCs w:val="22"/>
        </w:rPr>
        <w:t xml:space="preserve"> </w:t>
      </w:r>
      <w:r w:rsidR="00461707" w:rsidRPr="00461707">
        <w:rPr>
          <w:rFonts w:asciiTheme="minorHAnsi" w:hAnsiTheme="minorHAnsi" w:cstheme="minorBidi"/>
          <w:i/>
          <w:iCs/>
          <w:sz w:val="22"/>
          <w:szCs w:val="22"/>
        </w:rPr>
        <w:t>Unlike other methods of investment appraisal, the ARR is based on profits rather than cashflow. It is affected by subjective, non-cash items such as the rate of depreciation you use to calculate profits.</w:t>
      </w:r>
      <w:sdt>
        <w:sdtPr>
          <w:rPr>
            <w:rFonts w:asciiTheme="minorHAnsi" w:hAnsiTheme="minorHAnsi" w:cstheme="minorBidi"/>
            <w:i/>
            <w:iCs/>
            <w:sz w:val="22"/>
            <w:szCs w:val="22"/>
          </w:rPr>
          <w:id w:val="-179979195"/>
          <w:citation/>
        </w:sdtPr>
        <w:sdtContent>
          <w:r w:rsidR="00461707">
            <w:rPr>
              <w:rFonts w:asciiTheme="minorHAnsi" w:hAnsiTheme="minorHAnsi" w:cstheme="minorBidi"/>
              <w:i/>
              <w:iCs/>
              <w:sz w:val="22"/>
              <w:szCs w:val="22"/>
            </w:rPr>
            <w:fldChar w:fldCharType="begin"/>
          </w:r>
          <w:r w:rsidR="00461707">
            <w:rPr>
              <w:rFonts w:asciiTheme="minorHAnsi" w:hAnsiTheme="minorHAnsi" w:cstheme="minorBidi"/>
              <w:i/>
              <w:iCs/>
              <w:sz w:val="22"/>
              <w:szCs w:val="22"/>
            </w:rPr>
            <w:instrText xml:space="preserve"> CITATION Inv20 \l 2057 </w:instrText>
          </w:r>
          <w:r w:rsidR="00461707">
            <w:rPr>
              <w:rFonts w:asciiTheme="minorHAnsi" w:hAnsiTheme="minorHAnsi" w:cstheme="minorBidi"/>
              <w:i/>
              <w:iCs/>
              <w:sz w:val="22"/>
              <w:szCs w:val="22"/>
            </w:rPr>
            <w:fldChar w:fldCharType="separate"/>
          </w:r>
          <w:r w:rsidR="00770B54">
            <w:rPr>
              <w:rFonts w:asciiTheme="minorHAnsi" w:hAnsiTheme="minorHAnsi" w:cstheme="minorBidi"/>
              <w:i/>
              <w:iCs/>
              <w:noProof/>
              <w:sz w:val="22"/>
              <w:szCs w:val="22"/>
            </w:rPr>
            <w:t xml:space="preserve"> </w:t>
          </w:r>
          <w:r w:rsidR="00770B54" w:rsidRPr="00770B54">
            <w:rPr>
              <w:rFonts w:asciiTheme="minorHAnsi" w:hAnsiTheme="minorHAnsi" w:cstheme="minorBidi"/>
              <w:noProof/>
              <w:sz w:val="22"/>
              <w:szCs w:val="22"/>
            </w:rPr>
            <w:t>(Invest Northern Ireland, 2020)</w:t>
          </w:r>
          <w:r w:rsidR="00461707">
            <w:rPr>
              <w:rFonts w:asciiTheme="minorHAnsi" w:hAnsiTheme="minorHAnsi" w:cstheme="minorBidi"/>
              <w:i/>
              <w:iCs/>
              <w:sz w:val="22"/>
              <w:szCs w:val="22"/>
            </w:rPr>
            <w:fldChar w:fldCharType="end"/>
          </w:r>
        </w:sdtContent>
      </w:sdt>
      <w:r w:rsidR="00461707">
        <w:rPr>
          <w:rFonts w:asciiTheme="minorHAnsi" w:hAnsiTheme="minorHAnsi" w:cstheme="minorBidi"/>
          <w:sz w:val="22"/>
          <w:szCs w:val="22"/>
        </w:rPr>
        <w:t xml:space="preserve">. </w:t>
      </w:r>
    </w:p>
    <w:p w14:paraId="103E6B2E" w14:textId="7D66DB3E" w:rsidR="00461707" w:rsidRPr="00461707" w:rsidRDefault="00461707" w:rsidP="00461707">
      <w:pPr>
        <w:spacing w:before="240"/>
        <w:rPr>
          <w:rFonts w:asciiTheme="minorHAnsi" w:hAnsiTheme="minorHAnsi" w:cstheme="minorBidi"/>
          <w:sz w:val="22"/>
          <w:szCs w:val="22"/>
        </w:rPr>
      </w:pPr>
      <w:r>
        <w:rPr>
          <w:rFonts w:asciiTheme="minorHAnsi" w:hAnsiTheme="minorHAnsi" w:cstheme="minorBidi"/>
          <w:sz w:val="22"/>
          <w:szCs w:val="22"/>
        </w:rPr>
        <w:t xml:space="preserve">There are advantages and disadvantages to using all the above appraisal techniques but the underlying factor with each of them is that they all assume that the projected cashflow is </w:t>
      </w:r>
      <w:proofErr w:type="gramStart"/>
      <w:r>
        <w:rPr>
          <w:rFonts w:asciiTheme="minorHAnsi" w:hAnsiTheme="minorHAnsi" w:cstheme="minorBidi"/>
          <w:sz w:val="22"/>
          <w:szCs w:val="22"/>
        </w:rPr>
        <w:t>accurate</w:t>
      </w:r>
      <w:proofErr w:type="gramEnd"/>
      <w:r>
        <w:rPr>
          <w:rFonts w:asciiTheme="minorHAnsi" w:hAnsiTheme="minorHAnsi" w:cstheme="minorBidi"/>
          <w:sz w:val="22"/>
          <w:szCs w:val="22"/>
        </w:rPr>
        <w:t xml:space="preserve"> and reinvested into the company. In the case of drag finishing however, the methods used previously and </w:t>
      </w:r>
      <w:r w:rsidRPr="00CF6779">
        <w:rPr>
          <w:rFonts w:asciiTheme="minorHAnsi" w:hAnsiTheme="minorHAnsi" w:cstheme="minorBidi"/>
          <w:sz w:val="22"/>
          <w:szCs w:val="22"/>
        </w:rPr>
        <w:t xml:space="preserve">in appendix </w:t>
      </w:r>
      <w:r w:rsidR="00CF6779">
        <w:rPr>
          <w:rFonts w:asciiTheme="minorHAnsi" w:hAnsiTheme="minorHAnsi" w:cstheme="minorBidi"/>
          <w:sz w:val="22"/>
          <w:szCs w:val="22"/>
        </w:rPr>
        <w:t>C &amp; D</w:t>
      </w:r>
      <w:r>
        <w:rPr>
          <w:rFonts w:asciiTheme="minorHAnsi" w:hAnsiTheme="minorHAnsi" w:cstheme="minorBidi"/>
          <w:sz w:val="22"/>
          <w:szCs w:val="22"/>
        </w:rPr>
        <w:t xml:space="preserve">, can be considered </w:t>
      </w:r>
      <w:r w:rsidR="00910F94">
        <w:rPr>
          <w:rFonts w:asciiTheme="minorHAnsi" w:hAnsiTheme="minorHAnsi" w:cstheme="minorBidi"/>
          <w:sz w:val="22"/>
          <w:szCs w:val="22"/>
        </w:rPr>
        <w:t>correct</w:t>
      </w:r>
      <w:r>
        <w:rPr>
          <w:rFonts w:asciiTheme="minorHAnsi" w:hAnsiTheme="minorHAnsi" w:cstheme="minorBidi"/>
          <w:sz w:val="22"/>
          <w:szCs w:val="22"/>
        </w:rPr>
        <w:t xml:space="preserve"> as it deals with labour costs which increase at a predictable rate and the overall time scale is less than 2 years meaning that there should be few changes during the project lifecycle.</w:t>
      </w:r>
    </w:p>
    <w:p w14:paraId="04C9595E" w14:textId="417EF964" w:rsidR="00FE520F" w:rsidRPr="008247F0" w:rsidRDefault="003D11F9" w:rsidP="006E2BF3">
      <w:pPr>
        <w:pStyle w:val="Heading1"/>
        <w:rPr>
          <w:rFonts w:asciiTheme="minorHAnsi" w:hAnsiTheme="minorHAnsi" w:cstheme="minorHAnsi"/>
        </w:rPr>
      </w:pPr>
      <w:bookmarkStart w:id="3" w:name="_Toc115644705"/>
      <w:r>
        <w:rPr>
          <w:rFonts w:asciiTheme="minorHAnsi" w:hAnsiTheme="minorHAnsi" w:cstheme="minorHAnsi"/>
        </w:rPr>
        <w:t>Results</w:t>
      </w:r>
      <w:bookmarkEnd w:id="3"/>
    </w:p>
    <w:p w14:paraId="7FE86BD6" w14:textId="0BFF02B3" w:rsidR="00EB7D32" w:rsidRDefault="001127B1" w:rsidP="00D9520C">
      <w:pPr>
        <w:rPr>
          <w:rFonts w:asciiTheme="minorHAnsi" w:hAnsiTheme="minorHAnsi" w:cstheme="minorBidi"/>
          <w:sz w:val="22"/>
          <w:szCs w:val="22"/>
        </w:rPr>
      </w:pPr>
      <w:r>
        <w:rPr>
          <w:rFonts w:asciiTheme="minorHAnsi" w:hAnsiTheme="minorHAnsi" w:cstheme="minorBidi"/>
          <w:sz w:val="22"/>
          <w:szCs w:val="22"/>
        </w:rPr>
        <w:t>Introducing drag finishing will enable ZB Bridgend to not only meet the upcoming demand spikes, but also potentially complete the task ahead of time</w:t>
      </w:r>
      <w:r w:rsidR="002B186B">
        <w:rPr>
          <w:rFonts w:asciiTheme="minorHAnsi" w:hAnsiTheme="minorHAnsi" w:cstheme="minorBidi"/>
          <w:sz w:val="22"/>
          <w:szCs w:val="22"/>
        </w:rPr>
        <w:t xml:space="preserve"> as can be seen </w:t>
      </w:r>
      <w:r w:rsidR="002B186B" w:rsidRPr="00CF6779">
        <w:rPr>
          <w:rFonts w:asciiTheme="minorHAnsi" w:hAnsiTheme="minorHAnsi" w:cstheme="minorBidi"/>
          <w:sz w:val="22"/>
          <w:szCs w:val="22"/>
        </w:rPr>
        <w:t xml:space="preserve">in appendix </w:t>
      </w:r>
      <w:r w:rsidR="00CF6779" w:rsidRPr="00CF6779">
        <w:rPr>
          <w:rFonts w:asciiTheme="minorHAnsi" w:hAnsiTheme="minorHAnsi" w:cstheme="minorBidi"/>
          <w:sz w:val="22"/>
          <w:szCs w:val="22"/>
        </w:rPr>
        <w:t>A</w:t>
      </w:r>
      <w:r w:rsidRPr="00CF6779">
        <w:rPr>
          <w:rFonts w:asciiTheme="minorHAnsi" w:hAnsiTheme="minorHAnsi" w:cstheme="minorBidi"/>
          <w:sz w:val="22"/>
          <w:szCs w:val="22"/>
        </w:rPr>
        <w:t>. The</w:t>
      </w:r>
      <w:r>
        <w:rPr>
          <w:rFonts w:asciiTheme="minorHAnsi" w:hAnsiTheme="minorHAnsi" w:cstheme="minorBidi"/>
          <w:sz w:val="22"/>
          <w:szCs w:val="22"/>
        </w:rPr>
        <w:t xml:space="preserve"> savings thanks to a reduced labour requirements give favourable financial returns regardless of the method or metric used. Drag finishing will also have other applications outside of tibial trays and can be developed to process </w:t>
      </w:r>
      <w:r w:rsidR="00910F94">
        <w:rPr>
          <w:rFonts w:asciiTheme="minorHAnsi" w:hAnsiTheme="minorHAnsi" w:cstheme="minorBidi"/>
          <w:sz w:val="22"/>
          <w:szCs w:val="22"/>
        </w:rPr>
        <w:t>more</w:t>
      </w:r>
      <w:r>
        <w:rPr>
          <w:rFonts w:asciiTheme="minorHAnsi" w:hAnsiTheme="minorHAnsi" w:cstheme="minorBidi"/>
          <w:sz w:val="22"/>
          <w:szCs w:val="22"/>
        </w:rPr>
        <w:t xml:space="preserve"> parts that are currently labour intensive to finish without the need to increase headcount. This makes drag finishing a worthwhile investment beyond the upcoming demand spike</w:t>
      </w:r>
      <w:r w:rsidR="002B186B">
        <w:rPr>
          <w:rFonts w:asciiTheme="minorHAnsi" w:hAnsiTheme="minorHAnsi" w:cstheme="minorBidi"/>
          <w:sz w:val="22"/>
          <w:szCs w:val="22"/>
        </w:rPr>
        <w:t xml:space="preserve"> and future proof the process against the upcoming skill shortage as it relates to professional polishers.</w:t>
      </w:r>
      <w:r w:rsidR="00770B54">
        <w:rPr>
          <w:rFonts w:asciiTheme="minorHAnsi" w:hAnsiTheme="minorHAnsi" w:cstheme="minorBidi"/>
          <w:sz w:val="22"/>
          <w:szCs w:val="22"/>
        </w:rPr>
        <w:t xml:space="preserve"> There will also be an opportunity to integrate the drag finishing equipment into an automated cell. This cell could be used to free up more labour by preloading an entire shift or weeks’ worth of production at once and allowing the cell to schedule and process the demand.</w:t>
      </w:r>
    </w:p>
    <w:bookmarkStart w:id="4" w:name="_Toc115644706" w:displacedByCustomXml="next"/>
    <w:sdt>
      <w:sdtPr>
        <w:rPr>
          <w:rFonts w:asciiTheme="minorHAnsi" w:hAnsiTheme="minorHAnsi" w:cstheme="minorHAnsi"/>
          <w:b w:val="0"/>
          <w:bCs w:val="0"/>
          <w:kern w:val="0"/>
          <w:sz w:val="24"/>
          <w:szCs w:val="24"/>
        </w:rPr>
        <w:id w:val="1022756134"/>
        <w:docPartObj>
          <w:docPartGallery w:val="Bibliographies"/>
          <w:docPartUnique/>
        </w:docPartObj>
      </w:sdtPr>
      <w:sdtEndPr>
        <w:rPr>
          <w:rFonts w:ascii="Calibri" w:hAnsi="Calibri" w:cs="Times New Roman"/>
        </w:rPr>
      </w:sdtEndPr>
      <w:sdtContent>
        <w:sdt>
          <w:sdtPr>
            <w:rPr>
              <w:rFonts w:asciiTheme="minorHAnsi" w:hAnsiTheme="minorHAnsi" w:cstheme="minorHAnsi"/>
              <w:b w:val="0"/>
              <w:bCs w:val="0"/>
              <w:kern w:val="0"/>
              <w:sz w:val="24"/>
              <w:szCs w:val="24"/>
            </w:rPr>
            <w:id w:val="-573587230"/>
            <w:bibliography/>
          </w:sdtPr>
          <w:sdtEndPr>
            <w:rPr>
              <w:rFonts w:ascii="Calibri" w:hAnsi="Calibri" w:cs="Times New Roman"/>
            </w:rPr>
          </w:sdtEndPr>
          <w:sdtContent>
            <w:sdt>
              <w:sdtPr>
                <w:rPr>
                  <w:rFonts w:asciiTheme="minorHAnsi" w:hAnsiTheme="minorHAnsi" w:cstheme="minorHAnsi"/>
                  <w:b w:val="0"/>
                  <w:bCs w:val="0"/>
                  <w:kern w:val="0"/>
                  <w:sz w:val="24"/>
                  <w:szCs w:val="24"/>
                </w:rPr>
                <w:id w:val="1322540465"/>
                <w:docPartObj>
                  <w:docPartGallery w:val="Bibliographies"/>
                  <w:docPartUnique/>
                </w:docPartObj>
              </w:sdtPr>
              <w:sdtEndPr>
                <w:rPr>
                  <w:rFonts w:ascii="Calibri" w:hAnsi="Calibri" w:cs="Times New Roman"/>
                </w:rPr>
              </w:sdtEndPr>
              <w:sdtContent>
                <w:p w14:paraId="15F61136" w14:textId="37D0BFF6" w:rsidR="0044685A" w:rsidRPr="0044685A" w:rsidRDefault="0044685A" w:rsidP="0044685A">
                  <w:pPr>
                    <w:pStyle w:val="Heading1"/>
                    <w:rPr>
                      <w:rFonts w:asciiTheme="minorHAnsi" w:hAnsiTheme="minorHAnsi" w:cstheme="minorHAnsi"/>
                    </w:rPr>
                  </w:pPr>
                  <w:r w:rsidRPr="0044685A">
                    <w:rPr>
                      <w:rFonts w:asciiTheme="minorHAnsi" w:hAnsiTheme="minorHAnsi" w:cstheme="minorHAnsi"/>
                    </w:rPr>
                    <w:t>References</w:t>
                  </w:r>
                  <w:bookmarkEnd w:id="4"/>
                </w:p>
                <w:sdt>
                  <w:sdtPr>
                    <w:id w:val="1046406010"/>
                    <w:bibliography/>
                  </w:sdtPr>
                  <w:sdtContent>
                    <w:p w14:paraId="622BABB8" w14:textId="77777777" w:rsidR="00770B54" w:rsidRDefault="0044685A" w:rsidP="00770B54">
                      <w:pPr>
                        <w:pStyle w:val="Bibliography"/>
                        <w:spacing w:before="240"/>
                        <w:rPr>
                          <w:noProof/>
                        </w:rPr>
                      </w:pPr>
                      <w:r>
                        <w:fldChar w:fldCharType="begin"/>
                      </w:r>
                      <w:r>
                        <w:instrText xml:space="preserve"> BIBLIOGRAPHY </w:instrText>
                      </w:r>
                      <w:r>
                        <w:fldChar w:fldCharType="separate"/>
                      </w:r>
                      <w:r w:rsidR="00770B54">
                        <w:rPr>
                          <w:noProof/>
                        </w:rPr>
                        <w:t xml:space="preserve">Feenstra, D. W. &amp; Wang, H., 2000. </w:t>
                      </w:r>
                      <w:r w:rsidR="00770B54">
                        <w:rPr>
                          <w:i/>
                          <w:iCs/>
                          <w:noProof/>
                        </w:rPr>
                        <w:t xml:space="preserve">Economic and Accounting Rates of Return, </w:t>
                      </w:r>
                      <w:r w:rsidR="00770B54">
                        <w:rPr>
                          <w:noProof/>
                        </w:rPr>
                        <w:t>St. Louis: Federal Reserve Bank of St Louis.</w:t>
                      </w:r>
                    </w:p>
                    <w:p w14:paraId="40679A72" w14:textId="77777777" w:rsidR="00770B54" w:rsidRDefault="00770B54" w:rsidP="00770B54">
                      <w:pPr>
                        <w:pStyle w:val="Bibliography"/>
                        <w:spacing w:before="240"/>
                        <w:rPr>
                          <w:noProof/>
                        </w:rPr>
                      </w:pPr>
                      <w:r>
                        <w:rPr>
                          <w:noProof/>
                        </w:rPr>
                        <w:t xml:space="preserve">Gurau, M. A., 2012. THE USE OF PROFITABILITY INDEX IN ECONOMIC EVALUATION OF INDUSTRIAL INVESTMENT PROJECTS. </w:t>
                      </w:r>
                      <w:r>
                        <w:rPr>
                          <w:i/>
                          <w:iCs/>
                          <w:noProof/>
                        </w:rPr>
                        <w:t xml:space="preserve">Proceedings in Manufacturing Systems, </w:t>
                      </w:r>
                      <w:r>
                        <w:rPr>
                          <w:noProof/>
                        </w:rPr>
                        <w:t>7(1), pp. 55-58.</w:t>
                      </w:r>
                    </w:p>
                    <w:p w14:paraId="619CD0C4" w14:textId="77777777" w:rsidR="00770B54" w:rsidRDefault="00770B54" w:rsidP="00770B54">
                      <w:pPr>
                        <w:pStyle w:val="Bibliography"/>
                        <w:spacing w:before="240"/>
                        <w:rPr>
                          <w:noProof/>
                        </w:rPr>
                      </w:pPr>
                      <w:r>
                        <w:rPr>
                          <w:noProof/>
                        </w:rPr>
                        <w:t xml:space="preserve">Invest Northern Ireland, 2020. </w:t>
                      </w:r>
                      <w:r>
                        <w:rPr>
                          <w:i/>
                          <w:iCs/>
                          <w:noProof/>
                        </w:rPr>
                        <w:t xml:space="preserve">nibusinessinfo.co.uk. </w:t>
                      </w:r>
                      <w:r>
                        <w:rPr>
                          <w:noProof/>
                        </w:rPr>
                        <w:t xml:space="preserve">[Online] </w:t>
                      </w:r>
                      <w:r>
                        <w:rPr>
                          <w:noProof/>
                        </w:rPr>
                        <w:br/>
                        <w:t xml:space="preserve">Available at: </w:t>
                      </w:r>
                      <w:r>
                        <w:rPr>
                          <w:noProof/>
                          <w:u w:val="single"/>
                        </w:rPr>
                        <w:t>https://www.nibusinessinfo.co.uk/content/accounting-rate-return#:~:text=Disadvantages%20of%20the%20accounting%20rate%20of%20return&amp;text=Unlike%20other%20methods%20of%20investment,account%20the%20timing%20of%20profits.</w:t>
                      </w:r>
                      <w:r>
                        <w:rPr>
                          <w:noProof/>
                        </w:rPr>
                        <w:br/>
                        <w:t>[Accessed 18 September 2022].</w:t>
                      </w:r>
                    </w:p>
                    <w:p w14:paraId="5801E8BC" w14:textId="77777777" w:rsidR="00770B54" w:rsidRDefault="00770B54" w:rsidP="00770B54">
                      <w:pPr>
                        <w:pStyle w:val="Bibliography"/>
                        <w:spacing w:before="240"/>
                        <w:rPr>
                          <w:noProof/>
                        </w:rPr>
                      </w:pPr>
                      <w:r>
                        <w:rPr>
                          <w:noProof/>
                        </w:rPr>
                        <w:t xml:space="preserve">Kattan, D., 2021. </w:t>
                      </w:r>
                      <w:r>
                        <w:rPr>
                          <w:i/>
                          <w:iCs/>
                          <w:noProof/>
                        </w:rPr>
                        <w:t xml:space="preserve">Forbes.com. </w:t>
                      </w:r>
                      <w:r>
                        <w:rPr>
                          <w:noProof/>
                        </w:rPr>
                        <w:t xml:space="preserve">[Online] </w:t>
                      </w:r>
                      <w:r>
                        <w:rPr>
                          <w:noProof/>
                        </w:rPr>
                        <w:br/>
                        <w:t xml:space="preserve">Available at: </w:t>
                      </w:r>
                      <w:r>
                        <w:rPr>
                          <w:noProof/>
                          <w:u w:val="single"/>
                        </w:rPr>
                        <w:t>https://www.forbes.com/sites/forbesrealestatecouncil/2021/09/29/the-importance-limitations-and-concept-of-quality-of-irr/</w:t>
                      </w:r>
                      <w:r>
                        <w:rPr>
                          <w:noProof/>
                        </w:rPr>
                        <w:br/>
                        <w:t>[Accessed 10 September 2022].</w:t>
                      </w:r>
                    </w:p>
                    <w:p w14:paraId="5C4A65F6" w14:textId="77777777" w:rsidR="00770B54" w:rsidRDefault="00770B54" w:rsidP="00770B54">
                      <w:pPr>
                        <w:pStyle w:val="Bibliography"/>
                        <w:spacing w:before="240"/>
                        <w:rPr>
                          <w:noProof/>
                        </w:rPr>
                      </w:pPr>
                      <w:r>
                        <w:rPr>
                          <w:noProof/>
                        </w:rPr>
                        <w:t xml:space="preserve">Kelly, G. &amp; Tippett, M., 1991. Economic and Accounting Rates of Return: A Statistical Model. </w:t>
                      </w:r>
                      <w:r>
                        <w:rPr>
                          <w:i/>
                          <w:iCs/>
                          <w:noProof/>
                        </w:rPr>
                        <w:t xml:space="preserve">Accounting and Business Research, </w:t>
                      </w:r>
                      <w:r>
                        <w:rPr>
                          <w:noProof/>
                        </w:rPr>
                        <w:t>21(84), pp. 321-329.</w:t>
                      </w:r>
                    </w:p>
                    <w:p w14:paraId="2D367D43" w14:textId="77777777" w:rsidR="00770B54" w:rsidRDefault="00770B54" w:rsidP="00770B54">
                      <w:pPr>
                        <w:pStyle w:val="Bibliography"/>
                        <w:spacing w:before="240"/>
                        <w:rPr>
                          <w:noProof/>
                        </w:rPr>
                      </w:pPr>
                      <w:r>
                        <w:rPr>
                          <w:noProof/>
                        </w:rPr>
                        <w:t xml:space="preserve">Mellichamp, D. A., 2017. Internal rate of return: Good and bad features, and a new way of interpreting the historic measure. </w:t>
                      </w:r>
                      <w:r>
                        <w:rPr>
                          <w:i/>
                          <w:iCs/>
                          <w:noProof/>
                        </w:rPr>
                        <w:t xml:space="preserve">Computer &amp; Chemical Engineering, </w:t>
                      </w:r>
                      <w:r>
                        <w:rPr>
                          <w:noProof/>
                        </w:rPr>
                        <w:t>Volume 106, pp. 396-406.</w:t>
                      </w:r>
                    </w:p>
                    <w:p w14:paraId="1E704696" w14:textId="77777777" w:rsidR="00770B54" w:rsidRDefault="00770B54" w:rsidP="00770B54">
                      <w:pPr>
                        <w:pStyle w:val="Bibliography"/>
                        <w:spacing w:before="240"/>
                        <w:rPr>
                          <w:noProof/>
                        </w:rPr>
                      </w:pPr>
                      <w:r>
                        <w:rPr>
                          <w:noProof/>
                        </w:rPr>
                        <w:t xml:space="preserve">Miletic, M. &amp; Latinac, D., 2020. </w:t>
                      </w:r>
                      <w:r>
                        <w:rPr>
                          <w:i/>
                          <w:iCs/>
                          <w:noProof/>
                        </w:rPr>
                        <w:t xml:space="preserve">Internal rate of return method - a commonly used method with few advantages and many disadvantages?. </w:t>
                      </w:r>
                      <w:r>
                        <w:rPr>
                          <w:noProof/>
                        </w:rPr>
                        <w:t>Hrvatska, University of Split.</w:t>
                      </w:r>
                    </w:p>
                    <w:p w14:paraId="5450BAC3" w14:textId="77777777" w:rsidR="00770B54" w:rsidRDefault="00770B54" w:rsidP="00770B54">
                      <w:pPr>
                        <w:pStyle w:val="Bibliography"/>
                        <w:spacing w:before="240"/>
                        <w:rPr>
                          <w:noProof/>
                        </w:rPr>
                      </w:pPr>
                      <w:r>
                        <w:rPr>
                          <w:noProof/>
                        </w:rPr>
                        <w:t xml:space="preserve">Nasdaq, 2015. </w:t>
                      </w:r>
                      <w:r>
                        <w:rPr>
                          <w:i/>
                          <w:iCs/>
                          <w:noProof/>
                        </w:rPr>
                        <w:t xml:space="preserve">Nasdaq.com. </w:t>
                      </w:r>
                      <w:r>
                        <w:rPr>
                          <w:noProof/>
                        </w:rPr>
                        <w:t xml:space="preserve">[Online] </w:t>
                      </w:r>
                      <w:r>
                        <w:rPr>
                          <w:noProof/>
                        </w:rPr>
                        <w:br/>
                        <w:t xml:space="preserve">Available at: </w:t>
                      </w:r>
                      <w:r>
                        <w:rPr>
                          <w:noProof/>
                          <w:u w:val="single"/>
                        </w:rPr>
                        <w:t>https://www.nasdaq.com/articles/advantages-and-disadvantages-net-present-value-method-2015-11-14</w:t>
                      </w:r>
                      <w:r>
                        <w:rPr>
                          <w:noProof/>
                        </w:rPr>
                        <w:br/>
                        <w:t>[Accessed 18 September 2022].</w:t>
                      </w:r>
                    </w:p>
                    <w:p w14:paraId="3819B59D" w14:textId="77777777" w:rsidR="00770B54" w:rsidRDefault="00770B54" w:rsidP="00770B54">
                      <w:pPr>
                        <w:pStyle w:val="Bibliography"/>
                        <w:spacing w:before="240"/>
                        <w:rPr>
                          <w:noProof/>
                        </w:rPr>
                      </w:pPr>
                      <w:r>
                        <w:rPr>
                          <w:noProof/>
                        </w:rPr>
                        <w:t xml:space="preserve">OECD, 2013. </w:t>
                      </w:r>
                      <w:r>
                        <w:rPr>
                          <w:i/>
                          <w:iCs/>
                          <w:noProof/>
                        </w:rPr>
                        <w:t xml:space="preserve">"THE WHERE" OF DEVELOPMENT FINANCE, </w:t>
                      </w:r>
                      <w:r>
                        <w:rPr>
                          <w:noProof/>
                        </w:rPr>
                        <w:t>Paris: Organisation for Economic Co-operation and Development.</w:t>
                      </w:r>
                    </w:p>
                    <w:p w14:paraId="4D591BA8" w14:textId="77777777" w:rsidR="00770B54" w:rsidRDefault="00770B54" w:rsidP="00770B54">
                      <w:pPr>
                        <w:pStyle w:val="Bibliography"/>
                        <w:spacing w:before="240"/>
                        <w:rPr>
                          <w:noProof/>
                        </w:rPr>
                      </w:pPr>
                      <w:r>
                        <w:rPr>
                          <w:noProof/>
                        </w:rPr>
                        <w:t xml:space="preserve">Remer, D. S. &amp; Nieto, A. P., 1995. A compendium and comparison of 25 project evaluation techniques. </w:t>
                      </w:r>
                      <w:r>
                        <w:rPr>
                          <w:i/>
                          <w:iCs/>
                          <w:noProof/>
                        </w:rPr>
                        <w:t xml:space="preserve">International Journal of Production Economics, </w:t>
                      </w:r>
                      <w:r>
                        <w:rPr>
                          <w:noProof/>
                        </w:rPr>
                        <w:t>Issue 42, pp. 79-96.</w:t>
                      </w:r>
                    </w:p>
                    <w:p w14:paraId="6E86CAC7" w14:textId="77777777" w:rsidR="00770B54" w:rsidRDefault="00770B54" w:rsidP="00770B54">
                      <w:pPr>
                        <w:pStyle w:val="Bibliography"/>
                        <w:spacing w:before="240"/>
                        <w:rPr>
                          <w:noProof/>
                        </w:rPr>
                      </w:pPr>
                      <w:r>
                        <w:rPr>
                          <w:noProof/>
                        </w:rPr>
                        <w:t xml:space="preserve">Webber, T. A., 2014. On the (non-)equivalence of IRR and NPV. </w:t>
                      </w:r>
                      <w:r>
                        <w:rPr>
                          <w:i/>
                          <w:iCs/>
                          <w:noProof/>
                        </w:rPr>
                        <w:t xml:space="preserve">Journal of Mathematical Economics, </w:t>
                      </w:r>
                      <w:r>
                        <w:rPr>
                          <w:noProof/>
                        </w:rPr>
                        <w:t>Volume 52, pp. 25-39.</w:t>
                      </w:r>
                    </w:p>
                    <w:p w14:paraId="1BFF1445" w14:textId="3CE91B91" w:rsidR="0044685A" w:rsidRDefault="0044685A" w:rsidP="00770B54">
                      <w:pPr>
                        <w:spacing w:before="240"/>
                      </w:pPr>
                      <w:r>
                        <w:rPr>
                          <w:b/>
                          <w:bCs/>
                          <w:noProof/>
                        </w:rPr>
                        <w:fldChar w:fldCharType="end"/>
                      </w:r>
                    </w:p>
                  </w:sdtContent>
                </w:sdt>
              </w:sdtContent>
            </w:sdt>
            <w:p w14:paraId="1EBC9FA9" w14:textId="4AE3A247" w:rsidR="0066487E" w:rsidRDefault="00000000"/>
          </w:sdtContent>
        </w:sdt>
      </w:sdtContent>
    </w:sdt>
    <w:p w14:paraId="4545DF90" w14:textId="77777777" w:rsidR="0066487E" w:rsidRDefault="0066487E"/>
    <w:p w14:paraId="6D1DC8B3" w14:textId="77777777" w:rsidR="0044685A" w:rsidRDefault="007F773B" w:rsidP="00480BFE">
      <w:pPr>
        <w:spacing w:after="200" w:line="276" w:lineRule="auto"/>
      </w:pPr>
      <w:r>
        <w:br w:type="page"/>
      </w:r>
    </w:p>
    <w:p w14:paraId="18AB9E7B" w14:textId="77777777" w:rsidR="00220967" w:rsidRDefault="00220967" w:rsidP="00480BFE">
      <w:pPr>
        <w:spacing w:after="200" w:line="276" w:lineRule="auto"/>
        <w:sectPr w:rsidR="00220967" w:rsidSect="00D032D5">
          <w:headerReference w:type="default" r:id="rId12"/>
          <w:footerReference w:type="default" r:id="rId13"/>
          <w:footerReference w:type="first" r:id="rId14"/>
          <w:pgSz w:w="11906" w:h="16838"/>
          <w:pgMar w:top="1440" w:right="1440" w:bottom="993" w:left="1440" w:header="708" w:footer="152" w:gutter="0"/>
          <w:pgNumType w:start="0"/>
          <w:cols w:space="708"/>
          <w:titlePg/>
          <w:docGrid w:linePitch="360"/>
        </w:sectPr>
      </w:pPr>
    </w:p>
    <w:p w14:paraId="3E65D7B5" w14:textId="61EA8B00" w:rsidR="0044685A" w:rsidRPr="00220967" w:rsidRDefault="00220967" w:rsidP="00220967">
      <w:pPr>
        <w:pStyle w:val="Heading1"/>
        <w:rPr>
          <w:rFonts w:asciiTheme="minorHAnsi" w:hAnsiTheme="minorHAnsi" w:cstheme="minorHAnsi"/>
        </w:rPr>
      </w:pPr>
      <w:bookmarkStart w:id="5" w:name="_Toc115644707"/>
      <w:r w:rsidRPr="00220967">
        <w:rPr>
          <w:rFonts w:asciiTheme="minorHAnsi" w:hAnsiTheme="minorHAnsi" w:cstheme="minorHAnsi"/>
        </w:rPr>
        <w:lastRenderedPageBreak/>
        <w:t>Appendix A-Tibial Demand Profiles</w:t>
      </w:r>
      <w:bookmarkEnd w:id="5"/>
    </w:p>
    <w:p w14:paraId="51E15668" w14:textId="6411211B" w:rsidR="0066487E" w:rsidRDefault="007F773B" w:rsidP="00220967">
      <w:pPr>
        <w:spacing w:after="200" w:line="276" w:lineRule="auto"/>
      </w:pPr>
      <w:r>
        <w:rPr>
          <w:noProof/>
        </w:rPr>
        <w:drawing>
          <wp:inline distT="0" distB="0" distL="0" distR="0" wp14:anchorId="04142A67" wp14:editId="7AFA7DF0">
            <wp:extent cx="9458325" cy="5286375"/>
            <wp:effectExtent l="0" t="0" r="0" b="0"/>
            <wp:docPr id="1" name="Chart 1">
              <a:extLst xmlns:a="http://schemas.openxmlformats.org/drawingml/2006/main">
                <a:ext uri="{FF2B5EF4-FFF2-40B4-BE49-F238E27FC236}">
                  <a16:creationId xmlns:a16="http://schemas.microsoft.com/office/drawing/2014/main" id="{D7BEC915-F1FD-2535-9E1E-42180A8576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CAB6F45" w14:textId="3CCBF891" w:rsidR="0066487E" w:rsidRPr="00220967" w:rsidRDefault="00220967" w:rsidP="00220967">
      <w:pPr>
        <w:pStyle w:val="Heading1"/>
        <w:rPr>
          <w:rFonts w:asciiTheme="minorHAnsi" w:hAnsiTheme="minorHAnsi" w:cstheme="minorHAnsi"/>
        </w:rPr>
      </w:pPr>
      <w:bookmarkStart w:id="6" w:name="_Toc115644708"/>
      <w:r w:rsidRPr="00220967">
        <w:rPr>
          <w:rFonts w:asciiTheme="minorHAnsi" w:hAnsiTheme="minorHAnsi" w:cstheme="minorHAnsi"/>
        </w:rPr>
        <w:lastRenderedPageBreak/>
        <w:t>Appendix B-Required Manning Levels</w:t>
      </w:r>
      <w:bookmarkEnd w:id="6"/>
    </w:p>
    <w:p w14:paraId="07D8A7BA" w14:textId="5B2525C6" w:rsidR="0044685A" w:rsidRDefault="0044685A">
      <w:r>
        <w:rPr>
          <w:noProof/>
        </w:rPr>
        <w:drawing>
          <wp:inline distT="0" distB="0" distL="0" distR="0" wp14:anchorId="66115172" wp14:editId="448C9E03">
            <wp:extent cx="8820150" cy="5076825"/>
            <wp:effectExtent l="0" t="0" r="0" b="0"/>
            <wp:docPr id="2" name="Chart 2">
              <a:extLst xmlns:a="http://schemas.openxmlformats.org/drawingml/2006/main">
                <a:ext uri="{FF2B5EF4-FFF2-40B4-BE49-F238E27FC236}">
                  <a16:creationId xmlns:a16="http://schemas.microsoft.com/office/drawing/2014/main" id="{7A81595A-9ECD-435B-9C50-99335B9433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B270E86" w14:textId="77777777" w:rsidR="0044685A" w:rsidRDefault="0044685A">
      <w:pPr>
        <w:spacing w:after="200" w:line="276" w:lineRule="auto"/>
      </w:pPr>
      <w:r>
        <w:br w:type="page"/>
      </w:r>
    </w:p>
    <w:p w14:paraId="0EA7EC69" w14:textId="139D6271" w:rsidR="0066487E" w:rsidRPr="00537D99" w:rsidRDefault="00537D99" w:rsidP="00537D99">
      <w:pPr>
        <w:pStyle w:val="Heading1"/>
        <w:rPr>
          <w:rFonts w:asciiTheme="minorHAnsi" w:hAnsiTheme="minorHAnsi" w:cstheme="minorHAnsi"/>
        </w:rPr>
      </w:pPr>
      <w:bookmarkStart w:id="7" w:name="_Toc115644709"/>
      <w:r w:rsidRPr="00537D99">
        <w:rPr>
          <w:rFonts w:asciiTheme="minorHAnsi" w:hAnsiTheme="minorHAnsi" w:cstheme="minorHAnsi"/>
        </w:rPr>
        <w:lastRenderedPageBreak/>
        <w:t>Appendix C-Financial Calculations</w:t>
      </w:r>
      <w:bookmarkEnd w:id="7"/>
    </w:p>
    <w:tbl>
      <w:tblPr>
        <w:tblW w:w="5000" w:type="pct"/>
        <w:tblLook w:val="04A0" w:firstRow="1" w:lastRow="0" w:firstColumn="1" w:lastColumn="0" w:noHBand="0" w:noVBand="1"/>
      </w:tblPr>
      <w:tblGrid>
        <w:gridCol w:w="460"/>
        <w:gridCol w:w="544"/>
        <w:gridCol w:w="227"/>
        <w:gridCol w:w="227"/>
        <w:gridCol w:w="499"/>
        <w:gridCol w:w="549"/>
        <w:gridCol w:w="549"/>
        <w:gridCol w:w="518"/>
        <w:gridCol w:w="518"/>
        <w:gridCol w:w="518"/>
        <w:gridCol w:w="518"/>
        <w:gridCol w:w="542"/>
        <w:gridCol w:w="542"/>
        <w:gridCol w:w="545"/>
        <w:gridCol w:w="545"/>
        <w:gridCol w:w="545"/>
        <w:gridCol w:w="545"/>
        <w:gridCol w:w="545"/>
        <w:gridCol w:w="545"/>
        <w:gridCol w:w="545"/>
        <w:gridCol w:w="545"/>
        <w:gridCol w:w="545"/>
        <w:gridCol w:w="545"/>
        <w:gridCol w:w="545"/>
        <w:gridCol w:w="545"/>
        <w:gridCol w:w="545"/>
        <w:gridCol w:w="545"/>
        <w:gridCol w:w="545"/>
      </w:tblGrid>
      <w:tr w:rsidR="00537D99" w:rsidRPr="00537D99" w14:paraId="21F74747" w14:textId="77777777" w:rsidTr="00537D99">
        <w:trPr>
          <w:trHeight w:val="270"/>
        </w:trPr>
        <w:tc>
          <w:tcPr>
            <w:tcW w:w="160" w:type="pct"/>
            <w:tcBorders>
              <w:top w:val="nil"/>
              <w:left w:val="single" w:sz="8" w:space="0" w:color="auto"/>
              <w:bottom w:val="nil"/>
              <w:right w:val="nil"/>
            </w:tcBorders>
            <w:shd w:val="clear" w:color="auto" w:fill="auto"/>
            <w:noWrap/>
            <w:vAlign w:val="center"/>
            <w:hideMark/>
          </w:tcPr>
          <w:p w14:paraId="2AF8310F"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0E7EE877"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79" w:type="pct"/>
            <w:tcBorders>
              <w:top w:val="nil"/>
              <w:left w:val="nil"/>
              <w:bottom w:val="nil"/>
              <w:right w:val="nil"/>
            </w:tcBorders>
            <w:shd w:val="clear" w:color="auto" w:fill="auto"/>
            <w:noWrap/>
            <w:vAlign w:val="center"/>
            <w:hideMark/>
          </w:tcPr>
          <w:p w14:paraId="35A8D2CE"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79" w:type="pct"/>
            <w:tcBorders>
              <w:top w:val="nil"/>
              <w:left w:val="nil"/>
              <w:bottom w:val="nil"/>
              <w:right w:val="nil"/>
            </w:tcBorders>
            <w:shd w:val="clear" w:color="auto" w:fill="auto"/>
            <w:noWrap/>
            <w:vAlign w:val="center"/>
            <w:hideMark/>
          </w:tcPr>
          <w:p w14:paraId="28ABFDCE"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73"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934A0EC" w14:textId="1A327370" w:rsidR="00537D99" w:rsidRPr="00537D99" w:rsidRDefault="00770B54" w:rsidP="00537D99">
            <w:pPr>
              <w:jc w:val="center"/>
              <w:rPr>
                <w:rFonts w:cs="Calibri"/>
                <w:color w:val="000000"/>
                <w:sz w:val="14"/>
                <w:szCs w:val="14"/>
                <w:lang w:eastAsia="en-GB"/>
              </w:rPr>
            </w:pPr>
            <w:r>
              <w:rPr>
                <w:rFonts w:cs="Calibri"/>
                <w:color w:val="000000"/>
                <w:sz w:val="14"/>
                <w:szCs w:val="14"/>
                <w:lang w:eastAsia="en-GB"/>
              </w:rPr>
              <w:t>Month</w:t>
            </w:r>
          </w:p>
        </w:tc>
        <w:tc>
          <w:tcPr>
            <w:tcW w:w="191" w:type="pct"/>
            <w:tcBorders>
              <w:top w:val="single" w:sz="8" w:space="0" w:color="auto"/>
              <w:left w:val="nil"/>
              <w:bottom w:val="single" w:sz="8" w:space="0" w:color="auto"/>
              <w:right w:val="single" w:sz="4" w:space="0" w:color="auto"/>
            </w:tcBorders>
            <w:shd w:val="clear" w:color="auto" w:fill="auto"/>
            <w:noWrap/>
            <w:vAlign w:val="center"/>
            <w:hideMark/>
          </w:tcPr>
          <w:p w14:paraId="230E7CD1"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0</w:t>
            </w:r>
          </w:p>
        </w:tc>
        <w:tc>
          <w:tcPr>
            <w:tcW w:w="191" w:type="pct"/>
            <w:tcBorders>
              <w:top w:val="single" w:sz="8" w:space="0" w:color="auto"/>
              <w:left w:val="nil"/>
              <w:bottom w:val="single" w:sz="8" w:space="0" w:color="auto"/>
              <w:right w:val="single" w:sz="4" w:space="0" w:color="auto"/>
            </w:tcBorders>
            <w:shd w:val="clear" w:color="auto" w:fill="auto"/>
            <w:noWrap/>
            <w:vAlign w:val="center"/>
            <w:hideMark/>
          </w:tcPr>
          <w:p w14:paraId="7DD713CC"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1</w:t>
            </w:r>
          </w:p>
        </w:tc>
        <w:tc>
          <w:tcPr>
            <w:tcW w:w="180" w:type="pct"/>
            <w:tcBorders>
              <w:top w:val="single" w:sz="8" w:space="0" w:color="auto"/>
              <w:left w:val="nil"/>
              <w:bottom w:val="single" w:sz="8" w:space="0" w:color="auto"/>
              <w:right w:val="single" w:sz="4" w:space="0" w:color="auto"/>
            </w:tcBorders>
            <w:shd w:val="clear" w:color="auto" w:fill="auto"/>
            <w:noWrap/>
            <w:vAlign w:val="center"/>
            <w:hideMark/>
          </w:tcPr>
          <w:p w14:paraId="3F1F69F4"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2</w:t>
            </w:r>
          </w:p>
        </w:tc>
        <w:tc>
          <w:tcPr>
            <w:tcW w:w="180" w:type="pct"/>
            <w:tcBorders>
              <w:top w:val="single" w:sz="8" w:space="0" w:color="auto"/>
              <w:left w:val="nil"/>
              <w:bottom w:val="single" w:sz="8" w:space="0" w:color="auto"/>
              <w:right w:val="single" w:sz="4" w:space="0" w:color="auto"/>
            </w:tcBorders>
            <w:shd w:val="clear" w:color="auto" w:fill="auto"/>
            <w:noWrap/>
            <w:vAlign w:val="center"/>
            <w:hideMark/>
          </w:tcPr>
          <w:p w14:paraId="33307E66"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3</w:t>
            </w:r>
          </w:p>
        </w:tc>
        <w:tc>
          <w:tcPr>
            <w:tcW w:w="180" w:type="pct"/>
            <w:tcBorders>
              <w:top w:val="single" w:sz="8" w:space="0" w:color="auto"/>
              <w:left w:val="nil"/>
              <w:bottom w:val="single" w:sz="8" w:space="0" w:color="auto"/>
              <w:right w:val="single" w:sz="4" w:space="0" w:color="auto"/>
            </w:tcBorders>
            <w:shd w:val="clear" w:color="auto" w:fill="auto"/>
            <w:noWrap/>
            <w:vAlign w:val="center"/>
            <w:hideMark/>
          </w:tcPr>
          <w:p w14:paraId="666DD0D7"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4</w:t>
            </w:r>
          </w:p>
        </w:tc>
        <w:tc>
          <w:tcPr>
            <w:tcW w:w="180" w:type="pct"/>
            <w:tcBorders>
              <w:top w:val="single" w:sz="8" w:space="0" w:color="auto"/>
              <w:left w:val="nil"/>
              <w:bottom w:val="single" w:sz="8" w:space="0" w:color="auto"/>
              <w:right w:val="single" w:sz="4" w:space="0" w:color="auto"/>
            </w:tcBorders>
            <w:shd w:val="clear" w:color="auto" w:fill="auto"/>
            <w:noWrap/>
            <w:vAlign w:val="center"/>
            <w:hideMark/>
          </w:tcPr>
          <w:p w14:paraId="1DF1B461"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5</w:t>
            </w:r>
          </w:p>
        </w:tc>
        <w:tc>
          <w:tcPr>
            <w:tcW w:w="188" w:type="pct"/>
            <w:tcBorders>
              <w:top w:val="single" w:sz="8" w:space="0" w:color="auto"/>
              <w:left w:val="nil"/>
              <w:bottom w:val="single" w:sz="8" w:space="0" w:color="auto"/>
              <w:right w:val="single" w:sz="4" w:space="0" w:color="auto"/>
            </w:tcBorders>
            <w:shd w:val="clear" w:color="auto" w:fill="auto"/>
            <w:noWrap/>
            <w:vAlign w:val="center"/>
            <w:hideMark/>
          </w:tcPr>
          <w:p w14:paraId="5CA1B2C5"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6</w:t>
            </w:r>
          </w:p>
        </w:tc>
        <w:tc>
          <w:tcPr>
            <w:tcW w:w="188" w:type="pct"/>
            <w:tcBorders>
              <w:top w:val="single" w:sz="8" w:space="0" w:color="auto"/>
              <w:left w:val="nil"/>
              <w:bottom w:val="single" w:sz="8" w:space="0" w:color="auto"/>
              <w:right w:val="single" w:sz="4" w:space="0" w:color="auto"/>
            </w:tcBorders>
            <w:shd w:val="clear" w:color="auto" w:fill="auto"/>
            <w:noWrap/>
            <w:vAlign w:val="center"/>
            <w:hideMark/>
          </w:tcPr>
          <w:p w14:paraId="42541EFC"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7</w:t>
            </w:r>
          </w:p>
        </w:tc>
        <w:tc>
          <w:tcPr>
            <w:tcW w:w="189" w:type="pct"/>
            <w:tcBorders>
              <w:top w:val="single" w:sz="8" w:space="0" w:color="auto"/>
              <w:left w:val="nil"/>
              <w:bottom w:val="single" w:sz="8" w:space="0" w:color="auto"/>
              <w:right w:val="single" w:sz="4" w:space="0" w:color="auto"/>
            </w:tcBorders>
            <w:shd w:val="clear" w:color="auto" w:fill="auto"/>
            <w:noWrap/>
            <w:vAlign w:val="center"/>
            <w:hideMark/>
          </w:tcPr>
          <w:p w14:paraId="30358735"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8</w:t>
            </w:r>
          </w:p>
        </w:tc>
        <w:tc>
          <w:tcPr>
            <w:tcW w:w="189" w:type="pct"/>
            <w:tcBorders>
              <w:top w:val="single" w:sz="8" w:space="0" w:color="auto"/>
              <w:left w:val="nil"/>
              <w:bottom w:val="single" w:sz="8" w:space="0" w:color="auto"/>
              <w:right w:val="single" w:sz="4" w:space="0" w:color="auto"/>
            </w:tcBorders>
            <w:shd w:val="clear" w:color="auto" w:fill="auto"/>
            <w:noWrap/>
            <w:vAlign w:val="center"/>
            <w:hideMark/>
          </w:tcPr>
          <w:p w14:paraId="1090D80B"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9</w:t>
            </w:r>
          </w:p>
        </w:tc>
        <w:tc>
          <w:tcPr>
            <w:tcW w:w="189" w:type="pct"/>
            <w:tcBorders>
              <w:top w:val="single" w:sz="8" w:space="0" w:color="auto"/>
              <w:left w:val="nil"/>
              <w:bottom w:val="single" w:sz="8" w:space="0" w:color="auto"/>
              <w:right w:val="single" w:sz="8" w:space="0" w:color="auto"/>
            </w:tcBorders>
            <w:shd w:val="clear" w:color="auto" w:fill="auto"/>
            <w:noWrap/>
            <w:vAlign w:val="center"/>
            <w:hideMark/>
          </w:tcPr>
          <w:p w14:paraId="1FBCE508"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10</w:t>
            </w:r>
          </w:p>
        </w:tc>
        <w:tc>
          <w:tcPr>
            <w:tcW w:w="189" w:type="pct"/>
            <w:tcBorders>
              <w:top w:val="single" w:sz="8" w:space="0" w:color="auto"/>
              <w:left w:val="single" w:sz="4" w:space="0" w:color="auto"/>
              <w:bottom w:val="single" w:sz="8" w:space="0" w:color="auto"/>
              <w:right w:val="single" w:sz="8" w:space="0" w:color="auto"/>
            </w:tcBorders>
            <w:shd w:val="clear" w:color="auto" w:fill="auto"/>
            <w:noWrap/>
            <w:vAlign w:val="center"/>
            <w:hideMark/>
          </w:tcPr>
          <w:p w14:paraId="2CAB1EE0"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11</w:t>
            </w:r>
          </w:p>
        </w:tc>
        <w:tc>
          <w:tcPr>
            <w:tcW w:w="189" w:type="pct"/>
            <w:tcBorders>
              <w:top w:val="single" w:sz="8" w:space="0" w:color="auto"/>
              <w:left w:val="single" w:sz="4" w:space="0" w:color="auto"/>
              <w:bottom w:val="single" w:sz="8" w:space="0" w:color="auto"/>
              <w:right w:val="single" w:sz="8" w:space="0" w:color="auto"/>
            </w:tcBorders>
            <w:shd w:val="clear" w:color="auto" w:fill="auto"/>
            <w:noWrap/>
            <w:vAlign w:val="center"/>
            <w:hideMark/>
          </w:tcPr>
          <w:p w14:paraId="3BCC4F57"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12</w:t>
            </w:r>
          </w:p>
        </w:tc>
        <w:tc>
          <w:tcPr>
            <w:tcW w:w="189" w:type="pct"/>
            <w:tcBorders>
              <w:top w:val="single" w:sz="8" w:space="0" w:color="auto"/>
              <w:left w:val="single" w:sz="4" w:space="0" w:color="auto"/>
              <w:bottom w:val="single" w:sz="8" w:space="0" w:color="auto"/>
              <w:right w:val="single" w:sz="8" w:space="0" w:color="auto"/>
            </w:tcBorders>
            <w:shd w:val="clear" w:color="auto" w:fill="auto"/>
            <w:noWrap/>
            <w:vAlign w:val="center"/>
            <w:hideMark/>
          </w:tcPr>
          <w:p w14:paraId="280C9FE3"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13</w:t>
            </w:r>
          </w:p>
        </w:tc>
        <w:tc>
          <w:tcPr>
            <w:tcW w:w="189" w:type="pct"/>
            <w:tcBorders>
              <w:top w:val="single" w:sz="8" w:space="0" w:color="auto"/>
              <w:left w:val="single" w:sz="4" w:space="0" w:color="auto"/>
              <w:bottom w:val="single" w:sz="8" w:space="0" w:color="auto"/>
              <w:right w:val="single" w:sz="8" w:space="0" w:color="auto"/>
            </w:tcBorders>
            <w:shd w:val="clear" w:color="auto" w:fill="auto"/>
            <w:noWrap/>
            <w:vAlign w:val="center"/>
            <w:hideMark/>
          </w:tcPr>
          <w:p w14:paraId="075E94CB"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14</w:t>
            </w:r>
          </w:p>
        </w:tc>
        <w:tc>
          <w:tcPr>
            <w:tcW w:w="189" w:type="pct"/>
            <w:tcBorders>
              <w:top w:val="single" w:sz="8" w:space="0" w:color="auto"/>
              <w:left w:val="single" w:sz="4" w:space="0" w:color="auto"/>
              <w:bottom w:val="single" w:sz="8" w:space="0" w:color="auto"/>
              <w:right w:val="single" w:sz="8" w:space="0" w:color="auto"/>
            </w:tcBorders>
            <w:shd w:val="clear" w:color="auto" w:fill="auto"/>
            <w:noWrap/>
            <w:vAlign w:val="center"/>
            <w:hideMark/>
          </w:tcPr>
          <w:p w14:paraId="527EF49B"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15</w:t>
            </w:r>
          </w:p>
        </w:tc>
        <w:tc>
          <w:tcPr>
            <w:tcW w:w="189" w:type="pct"/>
            <w:tcBorders>
              <w:top w:val="single" w:sz="8" w:space="0" w:color="auto"/>
              <w:left w:val="single" w:sz="4" w:space="0" w:color="auto"/>
              <w:bottom w:val="single" w:sz="8" w:space="0" w:color="auto"/>
              <w:right w:val="single" w:sz="8" w:space="0" w:color="auto"/>
            </w:tcBorders>
            <w:shd w:val="clear" w:color="auto" w:fill="auto"/>
            <w:noWrap/>
            <w:vAlign w:val="center"/>
            <w:hideMark/>
          </w:tcPr>
          <w:p w14:paraId="6B7AB55F"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16</w:t>
            </w:r>
          </w:p>
        </w:tc>
        <w:tc>
          <w:tcPr>
            <w:tcW w:w="189" w:type="pct"/>
            <w:tcBorders>
              <w:top w:val="single" w:sz="8" w:space="0" w:color="auto"/>
              <w:left w:val="single" w:sz="4" w:space="0" w:color="auto"/>
              <w:bottom w:val="single" w:sz="8" w:space="0" w:color="auto"/>
              <w:right w:val="single" w:sz="8" w:space="0" w:color="auto"/>
            </w:tcBorders>
            <w:shd w:val="clear" w:color="auto" w:fill="auto"/>
            <w:noWrap/>
            <w:vAlign w:val="center"/>
            <w:hideMark/>
          </w:tcPr>
          <w:p w14:paraId="5D8D0043"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17</w:t>
            </w:r>
          </w:p>
        </w:tc>
        <w:tc>
          <w:tcPr>
            <w:tcW w:w="189" w:type="pct"/>
            <w:tcBorders>
              <w:top w:val="single" w:sz="8" w:space="0" w:color="auto"/>
              <w:left w:val="single" w:sz="4" w:space="0" w:color="auto"/>
              <w:bottom w:val="single" w:sz="8" w:space="0" w:color="auto"/>
              <w:right w:val="single" w:sz="8" w:space="0" w:color="auto"/>
            </w:tcBorders>
            <w:shd w:val="clear" w:color="auto" w:fill="auto"/>
            <w:noWrap/>
            <w:vAlign w:val="center"/>
            <w:hideMark/>
          </w:tcPr>
          <w:p w14:paraId="054FE2D6"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18</w:t>
            </w:r>
          </w:p>
        </w:tc>
        <w:tc>
          <w:tcPr>
            <w:tcW w:w="189" w:type="pct"/>
            <w:tcBorders>
              <w:top w:val="single" w:sz="8" w:space="0" w:color="auto"/>
              <w:left w:val="single" w:sz="4" w:space="0" w:color="auto"/>
              <w:bottom w:val="single" w:sz="8" w:space="0" w:color="auto"/>
              <w:right w:val="single" w:sz="8" w:space="0" w:color="auto"/>
            </w:tcBorders>
            <w:shd w:val="clear" w:color="auto" w:fill="auto"/>
            <w:noWrap/>
            <w:vAlign w:val="center"/>
            <w:hideMark/>
          </w:tcPr>
          <w:p w14:paraId="64BDCCB5"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19</w:t>
            </w:r>
          </w:p>
        </w:tc>
        <w:tc>
          <w:tcPr>
            <w:tcW w:w="189" w:type="pct"/>
            <w:tcBorders>
              <w:top w:val="single" w:sz="8" w:space="0" w:color="auto"/>
              <w:left w:val="single" w:sz="4" w:space="0" w:color="auto"/>
              <w:bottom w:val="single" w:sz="8" w:space="0" w:color="auto"/>
              <w:right w:val="single" w:sz="8" w:space="0" w:color="auto"/>
            </w:tcBorders>
            <w:shd w:val="clear" w:color="auto" w:fill="auto"/>
            <w:noWrap/>
            <w:vAlign w:val="center"/>
            <w:hideMark/>
          </w:tcPr>
          <w:p w14:paraId="606338F5"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20</w:t>
            </w:r>
          </w:p>
        </w:tc>
        <w:tc>
          <w:tcPr>
            <w:tcW w:w="189" w:type="pct"/>
            <w:tcBorders>
              <w:top w:val="single" w:sz="8" w:space="0" w:color="auto"/>
              <w:left w:val="single" w:sz="4" w:space="0" w:color="auto"/>
              <w:bottom w:val="single" w:sz="8" w:space="0" w:color="auto"/>
              <w:right w:val="single" w:sz="8" w:space="0" w:color="auto"/>
            </w:tcBorders>
            <w:shd w:val="clear" w:color="auto" w:fill="auto"/>
            <w:noWrap/>
            <w:vAlign w:val="center"/>
            <w:hideMark/>
          </w:tcPr>
          <w:p w14:paraId="598CFCD9"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21</w:t>
            </w:r>
          </w:p>
        </w:tc>
        <w:tc>
          <w:tcPr>
            <w:tcW w:w="189" w:type="pct"/>
            <w:tcBorders>
              <w:top w:val="single" w:sz="8" w:space="0" w:color="auto"/>
              <w:left w:val="single" w:sz="4" w:space="0" w:color="auto"/>
              <w:bottom w:val="single" w:sz="8" w:space="0" w:color="auto"/>
              <w:right w:val="single" w:sz="8" w:space="0" w:color="auto"/>
            </w:tcBorders>
            <w:shd w:val="clear" w:color="auto" w:fill="auto"/>
            <w:noWrap/>
            <w:vAlign w:val="center"/>
            <w:hideMark/>
          </w:tcPr>
          <w:p w14:paraId="10CCF59D"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22</w:t>
            </w:r>
          </w:p>
        </w:tc>
      </w:tr>
      <w:tr w:rsidR="00537D99" w:rsidRPr="00537D99" w14:paraId="486F5D87" w14:textId="77777777" w:rsidTr="00537D99">
        <w:trPr>
          <w:trHeight w:val="735"/>
        </w:trPr>
        <w:tc>
          <w:tcPr>
            <w:tcW w:w="160" w:type="pct"/>
            <w:tcBorders>
              <w:top w:val="single" w:sz="8" w:space="0" w:color="auto"/>
              <w:left w:val="single" w:sz="8" w:space="0" w:color="auto"/>
              <w:bottom w:val="single" w:sz="8" w:space="0" w:color="auto"/>
              <w:right w:val="single" w:sz="8" w:space="0" w:color="auto"/>
            </w:tcBorders>
            <w:shd w:val="clear" w:color="auto" w:fill="auto"/>
            <w:vAlign w:val="center"/>
            <w:hideMark/>
          </w:tcPr>
          <w:p w14:paraId="26762DF6"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Project Investment</w:t>
            </w:r>
          </w:p>
        </w:tc>
        <w:tc>
          <w:tcPr>
            <w:tcW w:w="189" w:type="pct"/>
            <w:tcBorders>
              <w:top w:val="single" w:sz="8" w:space="0" w:color="auto"/>
              <w:left w:val="nil"/>
              <w:bottom w:val="single" w:sz="8" w:space="0" w:color="auto"/>
              <w:right w:val="single" w:sz="8" w:space="0" w:color="auto"/>
            </w:tcBorders>
            <w:shd w:val="clear" w:color="auto" w:fill="FFFF00"/>
            <w:noWrap/>
            <w:vAlign w:val="center"/>
            <w:hideMark/>
          </w:tcPr>
          <w:p w14:paraId="1ECDEE91"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131,552.30 </w:t>
            </w:r>
          </w:p>
        </w:tc>
        <w:tc>
          <w:tcPr>
            <w:tcW w:w="79" w:type="pct"/>
            <w:tcBorders>
              <w:top w:val="nil"/>
              <w:left w:val="nil"/>
              <w:bottom w:val="nil"/>
              <w:right w:val="nil"/>
            </w:tcBorders>
            <w:shd w:val="clear" w:color="auto" w:fill="auto"/>
            <w:noWrap/>
            <w:vAlign w:val="center"/>
            <w:hideMark/>
          </w:tcPr>
          <w:p w14:paraId="5D45ECFE"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79" w:type="pct"/>
            <w:tcBorders>
              <w:top w:val="nil"/>
              <w:left w:val="nil"/>
              <w:bottom w:val="nil"/>
              <w:right w:val="nil"/>
            </w:tcBorders>
            <w:shd w:val="clear" w:color="auto" w:fill="auto"/>
            <w:noWrap/>
            <w:vAlign w:val="center"/>
            <w:hideMark/>
          </w:tcPr>
          <w:p w14:paraId="5EA1AE94"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73" w:type="pct"/>
            <w:tcBorders>
              <w:top w:val="single" w:sz="4" w:space="0" w:color="auto"/>
              <w:left w:val="single" w:sz="8" w:space="0" w:color="auto"/>
              <w:bottom w:val="single" w:sz="8" w:space="0" w:color="auto"/>
              <w:right w:val="single" w:sz="8" w:space="0" w:color="auto"/>
            </w:tcBorders>
            <w:shd w:val="clear" w:color="auto" w:fill="auto"/>
            <w:noWrap/>
            <w:vAlign w:val="center"/>
            <w:hideMark/>
          </w:tcPr>
          <w:p w14:paraId="7BB34997"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Benefits</w:t>
            </w:r>
          </w:p>
        </w:tc>
        <w:tc>
          <w:tcPr>
            <w:tcW w:w="191" w:type="pct"/>
            <w:tcBorders>
              <w:top w:val="single" w:sz="4" w:space="0" w:color="auto"/>
              <w:left w:val="nil"/>
              <w:bottom w:val="single" w:sz="8" w:space="0" w:color="auto"/>
              <w:right w:val="single" w:sz="4" w:space="0" w:color="auto"/>
            </w:tcBorders>
            <w:shd w:val="clear" w:color="auto" w:fill="FFFF00"/>
            <w:noWrap/>
            <w:vAlign w:val="center"/>
            <w:hideMark/>
          </w:tcPr>
          <w:p w14:paraId="281B204A"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131,552.30 </w:t>
            </w:r>
          </w:p>
        </w:tc>
        <w:tc>
          <w:tcPr>
            <w:tcW w:w="191" w:type="pct"/>
            <w:tcBorders>
              <w:top w:val="single" w:sz="4" w:space="0" w:color="auto"/>
              <w:left w:val="nil"/>
              <w:bottom w:val="single" w:sz="8" w:space="0" w:color="auto"/>
              <w:right w:val="single" w:sz="4" w:space="0" w:color="auto"/>
            </w:tcBorders>
            <w:shd w:val="clear" w:color="auto" w:fill="FFFF00"/>
            <w:noWrap/>
            <w:vAlign w:val="center"/>
            <w:hideMark/>
          </w:tcPr>
          <w:p w14:paraId="33B2893B"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16,446.00 </w:t>
            </w:r>
          </w:p>
        </w:tc>
        <w:tc>
          <w:tcPr>
            <w:tcW w:w="180" w:type="pct"/>
            <w:tcBorders>
              <w:top w:val="single" w:sz="4" w:space="0" w:color="auto"/>
              <w:left w:val="nil"/>
              <w:bottom w:val="single" w:sz="8" w:space="0" w:color="auto"/>
              <w:right w:val="single" w:sz="4" w:space="0" w:color="auto"/>
            </w:tcBorders>
            <w:shd w:val="clear" w:color="auto" w:fill="FFFF00"/>
            <w:noWrap/>
            <w:vAlign w:val="center"/>
            <w:hideMark/>
          </w:tcPr>
          <w:p w14:paraId="634767CF"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22,056.00 </w:t>
            </w:r>
          </w:p>
        </w:tc>
        <w:tc>
          <w:tcPr>
            <w:tcW w:w="180" w:type="pct"/>
            <w:tcBorders>
              <w:top w:val="single" w:sz="4" w:space="0" w:color="auto"/>
              <w:left w:val="nil"/>
              <w:bottom w:val="single" w:sz="8" w:space="0" w:color="auto"/>
              <w:right w:val="single" w:sz="4" w:space="0" w:color="auto"/>
            </w:tcBorders>
            <w:shd w:val="clear" w:color="auto" w:fill="FFFF00"/>
            <w:noWrap/>
            <w:vAlign w:val="center"/>
            <w:hideMark/>
          </w:tcPr>
          <w:p w14:paraId="45666610"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29,861.00 </w:t>
            </w:r>
          </w:p>
        </w:tc>
        <w:tc>
          <w:tcPr>
            <w:tcW w:w="180" w:type="pct"/>
            <w:tcBorders>
              <w:top w:val="single" w:sz="4" w:space="0" w:color="auto"/>
              <w:left w:val="nil"/>
              <w:bottom w:val="single" w:sz="8" w:space="0" w:color="auto"/>
              <w:right w:val="single" w:sz="4" w:space="0" w:color="auto"/>
            </w:tcBorders>
            <w:shd w:val="clear" w:color="auto" w:fill="FFFF00"/>
            <w:noWrap/>
            <w:vAlign w:val="center"/>
            <w:hideMark/>
          </w:tcPr>
          <w:p w14:paraId="046642F1"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48,611.00 </w:t>
            </w:r>
          </w:p>
        </w:tc>
        <w:tc>
          <w:tcPr>
            <w:tcW w:w="180" w:type="pct"/>
            <w:tcBorders>
              <w:top w:val="single" w:sz="4" w:space="0" w:color="auto"/>
              <w:left w:val="nil"/>
              <w:bottom w:val="single" w:sz="8" w:space="0" w:color="auto"/>
              <w:right w:val="single" w:sz="4" w:space="0" w:color="auto"/>
            </w:tcBorders>
            <w:shd w:val="clear" w:color="auto" w:fill="FFFF00"/>
            <w:noWrap/>
            <w:vAlign w:val="center"/>
            <w:hideMark/>
          </w:tcPr>
          <w:p w14:paraId="6222C3D5"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32,247.00 </w:t>
            </w:r>
          </w:p>
        </w:tc>
        <w:tc>
          <w:tcPr>
            <w:tcW w:w="188" w:type="pct"/>
            <w:tcBorders>
              <w:top w:val="single" w:sz="4" w:space="0" w:color="auto"/>
              <w:left w:val="nil"/>
              <w:bottom w:val="single" w:sz="8" w:space="0" w:color="auto"/>
              <w:right w:val="single" w:sz="4" w:space="0" w:color="auto"/>
            </w:tcBorders>
            <w:shd w:val="clear" w:color="auto" w:fill="FFFF00"/>
            <w:noWrap/>
            <w:vAlign w:val="center"/>
            <w:hideMark/>
          </w:tcPr>
          <w:p w14:paraId="6ABFA9A1"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27,863.00 </w:t>
            </w:r>
          </w:p>
        </w:tc>
        <w:tc>
          <w:tcPr>
            <w:tcW w:w="188" w:type="pct"/>
            <w:tcBorders>
              <w:top w:val="single" w:sz="4" w:space="0" w:color="auto"/>
              <w:left w:val="nil"/>
              <w:bottom w:val="single" w:sz="8" w:space="0" w:color="auto"/>
              <w:right w:val="single" w:sz="4" w:space="0" w:color="auto"/>
            </w:tcBorders>
            <w:shd w:val="clear" w:color="auto" w:fill="FFFF00"/>
            <w:noWrap/>
            <w:vAlign w:val="center"/>
            <w:hideMark/>
          </w:tcPr>
          <w:p w14:paraId="55DB6ADE"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39,560.00 </w:t>
            </w:r>
          </w:p>
        </w:tc>
        <w:tc>
          <w:tcPr>
            <w:tcW w:w="189" w:type="pct"/>
            <w:tcBorders>
              <w:top w:val="single" w:sz="4" w:space="0" w:color="auto"/>
              <w:left w:val="nil"/>
              <w:bottom w:val="single" w:sz="8" w:space="0" w:color="auto"/>
              <w:right w:val="single" w:sz="4" w:space="0" w:color="auto"/>
            </w:tcBorders>
            <w:shd w:val="clear" w:color="auto" w:fill="FFFF00"/>
            <w:noWrap/>
            <w:vAlign w:val="center"/>
            <w:hideMark/>
          </w:tcPr>
          <w:p w14:paraId="5D9F9745"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32,343.00 </w:t>
            </w:r>
          </w:p>
        </w:tc>
        <w:tc>
          <w:tcPr>
            <w:tcW w:w="189" w:type="pct"/>
            <w:tcBorders>
              <w:top w:val="single" w:sz="4" w:space="0" w:color="auto"/>
              <w:left w:val="nil"/>
              <w:bottom w:val="single" w:sz="8" w:space="0" w:color="auto"/>
              <w:right w:val="single" w:sz="4" w:space="0" w:color="auto"/>
            </w:tcBorders>
            <w:shd w:val="clear" w:color="auto" w:fill="FFFF00"/>
            <w:noWrap/>
            <w:vAlign w:val="center"/>
            <w:hideMark/>
          </w:tcPr>
          <w:p w14:paraId="4E7B1CFD"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35,404.00 </w:t>
            </w:r>
          </w:p>
        </w:tc>
        <w:tc>
          <w:tcPr>
            <w:tcW w:w="189" w:type="pct"/>
            <w:tcBorders>
              <w:top w:val="single" w:sz="4" w:space="0" w:color="auto"/>
              <w:left w:val="nil"/>
              <w:bottom w:val="single" w:sz="8" w:space="0" w:color="auto"/>
              <w:right w:val="single" w:sz="8" w:space="0" w:color="auto"/>
            </w:tcBorders>
            <w:shd w:val="clear" w:color="auto" w:fill="FFFF00"/>
            <w:noWrap/>
            <w:vAlign w:val="center"/>
            <w:hideMark/>
          </w:tcPr>
          <w:p w14:paraId="6413F777"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37,324.00 </w:t>
            </w:r>
          </w:p>
        </w:tc>
        <w:tc>
          <w:tcPr>
            <w:tcW w:w="189" w:type="pct"/>
            <w:tcBorders>
              <w:top w:val="single" w:sz="4" w:space="0" w:color="auto"/>
              <w:left w:val="single" w:sz="4" w:space="0" w:color="auto"/>
              <w:bottom w:val="single" w:sz="8" w:space="0" w:color="auto"/>
              <w:right w:val="single" w:sz="8" w:space="0" w:color="auto"/>
            </w:tcBorders>
            <w:shd w:val="clear" w:color="auto" w:fill="FFFF00"/>
            <w:noWrap/>
            <w:vAlign w:val="center"/>
            <w:hideMark/>
          </w:tcPr>
          <w:p w14:paraId="6D097D19"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36,101.00 </w:t>
            </w:r>
          </w:p>
        </w:tc>
        <w:tc>
          <w:tcPr>
            <w:tcW w:w="189" w:type="pct"/>
            <w:tcBorders>
              <w:top w:val="single" w:sz="4" w:space="0" w:color="auto"/>
              <w:left w:val="single" w:sz="4" w:space="0" w:color="auto"/>
              <w:bottom w:val="single" w:sz="8" w:space="0" w:color="auto"/>
              <w:right w:val="single" w:sz="8" w:space="0" w:color="auto"/>
            </w:tcBorders>
            <w:shd w:val="clear" w:color="auto" w:fill="FFFF00"/>
            <w:noWrap/>
            <w:vAlign w:val="center"/>
            <w:hideMark/>
          </w:tcPr>
          <w:p w14:paraId="2011255D"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29,824.00 </w:t>
            </w:r>
          </w:p>
        </w:tc>
        <w:tc>
          <w:tcPr>
            <w:tcW w:w="189" w:type="pct"/>
            <w:tcBorders>
              <w:top w:val="single" w:sz="4" w:space="0" w:color="auto"/>
              <w:left w:val="single" w:sz="4" w:space="0" w:color="auto"/>
              <w:bottom w:val="single" w:sz="8" w:space="0" w:color="auto"/>
              <w:right w:val="single" w:sz="8" w:space="0" w:color="auto"/>
            </w:tcBorders>
            <w:shd w:val="clear" w:color="auto" w:fill="FFFF00"/>
            <w:noWrap/>
            <w:vAlign w:val="center"/>
            <w:hideMark/>
          </w:tcPr>
          <w:p w14:paraId="4CD32F3C"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43,006.00 </w:t>
            </w:r>
          </w:p>
        </w:tc>
        <w:tc>
          <w:tcPr>
            <w:tcW w:w="189" w:type="pct"/>
            <w:tcBorders>
              <w:top w:val="single" w:sz="4" w:space="0" w:color="auto"/>
              <w:left w:val="single" w:sz="4" w:space="0" w:color="auto"/>
              <w:bottom w:val="single" w:sz="8" w:space="0" w:color="auto"/>
              <w:right w:val="single" w:sz="8" w:space="0" w:color="auto"/>
            </w:tcBorders>
            <w:shd w:val="clear" w:color="auto" w:fill="FFFF00"/>
            <w:noWrap/>
            <w:vAlign w:val="center"/>
            <w:hideMark/>
          </w:tcPr>
          <w:p w14:paraId="5CC7F174"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33,873.00 </w:t>
            </w:r>
          </w:p>
        </w:tc>
        <w:tc>
          <w:tcPr>
            <w:tcW w:w="189" w:type="pct"/>
            <w:tcBorders>
              <w:top w:val="single" w:sz="4" w:space="0" w:color="auto"/>
              <w:left w:val="single" w:sz="4" w:space="0" w:color="auto"/>
              <w:bottom w:val="single" w:sz="8" w:space="0" w:color="auto"/>
              <w:right w:val="single" w:sz="8" w:space="0" w:color="auto"/>
            </w:tcBorders>
            <w:shd w:val="clear" w:color="auto" w:fill="FFFF00"/>
            <w:noWrap/>
            <w:vAlign w:val="center"/>
            <w:hideMark/>
          </w:tcPr>
          <w:p w14:paraId="7D86D51D"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29,528.00 </w:t>
            </w:r>
          </w:p>
        </w:tc>
        <w:tc>
          <w:tcPr>
            <w:tcW w:w="189" w:type="pct"/>
            <w:tcBorders>
              <w:top w:val="single" w:sz="4" w:space="0" w:color="auto"/>
              <w:left w:val="single" w:sz="4" w:space="0" w:color="auto"/>
              <w:bottom w:val="single" w:sz="8" w:space="0" w:color="auto"/>
              <w:right w:val="single" w:sz="8" w:space="0" w:color="auto"/>
            </w:tcBorders>
            <w:shd w:val="clear" w:color="auto" w:fill="FFFF00"/>
            <w:noWrap/>
            <w:vAlign w:val="center"/>
            <w:hideMark/>
          </w:tcPr>
          <w:p w14:paraId="38AAC1E8"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33,350.00 </w:t>
            </w:r>
          </w:p>
        </w:tc>
        <w:tc>
          <w:tcPr>
            <w:tcW w:w="189" w:type="pct"/>
            <w:tcBorders>
              <w:top w:val="single" w:sz="4" w:space="0" w:color="auto"/>
              <w:left w:val="single" w:sz="4" w:space="0" w:color="auto"/>
              <w:bottom w:val="single" w:sz="8" w:space="0" w:color="auto"/>
              <w:right w:val="single" w:sz="8" w:space="0" w:color="auto"/>
            </w:tcBorders>
            <w:shd w:val="clear" w:color="auto" w:fill="FFFF00"/>
            <w:noWrap/>
            <w:vAlign w:val="center"/>
            <w:hideMark/>
          </w:tcPr>
          <w:p w14:paraId="09DDAB3D"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26,972.00 </w:t>
            </w:r>
          </w:p>
        </w:tc>
        <w:tc>
          <w:tcPr>
            <w:tcW w:w="189" w:type="pct"/>
            <w:tcBorders>
              <w:top w:val="single" w:sz="4" w:space="0" w:color="auto"/>
              <w:left w:val="single" w:sz="4" w:space="0" w:color="auto"/>
              <w:bottom w:val="single" w:sz="8" w:space="0" w:color="auto"/>
              <w:right w:val="single" w:sz="8" w:space="0" w:color="auto"/>
            </w:tcBorders>
            <w:shd w:val="clear" w:color="auto" w:fill="FFFF00"/>
            <w:noWrap/>
            <w:vAlign w:val="center"/>
            <w:hideMark/>
          </w:tcPr>
          <w:p w14:paraId="17FF015A"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32,142.00 </w:t>
            </w:r>
          </w:p>
        </w:tc>
        <w:tc>
          <w:tcPr>
            <w:tcW w:w="189" w:type="pct"/>
            <w:tcBorders>
              <w:top w:val="single" w:sz="4" w:space="0" w:color="auto"/>
              <w:left w:val="single" w:sz="4" w:space="0" w:color="auto"/>
              <w:bottom w:val="single" w:sz="8" w:space="0" w:color="auto"/>
              <w:right w:val="single" w:sz="8" w:space="0" w:color="auto"/>
            </w:tcBorders>
            <w:shd w:val="clear" w:color="auto" w:fill="FFFF00"/>
            <w:noWrap/>
            <w:vAlign w:val="center"/>
            <w:hideMark/>
          </w:tcPr>
          <w:p w14:paraId="2CE3AA65"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28,407.00 </w:t>
            </w:r>
          </w:p>
        </w:tc>
        <w:tc>
          <w:tcPr>
            <w:tcW w:w="189" w:type="pct"/>
            <w:tcBorders>
              <w:top w:val="single" w:sz="4" w:space="0" w:color="auto"/>
              <w:left w:val="single" w:sz="4" w:space="0" w:color="auto"/>
              <w:bottom w:val="single" w:sz="8" w:space="0" w:color="auto"/>
              <w:right w:val="single" w:sz="8" w:space="0" w:color="auto"/>
            </w:tcBorders>
            <w:shd w:val="clear" w:color="auto" w:fill="FFFF00"/>
            <w:noWrap/>
            <w:vAlign w:val="center"/>
            <w:hideMark/>
          </w:tcPr>
          <w:p w14:paraId="350CB038"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21,753.00 </w:t>
            </w:r>
          </w:p>
        </w:tc>
        <w:tc>
          <w:tcPr>
            <w:tcW w:w="189" w:type="pct"/>
            <w:tcBorders>
              <w:top w:val="single" w:sz="4" w:space="0" w:color="auto"/>
              <w:left w:val="single" w:sz="4" w:space="0" w:color="auto"/>
              <w:bottom w:val="single" w:sz="8" w:space="0" w:color="auto"/>
              <w:right w:val="single" w:sz="8" w:space="0" w:color="auto"/>
            </w:tcBorders>
            <w:shd w:val="clear" w:color="auto" w:fill="FFFF00"/>
            <w:noWrap/>
            <w:vAlign w:val="center"/>
            <w:hideMark/>
          </w:tcPr>
          <w:p w14:paraId="42D131C8"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21,055.00 </w:t>
            </w:r>
          </w:p>
        </w:tc>
        <w:tc>
          <w:tcPr>
            <w:tcW w:w="189" w:type="pct"/>
            <w:tcBorders>
              <w:top w:val="single" w:sz="4" w:space="0" w:color="auto"/>
              <w:left w:val="single" w:sz="4" w:space="0" w:color="auto"/>
              <w:bottom w:val="single" w:sz="8" w:space="0" w:color="auto"/>
              <w:right w:val="single" w:sz="8" w:space="0" w:color="auto"/>
            </w:tcBorders>
            <w:shd w:val="clear" w:color="auto" w:fill="FFFF00"/>
            <w:noWrap/>
            <w:vAlign w:val="center"/>
            <w:hideMark/>
          </w:tcPr>
          <w:p w14:paraId="6E6F8C89"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5,396.00 </w:t>
            </w:r>
          </w:p>
        </w:tc>
      </w:tr>
      <w:tr w:rsidR="00537D99" w:rsidRPr="00537D99" w14:paraId="72987B92" w14:textId="77777777" w:rsidTr="00537D99">
        <w:trPr>
          <w:trHeight w:val="270"/>
        </w:trPr>
        <w:tc>
          <w:tcPr>
            <w:tcW w:w="160" w:type="pct"/>
            <w:tcBorders>
              <w:top w:val="nil"/>
              <w:left w:val="single" w:sz="8" w:space="0" w:color="auto"/>
              <w:bottom w:val="nil"/>
              <w:right w:val="nil"/>
            </w:tcBorders>
            <w:shd w:val="clear" w:color="auto" w:fill="auto"/>
            <w:noWrap/>
            <w:vAlign w:val="center"/>
            <w:hideMark/>
          </w:tcPr>
          <w:p w14:paraId="7363E453"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5A3B2DA6"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79" w:type="pct"/>
            <w:tcBorders>
              <w:top w:val="nil"/>
              <w:left w:val="nil"/>
              <w:bottom w:val="nil"/>
              <w:right w:val="nil"/>
            </w:tcBorders>
            <w:shd w:val="clear" w:color="auto" w:fill="auto"/>
            <w:noWrap/>
            <w:vAlign w:val="center"/>
            <w:hideMark/>
          </w:tcPr>
          <w:p w14:paraId="2B532FEB"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79" w:type="pct"/>
            <w:tcBorders>
              <w:top w:val="nil"/>
              <w:left w:val="nil"/>
              <w:bottom w:val="nil"/>
              <w:right w:val="nil"/>
            </w:tcBorders>
            <w:shd w:val="clear" w:color="auto" w:fill="auto"/>
            <w:noWrap/>
            <w:vAlign w:val="center"/>
            <w:hideMark/>
          </w:tcPr>
          <w:p w14:paraId="31621274"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73" w:type="pct"/>
            <w:tcBorders>
              <w:top w:val="nil"/>
              <w:left w:val="single" w:sz="8" w:space="0" w:color="auto"/>
              <w:bottom w:val="single" w:sz="8" w:space="0" w:color="auto"/>
              <w:right w:val="single" w:sz="8" w:space="0" w:color="auto"/>
            </w:tcBorders>
            <w:shd w:val="clear" w:color="auto" w:fill="auto"/>
            <w:noWrap/>
            <w:vAlign w:val="center"/>
            <w:hideMark/>
          </w:tcPr>
          <w:p w14:paraId="1A6ABBF1"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Investment</w:t>
            </w:r>
          </w:p>
        </w:tc>
        <w:tc>
          <w:tcPr>
            <w:tcW w:w="191" w:type="pct"/>
            <w:tcBorders>
              <w:top w:val="nil"/>
              <w:left w:val="nil"/>
              <w:bottom w:val="single" w:sz="8" w:space="0" w:color="auto"/>
              <w:right w:val="single" w:sz="4" w:space="0" w:color="auto"/>
            </w:tcBorders>
            <w:shd w:val="clear" w:color="auto" w:fill="auto"/>
            <w:noWrap/>
            <w:vAlign w:val="center"/>
            <w:hideMark/>
          </w:tcPr>
          <w:p w14:paraId="0BB8D130"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131,552.30 </w:t>
            </w:r>
          </w:p>
        </w:tc>
        <w:tc>
          <w:tcPr>
            <w:tcW w:w="191" w:type="pct"/>
            <w:tcBorders>
              <w:top w:val="nil"/>
              <w:left w:val="nil"/>
              <w:bottom w:val="single" w:sz="8" w:space="0" w:color="auto"/>
              <w:right w:val="single" w:sz="4" w:space="0" w:color="auto"/>
            </w:tcBorders>
            <w:shd w:val="clear" w:color="auto" w:fill="auto"/>
            <w:noWrap/>
            <w:vAlign w:val="center"/>
            <w:hideMark/>
          </w:tcPr>
          <w:p w14:paraId="4C3DE099"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115,106.30 </w:t>
            </w:r>
          </w:p>
        </w:tc>
        <w:tc>
          <w:tcPr>
            <w:tcW w:w="180" w:type="pct"/>
            <w:tcBorders>
              <w:top w:val="nil"/>
              <w:left w:val="nil"/>
              <w:bottom w:val="single" w:sz="8" w:space="0" w:color="auto"/>
              <w:right w:val="single" w:sz="4" w:space="0" w:color="auto"/>
            </w:tcBorders>
            <w:shd w:val="clear" w:color="auto" w:fill="auto"/>
            <w:noWrap/>
            <w:vAlign w:val="center"/>
            <w:hideMark/>
          </w:tcPr>
          <w:p w14:paraId="7CDE3654"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93,050.30 </w:t>
            </w:r>
          </w:p>
        </w:tc>
        <w:tc>
          <w:tcPr>
            <w:tcW w:w="180" w:type="pct"/>
            <w:tcBorders>
              <w:top w:val="nil"/>
              <w:left w:val="nil"/>
              <w:bottom w:val="single" w:sz="8" w:space="0" w:color="auto"/>
              <w:right w:val="single" w:sz="4" w:space="0" w:color="auto"/>
            </w:tcBorders>
            <w:shd w:val="clear" w:color="auto" w:fill="auto"/>
            <w:noWrap/>
            <w:vAlign w:val="center"/>
            <w:hideMark/>
          </w:tcPr>
          <w:p w14:paraId="73D7322B"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63,189.30 </w:t>
            </w:r>
          </w:p>
        </w:tc>
        <w:tc>
          <w:tcPr>
            <w:tcW w:w="180" w:type="pct"/>
            <w:tcBorders>
              <w:top w:val="nil"/>
              <w:left w:val="nil"/>
              <w:bottom w:val="single" w:sz="8" w:space="0" w:color="auto"/>
              <w:right w:val="single" w:sz="4" w:space="0" w:color="auto"/>
            </w:tcBorders>
            <w:shd w:val="clear" w:color="auto" w:fill="auto"/>
            <w:noWrap/>
            <w:vAlign w:val="center"/>
            <w:hideMark/>
          </w:tcPr>
          <w:p w14:paraId="21AC8CFD"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14,578.30 </w:t>
            </w:r>
          </w:p>
        </w:tc>
        <w:tc>
          <w:tcPr>
            <w:tcW w:w="180" w:type="pct"/>
            <w:tcBorders>
              <w:top w:val="nil"/>
              <w:left w:val="nil"/>
              <w:bottom w:val="single" w:sz="8" w:space="0" w:color="auto"/>
              <w:right w:val="single" w:sz="4" w:space="0" w:color="auto"/>
            </w:tcBorders>
            <w:shd w:val="clear" w:color="auto" w:fill="auto"/>
            <w:noWrap/>
            <w:vAlign w:val="center"/>
            <w:hideMark/>
          </w:tcPr>
          <w:p w14:paraId="73A99901"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17,668.70 </w:t>
            </w:r>
          </w:p>
        </w:tc>
        <w:tc>
          <w:tcPr>
            <w:tcW w:w="188" w:type="pct"/>
            <w:tcBorders>
              <w:top w:val="nil"/>
              <w:left w:val="nil"/>
              <w:bottom w:val="single" w:sz="8" w:space="0" w:color="auto"/>
              <w:right w:val="single" w:sz="4" w:space="0" w:color="auto"/>
            </w:tcBorders>
            <w:shd w:val="clear" w:color="auto" w:fill="auto"/>
            <w:noWrap/>
            <w:vAlign w:val="center"/>
            <w:hideMark/>
          </w:tcPr>
          <w:p w14:paraId="4C5FA610"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45,531.70 </w:t>
            </w:r>
          </w:p>
        </w:tc>
        <w:tc>
          <w:tcPr>
            <w:tcW w:w="188" w:type="pct"/>
            <w:tcBorders>
              <w:top w:val="nil"/>
              <w:left w:val="nil"/>
              <w:bottom w:val="single" w:sz="8" w:space="0" w:color="auto"/>
              <w:right w:val="single" w:sz="4" w:space="0" w:color="auto"/>
            </w:tcBorders>
            <w:shd w:val="clear" w:color="auto" w:fill="auto"/>
            <w:noWrap/>
            <w:vAlign w:val="center"/>
            <w:hideMark/>
          </w:tcPr>
          <w:p w14:paraId="0C728078"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85,091.70 </w:t>
            </w:r>
          </w:p>
        </w:tc>
        <w:tc>
          <w:tcPr>
            <w:tcW w:w="189" w:type="pct"/>
            <w:tcBorders>
              <w:top w:val="nil"/>
              <w:left w:val="nil"/>
              <w:bottom w:val="single" w:sz="8" w:space="0" w:color="auto"/>
              <w:right w:val="single" w:sz="4" w:space="0" w:color="auto"/>
            </w:tcBorders>
            <w:shd w:val="clear" w:color="auto" w:fill="auto"/>
            <w:noWrap/>
            <w:vAlign w:val="center"/>
            <w:hideMark/>
          </w:tcPr>
          <w:p w14:paraId="1FB7281A"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117,434.70 </w:t>
            </w:r>
          </w:p>
        </w:tc>
        <w:tc>
          <w:tcPr>
            <w:tcW w:w="189" w:type="pct"/>
            <w:tcBorders>
              <w:top w:val="nil"/>
              <w:left w:val="nil"/>
              <w:bottom w:val="single" w:sz="8" w:space="0" w:color="auto"/>
              <w:right w:val="single" w:sz="4" w:space="0" w:color="auto"/>
            </w:tcBorders>
            <w:shd w:val="clear" w:color="auto" w:fill="auto"/>
            <w:noWrap/>
            <w:vAlign w:val="center"/>
            <w:hideMark/>
          </w:tcPr>
          <w:p w14:paraId="508A433D"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152,838.70 </w:t>
            </w:r>
          </w:p>
        </w:tc>
        <w:tc>
          <w:tcPr>
            <w:tcW w:w="189" w:type="pct"/>
            <w:tcBorders>
              <w:top w:val="nil"/>
              <w:left w:val="nil"/>
              <w:bottom w:val="single" w:sz="8" w:space="0" w:color="auto"/>
              <w:right w:val="single" w:sz="8" w:space="0" w:color="auto"/>
            </w:tcBorders>
            <w:shd w:val="clear" w:color="auto" w:fill="auto"/>
            <w:noWrap/>
            <w:vAlign w:val="center"/>
            <w:hideMark/>
          </w:tcPr>
          <w:p w14:paraId="6342542C"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190,162.70 </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02A41419"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226,263.70 </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6BA3BD13"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256,087.70 </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03997260"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299,093.70 </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30C589A5"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332,966.70 </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253E3E55"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362,494.70 </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5FEA0FFA"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395,844.70 </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3173E681"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422,816.70 </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465E9FEE"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454,958.70 </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372A48B9"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483,365.70 </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6C34C42F"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505,118.70 </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3F573D41"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526,173.70 </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10D5BBF6"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531,569.70 </w:t>
            </w:r>
          </w:p>
        </w:tc>
      </w:tr>
      <w:tr w:rsidR="00537D99" w:rsidRPr="00537D99" w14:paraId="69A3E17B" w14:textId="77777777" w:rsidTr="00537D99">
        <w:trPr>
          <w:trHeight w:val="270"/>
        </w:trPr>
        <w:tc>
          <w:tcPr>
            <w:tcW w:w="160" w:type="pct"/>
            <w:tcBorders>
              <w:top w:val="nil"/>
              <w:left w:val="single" w:sz="8" w:space="0" w:color="auto"/>
              <w:bottom w:val="nil"/>
              <w:right w:val="nil"/>
            </w:tcBorders>
            <w:shd w:val="clear" w:color="auto" w:fill="auto"/>
            <w:noWrap/>
            <w:vAlign w:val="center"/>
            <w:hideMark/>
          </w:tcPr>
          <w:p w14:paraId="5EC97A83"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726DD1C6"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79" w:type="pct"/>
            <w:tcBorders>
              <w:top w:val="nil"/>
              <w:left w:val="nil"/>
              <w:bottom w:val="nil"/>
              <w:right w:val="nil"/>
            </w:tcBorders>
            <w:shd w:val="clear" w:color="auto" w:fill="auto"/>
            <w:noWrap/>
            <w:vAlign w:val="center"/>
            <w:hideMark/>
          </w:tcPr>
          <w:p w14:paraId="7A157F21"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79" w:type="pct"/>
            <w:tcBorders>
              <w:top w:val="nil"/>
              <w:left w:val="nil"/>
              <w:bottom w:val="nil"/>
              <w:right w:val="nil"/>
            </w:tcBorders>
            <w:shd w:val="clear" w:color="auto" w:fill="auto"/>
            <w:noWrap/>
            <w:vAlign w:val="center"/>
            <w:hideMark/>
          </w:tcPr>
          <w:p w14:paraId="25BB0BE7"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73" w:type="pct"/>
            <w:tcBorders>
              <w:top w:val="nil"/>
              <w:left w:val="nil"/>
              <w:bottom w:val="nil"/>
              <w:right w:val="nil"/>
            </w:tcBorders>
            <w:shd w:val="clear" w:color="auto" w:fill="auto"/>
            <w:noWrap/>
            <w:vAlign w:val="center"/>
            <w:hideMark/>
          </w:tcPr>
          <w:p w14:paraId="13C45A96"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91" w:type="pct"/>
            <w:tcBorders>
              <w:top w:val="nil"/>
              <w:left w:val="single" w:sz="8" w:space="0" w:color="auto"/>
              <w:bottom w:val="single" w:sz="8" w:space="0" w:color="auto"/>
              <w:right w:val="single" w:sz="8" w:space="0" w:color="auto"/>
            </w:tcBorders>
            <w:shd w:val="clear" w:color="auto" w:fill="auto"/>
            <w:noWrap/>
            <w:vAlign w:val="center"/>
            <w:hideMark/>
          </w:tcPr>
          <w:p w14:paraId="6ED3F2C6"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Payback</w:t>
            </w:r>
          </w:p>
        </w:tc>
        <w:tc>
          <w:tcPr>
            <w:tcW w:w="191" w:type="pct"/>
            <w:tcBorders>
              <w:top w:val="nil"/>
              <w:left w:val="nil"/>
              <w:bottom w:val="single" w:sz="8" w:space="0" w:color="auto"/>
              <w:right w:val="single" w:sz="4" w:space="0" w:color="auto"/>
            </w:tcBorders>
            <w:shd w:val="clear" w:color="auto" w:fill="auto"/>
            <w:noWrap/>
            <w:vAlign w:val="center"/>
            <w:hideMark/>
          </w:tcPr>
          <w:p w14:paraId="54157E4E"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1</w:t>
            </w:r>
          </w:p>
        </w:tc>
        <w:tc>
          <w:tcPr>
            <w:tcW w:w="180" w:type="pct"/>
            <w:tcBorders>
              <w:top w:val="nil"/>
              <w:left w:val="nil"/>
              <w:bottom w:val="single" w:sz="8" w:space="0" w:color="auto"/>
              <w:right w:val="single" w:sz="4" w:space="0" w:color="auto"/>
            </w:tcBorders>
            <w:shd w:val="clear" w:color="auto" w:fill="auto"/>
            <w:noWrap/>
            <w:vAlign w:val="center"/>
            <w:hideMark/>
          </w:tcPr>
          <w:p w14:paraId="579B5139"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2</w:t>
            </w:r>
          </w:p>
        </w:tc>
        <w:tc>
          <w:tcPr>
            <w:tcW w:w="180" w:type="pct"/>
            <w:tcBorders>
              <w:top w:val="nil"/>
              <w:left w:val="nil"/>
              <w:bottom w:val="single" w:sz="8" w:space="0" w:color="auto"/>
              <w:right w:val="single" w:sz="4" w:space="0" w:color="auto"/>
            </w:tcBorders>
            <w:shd w:val="clear" w:color="auto" w:fill="auto"/>
            <w:noWrap/>
            <w:vAlign w:val="center"/>
            <w:hideMark/>
          </w:tcPr>
          <w:p w14:paraId="7C87DE35"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3</w:t>
            </w:r>
          </w:p>
        </w:tc>
        <w:tc>
          <w:tcPr>
            <w:tcW w:w="180" w:type="pct"/>
            <w:tcBorders>
              <w:top w:val="nil"/>
              <w:left w:val="nil"/>
              <w:bottom w:val="single" w:sz="8" w:space="0" w:color="auto"/>
              <w:right w:val="single" w:sz="4" w:space="0" w:color="auto"/>
            </w:tcBorders>
            <w:shd w:val="clear" w:color="auto" w:fill="auto"/>
            <w:noWrap/>
            <w:vAlign w:val="center"/>
            <w:hideMark/>
          </w:tcPr>
          <w:p w14:paraId="036483AE"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4</w:t>
            </w:r>
          </w:p>
        </w:tc>
        <w:tc>
          <w:tcPr>
            <w:tcW w:w="180" w:type="pct"/>
            <w:tcBorders>
              <w:top w:val="nil"/>
              <w:left w:val="nil"/>
              <w:bottom w:val="single" w:sz="8" w:space="0" w:color="auto"/>
              <w:right w:val="single" w:sz="4" w:space="0" w:color="auto"/>
            </w:tcBorders>
            <w:shd w:val="clear" w:color="auto" w:fill="auto"/>
            <w:noWrap/>
            <w:vAlign w:val="center"/>
            <w:hideMark/>
          </w:tcPr>
          <w:p w14:paraId="421C5765"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-0.452</w:t>
            </w:r>
          </w:p>
        </w:tc>
        <w:tc>
          <w:tcPr>
            <w:tcW w:w="188" w:type="pct"/>
            <w:tcBorders>
              <w:top w:val="nil"/>
              <w:left w:val="nil"/>
              <w:bottom w:val="single" w:sz="8" w:space="0" w:color="auto"/>
              <w:right w:val="single" w:sz="4" w:space="0" w:color="auto"/>
            </w:tcBorders>
            <w:shd w:val="clear" w:color="auto" w:fill="auto"/>
            <w:noWrap/>
            <w:vAlign w:val="center"/>
            <w:hideMark/>
          </w:tcPr>
          <w:p w14:paraId="54518579"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0.634127696</w:t>
            </w:r>
          </w:p>
        </w:tc>
        <w:tc>
          <w:tcPr>
            <w:tcW w:w="188" w:type="pct"/>
            <w:tcBorders>
              <w:top w:val="nil"/>
              <w:left w:val="nil"/>
              <w:bottom w:val="single" w:sz="8" w:space="0" w:color="auto"/>
              <w:right w:val="single" w:sz="4" w:space="0" w:color="auto"/>
            </w:tcBorders>
            <w:shd w:val="clear" w:color="auto" w:fill="auto"/>
            <w:noWrap/>
            <w:vAlign w:val="center"/>
            <w:hideMark/>
          </w:tcPr>
          <w:p w14:paraId="567A4D3F"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1.150952983</w:t>
            </w:r>
          </w:p>
        </w:tc>
        <w:tc>
          <w:tcPr>
            <w:tcW w:w="189" w:type="pct"/>
            <w:tcBorders>
              <w:top w:val="nil"/>
              <w:left w:val="nil"/>
              <w:bottom w:val="single" w:sz="8" w:space="0" w:color="auto"/>
              <w:right w:val="single" w:sz="4" w:space="0" w:color="auto"/>
            </w:tcBorders>
            <w:shd w:val="clear" w:color="auto" w:fill="auto"/>
            <w:noWrap/>
            <w:vAlign w:val="center"/>
            <w:hideMark/>
          </w:tcPr>
          <w:p w14:paraId="2CF23F02"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2.630915499</w:t>
            </w:r>
          </w:p>
        </w:tc>
        <w:tc>
          <w:tcPr>
            <w:tcW w:w="189" w:type="pct"/>
            <w:tcBorders>
              <w:top w:val="nil"/>
              <w:left w:val="nil"/>
              <w:bottom w:val="single" w:sz="8" w:space="0" w:color="auto"/>
              <w:right w:val="single" w:sz="4" w:space="0" w:color="auto"/>
            </w:tcBorders>
            <w:shd w:val="clear" w:color="auto" w:fill="auto"/>
            <w:noWrap/>
            <w:vAlign w:val="center"/>
            <w:hideMark/>
          </w:tcPr>
          <w:p w14:paraId="6467F063"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3.316989606</w:t>
            </w:r>
          </w:p>
        </w:tc>
        <w:tc>
          <w:tcPr>
            <w:tcW w:w="189" w:type="pct"/>
            <w:tcBorders>
              <w:top w:val="nil"/>
              <w:left w:val="nil"/>
              <w:bottom w:val="single" w:sz="8" w:space="0" w:color="auto"/>
              <w:right w:val="single" w:sz="8" w:space="0" w:color="auto"/>
            </w:tcBorders>
            <w:shd w:val="clear" w:color="auto" w:fill="auto"/>
            <w:noWrap/>
            <w:vAlign w:val="center"/>
            <w:hideMark/>
          </w:tcPr>
          <w:p w14:paraId="027DFCCE"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4.094917479</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36582176"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5.267518905</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6E086F4D"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7.586631572</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54A2E019"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5.954697019</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077BF421"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8.829855637</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39514FAF"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11.27630385</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7F6AC12A"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10.8694063</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3D816B3C"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14.67613451</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28FBA3C1"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13.15464812</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58C5FD7A"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16.015725</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3E9A0D68"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22.22064543</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370131B0"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23.99043933</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43DBFDC9"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97.51180504</w:t>
            </w:r>
          </w:p>
        </w:tc>
      </w:tr>
      <w:tr w:rsidR="00537D99" w:rsidRPr="00537D99" w14:paraId="6D7338B2" w14:textId="77777777" w:rsidTr="00537D99">
        <w:trPr>
          <w:trHeight w:val="495"/>
        </w:trPr>
        <w:tc>
          <w:tcPr>
            <w:tcW w:w="160" w:type="pct"/>
            <w:tcBorders>
              <w:top w:val="nil"/>
              <w:left w:val="single" w:sz="8" w:space="0" w:color="auto"/>
              <w:bottom w:val="single" w:sz="8" w:space="0" w:color="auto"/>
              <w:right w:val="nil"/>
            </w:tcBorders>
            <w:shd w:val="clear" w:color="auto" w:fill="auto"/>
            <w:vAlign w:val="center"/>
            <w:hideMark/>
          </w:tcPr>
          <w:p w14:paraId="4F0E273D"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Number of Months</w:t>
            </w:r>
          </w:p>
        </w:tc>
        <w:tc>
          <w:tcPr>
            <w:tcW w:w="189" w:type="pct"/>
            <w:tcBorders>
              <w:top w:val="single" w:sz="8" w:space="0" w:color="auto"/>
              <w:left w:val="single" w:sz="8" w:space="0" w:color="auto"/>
              <w:bottom w:val="single" w:sz="8" w:space="0" w:color="auto"/>
              <w:right w:val="single" w:sz="8" w:space="0" w:color="auto"/>
            </w:tcBorders>
            <w:shd w:val="clear" w:color="auto" w:fill="FFFF00"/>
            <w:noWrap/>
            <w:vAlign w:val="center"/>
            <w:hideMark/>
          </w:tcPr>
          <w:p w14:paraId="6D043D27"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22</w:t>
            </w:r>
          </w:p>
        </w:tc>
        <w:tc>
          <w:tcPr>
            <w:tcW w:w="79" w:type="pct"/>
            <w:tcBorders>
              <w:top w:val="nil"/>
              <w:left w:val="nil"/>
              <w:bottom w:val="nil"/>
              <w:right w:val="nil"/>
            </w:tcBorders>
            <w:shd w:val="clear" w:color="auto" w:fill="auto"/>
            <w:noWrap/>
            <w:vAlign w:val="center"/>
            <w:hideMark/>
          </w:tcPr>
          <w:p w14:paraId="56AAF3E2"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79" w:type="pct"/>
            <w:tcBorders>
              <w:top w:val="nil"/>
              <w:left w:val="nil"/>
              <w:bottom w:val="nil"/>
              <w:right w:val="nil"/>
            </w:tcBorders>
            <w:shd w:val="clear" w:color="auto" w:fill="auto"/>
            <w:noWrap/>
            <w:vAlign w:val="center"/>
            <w:hideMark/>
          </w:tcPr>
          <w:p w14:paraId="775B0289"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73" w:type="pct"/>
            <w:tcBorders>
              <w:top w:val="nil"/>
              <w:left w:val="nil"/>
              <w:bottom w:val="nil"/>
              <w:right w:val="nil"/>
            </w:tcBorders>
            <w:shd w:val="clear" w:color="auto" w:fill="auto"/>
            <w:noWrap/>
            <w:vAlign w:val="center"/>
            <w:hideMark/>
          </w:tcPr>
          <w:p w14:paraId="797D2F03"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91" w:type="pct"/>
            <w:tcBorders>
              <w:top w:val="nil"/>
              <w:left w:val="nil"/>
              <w:bottom w:val="nil"/>
              <w:right w:val="nil"/>
            </w:tcBorders>
            <w:shd w:val="clear" w:color="auto" w:fill="auto"/>
            <w:noWrap/>
            <w:vAlign w:val="center"/>
            <w:hideMark/>
          </w:tcPr>
          <w:p w14:paraId="52817FFF"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91" w:type="pct"/>
            <w:tcBorders>
              <w:top w:val="nil"/>
              <w:left w:val="nil"/>
              <w:bottom w:val="nil"/>
              <w:right w:val="nil"/>
            </w:tcBorders>
            <w:shd w:val="clear" w:color="auto" w:fill="auto"/>
            <w:noWrap/>
            <w:vAlign w:val="center"/>
            <w:hideMark/>
          </w:tcPr>
          <w:p w14:paraId="4D1847DB"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0" w:type="pct"/>
            <w:tcBorders>
              <w:top w:val="nil"/>
              <w:left w:val="nil"/>
              <w:bottom w:val="nil"/>
              <w:right w:val="nil"/>
            </w:tcBorders>
            <w:shd w:val="clear" w:color="auto" w:fill="auto"/>
            <w:noWrap/>
            <w:vAlign w:val="center"/>
            <w:hideMark/>
          </w:tcPr>
          <w:p w14:paraId="37897DD1"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0" w:type="pct"/>
            <w:tcBorders>
              <w:top w:val="nil"/>
              <w:left w:val="nil"/>
              <w:bottom w:val="nil"/>
              <w:right w:val="nil"/>
            </w:tcBorders>
            <w:shd w:val="clear" w:color="auto" w:fill="auto"/>
            <w:noWrap/>
            <w:vAlign w:val="center"/>
            <w:hideMark/>
          </w:tcPr>
          <w:p w14:paraId="30AC8BED"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0" w:type="pct"/>
            <w:tcBorders>
              <w:top w:val="nil"/>
              <w:left w:val="nil"/>
              <w:bottom w:val="nil"/>
              <w:right w:val="nil"/>
            </w:tcBorders>
            <w:shd w:val="clear" w:color="auto" w:fill="auto"/>
            <w:noWrap/>
            <w:vAlign w:val="center"/>
            <w:hideMark/>
          </w:tcPr>
          <w:p w14:paraId="6680C422"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0" w:type="pct"/>
            <w:tcBorders>
              <w:top w:val="nil"/>
              <w:left w:val="nil"/>
              <w:bottom w:val="nil"/>
              <w:right w:val="nil"/>
            </w:tcBorders>
            <w:shd w:val="clear" w:color="auto" w:fill="auto"/>
            <w:noWrap/>
            <w:vAlign w:val="center"/>
            <w:hideMark/>
          </w:tcPr>
          <w:p w14:paraId="74F13FAA"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8" w:type="pct"/>
            <w:tcBorders>
              <w:top w:val="nil"/>
              <w:left w:val="nil"/>
              <w:bottom w:val="nil"/>
              <w:right w:val="nil"/>
            </w:tcBorders>
            <w:shd w:val="clear" w:color="auto" w:fill="auto"/>
            <w:noWrap/>
            <w:vAlign w:val="center"/>
            <w:hideMark/>
          </w:tcPr>
          <w:p w14:paraId="66244B80"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8" w:type="pct"/>
            <w:tcBorders>
              <w:top w:val="nil"/>
              <w:left w:val="nil"/>
              <w:bottom w:val="nil"/>
              <w:right w:val="nil"/>
            </w:tcBorders>
            <w:shd w:val="clear" w:color="auto" w:fill="auto"/>
            <w:noWrap/>
            <w:vAlign w:val="center"/>
            <w:hideMark/>
          </w:tcPr>
          <w:p w14:paraId="19715953"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2C7C873E"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405D10F1"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4D5FC8F6"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6EAD7648"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0F9F9E19"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7980D4F5"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5E76BDD4"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0C5D4D8D"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7274E466"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096B1684"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6C4B8A5C"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2907E568"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2EF89588"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118D5894"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768BD4E4"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r>
      <w:tr w:rsidR="00537D99" w:rsidRPr="00537D99" w14:paraId="38E542C2" w14:textId="77777777" w:rsidTr="00537D99">
        <w:trPr>
          <w:trHeight w:val="270"/>
        </w:trPr>
        <w:tc>
          <w:tcPr>
            <w:tcW w:w="160" w:type="pct"/>
            <w:tcBorders>
              <w:top w:val="nil"/>
              <w:left w:val="single" w:sz="8" w:space="0" w:color="auto"/>
              <w:bottom w:val="nil"/>
              <w:right w:val="nil"/>
            </w:tcBorders>
            <w:shd w:val="clear" w:color="auto" w:fill="auto"/>
            <w:noWrap/>
            <w:vAlign w:val="center"/>
            <w:hideMark/>
          </w:tcPr>
          <w:p w14:paraId="7852E6E4" w14:textId="77777777" w:rsidR="00537D99" w:rsidRPr="00537D99" w:rsidRDefault="00537D99" w:rsidP="00537D99">
            <w:pPr>
              <w:jc w:val="right"/>
              <w:rPr>
                <w:rFonts w:cs="Calibri"/>
                <w:color w:val="000000"/>
                <w:sz w:val="14"/>
                <w:szCs w:val="14"/>
                <w:lang w:eastAsia="en-GB"/>
              </w:rPr>
            </w:pPr>
            <w:r w:rsidRPr="00537D99">
              <w:rPr>
                <w:rFonts w:cs="Calibri"/>
                <w:color w:val="000000"/>
                <w:sz w:val="14"/>
                <w:szCs w:val="14"/>
                <w:lang w:eastAsia="en-GB"/>
              </w:rPr>
              <w:t>NPV</w:t>
            </w:r>
          </w:p>
        </w:tc>
        <w:tc>
          <w:tcPr>
            <w:tcW w:w="189" w:type="pct"/>
            <w:tcBorders>
              <w:top w:val="nil"/>
              <w:left w:val="nil"/>
              <w:bottom w:val="nil"/>
              <w:right w:val="single" w:sz="8" w:space="0" w:color="auto"/>
            </w:tcBorders>
            <w:shd w:val="clear" w:color="auto" w:fill="auto"/>
            <w:noWrap/>
            <w:vAlign w:val="center"/>
            <w:hideMark/>
          </w:tcPr>
          <w:p w14:paraId="1F70BE21"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xml:space="preserve"> £    176,333.28 </w:t>
            </w:r>
          </w:p>
        </w:tc>
        <w:tc>
          <w:tcPr>
            <w:tcW w:w="79" w:type="pct"/>
            <w:tcBorders>
              <w:top w:val="nil"/>
              <w:left w:val="nil"/>
              <w:bottom w:val="nil"/>
              <w:right w:val="nil"/>
            </w:tcBorders>
            <w:shd w:val="clear" w:color="auto" w:fill="auto"/>
            <w:noWrap/>
            <w:vAlign w:val="center"/>
            <w:hideMark/>
          </w:tcPr>
          <w:p w14:paraId="433AB0DC"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79" w:type="pct"/>
            <w:tcBorders>
              <w:top w:val="nil"/>
              <w:left w:val="nil"/>
              <w:bottom w:val="nil"/>
              <w:right w:val="nil"/>
            </w:tcBorders>
            <w:shd w:val="clear" w:color="auto" w:fill="auto"/>
            <w:noWrap/>
            <w:vAlign w:val="center"/>
            <w:hideMark/>
          </w:tcPr>
          <w:p w14:paraId="3D9FBC97"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73" w:type="pct"/>
            <w:tcBorders>
              <w:top w:val="nil"/>
              <w:left w:val="nil"/>
              <w:bottom w:val="nil"/>
              <w:right w:val="nil"/>
            </w:tcBorders>
            <w:shd w:val="clear" w:color="auto" w:fill="auto"/>
            <w:noWrap/>
            <w:vAlign w:val="center"/>
            <w:hideMark/>
          </w:tcPr>
          <w:p w14:paraId="3412D070"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91" w:type="pct"/>
            <w:tcBorders>
              <w:top w:val="nil"/>
              <w:left w:val="nil"/>
              <w:bottom w:val="nil"/>
              <w:right w:val="nil"/>
            </w:tcBorders>
            <w:shd w:val="clear" w:color="auto" w:fill="auto"/>
            <w:noWrap/>
            <w:vAlign w:val="center"/>
            <w:hideMark/>
          </w:tcPr>
          <w:p w14:paraId="50D31B86"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91" w:type="pct"/>
            <w:tcBorders>
              <w:top w:val="nil"/>
              <w:left w:val="nil"/>
              <w:bottom w:val="nil"/>
              <w:right w:val="nil"/>
            </w:tcBorders>
            <w:shd w:val="clear" w:color="auto" w:fill="auto"/>
            <w:noWrap/>
            <w:vAlign w:val="center"/>
            <w:hideMark/>
          </w:tcPr>
          <w:p w14:paraId="4DD3BE6B"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0" w:type="pct"/>
            <w:tcBorders>
              <w:top w:val="nil"/>
              <w:left w:val="nil"/>
              <w:bottom w:val="nil"/>
              <w:right w:val="nil"/>
            </w:tcBorders>
            <w:shd w:val="clear" w:color="auto" w:fill="auto"/>
            <w:noWrap/>
            <w:vAlign w:val="center"/>
            <w:hideMark/>
          </w:tcPr>
          <w:p w14:paraId="4F3CE770"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0" w:type="pct"/>
            <w:tcBorders>
              <w:top w:val="nil"/>
              <w:left w:val="nil"/>
              <w:bottom w:val="nil"/>
              <w:right w:val="nil"/>
            </w:tcBorders>
            <w:shd w:val="clear" w:color="auto" w:fill="auto"/>
            <w:noWrap/>
            <w:vAlign w:val="center"/>
            <w:hideMark/>
          </w:tcPr>
          <w:p w14:paraId="6E8781FC"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0" w:type="pct"/>
            <w:tcBorders>
              <w:top w:val="nil"/>
              <w:left w:val="nil"/>
              <w:bottom w:val="nil"/>
              <w:right w:val="nil"/>
            </w:tcBorders>
            <w:shd w:val="clear" w:color="auto" w:fill="auto"/>
            <w:noWrap/>
            <w:vAlign w:val="center"/>
            <w:hideMark/>
          </w:tcPr>
          <w:p w14:paraId="5F9299A1"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0" w:type="pct"/>
            <w:tcBorders>
              <w:top w:val="nil"/>
              <w:left w:val="nil"/>
              <w:bottom w:val="nil"/>
              <w:right w:val="nil"/>
            </w:tcBorders>
            <w:shd w:val="clear" w:color="auto" w:fill="auto"/>
            <w:noWrap/>
            <w:vAlign w:val="center"/>
            <w:hideMark/>
          </w:tcPr>
          <w:p w14:paraId="161CA3B6"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8" w:type="pct"/>
            <w:tcBorders>
              <w:top w:val="nil"/>
              <w:left w:val="nil"/>
              <w:bottom w:val="nil"/>
              <w:right w:val="nil"/>
            </w:tcBorders>
            <w:shd w:val="clear" w:color="auto" w:fill="auto"/>
            <w:noWrap/>
            <w:vAlign w:val="center"/>
            <w:hideMark/>
          </w:tcPr>
          <w:p w14:paraId="63C13802"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8" w:type="pct"/>
            <w:tcBorders>
              <w:top w:val="nil"/>
              <w:left w:val="nil"/>
              <w:bottom w:val="nil"/>
              <w:right w:val="nil"/>
            </w:tcBorders>
            <w:shd w:val="clear" w:color="auto" w:fill="auto"/>
            <w:noWrap/>
            <w:vAlign w:val="center"/>
            <w:hideMark/>
          </w:tcPr>
          <w:p w14:paraId="068E9C17"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2806DF65"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2AB4F2A5"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7ACD6C52"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35C17176"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592A9674"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51DAD122"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5295DBE5"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5A21B229"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59BCC428"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39BE16A3"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4C773877"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14BE117D"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5AB19D3C"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6AE9E2CE"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29AEFB23"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r>
      <w:tr w:rsidR="00537D99" w:rsidRPr="00537D99" w14:paraId="3D9A6AEA" w14:textId="77777777" w:rsidTr="00537D99">
        <w:trPr>
          <w:trHeight w:val="270"/>
        </w:trPr>
        <w:tc>
          <w:tcPr>
            <w:tcW w:w="160" w:type="pct"/>
            <w:tcBorders>
              <w:top w:val="nil"/>
              <w:left w:val="single" w:sz="8" w:space="0" w:color="auto"/>
              <w:bottom w:val="nil"/>
              <w:right w:val="nil"/>
            </w:tcBorders>
            <w:shd w:val="clear" w:color="auto" w:fill="auto"/>
            <w:noWrap/>
            <w:vAlign w:val="center"/>
            <w:hideMark/>
          </w:tcPr>
          <w:p w14:paraId="4E3EEC89" w14:textId="77777777" w:rsidR="00537D99" w:rsidRPr="00537D99" w:rsidRDefault="00537D99" w:rsidP="00537D99">
            <w:pPr>
              <w:jc w:val="right"/>
              <w:rPr>
                <w:rFonts w:cs="Calibri"/>
                <w:color w:val="000000"/>
                <w:sz w:val="14"/>
                <w:szCs w:val="14"/>
                <w:lang w:eastAsia="en-GB"/>
              </w:rPr>
            </w:pPr>
            <w:r w:rsidRPr="00537D99">
              <w:rPr>
                <w:rFonts w:cs="Calibri"/>
                <w:color w:val="000000"/>
                <w:sz w:val="14"/>
                <w:szCs w:val="14"/>
                <w:lang w:eastAsia="en-GB"/>
              </w:rPr>
              <w:t>IRR</w:t>
            </w:r>
          </w:p>
        </w:tc>
        <w:tc>
          <w:tcPr>
            <w:tcW w:w="189" w:type="pct"/>
            <w:tcBorders>
              <w:top w:val="nil"/>
              <w:left w:val="nil"/>
              <w:bottom w:val="nil"/>
              <w:right w:val="single" w:sz="8" w:space="0" w:color="auto"/>
            </w:tcBorders>
            <w:shd w:val="clear" w:color="auto" w:fill="auto"/>
            <w:noWrap/>
            <w:vAlign w:val="center"/>
            <w:hideMark/>
          </w:tcPr>
          <w:p w14:paraId="5F05185D"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18.38%</w:t>
            </w:r>
          </w:p>
        </w:tc>
        <w:tc>
          <w:tcPr>
            <w:tcW w:w="79" w:type="pct"/>
            <w:tcBorders>
              <w:top w:val="nil"/>
              <w:left w:val="nil"/>
              <w:bottom w:val="nil"/>
              <w:right w:val="nil"/>
            </w:tcBorders>
            <w:shd w:val="clear" w:color="auto" w:fill="auto"/>
            <w:noWrap/>
            <w:vAlign w:val="center"/>
            <w:hideMark/>
          </w:tcPr>
          <w:p w14:paraId="61848465"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79" w:type="pct"/>
            <w:tcBorders>
              <w:top w:val="nil"/>
              <w:left w:val="nil"/>
              <w:bottom w:val="nil"/>
              <w:right w:val="nil"/>
            </w:tcBorders>
            <w:shd w:val="clear" w:color="auto" w:fill="auto"/>
            <w:noWrap/>
            <w:vAlign w:val="center"/>
            <w:hideMark/>
          </w:tcPr>
          <w:p w14:paraId="33D80403"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73"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11EC175"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WACC</w:t>
            </w:r>
          </w:p>
        </w:tc>
        <w:tc>
          <w:tcPr>
            <w:tcW w:w="191" w:type="pct"/>
            <w:tcBorders>
              <w:top w:val="single" w:sz="8" w:space="0" w:color="auto"/>
              <w:left w:val="nil"/>
              <w:bottom w:val="single" w:sz="8" w:space="0" w:color="auto"/>
              <w:right w:val="single" w:sz="8" w:space="0" w:color="auto"/>
            </w:tcBorders>
            <w:shd w:val="clear" w:color="auto" w:fill="FFFF00"/>
            <w:noWrap/>
            <w:vAlign w:val="center"/>
            <w:hideMark/>
          </w:tcPr>
          <w:p w14:paraId="13F05B3B"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0.75%</w:t>
            </w:r>
          </w:p>
        </w:tc>
        <w:tc>
          <w:tcPr>
            <w:tcW w:w="191" w:type="pct"/>
            <w:tcBorders>
              <w:top w:val="nil"/>
              <w:left w:val="nil"/>
              <w:bottom w:val="single" w:sz="8" w:space="0" w:color="auto"/>
              <w:right w:val="nil"/>
            </w:tcBorders>
            <w:shd w:val="clear" w:color="auto" w:fill="auto"/>
            <w:noWrap/>
            <w:vAlign w:val="center"/>
            <w:hideMark/>
          </w:tcPr>
          <w:p w14:paraId="06E8A2FB"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0" w:type="pct"/>
            <w:tcBorders>
              <w:top w:val="nil"/>
              <w:left w:val="nil"/>
              <w:bottom w:val="single" w:sz="8" w:space="0" w:color="auto"/>
              <w:right w:val="nil"/>
            </w:tcBorders>
            <w:shd w:val="clear" w:color="auto" w:fill="auto"/>
            <w:noWrap/>
            <w:vAlign w:val="center"/>
            <w:hideMark/>
          </w:tcPr>
          <w:p w14:paraId="25C12D2C"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0" w:type="pct"/>
            <w:tcBorders>
              <w:top w:val="nil"/>
              <w:left w:val="nil"/>
              <w:bottom w:val="single" w:sz="8" w:space="0" w:color="auto"/>
              <w:right w:val="nil"/>
            </w:tcBorders>
            <w:shd w:val="clear" w:color="auto" w:fill="auto"/>
            <w:noWrap/>
            <w:vAlign w:val="center"/>
            <w:hideMark/>
          </w:tcPr>
          <w:p w14:paraId="7EEEB2BB"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0" w:type="pct"/>
            <w:tcBorders>
              <w:top w:val="nil"/>
              <w:left w:val="nil"/>
              <w:bottom w:val="single" w:sz="8" w:space="0" w:color="auto"/>
              <w:right w:val="nil"/>
            </w:tcBorders>
            <w:shd w:val="clear" w:color="auto" w:fill="auto"/>
            <w:noWrap/>
            <w:vAlign w:val="center"/>
            <w:hideMark/>
          </w:tcPr>
          <w:p w14:paraId="264BABE8"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0" w:type="pct"/>
            <w:tcBorders>
              <w:top w:val="nil"/>
              <w:left w:val="nil"/>
              <w:bottom w:val="single" w:sz="8" w:space="0" w:color="auto"/>
              <w:right w:val="nil"/>
            </w:tcBorders>
            <w:shd w:val="clear" w:color="auto" w:fill="auto"/>
            <w:noWrap/>
            <w:vAlign w:val="center"/>
            <w:hideMark/>
          </w:tcPr>
          <w:p w14:paraId="400E97CE"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8" w:type="pct"/>
            <w:tcBorders>
              <w:top w:val="nil"/>
              <w:left w:val="nil"/>
              <w:bottom w:val="single" w:sz="8" w:space="0" w:color="auto"/>
              <w:right w:val="nil"/>
            </w:tcBorders>
            <w:shd w:val="clear" w:color="auto" w:fill="auto"/>
            <w:noWrap/>
            <w:vAlign w:val="center"/>
            <w:hideMark/>
          </w:tcPr>
          <w:p w14:paraId="0AE2A057"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8" w:type="pct"/>
            <w:tcBorders>
              <w:top w:val="nil"/>
              <w:left w:val="nil"/>
              <w:bottom w:val="single" w:sz="8" w:space="0" w:color="auto"/>
              <w:right w:val="nil"/>
            </w:tcBorders>
            <w:shd w:val="clear" w:color="auto" w:fill="auto"/>
            <w:noWrap/>
            <w:vAlign w:val="center"/>
            <w:hideMark/>
          </w:tcPr>
          <w:p w14:paraId="332DEFAA"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single" w:sz="8" w:space="0" w:color="auto"/>
              <w:right w:val="nil"/>
            </w:tcBorders>
            <w:shd w:val="clear" w:color="auto" w:fill="auto"/>
            <w:noWrap/>
            <w:vAlign w:val="center"/>
            <w:hideMark/>
          </w:tcPr>
          <w:p w14:paraId="0450203B"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single" w:sz="8" w:space="0" w:color="auto"/>
              <w:right w:val="nil"/>
            </w:tcBorders>
            <w:shd w:val="clear" w:color="auto" w:fill="auto"/>
            <w:noWrap/>
            <w:vAlign w:val="center"/>
            <w:hideMark/>
          </w:tcPr>
          <w:p w14:paraId="10F13840"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single" w:sz="8" w:space="0" w:color="auto"/>
              <w:right w:val="nil"/>
            </w:tcBorders>
            <w:shd w:val="clear" w:color="auto" w:fill="auto"/>
            <w:noWrap/>
            <w:vAlign w:val="center"/>
            <w:hideMark/>
          </w:tcPr>
          <w:p w14:paraId="1107A74D"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single" w:sz="8" w:space="0" w:color="auto"/>
              <w:right w:val="nil"/>
            </w:tcBorders>
            <w:shd w:val="clear" w:color="auto" w:fill="auto"/>
            <w:noWrap/>
            <w:vAlign w:val="center"/>
            <w:hideMark/>
          </w:tcPr>
          <w:p w14:paraId="6DA9E35A"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single" w:sz="8" w:space="0" w:color="auto"/>
              <w:right w:val="nil"/>
            </w:tcBorders>
            <w:shd w:val="clear" w:color="auto" w:fill="auto"/>
            <w:noWrap/>
            <w:vAlign w:val="center"/>
            <w:hideMark/>
          </w:tcPr>
          <w:p w14:paraId="2983DE3F"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single" w:sz="8" w:space="0" w:color="auto"/>
              <w:right w:val="nil"/>
            </w:tcBorders>
            <w:shd w:val="clear" w:color="auto" w:fill="auto"/>
            <w:noWrap/>
            <w:vAlign w:val="center"/>
            <w:hideMark/>
          </w:tcPr>
          <w:p w14:paraId="42F1D5C0"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single" w:sz="8" w:space="0" w:color="auto"/>
              <w:right w:val="nil"/>
            </w:tcBorders>
            <w:shd w:val="clear" w:color="auto" w:fill="auto"/>
            <w:noWrap/>
            <w:vAlign w:val="center"/>
            <w:hideMark/>
          </w:tcPr>
          <w:p w14:paraId="52A20FCC"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single" w:sz="8" w:space="0" w:color="auto"/>
              <w:right w:val="nil"/>
            </w:tcBorders>
            <w:shd w:val="clear" w:color="auto" w:fill="auto"/>
            <w:noWrap/>
            <w:vAlign w:val="center"/>
            <w:hideMark/>
          </w:tcPr>
          <w:p w14:paraId="2E44F847"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single" w:sz="8" w:space="0" w:color="auto"/>
              <w:right w:val="nil"/>
            </w:tcBorders>
            <w:shd w:val="clear" w:color="auto" w:fill="auto"/>
            <w:noWrap/>
            <w:vAlign w:val="center"/>
            <w:hideMark/>
          </w:tcPr>
          <w:p w14:paraId="26F5763D"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single" w:sz="8" w:space="0" w:color="auto"/>
              <w:right w:val="nil"/>
            </w:tcBorders>
            <w:shd w:val="clear" w:color="auto" w:fill="auto"/>
            <w:noWrap/>
            <w:vAlign w:val="center"/>
            <w:hideMark/>
          </w:tcPr>
          <w:p w14:paraId="31C5CFB6"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single" w:sz="8" w:space="0" w:color="auto"/>
              <w:right w:val="nil"/>
            </w:tcBorders>
            <w:shd w:val="clear" w:color="auto" w:fill="auto"/>
            <w:noWrap/>
            <w:vAlign w:val="center"/>
            <w:hideMark/>
          </w:tcPr>
          <w:p w14:paraId="0CBE52E2"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single" w:sz="8" w:space="0" w:color="auto"/>
              <w:right w:val="nil"/>
            </w:tcBorders>
            <w:shd w:val="clear" w:color="auto" w:fill="auto"/>
            <w:noWrap/>
            <w:vAlign w:val="center"/>
            <w:hideMark/>
          </w:tcPr>
          <w:p w14:paraId="7C7E72CD"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single" w:sz="8" w:space="0" w:color="auto"/>
              <w:right w:val="nil"/>
            </w:tcBorders>
            <w:shd w:val="clear" w:color="auto" w:fill="auto"/>
            <w:noWrap/>
            <w:vAlign w:val="center"/>
            <w:hideMark/>
          </w:tcPr>
          <w:p w14:paraId="1A072659"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single" w:sz="8" w:space="0" w:color="auto"/>
              <w:right w:val="nil"/>
            </w:tcBorders>
            <w:shd w:val="clear" w:color="auto" w:fill="auto"/>
            <w:noWrap/>
            <w:vAlign w:val="center"/>
            <w:hideMark/>
          </w:tcPr>
          <w:p w14:paraId="1F56F22F"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single" w:sz="8" w:space="0" w:color="auto"/>
              <w:right w:val="nil"/>
            </w:tcBorders>
            <w:shd w:val="clear" w:color="auto" w:fill="auto"/>
            <w:noWrap/>
            <w:vAlign w:val="center"/>
            <w:hideMark/>
          </w:tcPr>
          <w:p w14:paraId="6595C459"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r>
      <w:tr w:rsidR="00537D99" w:rsidRPr="00537D99" w14:paraId="352B3210" w14:textId="77777777" w:rsidTr="00537D99">
        <w:trPr>
          <w:trHeight w:val="270"/>
        </w:trPr>
        <w:tc>
          <w:tcPr>
            <w:tcW w:w="160" w:type="pct"/>
            <w:tcBorders>
              <w:top w:val="nil"/>
              <w:left w:val="single" w:sz="8" w:space="0" w:color="auto"/>
              <w:bottom w:val="nil"/>
              <w:right w:val="nil"/>
            </w:tcBorders>
            <w:shd w:val="clear" w:color="auto" w:fill="auto"/>
            <w:noWrap/>
            <w:vAlign w:val="center"/>
            <w:hideMark/>
          </w:tcPr>
          <w:p w14:paraId="68047204" w14:textId="77777777" w:rsidR="00537D99" w:rsidRPr="00537D99" w:rsidRDefault="00537D99" w:rsidP="00537D99">
            <w:pPr>
              <w:jc w:val="right"/>
              <w:rPr>
                <w:rFonts w:cs="Calibri"/>
                <w:color w:val="000000"/>
                <w:sz w:val="14"/>
                <w:szCs w:val="14"/>
                <w:lang w:eastAsia="en-GB"/>
              </w:rPr>
            </w:pPr>
            <w:r w:rsidRPr="00537D99">
              <w:rPr>
                <w:rFonts w:cs="Calibri"/>
                <w:color w:val="000000"/>
                <w:sz w:val="14"/>
                <w:szCs w:val="14"/>
                <w:lang w:eastAsia="en-GB"/>
              </w:rPr>
              <w:t>PI</w:t>
            </w:r>
          </w:p>
        </w:tc>
        <w:tc>
          <w:tcPr>
            <w:tcW w:w="189" w:type="pct"/>
            <w:tcBorders>
              <w:top w:val="nil"/>
              <w:left w:val="nil"/>
              <w:bottom w:val="nil"/>
              <w:right w:val="single" w:sz="8" w:space="0" w:color="auto"/>
            </w:tcBorders>
            <w:shd w:val="clear" w:color="auto" w:fill="auto"/>
            <w:noWrap/>
            <w:vAlign w:val="center"/>
            <w:hideMark/>
          </w:tcPr>
          <w:p w14:paraId="0D96E995"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2.340</w:t>
            </w:r>
          </w:p>
        </w:tc>
        <w:tc>
          <w:tcPr>
            <w:tcW w:w="79" w:type="pct"/>
            <w:tcBorders>
              <w:top w:val="nil"/>
              <w:left w:val="nil"/>
              <w:bottom w:val="nil"/>
              <w:right w:val="nil"/>
            </w:tcBorders>
            <w:shd w:val="clear" w:color="auto" w:fill="auto"/>
            <w:noWrap/>
            <w:vAlign w:val="center"/>
            <w:hideMark/>
          </w:tcPr>
          <w:p w14:paraId="718BC2B5"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79" w:type="pct"/>
            <w:tcBorders>
              <w:top w:val="nil"/>
              <w:left w:val="nil"/>
              <w:bottom w:val="nil"/>
              <w:right w:val="nil"/>
            </w:tcBorders>
            <w:shd w:val="clear" w:color="auto" w:fill="auto"/>
            <w:noWrap/>
            <w:vAlign w:val="center"/>
            <w:hideMark/>
          </w:tcPr>
          <w:p w14:paraId="19B981D5"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73" w:type="pct"/>
            <w:tcBorders>
              <w:top w:val="nil"/>
              <w:left w:val="single" w:sz="8" w:space="0" w:color="auto"/>
              <w:bottom w:val="nil"/>
              <w:right w:val="single" w:sz="8" w:space="0" w:color="auto"/>
            </w:tcBorders>
            <w:shd w:val="clear" w:color="auto" w:fill="auto"/>
            <w:noWrap/>
            <w:vAlign w:val="center"/>
            <w:hideMark/>
          </w:tcPr>
          <w:p w14:paraId="7CB68764"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Denominator</w:t>
            </w:r>
          </w:p>
        </w:tc>
        <w:tc>
          <w:tcPr>
            <w:tcW w:w="191" w:type="pct"/>
            <w:tcBorders>
              <w:top w:val="nil"/>
              <w:left w:val="nil"/>
              <w:bottom w:val="nil"/>
              <w:right w:val="single" w:sz="4" w:space="0" w:color="auto"/>
            </w:tcBorders>
            <w:shd w:val="clear" w:color="auto" w:fill="auto"/>
            <w:noWrap/>
            <w:vAlign w:val="center"/>
            <w:hideMark/>
          </w:tcPr>
          <w:p w14:paraId="0174FE52"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1</w:t>
            </w:r>
          </w:p>
        </w:tc>
        <w:tc>
          <w:tcPr>
            <w:tcW w:w="191" w:type="pct"/>
            <w:tcBorders>
              <w:top w:val="nil"/>
              <w:left w:val="nil"/>
              <w:bottom w:val="nil"/>
              <w:right w:val="single" w:sz="4" w:space="0" w:color="auto"/>
            </w:tcBorders>
            <w:shd w:val="clear" w:color="auto" w:fill="auto"/>
            <w:noWrap/>
            <w:vAlign w:val="center"/>
            <w:hideMark/>
          </w:tcPr>
          <w:p w14:paraId="004D2DFD"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0.993</w:t>
            </w:r>
          </w:p>
        </w:tc>
        <w:tc>
          <w:tcPr>
            <w:tcW w:w="180" w:type="pct"/>
            <w:tcBorders>
              <w:top w:val="nil"/>
              <w:left w:val="nil"/>
              <w:bottom w:val="nil"/>
              <w:right w:val="single" w:sz="4" w:space="0" w:color="auto"/>
            </w:tcBorders>
            <w:shd w:val="clear" w:color="auto" w:fill="auto"/>
            <w:noWrap/>
            <w:vAlign w:val="center"/>
            <w:hideMark/>
          </w:tcPr>
          <w:p w14:paraId="2BE9FE1B"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0.985</w:t>
            </w:r>
          </w:p>
        </w:tc>
        <w:tc>
          <w:tcPr>
            <w:tcW w:w="180" w:type="pct"/>
            <w:tcBorders>
              <w:top w:val="nil"/>
              <w:left w:val="nil"/>
              <w:bottom w:val="nil"/>
              <w:right w:val="single" w:sz="4" w:space="0" w:color="auto"/>
            </w:tcBorders>
            <w:shd w:val="clear" w:color="auto" w:fill="auto"/>
            <w:noWrap/>
            <w:vAlign w:val="center"/>
            <w:hideMark/>
          </w:tcPr>
          <w:p w14:paraId="4AC623D1"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0.978</w:t>
            </w:r>
          </w:p>
        </w:tc>
        <w:tc>
          <w:tcPr>
            <w:tcW w:w="180" w:type="pct"/>
            <w:tcBorders>
              <w:top w:val="nil"/>
              <w:left w:val="nil"/>
              <w:bottom w:val="nil"/>
              <w:right w:val="single" w:sz="4" w:space="0" w:color="auto"/>
            </w:tcBorders>
            <w:shd w:val="clear" w:color="auto" w:fill="auto"/>
            <w:noWrap/>
            <w:vAlign w:val="center"/>
            <w:hideMark/>
          </w:tcPr>
          <w:p w14:paraId="2E58DA60"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0.971</w:t>
            </w:r>
          </w:p>
        </w:tc>
        <w:tc>
          <w:tcPr>
            <w:tcW w:w="180" w:type="pct"/>
            <w:tcBorders>
              <w:top w:val="nil"/>
              <w:left w:val="nil"/>
              <w:bottom w:val="nil"/>
              <w:right w:val="single" w:sz="4" w:space="0" w:color="auto"/>
            </w:tcBorders>
            <w:shd w:val="clear" w:color="auto" w:fill="auto"/>
            <w:noWrap/>
            <w:vAlign w:val="center"/>
            <w:hideMark/>
          </w:tcPr>
          <w:p w14:paraId="21BE595D"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0.963</w:t>
            </w:r>
          </w:p>
        </w:tc>
        <w:tc>
          <w:tcPr>
            <w:tcW w:w="188" w:type="pct"/>
            <w:tcBorders>
              <w:top w:val="nil"/>
              <w:left w:val="nil"/>
              <w:bottom w:val="nil"/>
              <w:right w:val="single" w:sz="4" w:space="0" w:color="auto"/>
            </w:tcBorders>
            <w:shd w:val="clear" w:color="auto" w:fill="auto"/>
            <w:noWrap/>
            <w:vAlign w:val="center"/>
            <w:hideMark/>
          </w:tcPr>
          <w:p w14:paraId="1E76F903"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0.956</w:t>
            </w:r>
          </w:p>
        </w:tc>
        <w:tc>
          <w:tcPr>
            <w:tcW w:w="188" w:type="pct"/>
            <w:tcBorders>
              <w:top w:val="nil"/>
              <w:left w:val="nil"/>
              <w:bottom w:val="nil"/>
              <w:right w:val="single" w:sz="4" w:space="0" w:color="auto"/>
            </w:tcBorders>
            <w:shd w:val="clear" w:color="auto" w:fill="auto"/>
            <w:noWrap/>
            <w:vAlign w:val="center"/>
            <w:hideMark/>
          </w:tcPr>
          <w:p w14:paraId="553BB2B8"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0.949</w:t>
            </w:r>
          </w:p>
        </w:tc>
        <w:tc>
          <w:tcPr>
            <w:tcW w:w="189" w:type="pct"/>
            <w:tcBorders>
              <w:top w:val="nil"/>
              <w:left w:val="nil"/>
              <w:bottom w:val="nil"/>
              <w:right w:val="single" w:sz="4" w:space="0" w:color="auto"/>
            </w:tcBorders>
            <w:shd w:val="clear" w:color="auto" w:fill="auto"/>
            <w:noWrap/>
            <w:vAlign w:val="center"/>
            <w:hideMark/>
          </w:tcPr>
          <w:p w14:paraId="6E441362"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0.942</w:t>
            </w:r>
          </w:p>
        </w:tc>
        <w:tc>
          <w:tcPr>
            <w:tcW w:w="189" w:type="pct"/>
            <w:tcBorders>
              <w:top w:val="nil"/>
              <w:left w:val="nil"/>
              <w:bottom w:val="nil"/>
              <w:right w:val="single" w:sz="4" w:space="0" w:color="auto"/>
            </w:tcBorders>
            <w:shd w:val="clear" w:color="auto" w:fill="auto"/>
            <w:noWrap/>
            <w:vAlign w:val="center"/>
            <w:hideMark/>
          </w:tcPr>
          <w:p w14:paraId="44A88EF0"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0.935</w:t>
            </w:r>
          </w:p>
        </w:tc>
        <w:tc>
          <w:tcPr>
            <w:tcW w:w="189" w:type="pct"/>
            <w:tcBorders>
              <w:top w:val="nil"/>
              <w:left w:val="nil"/>
              <w:bottom w:val="nil"/>
              <w:right w:val="single" w:sz="4" w:space="0" w:color="auto"/>
            </w:tcBorders>
            <w:shd w:val="clear" w:color="auto" w:fill="auto"/>
            <w:noWrap/>
            <w:vAlign w:val="center"/>
            <w:hideMark/>
          </w:tcPr>
          <w:p w14:paraId="11805C3D"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0.928</w:t>
            </w:r>
          </w:p>
        </w:tc>
        <w:tc>
          <w:tcPr>
            <w:tcW w:w="189" w:type="pct"/>
            <w:tcBorders>
              <w:top w:val="nil"/>
              <w:left w:val="nil"/>
              <w:bottom w:val="nil"/>
              <w:right w:val="single" w:sz="4" w:space="0" w:color="auto"/>
            </w:tcBorders>
            <w:shd w:val="clear" w:color="auto" w:fill="auto"/>
            <w:noWrap/>
            <w:vAlign w:val="center"/>
            <w:hideMark/>
          </w:tcPr>
          <w:p w14:paraId="045F5BD7"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0.921</w:t>
            </w:r>
          </w:p>
        </w:tc>
        <w:tc>
          <w:tcPr>
            <w:tcW w:w="189" w:type="pct"/>
            <w:tcBorders>
              <w:top w:val="nil"/>
              <w:left w:val="nil"/>
              <w:bottom w:val="nil"/>
              <w:right w:val="single" w:sz="4" w:space="0" w:color="auto"/>
            </w:tcBorders>
            <w:shd w:val="clear" w:color="auto" w:fill="auto"/>
            <w:noWrap/>
            <w:vAlign w:val="center"/>
            <w:hideMark/>
          </w:tcPr>
          <w:p w14:paraId="59530C1D"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0.914</w:t>
            </w:r>
          </w:p>
        </w:tc>
        <w:tc>
          <w:tcPr>
            <w:tcW w:w="189" w:type="pct"/>
            <w:tcBorders>
              <w:top w:val="nil"/>
              <w:left w:val="nil"/>
              <w:bottom w:val="nil"/>
              <w:right w:val="single" w:sz="4" w:space="0" w:color="auto"/>
            </w:tcBorders>
            <w:shd w:val="clear" w:color="auto" w:fill="auto"/>
            <w:noWrap/>
            <w:vAlign w:val="center"/>
            <w:hideMark/>
          </w:tcPr>
          <w:p w14:paraId="62049989"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0.907</w:t>
            </w:r>
          </w:p>
        </w:tc>
        <w:tc>
          <w:tcPr>
            <w:tcW w:w="189" w:type="pct"/>
            <w:tcBorders>
              <w:top w:val="nil"/>
              <w:left w:val="nil"/>
              <w:bottom w:val="nil"/>
              <w:right w:val="single" w:sz="4" w:space="0" w:color="auto"/>
            </w:tcBorders>
            <w:shd w:val="clear" w:color="auto" w:fill="auto"/>
            <w:noWrap/>
            <w:vAlign w:val="center"/>
            <w:hideMark/>
          </w:tcPr>
          <w:p w14:paraId="65831746"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0.901</w:t>
            </w:r>
          </w:p>
        </w:tc>
        <w:tc>
          <w:tcPr>
            <w:tcW w:w="189" w:type="pct"/>
            <w:tcBorders>
              <w:top w:val="nil"/>
              <w:left w:val="nil"/>
              <w:bottom w:val="nil"/>
              <w:right w:val="single" w:sz="4" w:space="0" w:color="auto"/>
            </w:tcBorders>
            <w:shd w:val="clear" w:color="auto" w:fill="auto"/>
            <w:noWrap/>
            <w:vAlign w:val="center"/>
            <w:hideMark/>
          </w:tcPr>
          <w:p w14:paraId="7120D7F4"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0.894</w:t>
            </w:r>
          </w:p>
        </w:tc>
        <w:tc>
          <w:tcPr>
            <w:tcW w:w="189" w:type="pct"/>
            <w:tcBorders>
              <w:top w:val="nil"/>
              <w:left w:val="nil"/>
              <w:bottom w:val="nil"/>
              <w:right w:val="single" w:sz="4" w:space="0" w:color="auto"/>
            </w:tcBorders>
            <w:shd w:val="clear" w:color="auto" w:fill="auto"/>
            <w:noWrap/>
            <w:vAlign w:val="center"/>
            <w:hideMark/>
          </w:tcPr>
          <w:p w14:paraId="1409B1B1"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0.887</w:t>
            </w:r>
          </w:p>
        </w:tc>
        <w:tc>
          <w:tcPr>
            <w:tcW w:w="189" w:type="pct"/>
            <w:tcBorders>
              <w:top w:val="nil"/>
              <w:left w:val="nil"/>
              <w:bottom w:val="nil"/>
              <w:right w:val="single" w:sz="4" w:space="0" w:color="auto"/>
            </w:tcBorders>
            <w:shd w:val="clear" w:color="auto" w:fill="auto"/>
            <w:noWrap/>
            <w:vAlign w:val="center"/>
            <w:hideMark/>
          </w:tcPr>
          <w:p w14:paraId="52F28521"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0.881</w:t>
            </w:r>
          </w:p>
        </w:tc>
        <w:tc>
          <w:tcPr>
            <w:tcW w:w="189" w:type="pct"/>
            <w:tcBorders>
              <w:top w:val="nil"/>
              <w:left w:val="nil"/>
              <w:bottom w:val="nil"/>
              <w:right w:val="single" w:sz="4" w:space="0" w:color="auto"/>
            </w:tcBorders>
            <w:shd w:val="clear" w:color="auto" w:fill="auto"/>
            <w:noWrap/>
            <w:vAlign w:val="center"/>
            <w:hideMark/>
          </w:tcPr>
          <w:p w14:paraId="3CEA14CF"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0.874</w:t>
            </w:r>
          </w:p>
        </w:tc>
        <w:tc>
          <w:tcPr>
            <w:tcW w:w="189" w:type="pct"/>
            <w:tcBorders>
              <w:top w:val="nil"/>
              <w:left w:val="nil"/>
              <w:bottom w:val="nil"/>
              <w:right w:val="single" w:sz="4" w:space="0" w:color="auto"/>
            </w:tcBorders>
            <w:shd w:val="clear" w:color="auto" w:fill="auto"/>
            <w:noWrap/>
            <w:vAlign w:val="center"/>
            <w:hideMark/>
          </w:tcPr>
          <w:p w14:paraId="7B2D3086"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0.868</w:t>
            </w:r>
          </w:p>
        </w:tc>
        <w:tc>
          <w:tcPr>
            <w:tcW w:w="189" w:type="pct"/>
            <w:tcBorders>
              <w:top w:val="nil"/>
              <w:left w:val="nil"/>
              <w:bottom w:val="nil"/>
              <w:right w:val="single" w:sz="4" w:space="0" w:color="auto"/>
            </w:tcBorders>
            <w:shd w:val="clear" w:color="auto" w:fill="auto"/>
            <w:noWrap/>
            <w:vAlign w:val="center"/>
            <w:hideMark/>
          </w:tcPr>
          <w:p w14:paraId="0FAB7107"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0.861</w:t>
            </w:r>
          </w:p>
        </w:tc>
        <w:tc>
          <w:tcPr>
            <w:tcW w:w="189" w:type="pct"/>
            <w:tcBorders>
              <w:top w:val="nil"/>
              <w:left w:val="nil"/>
              <w:bottom w:val="nil"/>
              <w:right w:val="single" w:sz="4" w:space="0" w:color="auto"/>
            </w:tcBorders>
            <w:shd w:val="clear" w:color="auto" w:fill="auto"/>
            <w:noWrap/>
            <w:vAlign w:val="center"/>
            <w:hideMark/>
          </w:tcPr>
          <w:p w14:paraId="3F1BE632"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0.855</w:t>
            </w:r>
          </w:p>
        </w:tc>
        <w:tc>
          <w:tcPr>
            <w:tcW w:w="189" w:type="pct"/>
            <w:tcBorders>
              <w:top w:val="nil"/>
              <w:left w:val="nil"/>
              <w:bottom w:val="nil"/>
              <w:right w:val="single" w:sz="4" w:space="0" w:color="auto"/>
            </w:tcBorders>
            <w:shd w:val="clear" w:color="auto" w:fill="auto"/>
            <w:noWrap/>
            <w:vAlign w:val="center"/>
            <w:hideMark/>
          </w:tcPr>
          <w:p w14:paraId="2C5ADF09"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0.848</w:t>
            </w:r>
          </w:p>
        </w:tc>
      </w:tr>
      <w:tr w:rsidR="00537D99" w:rsidRPr="00537D99" w14:paraId="74160A48" w14:textId="77777777" w:rsidTr="00537D99">
        <w:trPr>
          <w:trHeight w:val="270"/>
        </w:trPr>
        <w:tc>
          <w:tcPr>
            <w:tcW w:w="160" w:type="pct"/>
            <w:tcBorders>
              <w:top w:val="nil"/>
              <w:left w:val="single" w:sz="8" w:space="0" w:color="auto"/>
              <w:bottom w:val="single" w:sz="8" w:space="0" w:color="auto"/>
              <w:right w:val="nil"/>
            </w:tcBorders>
            <w:shd w:val="clear" w:color="auto" w:fill="auto"/>
            <w:noWrap/>
            <w:vAlign w:val="center"/>
            <w:hideMark/>
          </w:tcPr>
          <w:p w14:paraId="552C68D4" w14:textId="77777777" w:rsidR="00537D99" w:rsidRPr="00537D99" w:rsidRDefault="00537D99" w:rsidP="00537D99">
            <w:pPr>
              <w:jc w:val="right"/>
              <w:rPr>
                <w:rFonts w:cs="Calibri"/>
                <w:color w:val="000000"/>
                <w:sz w:val="14"/>
                <w:szCs w:val="14"/>
                <w:lang w:eastAsia="en-GB"/>
              </w:rPr>
            </w:pPr>
            <w:r w:rsidRPr="00537D99">
              <w:rPr>
                <w:rFonts w:cs="Calibri"/>
                <w:color w:val="000000"/>
                <w:sz w:val="14"/>
                <w:szCs w:val="14"/>
                <w:lang w:eastAsia="en-GB"/>
              </w:rPr>
              <w:t>BCR</w:t>
            </w:r>
          </w:p>
        </w:tc>
        <w:tc>
          <w:tcPr>
            <w:tcW w:w="189" w:type="pct"/>
            <w:tcBorders>
              <w:top w:val="nil"/>
              <w:left w:val="nil"/>
              <w:bottom w:val="single" w:sz="8" w:space="0" w:color="auto"/>
              <w:right w:val="single" w:sz="8" w:space="0" w:color="auto"/>
            </w:tcBorders>
            <w:shd w:val="clear" w:color="auto" w:fill="auto"/>
            <w:noWrap/>
            <w:vAlign w:val="center"/>
            <w:hideMark/>
          </w:tcPr>
          <w:p w14:paraId="23BE5EC4"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1.340</w:t>
            </w:r>
          </w:p>
        </w:tc>
        <w:tc>
          <w:tcPr>
            <w:tcW w:w="79" w:type="pct"/>
            <w:tcBorders>
              <w:top w:val="nil"/>
              <w:left w:val="nil"/>
              <w:bottom w:val="nil"/>
              <w:right w:val="nil"/>
            </w:tcBorders>
            <w:shd w:val="clear" w:color="auto" w:fill="auto"/>
            <w:noWrap/>
            <w:vAlign w:val="center"/>
            <w:hideMark/>
          </w:tcPr>
          <w:p w14:paraId="59463F32"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79" w:type="pct"/>
            <w:tcBorders>
              <w:top w:val="nil"/>
              <w:left w:val="nil"/>
              <w:bottom w:val="nil"/>
              <w:right w:val="nil"/>
            </w:tcBorders>
            <w:shd w:val="clear" w:color="auto" w:fill="auto"/>
            <w:noWrap/>
            <w:vAlign w:val="center"/>
            <w:hideMark/>
          </w:tcPr>
          <w:p w14:paraId="76F351A1"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73" w:type="pct"/>
            <w:tcBorders>
              <w:top w:val="single" w:sz="8" w:space="0" w:color="auto"/>
              <w:left w:val="nil"/>
              <w:bottom w:val="single" w:sz="8" w:space="0" w:color="auto"/>
              <w:right w:val="nil"/>
            </w:tcBorders>
            <w:shd w:val="clear" w:color="auto" w:fill="auto"/>
            <w:noWrap/>
            <w:vAlign w:val="center"/>
            <w:hideMark/>
          </w:tcPr>
          <w:p w14:paraId="6F8F7FFA"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 </w:t>
            </w:r>
          </w:p>
        </w:tc>
        <w:tc>
          <w:tcPr>
            <w:tcW w:w="191" w:type="pct"/>
            <w:tcBorders>
              <w:top w:val="single" w:sz="8" w:space="0" w:color="auto"/>
              <w:left w:val="nil"/>
              <w:bottom w:val="single" w:sz="8" w:space="0" w:color="auto"/>
              <w:right w:val="nil"/>
            </w:tcBorders>
            <w:shd w:val="clear" w:color="auto" w:fill="auto"/>
            <w:noWrap/>
            <w:vAlign w:val="center"/>
            <w:hideMark/>
          </w:tcPr>
          <w:p w14:paraId="6F2D88A3"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 </w:t>
            </w:r>
          </w:p>
        </w:tc>
        <w:tc>
          <w:tcPr>
            <w:tcW w:w="191" w:type="pct"/>
            <w:tcBorders>
              <w:top w:val="single" w:sz="8" w:space="0" w:color="auto"/>
              <w:left w:val="nil"/>
              <w:bottom w:val="single" w:sz="8" w:space="0" w:color="auto"/>
              <w:right w:val="nil"/>
            </w:tcBorders>
            <w:shd w:val="clear" w:color="auto" w:fill="auto"/>
            <w:noWrap/>
            <w:vAlign w:val="center"/>
            <w:hideMark/>
          </w:tcPr>
          <w:p w14:paraId="40DFC7EE"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 </w:t>
            </w:r>
          </w:p>
        </w:tc>
        <w:tc>
          <w:tcPr>
            <w:tcW w:w="180" w:type="pct"/>
            <w:tcBorders>
              <w:top w:val="single" w:sz="8" w:space="0" w:color="auto"/>
              <w:left w:val="nil"/>
              <w:bottom w:val="single" w:sz="8" w:space="0" w:color="auto"/>
              <w:right w:val="nil"/>
            </w:tcBorders>
            <w:shd w:val="clear" w:color="auto" w:fill="auto"/>
            <w:noWrap/>
            <w:vAlign w:val="center"/>
            <w:hideMark/>
          </w:tcPr>
          <w:p w14:paraId="6405D2E5"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 </w:t>
            </w:r>
          </w:p>
        </w:tc>
        <w:tc>
          <w:tcPr>
            <w:tcW w:w="180" w:type="pct"/>
            <w:tcBorders>
              <w:top w:val="single" w:sz="8" w:space="0" w:color="auto"/>
              <w:left w:val="nil"/>
              <w:bottom w:val="single" w:sz="8" w:space="0" w:color="auto"/>
              <w:right w:val="nil"/>
            </w:tcBorders>
            <w:shd w:val="clear" w:color="auto" w:fill="auto"/>
            <w:noWrap/>
            <w:vAlign w:val="center"/>
            <w:hideMark/>
          </w:tcPr>
          <w:p w14:paraId="4E788870"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 </w:t>
            </w:r>
          </w:p>
        </w:tc>
        <w:tc>
          <w:tcPr>
            <w:tcW w:w="180" w:type="pct"/>
            <w:tcBorders>
              <w:top w:val="single" w:sz="8" w:space="0" w:color="auto"/>
              <w:left w:val="nil"/>
              <w:bottom w:val="single" w:sz="8" w:space="0" w:color="auto"/>
              <w:right w:val="nil"/>
            </w:tcBorders>
            <w:shd w:val="clear" w:color="auto" w:fill="auto"/>
            <w:noWrap/>
            <w:vAlign w:val="center"/>
            <w:hideMark/>
          </w:tcPr>
          <w:p w14:paraId="01170416"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 </w:t>
            </w:r>
          </w:p>
        </w:tc>
        <w:tc>
          <w:tcPr>
            <w:tcW w:w="180" w:type="pct"/>
            <w:tcBorders>
              <w:top w:val="single" w:sz="8" w:space="0" w:color="auto"/>
              <w:left w:val="nil"/>
              <w:bottom w:val="single" w:sz="8" w:space="0" w:color="auto"/>
              <w:right w:val="nil"/>
            </w:tcBorders>
            <w:shd w:val="clear" w:color="auto" w:fill="auto"/>
            <w:noWrap/>
            <w:vAlign w:val="center"/>
            <w:hideMark/>
          </w:tcPr>
          <w:p w14:paraId="6B0479D6"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 </w:t>
            </w:r>
          </w:p>
        </w:tc>
        <w:tc>
          <w:tcPr>
            <w:tcW w:w="188" w:type="pct"/>
            <w:tcBorders>
              <w:top w:val="single" w:sz="8" w:space="0" w:color="auto"/>
              <w:left w:val="nil"/>
              <w:bottom w:val="single" w:sz="8" w:space="0" w:color="auto"/>
              <w:right w:val="nil"/>
            </w:tcBorders>
            <w:shd w:val="clear" w:color="auto" w:fill="auto"/>
            <w:noWrap/>
            <w:vAlign w:val="center"/>
            <w:hideMark/>
          </w:tcPr>
          <w:p w14:paraId="25C2E947"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 </w:t>
            </w:r>
          </w:p>
        </w:tc>
        <w:tc>
          <w:tcPr>
            <w:tcW w:w="188" w:type="pct"/>
            <w:tcBorders>
              <w:top w:val="single" w:sz="8" w:space="0" w:color="auto"/>
              <w:left w:val="nil"/>
              <w:bottom w:val="single" w:sz="8" w:space="0" w:color="auto"/>
              <w:right w:val="nil"/>
            </w:tcBorders>
            <w:shd w:val="clear" w:color="auto" w:fill="auto"/>
            <w:noWrap/>
            <w:vAlign w:val="center"/>
            <w:hideMark/>
          </w:tcPr>
          <w:p w14:paraId="417C026A"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 </w:t>
            </w:r>
          </w:p>
        </w:tc>
        <w:tc>
          <w:tcPr>
            <w:tcW w:w="189" w:type="pct"/>
            <w:tcBorders>
              <w:top w:val="single" w:sz="8" w:space="0" w:color="auto"/>
              <w:left w:val="nil"/>
              <w:bottom w:val="single" w:sz="8" w:space="0" w:color="auto"/>
              <w:right w:val="nil"/>
            </w:tcBorders>
            <w:shd w:val="clear" w:color="auto" w:fill="auto"/>
            <w:noWrap/>
            <w:vAlign w:val="center"/>
            <w:hideMark/>
          </w:tcPr>
          <w:p w14:paraId="4D756A22"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 </w:t>
            </w:r>
          </w:p>
        </w:tc>
        <w:tc>
          <w:tcPr>
            <w:tcW w:w="189" w:type="pct"/>
            <w:tcBorders>
              <w:top w:val="single" w:sz="8" w:space="0" w:color="auto"/>
              <w:left w:val="nil"/>
              <w:bottom w:val="single" w:sz="8" w:space="0" w:color="auto"/>
              <w:right w:val="nil"/>
            </w:tcBorders>
            <w:shd w:val="clear" w:color="auto" w:fill="auto"/>
            <w:noWrap/>
            <w:vAlign w:val="center"/>
            <w:hideMark/>
          </w:tcPr>
          <w:p w14:paraId="2C757B16"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 </w:t>
            </w:r>
          </w:p>
        </w:tc>
        <w:tc>
          <w:tcPr>
            <w:tcW w:w="189" w:type="pct"/>
            <w:tcBorders>
              <w:top w:val="single" w:sz="8" w:space="0" w:color="auto"/>
              <w:left w:val="nil"/>
              <w:bottom w:val="single" w:sz="8" w:space="0" w:color="auto"/>
              <w:right w:val="nil"/>
            </w:tcBorders>
            <w:shd w:val="clear" w:color="auto" w:fill="auto"/>
            <w:noWrap/>
            <w:vAlign w:val="center"/>
            <w:hideMark/>
          </w:tcPr>
          <w:p w14:paraId="31FFC193"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 </w:t>
            </w:r>
          </w:p>
        </w:tc>
        <w:tc>
          <w:tcPr>
            <w:tcW w:w="189" w:type="pct"/>
            <w:tcBorders>
              <w:top w:val="single" w:sz="8" w:space="0" w:color="auto"/>
              <w:left w:val="nil"/>
              <w:bottom w:val="single" w:sz="8" w:space="0" w:color="auto"/>
              <w:right w:val="nil"/>
            </w:tcBorders>
            <w:shd w:val="clear" w:color="auto" w:fill="auto"/>
            <w:noWrap/>
            <w:vAlign w:val="center"/>
            <w:hideMark/>
          </w:tcPr>
          <w:p w14:paraId="3BB2024A"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 </w:t>
            </w:r>
          </w:p>
        </w:tc>
        <w:tc>
          <w:tcPr>
            <w:tcW w:w="189" w:type="pct"/>
            <w:tcBorders>
              <w:top w:val="single" w:sz="8" w:space="0" w:color="auto"/>
              <w:left w:val="nil"/>
              <w:bottom w:val="single" w:sz="8" w:space="0" w:color="auto"/>
              <w:right w:val="nil"/>
            </w:tcBorders>
            <w:shd w:val="clear" w:color="auto" w:fill="auto"/>
            <w:noWrap/>
            <w:vAlign w:val="center"/>
            <w:hideMark/>
          </w:tcPr>
          <w:p w14:paraId="370E9B36"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 </w:t>
            </w:r>
          </w:p>
        </w:tc>
        <w:tc>
          <w:tcPr>
            <w:tcW w:w="189" w:type="pct"/>
            <w:tcBorders>
              <w:top w:val="single" w:sz="8" w:space="0" w:color="auto"/>
              <w:left w:val="nil"/>
              <w:bottom w:val="single" w:sz="8" w:space="0" w:color="auto"/>
              <w:right w:val="nil"/>
            </w:tcBorders>
            <w:shd w:val="clear" w:color="auto" w:fill="auto"/>
            <w:noWrap/>
            <w:vAlign w:val="center"/>
            <w:hideMark/>
          </w:tcPr>
          <w:p w14:paraId="466547A6"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 </w:t>
            </w:r>
          </w:p>
        </w:tc>
        <w:tc>
          <w:tcPr>
            <w:tcW w:w="189" w:type="pct"/>
            <w:tcBorders>
              <w:top w:val="single" w:sz="8" w:space="0" w:color="auto"/>
              <w:left w:val="nil"/>
              <w:bottom w:val="single" w:sz="8" w:space="0" w:color="auto"/>
              <w:right w:val="nil"/>
            </w:tcBorders>
            <w:shd w:val="clear" w:color="auto" w:fill="auto"/>
            <w:noWrap/>
            <w:vAlign w:val="center"/>
            <w:hideMark/>
          </w:tcPr>
          <w:p w14:paraId="367A8DC3"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 </w:t>
            </w:r>
          </w:p>
        </w:tc>
        <w:tc>
          <w:tcPr>
            <w:tcW w:w="189" w:type="pct"/>
            <w:tcBorders>
              <w:top w:val="single" w:sz="8" w:space="0" w:color="auto"/>
              <w:left w:val="nil"/>
              <w:bottom w:val="single" w:sz="8" w:space="0" w:color="auto"/>
              <w:right w:val="nil"/>
            </w:tcBorders>
            <w:shd w:val="clear" w:color="auto" w:fill="auto"/>
            <w:noWrap/>
            <w:vAlign w:val="center"/>
            <w:hideMark/>
          </w:tcPr>
          <w:p w14:paraId="169D3F3E"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 </w:t>
            </w:r>
          </w:p>
        </w:tc>
        <w:tc>
          <w:tcPr>
            <w:tcW w:w="189" w:type="pct"/>
            <w:tcBorders>
              <w:top w:val="single" w:sz="8" w:space="0" w:color="auto"/>
              <w:left w:val="nil"/>
              <w:bottom w:val="single" w:sz="8" w:space="0" w:color="auto"/>
              <w:right w:val="nil"/>
            </w:tcBorders>
            <w:shd w:val="clear" w:color="auto" w:fill="auto"/>
            <w:noWrap/>
            <w:vAlign w:val="center"/>
            <w:hideMark/>
          </w:tcPr>
          <w:p w14:paraId="298FF95A"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 </w:t>
            </w:r>
          </w:p>
        </w:tc>
        <w:tc>
          <w:tcPr>
            <w:tcW w:w="189" w:type="pct"/>
            <w:tcBorders>
              <w:top w:val="single" w:sz="8" w:space="0" w:color="auto"/>
              <w:left w:val="nil"/>
              <w:bottom w:val="single" w:sz="8" w:space="0" w:color="auto"/>
              <w:right w:val="nil"/>
            </w:tcBorders>
            <w:shd w:val="clear" w:color="auto" w:fill="auto"/>
            <w:noWrap/>
            <w:vAlign w:val="center"/>
            <w:hideMark/>
          </w:tcPr>
          <w:p w14:paraId="135DC4A5"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 </w:t>
            </w:r>
          </w:p>
        </w:tc>
        <w:tc>
          <w:tcPr>
            <w:tcW w:w="189" w:type="pct"/>
            <w:tcBorders>
              <w:top w:val="single" w:sz="8" w:space="0" w:color="auto"/>
              <w:left w:val="nil"/>
              <w:bottom w:val="single" w:sz="8" w:space="0" w:color="auto"/>
              <w:right w:val="nil"/>
            </w:tcBorders>
            <w:shd w:val="clear" w:color="auto" w:fill="auto"/>
            <w:noWrap/>
            <w:vAlign w:val="center"/>
            <w:hideMark/>
          </w:tcPr>
          <w:p w14:paraId="0F4DA458"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 </w:t>
            </w:r>
          </w:p>
        </w:tc>
        <w:tc>
          <w:tcPr>
            <w:tcW w:w="189" w:type="pct"/>
            <w:tcBorders>
              <w:top w:val="single" w:sz="8" w:space="0" w:color="auto"/>
              <w:left w:val="nil"/>
              <w:bottom w:val="single" w:sz="8" w:space="0" w:color="auto"/>
              <w:right w:val="nil"/>
            </w:tcBorders>
            <w:shd w:val="clear" w:color="auto" w:fill="auto"/>
            <w:noWrap/>
            <w:vAlign w:val="center"/>
            <w:hideMark/>
          </w:tcPr>
          <w:p w14:paraId="30A67280"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 </w:t>
            </w:r>
          </w:p>
        </w:tc>
        <w:tc>
          <w:tcPr>
            <w:tcW w:w="189" w:type="pct"/>
            <w:tcBorders>
              <w:top w:val="single" w:sz="8" w:space="0" w:color="auto"/>
              <w:left w:val="nil"/>
              <w:bottom w:val="single" w:sz="8" w:space="0" w:color="auto"/>
              <w:right w:val="nil"/>
            </w:tcBorders>
            <w:shd w:val="clear" w:color="auto" w:fill="auto"/>
            <w:noWrap/>
            <w:vAlign w:val="center"/>
            <w:hideMark/>
          </w:tcPr>
          <w:p w14:paraId="7C836A9E"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 </w:t>
            </w:r>
          </w:p>
        </w:tc>
        <w:tc>
          <w:tcPr>
            <w:tcW w:w="189" w:type="pct"/>
            <w:tcBorders>
              <w:top w:val="single" w:sz="8" w:space="0" w:color="auto"/>
              <w:left w:val="nil"/>
              <w:bottom w:val="single" w:sz="8" w:space="0" w:color="auto"/>
              <w:right w:val="nil"/>
            </w:tcBorders>
            <w:shd w:val="clear" w:color="auto" w:fill="auto"/>
            <w:noWrap/>
            <w:vAlign w:val="center"/>
            <w:hideMark/>
          </w:tcPr>
          <w:p w14:paraId="589E3299"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 </w:t>
            </w:r>
          </w:p>
        </w:tc>
        <w:tc>
          <w:tcPr>
            <w:tcW w:w="189" w:type="pct"/>
            <w:tcBorders>
              <w:top w:val="single" w:sz="8" w:space="0" w:color="auto"/>
              <w:left w:val="nil"/>
              <w:bottom w:val="single" w:sz="8" w:space="0" w:color="auto"/>
              <w:right w:val="nil"/>
            </w:tcBorders>
            <w:shd w:val="clear" w:color="auto" w:fill="auto"/>
            <w:noWrap/>
            <w:vAlign w:val="center"/>
            <w:hideMark/>
          </w:tcPr>
          <w:p w14:paraId="4807F385" w14:textId="77777777" w:rsidR="00537D99" w:rsidRPr="00537D99" w:rsidRDefault="00537D99" w:rsidP="00537D99">
            <w:pPr>
              <w:jc w:val="center"/>
              <w:rPr>
                <w:rFonts w:cs="Calibri"/>
                <w:i/>
                <w:iCs/>
                <w:color w:val="000000"/>
                <w:sz w:val="14"/>
                <w:szCs w:val="14"/>
                <w:lang w:eastAsia="en-GB"/>
              </w:rPr>
            </w:pPr>
            <w:r w:rsidRPr="00537D99">
              <w:rPr>
                <w:rFonts w:cs="Calibri"/>
                <w:i/>
                <w:iCs/>
                <w:color w:val="000000"/>
                <w:sz w:val="14"/>
                <w:szCs w:val="14"/>
                <w:lang w:eastAsia="en-GB"/>
              </w:rPr>
              <w:t> </w:t>
            </w:r>
          </w:p>
        </w:tc>
      </w:tr>
      <w:tr w:rsidR="00537D99" w:rsidRPr="00537D99" w14:paraId="72798D97" w14:textId="77777777" w:rsidTr="00537D99">
        <w:trPr>
          <w:trHeight w:val="270"/>
        </w:trPr>
        <w:tc>
          <w:tcPr>
            <w:tcW w:w="160" w:type="pct"/>
            <w:tcBorders>
              <w:top w:val="nil"/>
              <w:left w:val="single" w:sz="8" w:space="0" w:color="auto"/>
              <w:bottom w:val="nil"/>
              <w:right w:val="nil"/>
            </w:tcBorders>
            <w:shd w:val="clear" w:color="auto" w:fill="auto"/>
            <w:noWrap/>
            <w:vAlign w:val="center"/>
            <w:hideMark/>
          </w:tcPr>
          <w:p w14:paraId="0C956B9D"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5B4E1876"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79" w:type="pct"/>
            <w:tcBorders>
              <w:top w:val="nil"/>
              <w:left w:val="nil"/>
              <w:bottom w:val="nil"/>
              <w:right w:val="nil"/>
            </w:tcBorders>
            <w:shd w:val="clear" w:color="auto" w:fill="auto"/>
            <w:noWrap/>
            <w:vAlign w:val="center"/>
            <w:hideMark/>
          </w:tcPr>
          <w:p w14:paraId="5E0D4A12"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79" w:type="pct"/>
            <w:tcBorders>
              <w:top w:val="nil"/>
              <w:left w:val="nil"/>
              <w:bottom w:val="nil"/>
              <w:right w:val="nil"/>
            </w:tcBorders>
            <w:shd w:val="clear" w:color="auto" w:fill="auto"/>
            <w:noWrap/>
            <w:vAlign w:val="center"/>
            <w:hideMark/>
          </w:tcPr>
          <w:p w14:paraId="3EDF8143"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73" w:type="pct"/>
            <w:tcBorders>
              <w:top w:val="nil"/>
              <w:left w:val="single" w:sz="8" w:space="0" w:color="auto"/>
              <w:bottom w:val="single" w:sz="8" w:space="0" w:color="auto"/>
              <w:right w:val="single" w:sz="8" w:space="0" w:color="auto"/>
            </w:tcBorders>
            <w:shd w:val="clear" w:color="auto" w:fill="auto"/>
            <w:noWrap/>
            <w:vAlign w:val="center"/>
            <w:hideMark/>
          </w:tcPr>
          <w:p w14:paraId="1F6EB053"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Net Benefits</w:t>
            </w:r>
          </w:p>
        </w:tc>
        <w:tc>
          <w:tcPr>
            <w:tcW w:w="191" w:type="pct"/>
            <w:tcBorders>
              <w:top w:val="nil"/>
              <w:left w:val="nil"/>
              <w:bottom w:val="single" w:sz="8" w:space="0" w:color="auto"/>
              <w:right w:val="single" w:sz="4" w:space="0" w:color="auto"/>
            </w:tcBorders>
            <w:shd w:val="clear" w:color="auto" w:fill="auto"/>
            <w:noWrap/>
            <w:vAlign w:val="center"/>
            <w:hideMark/>
          </w:tcPr>
          <w:p w14:paraId="746F107A"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131,552.30 </w:t>
            </w:r>
          </w:p>
        </w:tc>
        <w:tc>
          <w:tcPr>
            <w:tcW w:w="191" w:type="pct"/>
            <w:tcBorders>
              <w:top w:val="nil"/>
              <w:left w:val="nil"/>
              <w:bottom w:val="single" w:sz="8" w:space="0" w:color="auto"/>
              <w:right w:val="single" w:sz="4" w:space="0" w:color="auto"/>
            </w:tcBorders>
            <w:shd w:val="clear" w:color="auto" w:fill="auto"/>
            <w:noWrap/>
            <w:vAlign w:val="center"/>
            <w:hideMark/>
          </w:tcPr>
          <w:p w14:paraId="63D81E97"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16,323.57 </w:t>
            </w:r>
          </w:p>
        </w:tc>
        <w:tc>
          <w:tcPr>
            <w:tcW w:w="180" w:type="pct"/>
            <w:tcBorders>
              <w:top w:val="nil"/>
              <w:left w:val="nil"/>
              <w:bottom w:val="single" w:sz="8" w:space="0" w:color="auto"/>
              <w:right w:val="single" w:sz="4" w:space="0" w:color="auto"/>
            </w:tcBorders>
            <w:shd w:val="clear" w:color="auto" w:fill="auto"/>
            <w:noWrap/>
            <w:vAlign w:val="center"/>
            <w:hideMark/>
          </w:tcPr>
          <w:p w14:paraId="751A73E0"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21,728.85 </w:t>
            </w:r>
          </w:p>
        </w:tc>
        <w:tc>
          <w:tcPr>
            <w:tcW w:w="180" w:type="pct"/>
            <w:tcBorders>
              <w:top w:val="nil"/>
              <w:left w:val="nil"/>
              <w:bottom w:val="single" w:sz="8" w:space="0" w:color="auto"/>
              <w:right w:val="single" w:sz="4" w:space="0" w:color="auto"/>
            </w:tcBorders>
            <w:shd w:val="clear" w:color="auto" w:fill="auto"/>
            <w:noWrap/>
            <w:vAlign w:val="center"/>
            <w:hideMark/>
          </w:tcPr>
          <w:p w14:paraId="12DC3D3B"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29,199.08 </w:t>
            </w:r>
          </w:p>
        </w:tc>
        <w:tc>
          <w:tcPr>
            <w:tcW w:w="180" w:type="pct"/>
            <w:tcBorders>
              <w:top w:val="nil"/>
              <w:left w:val="nil"/>
              <w:bottom w:val="single" w:sz="8" w:space="0" w:color="auto"/>
              <w:right w:val="single" w:sz="4" w:space="0" w:color="auto"/>
            </w:tcBorders>
            <w:shd w:val="clear" w:color="auto" w:fill="auto"/>
            <w:noWrap/>
            <w:vAlign w:val="center"/>
            <w:hideMark/>
          </w:tcPr>
          <w:p w14:paraId="2625C6CB"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47,179.61 </w:t>
            </w:r>
          </w:p>
        </w:tc>
        <w:tc>
          <w:tcPr>
            <w:tcW w:w="180" w:type="pct"/>
            <w:tcBorders>
              <w:top w:val="nil"/>
              <w:left w:val="nil"/>
              <w:bottom w:val="single" w:sz="8" w:space="0" w:color="auto"/>
              <w:right w:val="single" w:sz="4" w:space="0" w:color="auto"/>
            </w:tcBorders>
            <w:shd w:val="clear" w:color="auto" w:fill="auto"/>
            <w:noWrap/>
            <w:vAlign w:val="center"/>
            <w:hideMark/>
          </w:tcPr>
          <w:p w14:paraId="124822BB"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31,064.48 </w:t>
            </w:r>
          </w:p>
        </w:tc>
        <w:tc>
          <w:tcPr>
            <w:tcW w:w="188" w:type="pct"/>
            <w:tcBorders>
              <w:top w:val="nil"/>
              <w:left w:val="nil"/>
              <w:bottom w:val="single" w:sz="8" w:space="0" w:color="auto"/>
              <w:right w:val="single" w:sz="4" w:space="0" w:color="auto"/>
            </w:tcBorders>
            <w:shd w:val="clear" w:color="auto" w:fill="auto"/>
            <w:noWrap/>
            <w:vAlign w:val="center"/>
            <w:hideMark/>
          </w:tcPr>
          <w:p w14:paraId="74691042"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26,641.43 </w:t>
            </w:r>
          </w:p>
        </w:tc>
        <w:tc>
          <w:tcPr>
            <w:tcW w:w="188" w:type="pct"/>
            <w:tcBorders>
              <w:top w:val="nil"/>
              <w:left w:val="nil"/>
              <w:bottom w:val="single" w:sz="8" w:space="0" w:color="auto"/>
              <w:right w:val="single" w:sz="4" w:space="0" w:color="auto"/>
            </w:tcBorders>
            <w:shd w:val="clear" w:color="auto" w:fill="auto"/>
            <w:noWrap/>
            <w:vAlign w:val="center"/>
            <w:hideMark/>
          </w:tcPr>
          <w:p w14:paraId="7DA1BA3F"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37,544.03 </w:t>
            </w:r>
          </w:p>
        </w:tc>
        <w:tc>
          <w:tcPr>
            <w:tcW w:w="189" w:type="pct"/>
            <w:tcBorders>
              <w:top w:val="nil"/>
              <w:left w:val="nil"/>
              <w:bottom w:val="single" w:sz="8" w:space="0" w:color="auto"/>
              <w:right w:val="single" w:sz="4" w:space="0" w:color="auto"/>
            </w:tcBorders>
            <w:shd w:val="clear" w:color="auto" w:fill="auto"/>
            <w:noWrap/>
            <w:vAlign w:val="center"/>
            <w:hideMark/>
          </w:tcPr>
          <w:p w14:paraId="4072EFE8"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30,466.31 </w:t>
            </w:r>
          </w:p>
        </w:tc>
        <w:tc>
          <w:tcPr>
            <w:tcW w:w="189" w:type="pct"/>
            <w:tcBorders>
              <w:top w:val="nil"/>
              <w:left w:val="nil"/>
              <w:bottom w:val="single" w:sz="8" w:space="0" w:color="auto"/>
              <w:right w:val="single" w:sz="4" w:space="0" w:color="auto"/>
            </w:tcBorders>
            <w:shd w:val="clear" w:color="auto" w:fill="auto"/>
            <w:noWrap/>
            <w:vAlign w:val="center"/>
            <w:hideMark/>
          </w:tcPr>
          <w:p w14:paraId="146A7C36"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33,101.44 </w:t>
            </w:r>
          </w:p>
        </w:tc>
        <w:tc>
          <w:tcPr>
            <w:tcW w:w="189" w:type="pct"/>
            <w:tcBorders>
              <w:top w:val="nil"/>
              <w:left w:val="nil"/>
              <w:bottom w:val="single" w:sz="8" w:space="0" w:color="auto"/>
              <w:right w:val="single" w:sz="8" w:space="0" w:color="auto"/>
            </w:tcBorders>
            <w:shd w:val="clear" w:color="auto" w:fill="auto"/>
            <w:noWrap/>
            <w:vAlign w:val="center"/>
            <w:hideMark/>
          </w:tcPr>
          <w:p w14:paraId="542BF0CB"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34,636.79 </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34C17908"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33,252.45 </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7D4D0736"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27,266.24 </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0F1AA49F"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39,025.04 </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0C2A20EF"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30,508.64 </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473E3B01"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26,397.22 </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396A6876"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29,592.04 </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42363B34"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23,754.57 </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358A068B"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28,097.13 </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0B29D55F"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24,647.30 </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5EEB4CF1"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18,733.46 </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03F39292"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17,997.37 </w:t>
            </w:r>
          </w:p>
        </w:tc>
        <w:tc>
          <w:tcPr>
            <w:tcW w:w="189" w:type="pct"/>
            <w:tcBorders>
              <w:top w:val="nil"/>
              <w:left w:val="single" w:sz="4" w:space="0" w:color="auto"/>
              <w:bottom w:val="single" w:sz="8" w:space="0" w:color="auto"/>
              <w:right w:val="single" w:sz="8" w:space="0" w:color="auto"/>
            </w:tcBorders>
            <w:shd w:val="clear" w:color="auto" w:fill="auto"/>
            <w:noWrap/>
            <w:vAlign w:val="center"/>
            <w:hideMark/>
          </w:tcPr>
          <w:p w14:paraId="324A966C"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4,578.05 </w:t>
            </w:r>
          </w:p>
        </w:tc>
      </w:tr>
      <w:tr w:rsidR="00537D99" w:rsidRPr="00537D99" w14:paraId="0B739B5E" w14:textId="77777777" w:rsidTr="00537D99">
        <w:trPr>
          <w:trHeight w:val="270"/>
        </w:trPr>
        <w:tc>
          <w:tcPr>
            <w:tcW w:w="160" w:type="pct"/>
            <w:tcBorders>
              <w:top w:val="nil"/>
              <w:left w:val="single" w:sz="8" w:space="0" w:color="auto"/>
              <w:bottom w:val="nil"/>
              <w:right w:val="nil"/>
            </w:tcBorders>
            <w:shd w:val="clear" w:color="auto" w:fill="auto"/>
            <w:noWrap/>
            <w:vAlign w:val="center"/>
            <w:hideMark/>
          </w:tcPr>
          <w:p w14:paraId="3C39CA53"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10139E5C"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79" w:type="pct"/>
            <w:tcBorders>
              <w:top w:val="nil"/>
              <w:left w:val="nil"/>
              <w:bottom w:val="nil"/>
              <w:right w:val="nil"/>
            </w:tcBorders>
            <w:shd w:val="clear" w:color="auto" w:fill="auto"/>
            <w:noWrap/>
            <w:vAlign w:val="center"/>
            <w:hideMark/>
          </w:tcPr>
          <w:p w14:paraId="5BAED87B"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79" w:type="pct"/>
            <w:tcBorders>
              <w:top w:val="nil"/>
              <w:left w:val="nil"/>
              <w:bottom w:val="nil"/>
              <w:right w:val="nil"/>
            </w:tcBorders>
            <w:shd w:val="clear" w:color="auto" w:fill="auto"/>
            <w:noWrap/>
            <w:vAlign w:val="center"/>
            <w:hideMark/>
          </w:tcPr>
          <w:p w14:paraId="5DB3D534"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73" w:type="pct"/>
            <w:tcBorders>
              <w:top w:val="nil"/>
              <w:left w:val="single" w:sz="8" w:space="0" w:color="auto"/>
              <w:bottom w:val="single" w:sz="8" w:space="0" w:color="auto"/>
              <w:right w:val="single" w:sz="8" w:space="0" w:color="auto"/>
            </w:tcBorders>
            <w:shd w:val="clear" w:color="auto" w:fill="auto"/>
            <w:noWrap/>
            <w:vAlign w:val="center"/>
            <w:hideMark/>
          </w:tcPr>
          <w:p w14:paraId="570702A8"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NPV</w:t>
            </w:r>
          </w:p>
        </w:tc>
        <w:tc>
          <w:tcPr>
            <w:tcW w:w="191" w:type="pct"/>
            <w:tcBorders>
              <w:top w:val="nil"/>
              <w:left w:val="nil"/>
              <w:bottom w:val="single" w:sz="8" w:space="0" w:color="auto"/>
              <w:right w:val="single" w:sz="8" w:space="0" w:color="auto"/>
            </w:tcBorders>
            <w:shd w:val="clear" w:color="auto" w:fill="auto"/>
            <w:noWrap/>
            <w:vAlign w:val="center"/>
            <w:hideMark/>
          </w:tcPr>
          <w:p w14:paraId="42FDCDE8"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131,552.30 </w:t>
            </w:r>
          </w:p>
        </w:tc>
        <w:tc>
          <w:tcPr>
            <w:tcW w:w="191" w:type="pct"/>
            <w:tcBorders>
              <w:top w:val="nil"/>
              <w:left w:val="nil"/>
              <w:bottom w:val="single" w:sz="8" w:space="0" w:color="auto"/>
              <w:right w:val="single" w:sz="8" w:space="0" w:color="auto"/>
            </w:tcBorders>
            <w:shd w:val="clear" w:color="auto" w:fill="auto"/>
            <w:noWrap/>
            <w:vAlign w:val="center"/>
            <w:hideMark/>
          </w:tcPr>
          <w:p w14:paraId="1DD1262F"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115,228.73 </w:t>
            </w:r>
          </w:p>
        </w:tc>
        <w:tc>
          <w:tcPr>
            <w:tcW w:w="180" w:type="pct"/>
            <w:tcBorders>
              <w:top w:val="nil"/>
              <w:left w:val="nil"/>
              <w:bottom w:val="single" w:sz="8" w:space="0" w:color="auto"/>
              <w:right w:val="single" w:sz="8" w:space="0" w:color="auto"/>
            </w:tcBorders>
            <w:shd w:val="clear" w:color="auto" w:fill="auto"/>
            <w:noWrap/>
            <w:vAlign w:val="center"/>
            <w:hideMark/>
          </w:tcPr>
          <w:p w14:paraId="7BB297F0"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93,499.88 </w:t>
            </w:r>
          </w:p>
        </w:tc>
        <w:tc>
          <w:tcPr>
            <w:tcW w:w="180" w:type="pct"/>
            <w:tcBorders>
              <w:top w:val="nil"/>
              <w:left w:val="nil"/>
              <w:bottom w:val="single" w:sz="8" w:space="0" w:color="auto"/>
              <w:right w:val="single" w:sz="8" w:space="0" w:color="auto"/>
            </w:tcBorders>
            <w:shd w:val="clear" w:color="auto" w:fill="auto"/>
            <w:noWrap/>
            <w:vAlign w:val="center"/>
            <w:hideMark/>
          </w:tcPr>
          <w:p w14:paraId="0D7BBB3E"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64,300.80 </w:t>
            </w:r>
          </w:p>
        </w:tc>
        <w:tc>
          <w:tcPr>
            <w:tcW w:w="180" w:type="pct"/>
            <w:tcBorders>
              <w:top w:val="nil"/>
              <w:left w:val="nil"/>
              <w:bottom w:val="single" w:sz="8" w:space="0" w:color="auto"/>
              <w:right w:val="single" w:sz="8" w:space="0" w:color="auto"/>
            </w:tcBorders>
            <w:shd w:val="clear" w:color="auto" w:fill="auto"/>
            <w:noWrap/>
            <w:vAlign w:val="center"/>
            <w:hideMark/>
          </w:tcPr>
          <w:p w14:paraId="5ECAE01C"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17,121.19 </w:t>
            </w:r>
          </w:p>
        </w:tc>
        <w:tc>
          <w:tcPr>
            <w:tcW w:w="180" w:type="pct"/>
            <w:tcBorders>
              <w:top w:val="single" w:sz="8" w:space="0" w:color="auto"/>
              <w:left w:val="nil"/>
              <w:bottom w:val="single" w:sz="8" w:space="0" w:color="auto"/>
              <w:right w:val="single" w:sz="8" w:space="0" w:color="auto"/>
            </w:tcBorders>
            <w:shd w:val="clear" w:color="000000" w:fill="92D050"/>
            <w:noWrap/>
            <w:vAlign w:val="center"/>
            <w:hideMark/>
          </w:tcPr>
          <w:p w14:paraId="280480EB"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13,943.28 </w:t>
            </w:r>
          </w:p>
        </w:tc>
        <w:tc>
          <w:tcPr>
            <w:tcW w:w="188" w:type="pct"/>
            <w:tcBorders>
              <w:top w:val="single" w:sz="8" w:space="0" w:color="auto"/>
              <w:left w:val="nil"/>
              <w:bottom w:val="single" w:sz="8" w:space="0" w:color="auto"/>
              <w:right w:val="single" w:sz="8" w:space="0" w:color="auto"/>
            </w:tcBorders>
            <w:shd w:val="clear" w:color="000000" w:fill="92D050"/>
            <w:noWrap/>
            <w:vAlign w:val="center"/>
            <w:hideMark/>
          </w:tcPr>
          <w:p w14:paraId="4FD27CAE"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40,584.72 </w:t>
            </w:r>
          </w:p>
        </w:tc>
        <w:tc>
          <w:tcPr>
            <w:tcW w:w="188" w:type="pct"/>
            <w:tcBorders>
              <w:top w:val="single" w:sz="8" w:space="0" w:color="auto"/>
              <w:left w:val="nil"/>
              <w:bottom w:val="single" w:sz="8" w:space="0" w:color="auto"/>
              <w:right w:val="single" w:sz="8" w:space="0" w:color="auto"/>
            </w:tcBorders>
            <w:shd w:val="clear" w:color="000000" w:fill="92D050"/>
            <w:noWrap/>
            <w:vAlign w:val="center"/>
            <w:hideMark/>
          </w:tcPr>
          <w:p w14:paraId="5905F9B9"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78,128.75 </w:t>
            </w:r>
          </w:p>
        </w:tc>
        <w:tc>
          <w:tcPr>
            <w:tcW w:w="189" w:type="pct"/>
            <w:tcBorders>
              <w:top w:val="single" w:sz="8" w:space="0" w:color="auto"/>
              <w:left w:val="nil"/>
              <w:bottom w:val="single" w:sz="8" w:space="0" w:color="auto"/>
              <w:right w:val="single" w:sz="8" w:space="0" w:color="auto"/>
            </w:tcBorders>
            <w:shd w:val="clear" w:color="000000" w:fill="92D050"/>
            <w:noWrap/>
            <w:vAlign w:val="center"/>
            <w:hideMark/>
          </w:tcPr>
          <w:p w14:paraId="554A183B"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108,595.06 </w:t>
            </w:r>
          </w:p>
        </w:tc>
        <w:tc>
          <w:tcPr>
            <w:tcW w:w="189" w:type="pct"/>
            <w:tcBorders>
              <w:top w:val="single" w:sz="8" w:space="0" w:color="auto"/>
              <w:left w:val="nil"/>
              <w:bottom w:val="single" w:sz="8" w:space="0" w:color="auto"/>
              <w:right w:val="single" w:sz="8" w:space="0" w:color="auto"/>
            </w:tcBorders>
            <w:shd w:val="clear" w:color="000000" w:fill="92D050"/>
            <w:noWrap/>
            <w:vAlign w:val="center"/>
            <w:hideMark/>
          </w:tcPr>
          <w:p w14:paraId="16906A1A"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141,696.49 </w:t>
            </w:r>
          </w:p>
        </w:tc>
        <w:tc>
          <w:tcPr>
            <w:tcW w:w="189" w:type="pct"/>
            <w:tcBorders>
              <w:top w:val="single" w:sz="8" w:space="0" w:color="auto"/>
              <w:left w:val="nil"/>
              <w:bottom w:val="single" w:sz="8" w:space="0" w:color="auto"/>
              <w:right w:val="single" w:sz="8" w:space="0" w:color="auto"/>
            </w:tcBorders>
            <w:shd w:val="clear" w:color="000000" w:fill="92D050"/>
            <w:noWrap/>
            <w:vAlign w:val="center"/>
            <w:hideMark/>
          </w:tcPr>
          <w:p w14:paraId="3D4312AE"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176,333.28 </w:t>
            </w:r>
          </w:p>
        </w:tc>
        <w:tc>
          <w:tcPr>
            <w:tcW w:w="189" w:type="pct"/>
            <w:tcBorders>
              <w:top w:val="single" w:sz="8" w:space="0" w:color="auto"/>
              <w:left w:val="nil"/>
              <w:bottom w:val="single" w:sz="8" w:space="0" w:color="auto"/>
              <w:right w:val="single" w:sz="8" w:space="0" w:color="auto"/>
            </w:tcBorders>
            <w:shd w:val="clear" w:color="000000" w:fill="92D050"/>
            <w:noWrap/>
            <w:vAlign w:val="center"/>
            <w:hideMark/>
          </w:tcPr>
          <w:p w14:paraId="51306FA2"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341,138.03 </w:t>
            </w:r>
          </w:p>
        </w:tc>
        <w:tc>
          <w:tcPr>
            <w:tcW w:w="189" w:type="pct"/>
            <w:tcBorders>
              <w:top w:val="single" w:sz="8" w:space="0" w:color="auto"/>
              <w:left w:val="nil"/>
              <w:bottom w:val="single" w:sz="8" w:space="0" w:color="auto"/>
              <w:right w:val="single" w:sz="8" w:space="0" w:color="auto"/>
            </w:tcBorders>
            <w:shd w:val="clear" w:color="000000" w:fill="92D050"/>
            <w:noWrap/>
            <w:vAlign w:val="center"/>
            <w:hideMark/>
          </w:tcPr>
          <w:p w14:paraId="4A376C33"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352,080.70 </w:t>
            </w:r>
          </w:p>
        </w:tc>
        <w:tc>
          <w:tcPr>
            <w:tcW w:w="189" w:type="pct"/>
            <w:tcBorders>
              <w:top w:val="single" w:sz="8" w:space="0" w:color="auto"/>
              <w:left w:val="nil"/>
              <w:bottom w:val="single" w:sz="8" w:space="0" w:color="auto"/>
              <w:right w:val="single" w:sz="8" w:space="0" w:color="auto"/>
            </w:tcBorders>
            <w:shd w:val="clear" w:color="000000" w:fill="92D050"/>
            <w:noWrap/>
            <w:vAlign w:val="center"/>
            <w:hideMark/>
          </w:tcPr>
          <w:p w14:paraId="4B3EABE8"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369,376.89 </w:t>
            </w:r>
          </w:p>
        </w:tc>
        <w:tc>
          <w:tcPr>
            <w:tcW w:w="189" w:type="pct"/>
            <w:tcBorders>
              <w:top w:val="single" w:sz="8" w:space="0" w:color="auto"/>
              <w:left w:val="nil"/>
              <w:bottom w:val="single" w:sz="8" w:space="0" w:color="auto"/>
              <w:right w:val="single" w:sz="8" w:space="0" w:color="auto"/>
            </w:tcBorders>
            <w:shd w:val="clear" w:color="000000" w:fill="92D050"/>
            <w:noWrap/>
            <w:vAlign w:val="center"/>
            <w:hideMark/>
          </w:tcPr>
          <w:p w14:paraId="3E55B2C8"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370,686.45 </w:t>
            </w:r>
          </w:p>
        </w:tc>
        <w:tc>
          <w:tcPr>
            <w:tcW w:w="189" w:type="pct"/>
            <w:tcBorders>
              <w:top w:val="single" w:sz="8" w:space="0" w:color="auto"/>
              <w:left w:val="nil"/>
              <w:bottom w:val="single" w:sz="8" w:space="0" w:color="auto"/>
              <w:right w:val="single" w:sz="8" w:space="0" w:color="auto"/>
            </w:tcBorders>
            <w:shd w:val="clear" w:color="000000" w:fill="92D050"/>
            <w:noWrap/>
            <w:vAlign w:val="center"/>
            <w:hideMark/>
          </w:tcPr>
          <w:p w14:paraId="78B871C7"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349,904.06 </w:t>
            </w:r>
          </w:p>
        </w:tc>
        <w:tc>
          <w:tcPr>
            <w:tcW w:w="189" w:type="pct"/>
            <w:tcBorders>
              <w:top w:val="single" w:sz="8" w:space="0" w:color="auto"/>
              <w:left w:val="nil"/>
              <w:bottom w:val="single" w:sz="8" w:space="0" w:color="auto"/>
              <w:right w:val="single" w:sz="8" w:space="0" w:color="auto"/>
            </w:tcBorders>
            <w:shd w:val="clear" w:color="000000" w:fill="92D050"/>
            <w:noWrap/>
            <w:vAlign w:val="center"/>
            <w:hideMark/>
          </w:tcPr>
          <w:p w14:paraId="56F1D84D"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348,431.63 </w:t>
            </w:r>
          </w:p>
        </w:tc>
        <w:tc>
          <w:tcPr>
            <w:tcW w:w="189" w:type="pct"/>
            <w:tcBorders>
              <w:top w:val="single" w:sz="8" w:space="0" w:color="auto"/>
              <w:left w:val="nil"/>
              <w:bottom w:val="single" w:sz="8" w:space="0" w:color="auto"/>
              <w:right w:val="single" w:sz="8" w:space="0" w:color="auto"/>
            </w:tcBorders>
            <w:shd w:val="clear" w:color="000000" w:fill="92D050"/>
            <w:noWrap/>
            <w:vAlign w:val="center"/>
            <w:hideMark/>
          </w:tcPr>
          <w:p w14:paraId="1703E94D"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345,544.77 </w:t>
            </w:r>
          </w:p>
        </w:tc>
        <w:tc>
          <w:tcPr>
            <w:tcW w:w="189" w:type="pct"/>
            <w:tcBorders>
              <w:top w:val="single" w:sz="8" w:space="0" w:color="auto"/>
              <w:left w:val="nil"/>
              <w:bottom w:val="single" w:sz="8" w:space="0" w:color="auto"/>
              <w:right w:val="single" w:sz="8" w:space="0" w:color="auto"/>
            </w:tcBorders>
            <w:shd w:val="clear" w:color="000000" w:fill="92D050"/>
            <w:noWrap/>
            <w:vAlign w:val="center"/>
            <w:hideMark/>
          </w:tcPr>
          <w:p w14:paraId="0C19F4F6"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336,097.87 </w:t>
            </w:r>
          </w:p>
        </w:tc>
        <w:tc>
          <w:tcPr>
            <w:tcW w:w="189" w:type="pct"/>
            <w:tcBorders>
              <w:top w:val="single" w:sz="8" w:space="0" w:color="auto"/>
              <w:left w:val="nil"/>
              <w:bottom w:val="single" w:sz="8" w:space="0" w:color="auto"/>
              <w:right w:val="single" w:sz="8" w:space="0" w:color="auto"/>
            </w:tcBorders>
            <w:shd w:val="clear" w:color="000000" w:fill="92D050"/>
            <w:noWrap/>
            <w:vAlign w:val="center"/>
            <w:hideMark/>
          </w:tcPr>
          <w:p w14:paraId="5AD72781"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330,278.86 </w:t>
            </w:r>
          </w:p>
        </w:tc>
        <w:tc>
          <w:tcPr>
            <w:tcW w:w="189" w:type="pct"/>
            <w:tcBorders>
              <w:top w:val="single" w:sz="8" w:space="0" w:color="auto"/>
              <w:left w:val="nil"/>
              <w:bottom w:val="single" w:sz="8" w:space="0" w:color="auto"/>
              <w:right w:val="single" w:sz="8" w:space="0" w:color="auto"/>
            </w:tcBorders>
            <w:shd w:val="clear" w:color="000000" w:fill="92D050"/>
            <w:noWrap/>
            <w:vAlign w:val="center"/>
            <w:hideMark/>
          </w:tcPr>
          <w:p w14:paraId="0B136B2A"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315,910.88 </w:t>
            </w:r>
          </w:p>
        </w:tc>
        <w:tc>
          <w:tcPr>
            <w:tcW w:w="189" w:type="pct"/>
            <w:tcBorders>
              <w:top w:val="single" w:sz="8" w:space="0" w:color="auto"/>
              <w:left w:val="nil"/>
              <w:bottom w:val="single" w:sz="8" w:space="0" w:color="auto"/>
              <w:right w:val="single" w:sz="8" w:space="0" w:color="auto"/>
            </w:tcBorders>
            <w:shd w:val="clear" w:color="000000" w:fill="92D050"/>
            <w:noWrap/>
            <w:vAlign w:val="center"/>
            <w:hideMark/>
          </w:tcPr>
          <w:p w14:paraId="0302E1EF"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299,271.47 </w:t>
            </w:r>
          </w:p>
        </w:tc>
        <w:tc>
          <w:tcPr>
            <w:tcW w:w="189" w:type="pct"/>
            <w:tcBorders>
              <w:top w:val="single" w:sz="8" w:space="0" w:color="auto"/>
              <w:left w:val="nil"/>
              <w:bottom w:val="single" w:sz="8" w:space="0" w:color="auto"/>
              <w:right w:val="single" w:sz="8" w:space="0" w:color="auto"/>
            </w:tcBorders>
            <w:shd w:val="clear" w:color="000000" w:fill="92D050"/>
            <w:noWrap/>
            <w:vAlign w:val="center"/>
            <w:hideMark/>
          </w:tcPr>
          <w:p w14:paraId="20A23FBB"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xml:space="preserve"> £    270,597.07 </w:t>
            </w:r>
          </w:p>
        </w:tc>
      </w:tr>
      <w:tr w:rsidR="00537D99" w:rsidRPr="00537D99" w14:paraId="13278ADA" w14:textId="77777777" w:rsidTr="00537D99">
        <w:trPr>
          <w:trHeight w:val="270"/>
        </w:trPr>
        <w:tc>
          <w:tcPr>
            <w:tcW w:w="160" w:type="pct"/>
            <w:tcBorders>
              <w:top w:val="nil"/>
              <w:left w:val="single" w:sz="8" w:space="0" w:color="auto"/>
              <w:bottom w:val="nil"/>
              <w:right w:val="nil"/>
            </w:tcBorders>
            <w:shd w:val="clear" w:color="auto" w:fill="auto"/>
            <w:noWrap/>
            <w:vAlign w:val="center"/>
            <w:hideMark/>
          </w:tcPr>
          <w:p w14:paraId="6D1C12A1"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69038E24"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79" w:type="pct"/>
            <w:tcBorders>
              <w:top w:val="nil"/>
              <w:left w:val="nil"/>
              <w:bottom w:val="nil"/>
              <w:right w:val="nil"/>
            </w:tcBorders>
            <w:shd w:val="clear" w:color="auto" w:fill="auto"/>
            <w:noWrap/>
            <w:vAlign w:val="center"/>
            <w:hideMark/>
          </w:tcPr>
          <w:p w14:paraId="4870EB65"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79" w:type="pct"/>
            <w:tcBorders>
              <w:top w:val="nil"/>
              <w:left w:val="nil"/>
              <w:bottom w:val="nil"/>
              <w:right w:val="nil"/>
            </w:tcBorders>
            <w:shd w:val="clear" w:color="auto" w:fill="auto"/>
            <w:noWrap/>
            <w:vAlign w:val="center"/>
            <w:hideMark/>
          </w:tcPr>
          <w:p w14:paraId="2F03663F"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73" w:type="pct"/>
            <w:tcBorders>
              <w:top w:val="nil"/>
              <w:left w:val="nil"/>
              <w:bottom w:val="nil"/>
              <w:right w:val="nil"/>
            </w:tcBorders>
            <w:shd w:val="clear" w:color="auto" w:fill="auto"/>
            <w:noWrap/>
            <w:vAlign w:val="center"/>
            <w:hideMark/>
          </w:tcPr>
          <w:p w14:paraId="30764F96"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w:t>
            </w:r>
          </w:p>
        </w:tc>
        <w:tc>
          <w:tcPr>
            <w:tcW w:w="191" w:type="pct"/>
            <w:tcBorders>
              <w:top w:val="nil"/>
              <w:left w:val="single" w:sz="8" w:space="0" w:color="auto"/>
              <w:bottom w:val="single" w:sz="8" w:space="0" w:color="auto"/>
              <w:right w:val="single" w:sz="8" w:space="0" w:color="auto"/>
            </w:tcBorders>
            <w:shd w:val="clear" w:color="auto" w:fill="auto"/>
            <w:noWrap/>
            <w:vAlign w:val="center"/>
            <w:hideMark/>
          </w:tcPr>
          <w:p w14:paraId="45D7F905"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IRR</w:t>
            </w:r>
          </w:p>
        </w:tc>
        <w:tc>
          <w:tcPr>
            <w:tcW w:w="191" w:type="pct"/>
            <w:tcBorders>
              <w:top w:val="nil"/>
              <w:left w:val="nil"/>
              <w:bottom w:val="single" w:sz="8" w:space="0" w:color="auto"/>
              <w:right w:val="single" w:sz="4" w:space="0" w:color="auto"/>
            </w:tcBorders>
            <w:shd w:val="clear" w:color="auto" w:fill="auto"/>
            <w:noWrap/>
            <w:vAlign w:val="center"/>
            <w:hideMark/>
          </w:tcPr>
          <w:p w14:paraId="09791241"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-87.50%</w:t>
            </w:r>
          </w:p>
        </w:tc>
        <w:tc>
          <w:tcPr>
            <w:tcW w:w="180" w:type="pct"/>
            <w:tcBorders>
              <w:top w:val="nil"/>
              <w:left w:val="nil"/>
              <w:bottom w:val="single" w:sz="8" w:space="0" w:color="auto"/>
              <w:right w:val="single" w:sz="4" w:space="0" w:color="auto"/>
            </w:tcBorders>
            <w:shd w:val="clear" w:color="auto" w:fill="auto"/>
            <w:noWrap/>
            <w:vAlign w:val="center"/>
            <w:hideMark/>
          </w:tcPr>
          <w:p w14:paraId="04BE0E80"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-52.33%</w:t>
            </w:r>
          </w:p>
        </w:tc>
        <w:tc>
          <w:tcPr>
            <w:tcW w:w="180" w:type="pct"/>
            <w:tcBorders>
              <w:top w:val="nil"/>
              <w:left w:val="nil"/>
              <w:bottom w:val="single" w:sz="8" w:space="0" w:color="auto"/>
              <w:right w:val="single" w:sz="4" w:space="0" w:color="auto"/>
            </w:tcBorders>
            <w:shd w:val="clear" w:color="auto" w:fill="auto"/>
            <w:noWrap/>
            <w:vAlign w:val="center"/>
            <w:hideMark/>
          </w:tcPr>
          <w:p w14:paraId="0A3EF189"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-24.91%</w:t>
            </w:r>
          </w:p>
        </w:tc>
        <w:tc>
          <w:tcPr>
            <w:tcW w:w="180" w:type="pct"/>
            <w:tcBorders>
              <w:top w:val="nil"/>
              <w:left w:val="nil"/>
              <w:bottom w:val="single" w:sz="8" w:space="0" w:color="auto"/>
              <w:right w:val="single" w:sz="4" w:space="0" w:color="auto"/>
            </w:tcBorders>
            <w:shd w:val="clear" w:color="auto" w:fill="auto"/>
            <w:noWrap/>
            <w:vAlign w:val="center"/>
            <w:hideMark/>
          </w:tcPr>
          <w:p w14:paraId="2BC4CE9E"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-3.88%</w:t>
            </w:r>
          </w:p>
        </w:tc>
        <w:tc>
          <w:tcPr>
            <w:tcW w:w="180" w:type="pct"/>
            <w:tcBorders>
              <w:top w:val="single" w:sz="8" w:space="0" w:color="auto"/>
              <w:left w:val="nil"/>
              <w:bottom w:val="single" w:sz="8" w:space="0" w:color="auto"/>
              <w:right w:val="single" w:sz="4" w:space="0" w:color="auto"/>
            </w:tcBorders>
            <w:shd w:val="clear" w:color="000000" w:fill="92D050"/>
            <w:noWrap/>
            <w:vAlign w:val="center"/>
            <w:hideMark/>
          </w:tcPr>
          <w:p w14:paraId="38373F91"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3.82%</w:t>
            </w:r>
          </w:p>
        </w:tc>
        <w:tc>
          <w:tcPr>
            <w:tcW w:w="188" w:type="pct"/>
            <w:tcBorders>
              <w:top w:val="single" w:sz="8" w:space="0" w:color="auto"/>
              <w:left w:val="nil"/>
              <w:bottom w:val="single" w:sz="8" w:space="0" w:color="auto"/>
              <w:right w:val="single" w:sz="4" w:space="0" w:color="auto"/>
            </w:tcBorders>
            <w:shd w:val="clear" w:color="000000" w:fill="92D050"/>
            <w:noWrap/>
            <w:vAlign w:val="center"/>
            <w:hideMark/>
          </w:tcPr>
          <w:p w14:paraId="3A8E720C"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8.34%</w:t>
            </w:r>
          </w:p>
        </w:tc>
        <w:tc>
          <w:tcPr>
            <w:tcW w:w="188" w:type="pct"/>
            <w:tcBorders>
              <w:top w:val="single" w:sz="8" w:space="0" w:color="auto"/>
              <w:left w:val="nil"/>
              <w:bottom w:val="single" w:sz="8" w:space="0" w:color="auto"/>
              <w:right w:val="single" w:sz="4" w:space="0" w:color="auto"/>
            </w:tcBorders>
            <w:shd w:val="clear" w:color="000000" w:fill="92D050"/>
            <w:noWrap/>
            <w:vAlign w:val="center"/>
            <w:hideMark/>
          </w:tcPr>
          <w:p w14:paraId="05B9FE12"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12.67%</w:t>
            </w:r>
          </w:p>
        </w:tc>
        <w:tc>
          <w:tcPr>
            <w:tcW w:w="189" w:type="pct"/>
            <w:tcBorders>
              <w:top w:val="single" w:sz="8" w:space="0" w:color="auto"/>
              <w:left w:val="nil"/>
              <w:bottom w:val="single" w:sz="8" w:space="0" w:color="auto"/>
              <w:right w:val="single" w:sz="4" w:space="0" w:color="auto"/>
            </w:tcBorders>
            <w:shd w:val="clear" w:color="000000" w:fill="92D050"/>
            <w:noWrap/>
            <w:vAlign w:val="center"/>
            <w:hideMark/>
          </w:tcPr>
          <w:p w14:paraId="4B54A57F"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15.08%</w:t>
            </w:r>
          </w:p>
        </w:tc>
        <w:tc>
          <w:tcPr>
            <w:tcW w:w="189" w:type="pct"/>
            <w:tcBorders>
              <w:top w:val="single" w:sz="8" w:space="0" w:color="auto"/>
              <w:left w:val="nil"/>
              <w:bottom w:val="single" w:sz="8" w:space="0" w:color="auto"/>
              <w:right w:val="single" w:sz="4" w:space="0" w:color="auto"/>
            </w:tcBorders>
            <w:shd w:val="clear" w:color="000000" w:fill="92D050"/>
            <w:noWrap/>
            <w:vAlign w:val="center"/>
            <w:hideMark/>
          </w:tcPr>
          <w:p w14:paraId="095DD261"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16.96%</w:t>
            </w:r>
          </w:p>
        </w:tc>
        <w:tc>
          <w:tcPr>
            <w:tcW w:w="189" w:type="pct"/>
            <w:tcBorders>
              <w:top w:val="single" w:sz="8" w:space="0" w:color="auto"/>
              <w:left w:val="nil"/>
              <w:bottom w:val="single" w:sz="8" w:space="0" w:color="auto"/>
              <w:right w:val="single" w:sz="4" w:space="0" w:color="auto"/>
            </w:tcBorders>
            <w:shd w:val="clear" w:color="000000" w:fill="92D050"/>
            <w:noWrap/>
            <w:vAlign w:val="center"/>
            <w:hideMark/>
          </w:tcPr>
          <w:p w14:paraId="6F5C9386"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18.38%</w:t>
            </w:r>
          </w:p>
        </w:tc>
        <w:tc>
          <w:tcPr>
            <w:tcW w:w="189" w:type="pct"/>
            <w:tcBorders>
              <w:top w:val="single" w:sz="8" w:space="0" w:color="auto"/>
              <w:left w:val="nil"/>
              <w:bottom w:val="single" w:sz="8" w:space="0" w:color="auto"/>
              <w:right w:val="single" w:sz="4" w:space="0" w:color="auto"/>
            </w:tcBorders>
            <w:shd w:val="clear" w:color="000000" w:fill="92D050"/>
            <w:noWrap/>
            <w:vAlign w:val="center"/>
            <w:hideMark/>
          </w:tcPr>
          <w:p w14:paraId="4D947609"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19.39%</w:t>
            </w:r>
          </w:p>
        </w:tc>
        <w:tc>
          <w:tcPr>
            <w:tcW w:w="189" w:type="pct"/>
            <w:tcBorders>
              <w:top w:val="single" w:sz="8" w:space="0" w:color="auto"/>
              <w:left w:val="nil"/>
              <w:bottom w:val="single" w:sz="8" w:space="0" w:color="auto"/>
              <w:right w:val="single" w:sz="4" w:space="0" w:color="auto"/>
            </w:tcBorders>
            <w:shd w:val="clear" w:color="000000" w:fill="92D050"/>
            <w:noWrap/>
            <w:vAlign w:val="center"/>
            <w:hideMark/>
          </w:tcPr>
          <w:p w14:paraId="538128EF"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20.03%</w:t>
            </w:r>
          </w:p>
        </w:tc>
        <w:tc>
          <w:tcPr>
            <w:tcW w:w="189" w:type="pct"/>
            <w:tcBorders>
              <w:top w:val="single" w:sz="8" w:space="0" w:color="auto"/>
              <w:left w:val="nil"/>
              <w:bottom w:val="single" w:sz="8" w:space="0" w:color="auto"/>
              <w:right w:val="single" w:sz="4" w:space="0" w:color="auto"/>
            </w:tcBorders>
            <w:shd w:val="clear" w:color="000000" w:fill="92D050"/>
            <w:noWrap/>
            <w:vAlign w:val="center"/>
            <w:hideMark/>
          </w:tcPr>
          <w:p w14:paraId="1D0C47B8"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20.71%</w:t>
            </w:r>
          </w:p>
        </w:tc>
        <w:tc>
          <w:tcPr>
            <w:tcW w:w="189" w:type="pct"/>
            <w:tcBorders>
              <w:top w:val="single" w:sz="8" w:space="0" w:color="auto"/>
              <w:left w:val="nil"/>
              <w:bottom w:val="single" w:sz="8" w:space="0" w:color="auto"/>
              <w:right w:val="single" w:sz="4" w:space="0" w:color="auto"/>
            </w:tcBorders>
            <w:shd w:val="clear" w:color="000000" w:fill="92D050"/>
            <w:noWrap/>
            <w:vAlign w:val="center"/>
            <w:hideMark/>
          </w:tcPr>
          <w:p w14:paraId="7B283116"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21.13%</w:t>
            </w:r>
          </w:p>
        </w:tc>
        <w:tc>
          <w:tcPr>
            <w:tcW w:w="189" w:type="pct"/>
            <w:tcBorders>
              <w:top w:val="single" w:sz="8" w:space="0" w:color="auto"/>
              <w:left w:val="nil"/>
              <w:bottom w:val="single" w:sz="8" w:space="0" w:color="auto"/>
              <w:right w:val="single" w:sz="4" w:space="0" w:color="auto"/>
            </w:tcBorders>
            <w:shd w:val="clear" w:color="000000" w:fill="92D050"/>
            <w:noWrap/>
            <w:vAlign w:val="center"/>
            <w:hideMark/>
          </w:tcPr>
          <w:p w14:paraId="4FF011A0"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21.41%</w:t>
            </w:r>
          </w:p>
        </w:tc>
        <w:tc>
          <w:tcPr>
            <w:tcW w:w="189" w:type="pct"/>
            <w:tcBorders>
              <w:top w:val="single" w:sz="8" w:space="0" w:color="auto"/>
              <w:left w:val="nil"/>
              <w:bottom w:val="single" w:sz="8" w:space="0" w:color="auto"/>
              <w:right w:val="single" w:sz="4" w:space="0" w:color="auto"/>
            </w:tcBorders>
            <w:shd w:val="clear" w:color="000000" w:fill="92D050"/>
            <w:noWrap/>
            <w:vAlign w:val="center"/>
            <w:hideMark/>
          </w:tcPr>
          <w:p w14:paraId="47E1120C"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21.66%</w:t>
            </w:r>
          </w:p>
        </w:tc>
        <w:tc>
          <w:tcPr>
            <w:tcW w:w="189" w:type="pct"/>
            <w:tcBorders>
              <w:top w:val="single" w:sz="8" w:space="0" w:color="auto"/>
              <w:left w:val="nil"/>
              <w:bottom w:val="single" w:sz="8" w:space="0" w:color="auto"/>
              <w:right w:val="single" w:sz="4" w:space="0" w:color="auto"/>
            </w:tcBorders>
            <w:shd w:val="clear" w:color="000000" w:fill="92D050"/>
            <w:noWrap/>
            <w:vAlign w:val="center"/>
            <w:hideMark/>
          </w:tcPr>
          <w:p w14:paraId="207E37EB"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21.81%</w:t>
            </w:r>
          </w:p>
        </w:tc>
        <w:tc>
          <w:tcPr>
            <w:tcW w:w="189" w:type="pct"/>
            <w:tcBorders>
              <w:top w:val="single" w:sz="8" w:space="0" w:color="auto"/>
              <w:left w:val="nil"/>
              <w:bottom w:val="single" w:sz="8" w:space="0" w:color="auto"/>
              <w:right w:val="single" w:sz="4" w:space="0" w:color="auto"/>
            </w:tcBorders>
            <w:shd w:val="clear" w:color="000000" w:fill="92D050"/>
            <w:noWrap/>
            <w:vAlign w:val="center"/>
            <w:hideMark/>
          </w:tcPr>
          <w:p w14:paraId="2533F8E1"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21.97%</w:t>
            </w:r>
          </w:p>
        </w:tc>
        <w:tc>
          <w:tcPr>
            <w:tcW w:w="189" w:type="pct"/>
            <w:tcBorders>
              <w:top w:val="single" w:sz="8" w:space="0" w:color="auto"/>
              <w:left w:val="nil"/>
              <w:bottom w:val="single" w:sz="8" w:space="0" w:color="auto"/>
              <w:right w:val="single" w:sz="4" w:space="0" w:color="auto"/>
            </w:tcBorders>
            <w:shd w:val="clear" w:color="000000" w:fill="92D050"/>
            <w:noWrap/>
            <w:vAlign w:val="center"/>
            <w:hideMark/>
          </w:tcPr>
          <w:p w14:paraId="55DFA6A7"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22.07%</w:t>
            </w:r>
          </w:p>
        </w:tc>
        <w:tc>
          <w:tcPr>
            <w:tcW w:w="189" w:type="pct"/>
            <w:tcBorders>
              <w:top w:val="single" w:sz="8" w:space="0" w:color="auto"/>
              <w:left w:val="nil"/>
              <w:bottom w:val="single" w:sz="8" w:space="0" w:color="auto"/>
              <w:right w:val="single" w:sz="4" w:space="0" w:color="auto"/>
            </w:tcBorders>
            <w:shd w:val="clear" w:color="000000" w:fill="92D050"/>
            <w:noWrap/>
            <w:vAlign w:val="center"/>
            <w:hideMark/>
          </w:tcPr>
          <w:p w14:paraId="0009497C"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22.14%</w:t>
            </w:r>
          </w:p>
        </w:tc>
        <w:tc>
          <w:tcPr>
            <w:tcW w:w="189" w:type="pct"/>
            <w:tcBorders>
              <w:top w:val="single" w:sz="8" w:space="0" w:color="auto"/>
              <w:left w:val="nil"/>
              <w:bottom w:val="single" w:sz="8" w:space="0" w:color="auto"/>
              <w:right w:val="single" w:sz="4" w:space="0" w:color="auto"/>
            </w:tcBorders>
            <w:shd w:val="clear" w:color="000000" w:fill="92D050"/>
            <w:noWrap/>
            <w:vAlign w:val="center"/>
            <w:hideMark/>
          </w:tcPr>
          <w:p w14:paraId="7F54D456"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22.19%</w:t>
            </w:r>
          </w:p>
        </w:tc>
        <w:tc>
          <w:tcPr>
            <w:tcW w:w="189" w:type="pct"/>
            <w:tcBorders>
              <w:top w:val="single" w:sz="8" w:space="0" w:color="auto"/>
              <w:left w:val="nil"/>
              <w:bottom w:val="single" w:sz="8" w:space="0" w:color="auto"/>
              <w:right w:val="single" w:sz="4" w:space="0" w:color="auto"/>
            </w:tcBorders>
            <w:shd w:val="clear" w:color="000000" w:fill="92D050"/>
            <w:noWrap/>
            <w:vAlign w:val="center"/>
            <w:hideMark/>
          </w:tcPr>
          <w:p w14:paraId="7462F395"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22.20%</w:t>
            </w:r>
          </w:p>
        </w:tc>
      </w:tr>
      <w:tr w:rsidR="00537D99" w:rsidRPr="00537D99" w14:paraId="72E5A744" w14:textId="77777777" w:rsidTr="00537D99">
        <w:trPr>
          <w:trHeight w:val="270"/>
        </w:trPr>
        <w:tc>
          <w:tcPr>
            <w:tcW w:w="160" w:type="pct"/>
            <w:tcBorders>
              <w:top w:val="nil"/>
              <w:left w:val="single" w:sz="8" w:space="0" w:color="auto"/>
              <w:bottom w:val="nil"/>
              <w:right w:val="nil"/>
            </w:tcBorders>
            <w:shd w:val="clear" w:color="auto" w:fill="auto"/>
            <w:noWrap/>
            <w:vAlign w:val="center"/>
            <w:hideMark/>
          </w:tcPr>
          <w:p w14:paraId="6F067A13"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66862389"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79" w:type="pct"/>
            <w:tcBorders>
              <w:top w:val="nil"/>
              <w:left w:val="nil"/>
              <w:bottom w:val="nil"/>
              <w:right w:val="nil"/>
            </w:tcBorders>
            <w:shd w:val="clear" w:color="auto" w:fill="auto"/>
            <w:noWrap/>
            <w:vAlign w:val="center"/>
            <w:hideMark/>
          </w:tcPr>
          <w:p w14:paraId="430E29B1"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79" w:type="pct"/>
            <w:tcBorders>
              <w:top w:val="nil"/>
              <w:left w:val="nil"/>
              <w:bottom w:val="nil"/>
              <w:right w:val="nil"/>
            </w:tcBorders>
            <w:shd w:val="clear" w:color="auto" w:fill="auto"/>
            <w:noWrap/>
            <w:vAlign w:val="center"/>
            <w:hideMark/>
          </w:tcPr>
          <w:p w14:paraId="11624CDC"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73" w:type="pct"/>
            <w:tcBorders>
              <w:top w:val="nil"/>
              <w:left w:val="nil"/>
              <w:bottom w:val="nil"/>
              <w:right w:val="nil"/>
            </w:tcBorders>
            <w:shd w:val="clear" w:color="auto" w:fill="auto"/>
            <w:noWrap/>
            <w:vAlign w:val="center"/>
            <w:hideMark/>
          </w:tcPr>
          <w:p w14:paraId="032B5A6F"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w:t>
            </w:r>
          </w:p>
        </w:tc>
        <w:tc>
          <w:tcPr>
            <w:tcW w:w="191" w:type="pct"/>
            <w:tcBorders>
              <w:top w:val="nil"/>
              <w:left w:val="single" w:sz="8" w:space="0" w:color="auto"/>
              <w:bottom w:val="single" w:sz="8" w:space="0" w:color="auto"/>
              <w:right w:val="single" w:sz="8" w:space="0" w:color="auto"/>
            </w:tcBorders>
            <w:shd w:val="clear" w:color="auto" w:fill="auto"/>
            <w:noWrap/>
            <w:vAlign w:val="center"/>
            <w:hideMark/>
          </w:tcPr>
          <w:p w14:paraId="313904E1"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PI</w:t>
            </w:r>
          </w:p>
        </w:tc>
        <w:tc>
          <w:tcPr>
            <w:tcW w:w="191" w:type="pct"/>
            <w:tcBorders>
              <w:top w:val="nil"/>
              <w:left w:val="nil"/>
              <w:bottom w:val="single" w:sz="8" w:space="0" w:color="auto"/>
              <w:right w:val="single" w:sz="4" w:space="0" w:color="auto"/>
            </w:tcBorders>
            <w:shd w:val="clear" w:color="auto" w:fill="auto"/>
            <w:noWrap/>
            <w:vAlign w:val="center"/>
            <w:hideMark/>
          </w:tcPr>
          <w:p w14:paraId="737CFA30"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0.124</w:t>
            </w:r>
          </w:p>
        </w:tc>
        <w:tc>
          <w:tcPr>
            <w:tcW w:w="180" w:type="pct"/>
            <w:tcBorders>
              <w:top w:val="nil"/>
              <w:left w:val="nil"/>
              <w:bottom w:val="single" w:sz="8" w:space="0" w:color="auto"/>
              <w:right w:val="single" w:sz="4" w:space="0" w:color="auto"/>
            </w:tcBorders>
            <w:shd w:val="clear" w:color="auto" w:fill="auto"/>
            <w:noWrap/>
            <w:vAlign w:val="center"/>
            <w:hideMark/>
          </w:tcPr>
          <w:p w14:paraId="1C96FB1A"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0.289</w:t>
            </w:r>
          </w:p>
        </w:tc>
        <w:tc>
          <w:tcPr>
            <w:tcW w:w="180" w:type="pct"/>
            <w:tcBorders>
              <w:top w:val="nil"/>
              <w:left w:val="nil"/>
              <w:bottom w:val="single" w:sz="8" w:space="0" w:color="auto"/>
              <w:right w:val="single" w:sz="4" w:space="0" w:color="auto"/>
            </w:tcBorders>
            <w:shd w:val="clear" w:color="auto" w:fill="auto"/>
            <w:noWrap/>
            <w:vAlign w:val="center"/>
            <w:hideMark/>
          </w:tcPr>
          <w:p w14:paraId="672BCB11"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0.511</w:t>
            </w:r>
          </w:p>
        </w:tc>
        <w:tc>
          <w:tcPr>
            <w:tcW w:w="180" w:type="pct"/>
            <w:tcBorders>
              <w:top w:val="nil"/>
              <w:left w:val="nil"/>
              <w:bottom w:val="single" w:sz="8" w:space="0" w:color="auto"/>
              <w:right w:val="single" w:sz="4" w:space="0" w:color="auto"/>
            </w:tcBorders>
            <w:shd w:val="clear" w:color="auto" w:fill="auto"/>
            <w:noWrap/>
            <w:vAlign w:val="center"/>
            <w:hideMark/>
          </w:tcPr>
          <w:p w14:paraId="161A34FA"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0.870</w:t>
            </w:r>
          </w:p>
        </w:tc>
        <w:tc>
          <w:tcPr>
            <w:tcW w:w="180" w:type="pct"/>
            <w:tcBorders>
              <w:top w:val="single" w:sz="8" w:space="0" w:color="auto"/>
              <w:left w:val="single" w:sz="4" w:space="0" w:color="auto"/>
              <w:bottom w:val="single" w:sz="8" w:space="0" w:color="auto"/>
              <w:right w:val="single" w:sz="4" w:space="0" w:color="auto"/>
            </w:tcBorders>
            <w:shd w:val="clear" w:color="000000" w:fill="92D050"/>
            <w:noWrap/>
            <w:vAlign w:val="center"/>
            <w:hideMark/>
          </w:tcPr>
          <w:p w14:paraId="066F2095"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1.106</w:t>
            </w:r>
          </w:p>
        </w:tc>
        <w:tc>
          <w:tcPr>
            <w:tcW w:w="188" w:type="pct"/>
            <w:tcBorders>
              <w:top w:val="single" w:sz="8" w:space="0" w:color="auto"/>
              <w:left w:val="single" w:sz="4" w:space="0" w:color="auto"/>
              <w:bottom w:val="single" w:sz="8" w:space="0" w:color="auto"/>
              <w:right w:val="single" w:sz="4" w:space="0" w:color="auto"/>
            </w:tcBorders>
            <w:shd w:val="clear" w:color="000000" w:fill="92D050"/>
            <w:noWrap/>
            <w:vAlign w:val="center"/>
            <w:hideMark/>
          </w:tcPr>
          <w:p w14:paraId="7041ABB9"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1.309</w:t>
            </w:r>
          </w:p>
        </w:tc>
        <w:tc>
          <w:tcPr>
            <w:tcW w:w="188" w:type="pct"/>
            <w:tcBorders>
              <w:top w:val="single" w:sz="8" w:space="0" w:color="auto"/>
              <w:left w:val="single" w:sz="4" w:space="0" w:color="auto"/>
              <w:bottom w:val="single" w:sz="8" w:space="0" w:color="auto"/>
              <w:right w:val="single" w:sz="4" w:space="0" w:color="auto"/>
            </w:tcBorders>
            <w:shd w:val="clear" w:color="000000" w:fill="92D050"/>
            <w:noWrap/>
            <w:vAlign w:val="center"/>
            <w:hideMark/>
          </w:tcPr>
          <w:p w14:paraId="2265CFDF"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1.594</w:t>
            </w:r>
          </w:p>
        </w:tc>
        <w:tc>
          <w:tcPr>
            <w:tcW w:w="189" w:type="pct"/>
            <w:tcBorders>
              <w:top w:val="single" w:sz="8" w:space="0" w:color="auto"/>
              <w:left w:val="single" w:sz="4" w:space="0" w:color="auto"/>
              <w:bottom w:val="single" w:sz="8" w:space="0" w:color="auto"/>
              <w:right w:val="single" w:sz="4" w:space="0" w:color="auto"/>
            </w:tcBorders>
            <w:shd w:val="clear" w:color="000000" w:fill="92D050"/>
            <w:noWrap/>
            <w:vAlign w:val="center"/>
            <w:hideMark/>
          </w:tcPr>
          <w:p w14:paraId="36E454A3"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1.825</w:t>
            </w:r>
          </w:p>
        </w:tc>
        <w:tc>
          <w:tcPr>
            <w:tcW w:w="189" w:type="pct"/>
            <w:tcBorders>
              <w:top w:val="single" w:sz="8" w:space="0" w:color="auto"/>
              <w:left w:val="single" w:sz="4" w:space="0" w:color="auto"/>
              <w:bottom w:val="single" w:sz="8" w:space="0" w:color="auto"/>
              <w:right w:val="single" w:sz="4" w:space="0" w:color="auto"/>
            </w:tcBorders>
            <w:shd w:val="clear" w:color="000000" w:fill="92D050"/>
            <w:noWrap/>
            <w:vAlign w:val="center"/>
            <w:hideMark/>
          </w:tcPr>
          <w:p w14:paraId="708FB4A6"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2.077</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5412306D"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2.340</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58D8A3A2"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3.593</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0A0A561F"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3.676</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499695B0"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3.808</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30F96425"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3.818</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6A83A5CC"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3.660</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577C7274"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3.649</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5C3FA2D5"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3.627</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1056A54A"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3.555</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670FCE8A"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3.511</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647368FC"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3.401</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3A8F781E"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3.275</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2CFFF84F"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3.057</w:t>
            </w:r>
          </w:p>
        </w:tc>
      </w:tr>
      <w:tr w:rsidR="00537D99" w:rsidRPr="00537D99" w14:paraId="476E62E4" w14:textId="77777777" w:rsidTr="00537D99">
        <w:trPr>
          <w:trHeight w:val="270"/>
        </w:trPr>
        <w:tc>
          <w:tcPr>
            <w:tcW w:w="160" w:type="pct"/>
            <w:tcBorders>
              <w:top w:val="nil"/>
              <w:left w:val="single" w:sz="8" w:space="0" w:color="auto"/>
              <w:bottom w:val="nil"/>
              <w:right w:val="nil"/>
            </w:tcBorders>
            <w:shd w:val="clear" w:color="auto" w:fill="auto"/>
            <w:noWrap/>
            <w:vAlign w:val="center"/>
            <w:hideMark/>
          </w:tcPr>
          <w:p w14:paraId="6F4EE139"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89" w:type="pct"/>
            <w:tcBorders>
              <w:top w:val="nil"/>
              <w:left w:val="nil"/>
              <w:bottom w:val="nil"/>
              <w:right w:val="nil"/>
            </w:tcBorders>
            <w:shd w:val="clear" w:color="auto" w:fill="auto"/>
            <w:noWrap/>
            <w:vAlign w:val="center"/>
            <w:hideMark/>
          </w:tcPr>
          <w:p w14:paraId="40233BEC"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79" w:type="pct"/>
            <w:tcBorders>
              <w:top w:val="nil"/>
              <w:left w:val="nil"/>
              <w:bottom w:val="nil"/>
              <w:right w:val="nil"/>
            </w:tcBorders>
            <w:shd w:val="clear" w:color="auto" w:fill="auto"/>
            <w:noWrap/>
            <w:vAlign w:val="center"/>
            <w:hideMark/>
          </w:tcPr>
          <w:p w14:paraId="22BE9C16"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79" w:type="pct"/>
            <w:tcBorders>
              <w:top w:val="nil"/>
              <w:left w:val="nil"/>
              <w:bottom w:val="nil"/>
              <w:right w:val="nil"/>
            </w:tcBorders>
            <w:shd w:val="clear" w:color="auto" w:fill="auto"/>
            <w:noWrap/>
            <w:vAlign w:val="center"/>
            <w:hideMark/>
          </w:tcPr>
          <w:p w14:paraId="0576B92F" w14:textId="77777777" w:rsidR="00537D99" w:rsidRPr="00537D99" w:rsidRDefault="00537D99" w:rsidP="00537D99">
            <w:pPr>
              <w:jc w:val="center"/>
              <w:rPr>
                <w:rFonts w:cs="Calibri"/>
                <w:color w:val="000000"/>
                <w:sz w:val="14"/>
                <w:szCs w:val="14"/>
                <w:lang w:eastAsia="en-GB"/>
              </w:rPr>
            </w:pPr>
            <w:r w:rsidRPr="00537D99">
              <w:rPr>
                <w:rFonts w:cs="Calibri"/>
                <w:color w:val="000000"/>
                <w:sz w:val="14"/>
                <w:szCs w:val="14"/>
                <w:lang w:eastAsia="en-GB"/>
              </w:rPr>
              <w:t> </w:t>
            </w:r>
          </w:p>
        </w:tc>
        <w:tc>
          <w:tcPr>
            <w:tcW w:w="173" w:type="pct"/>
            <w:tcBorders>
              <w:top w:val="nil"/>
              <w:left w:val="nil"/>
              <w:bottom w:val="nil"/>
              <w:right w:val="nil"/>
            </w:tcBorders>
            <w:shd w:val="clear" w:color="auto" w:fill="auto"/>
            <w:noWrap/>
            <w:vAlign w:val="center"/>
            <w:hideMark/>
          </w:tcPr>
          <w:p w14:paraId="36AAF49A" w14:textId="77777777" w:rsidR="00537D99" w:rsidRPr="00770B54" w:rsidRDefault="00537D99" w:rsidP="00537D99">
            <w:pPr>
              <w:jc w:val="center"/>
              <w:rPr>
                <w:rFonts w:cs="Calibri"/>
                <w:color w:val="000000"/>
                <w:sz w:val="12"/>
                <w:szCs w:val="12"/>
                <w:lang w:eastAsia="en-GB"/>
              </w:rPr>
            </w:pPr>
            <w:r w:rsidRPr="00770B54">
              <w:rPr>
                <w:rFonts w:cs="Calibri"/>
                <w:color w:val="000000"/>
                <w:sz w:val="12"/>
                <w:szCs w:val="12"/>
                <w:lang w:eastAsia="en-GB"/>
              </w:rPr>
              <w:t> </w:t>
            </w:r>
          </w:p>
        </w:tc>
        <w:tc>
          <w:tcPr>
            <w:tcW w:w="191" w:type="pct"/>
            <w:tcBorders>
              <w:top w:val="nil"/>
              <w:left w:val="single" w:sz="8" w:space="0" w:color="auto"/>
              <w:bottom w:val="single" w:sz="8" w:space="0" w:color="auto"/>
              <w:right w:val="single" w:sz="8" w:space="0" w:color="auto"/>
            </w:tcBorders>
            <w:shd w:val="clear" w:color="auto" w:fill="auto"/>
            <w:noWrap/>
            <w:vAlign w:val="center"/>
            <w:hideMark/>
          </w:tcPr>
          <w:p w14:paraId="57767815"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BCR</w:t>
            </w:r>
          </w:p>
        </w:tc>
        <w:tc>
          <w:tcPr>
            <w:tcW w:w="191" w:type="pct"/>
            <w:tcBorders>
              <w:top w:val="nil"/>
              <w:left w:val="nil"/>
              <w:bottom w:val="single" w:sz="8" w:space="0" w:color="auto"/>
              <w:right w:val="single" w:sz="4" w:space="0" w:color="auto"/>
            </w:tcBorders>
            <w:shd w:val="clear" w:color="auto" w:fill="auto"/>
            <w:noWrap/>
            <w:vAlign w:val="center"/>
            <w:hideMark/>
          </w:tcPr>
          <w:p w14:paraId="76E9AA0C"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-0.876</w:t>
            </w:r>
          </w:p>
        </w:tc>
        <w:tc>
          <w:tcPr>
            <w:tcW w:w="180" w:type="pct"/>
            <w:tcBorders>
              <w:top w:val="nil"/>
              <w:left w:val="nil"/>
              <w:bottom w:val="single" w:sz="8" w:space="0" w:color="auto"/>
              <w:right w:val="single" w:sz="4" w:space="0" w:color="auto"/>
            </w:tcBorders>
            <w:shd w:val="clear" w:color="auto" w:fill="auto"/>
            <w:noWrap/>
            <w:vAlign w:val="center"/>
            <w:hideMark/>
          </w:tcPr>
          <w:p w14:paraId="7D2D8830"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-0.711</w:t>
            </w:r>
          </w:p>
        </w:tc>
        <w:tc>
          <w:tcPr>
            <w:tcW w:w="180" w:type="pct"/>
            <w:tcBorders>
              <w:top w:val="nil"/>
              <w:left w:val="nil"/>
              <w:bottom w:val="single" w:sz="8" w:space="0" w:color="auto"/>
              <w:right w:val="single" w:sz="4" w:space="0" w:color="auto"/>
            </w:tcBorders>
            <w:shd w:val="clear" w:color="auto" w:fill="auto"/>
            <w:noWrap/>
            <w:vAlign w:val="center"/>
            <w:hideMark/>
          </w:tcPr>
          <w:p w14:paraId="56CEA720"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-0.489</w:t>
            </w:r>
          </w:p>
        </w:tc>
        <w:tc>
          <w:tcPr>
            <w:tcW w:w="180" w:type="pct"/>
            <w:tcBorders>
              <w:top w:val="nil"/>
              <w:left w:val="nil"/>
              <w:bottom w:val="single" w:sz="8" w:space="0" w:color="auto"/>
              <w:right w:val="single" w:sz="4" w:space="0" w:color="auto"/>
            </w:tcBorders>
            <w:shd w:val="clear" w:color="auto" w:fill="auto"/>
            <w:noWrap/>
            <w:vAlign w:val="center"/>
            <w:hideMark/>
          </w:tcPr>
          <w:p w14:paraId="50EE630C"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-0.130</w:t>
            </w:r>
          </w:p>
        </w:tc>
        <w:tc>
          <w:tcPr>
            <w:tcW w:w="180" w:type="pct"/>
            <w:tcBorders>
              <w:top w:val="single" w:sz="8" w:space="0" w:color="auto"/>
              <w:left w:val="single" w:sz="4" w:space="0" w:color="auto"/>
              <w:bottom w:val="single" w:sz="8" w:space="0" w:color="auto"/>
              <w:right w:val="single" w:sz="4" w:space="0" w:color="auto"/>
            </w:tcBorders>
            <w:shd w:val="clear" w:color="000000" w:fill="92D050"/>
            <w:noWrap/>
            <w:vAlign w:val="center"/>
            <w:hideMark/>
          </w:tcPr>
          <w:p w14:paraId="645A96D4"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0.106</w:t>
            </w:r>
          </w:p>
        </w:tc>
        <w:tc>
          <w:tcPr>
            <w:tcW w:w="188" w:type="pct"/>
            <w:tcBorders>
              <w:top w:val="single" w:sz="8" w:space="0" w:color="auto"/>
              <w:left w:val="single" w:sz="4" w:space="0" w:color="auto"/>
              <w:bottom w:val="single" w:sz="8" w:space="0" w:color="auto"/>
              <w:right w:val="single" w:sz="4" w:space="0" w:color="auto"/>
            </w:tcBorders>
            <w:shd w:val="clear" w:color="000000" w:fill="92D050"/>
            <w:noWrap/>
            <w:vAlign w:val="center"/>
            <w:hideMark/>
          </w:tcPr>
          <w:p w14:paraId="02592A32"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0.309</w:t>
            </w:r>
          </w:p>
        </w:tc>
        <w:tc>
          <w:tcPr>
            <w:tcW w:w="188" w:type="pct"/>
            <w:tcBorders>
              <w:top w:val="single" w:sz="8" w:space="0" w:color="auto"/>
              <w:left w:val="single" w:sz="4" w:space="0" w:color="auto"/>
              <w:bottom w:val="single" w:sz="8" w:space="0" w:color="auto"/>
              <w:right w:val="single" w:sz="4" w:space="0" w:color="auto"/>
            </w:tcBorders>
            <w:shd w:val="clear" w:color="000000" w:fill="92D050"/>
            <w:noWrap/>
            <w:vAlign w:val="center"/>
            <w:hideMark/>
          </w:tcPr>
          <w:p w14:paraId="31B47836"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0.594</w:t>
            </w:r>
          </w:p>
        </w:tc>
        <w:tc>
          <w:tcPr>
            <w:tcW w:w="189" w:type="pct"/>
            <w:tcBorders>
              <w:top w:val="single" w:sz="8" w:space="0" w:color="auto"/>
              <w:left w:val="single" w:sz="4" w:space="0" w:color="auto"/>
              <w:bottom w:val="single" w:sz="8" w:space="0" w:color="auto"/>
              <w:right w:val="single" w:sz="4" w:space="0" w:color="auto"/>
            </w:tcBorders>
            <w:shd w:val="clear" w:color="000000" w:fill="92D050"/>
            <w:noWrap/>
            <w:vAlign w:val="center"/>
            <w:hideMark/>
          </w:tcPr>
          <w:p w14:paraId="7374845C"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0.825</w:t>
            </w:r>
          </w:p>
        </w:tc>
        <w:tc>
          <w:tcPr>
            <w:tcW w:w="189" w:type="pct"/>
            <w:tcBorders>
              <w:top w:val="single" w:sz="8" w:space="0" w:color="auto"/>
              <w:left w:val="single" w:sz="4" w:space="0" w:color="auto"/>
              <w:bottom w:val="single" w:sz="8" w:space="0" w:color="auto"/>
              <w:right w:val="single" w:sz="4" w:space="0" w:color="auto"/>
            </w:tcBorders>
            <w:shd w:val="clear" w:color="000000" w:fill="92D050"/>
            <w:noWrap/>
            <w:vAlign w:val="center"/>
            <w:hideMark/>
          </w:tcPr>
          <w:p w14:paraId="5806BEF9"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1.077</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15D9328C"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1.340</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4874E167"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2.593</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46F7FD44"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2.676</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32BBF32B"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2.808</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6F6C8DD0"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2.818</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3289528F"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2.660</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5931044D"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2.649</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487EDB55"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2.627</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45B13228"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2.555</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39DE000C"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2.511</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14B4AC32"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2.401</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723EB9DA"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2.275</w:t>
            </w:r>
          </w:p>
        </w:tc>
        <w:tc>
          <w:tcPr>
            <w:tcW w:w="189" w:type="pct"/>
            <w:tcBorders>
              <w:top w:val="single" w:sz="8" w:space="0" w:color="auto"/>
              <w:left w:val="single" w:sz="4" w:space="0" w:color="auto"/>
              <w:bottom w:val="single" w:sz="8" w:space="0" w:color="auto"/>
              <w:right w:val="single" w:sz="8" w:space="0" w:color="auto"/>
            </w:tcBorders>
            <w:shd w:val="clear" w:color="000000" w:fill="92D050"/>
            <w:noWrap/>
            <w:vAlign w:val="center"/>
            <w:hideMark/>
          </w:tcPr>
          <w:p w14:paraId="6B6CC92B" w14:textId="77777777" w:rsidR="00537D99" w:rsidRPr="00770B54" w:rsidRDefault="00537D99" w:rsidP="00537D99">
            <w:pPr>
              <w:jc w:val="center"/>
              <w:rPr>
                <w:rFonts w:cs="Calibri"/>
                <w:color w:val="000000"/>
                <w:sz w:val="12"/>
                <w:szCs w:val="12"/>
                <w:u w:val="single"/>
                <w:lang w:eastAsia="en-GB"/>
              </w:rPr>
            </w:pPr>
            <w:r w:rsidRPr="00770B54">
              <w:rPr>
                <w:rFonts w:cs="Calibri"/>
                <w:color w:val="000000"/>
                <w:sz w:val="12"/>
                <w:szCs w:val="12"/>
                <w:u w:val="single"/>
                <w:lang w:eastAsia="en-GB"/>
              </w:rPr>
              <w:t>2.057</w:t>
            </w:r>
          </w:p>
        </w:tc>
      </w:tr>
    </w:tbl>
    <w:p w14:paraId="4885181A" w14:textId="77777777" w:rsidR="007B36CF" w:rsidRDefault="007B36CF" w:rsidP="007B36CF">
      <w:pPr>
        <w:pStyle w:val="Heading1"/>
        <w:rPr>
          <w:rFonts w:asciiTheme="minorHAnsi" w:hAnsiTheme="minorHAnsi" w:cstheme="minorHAnsi"/>
        </w:rPr>
        <w:sectPr w:rsidR="007B36CF" w:rsidSect="007B36CF">
          <w:pgSz w:w="16838" w:h="11906" w:orient="landscape"/>
          <w:pgMar w:top="1440" w:right="1440" w:bottom="1440" w:left="992" w:header="709" w:footer="153" w:gutter="0"/>
          <w:cols w:space="708"/>
          <w:docGrid w:linePitch="360"/>
        </w:sectPr>
      </w:pPr>
    </w:p>
    <w:p w14:paraId="38AACEBF" w14:textId="35B603AC" w:rsidR="0044685A" w:rsidRDefault="007B36CF" w:rsidP="007B36CF">
      <w:pPr>
        <w:pStyle w:val="Heading1"/>
        <w:rPr>
          <w:rFonts w:asciiTheme="minorHAnsi" w:hAnsiTheme="minorHAnsi" w:cstheme="minorHAnsi"/>
        </w:rPr>
      </w:pPr>
      <w:bookmarkStart w:id="8" w:name="_Toc115644710"/>
      <w:r w:rsidRPr="007B36CF">
        <w:rPr>
          <w:rFonts w:asciiTheme="minorHAnsi" w:hAnsiTheme="minorHAnsi" w:cstheme="minorHAnsi"/>
        </w:rPr>
        <w:lastRenderedPageBreak/>
        <w:t>Appendix D-Account Rate of Return</w:t>
      </w:r>
      <w:bookmarkEnd w:id="8"/>
    </w:p>
    <w:tbl>
      <w:tblPr>
        <w:tblW w:w="5000" w:type="pct"/>
        <w:tblLook w:val="04A0" w:firstRow="1" w:lastRow="0" w:firstColumn="1" w:lastColumn="0" w:noHBand="0" w:noVBand="1"/>
      </w:tblPr>
      <w:tblGrid>
        <w:gridCol w:w="1868"/>
        <w:gridCol w:w="1867"/>
        <w:gridCol w:w="222"/>
        <w:gridCol w:w="848"/>
        <w:gridCol w:w="1395"/>
        <w:gridCol w:w="1403"/>
        <w:gridCol w:w="1403"/>
      </w:tblGrid>
      <w:tr w:rsidR="007B36CF" w:rsidRPr="007B36CF" w14:paraId="5AE0F088" w14:textId="77777777" w:rsidTr="007B36CF">
        <w:trPr>
          <w:trHeight w:val="315"/>
        </w:trPr>
        <w:tc>
          <w:tcPr>
            <w:tcW w:w="861" w:type="pct"/>
            <w:tcBorders>
              <w:top w:val="single" w:sz="8" w:space="0" w:color="auto"/>
              <w:left w:val="single" w:sz="8" w:space="0" w:color="auto"/>
              <w:bottom w:val="nil"/>
              <w:right w:val="nil"/>
            </w:tcBorders>
            <w:shd w:val="clear" w:color="auto" w:fill="auto"/>
            <w:noWrap/>
            <w:vAlign w:val="bottom"/>
            <w:hideMark/>
          </w:tcPr>
          <w:p w14:paraId="43CA0415" w14:textId="77777777" w:rsidR="007B36CF" w:rsidRPr="007B36CF" w:rsidRDefault="007B36CF" w:rsidP="007B36CF">
            <w:pP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Initial Investment</w:t>
            </w:r>
          </w:p>
        </w:tc>
        <w:tc>
          <w:tcPr>
            <w:tcW w:w="1072" w:type="pct"/>
            <w:tcBorders>
              <w:top w:val="single" w:sz="8" w:space="0" w:color="auto"/>
              <w:left w:val="single" w:sz="8" w:space="0" w:color="auto"/>
              <w:bottom w:val="nil"/>
              <w:right w:val="single" w:sz="8" w:space="0" w:color="auto"/>
            </w:tcBorders>
            <w:shd w:val="clear" w:color="000000" w:fill="FFFF00"/>
            <w:noWrap/>
            <w:vAlign w:val="center"/>
            <w:hideMark/>
          </w:tcPr>
          <w:p w14:paraId="380B83E1" w14:textId="3B1AC035"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w:t>
            </w:r>
            <w:r w:rsidR="00910F94" w:rsidRPr="007B36CF">
              <w:rPr>
                <w:rFonts w:asciiTheme="minorHAnsi" w:hAnsiTheme="minorHAnsi" w:cstheme="minorHAnsi"/>
                <w:color w:val="000000"/>
                <w:sz w:val="20"/>
                <w:szCs w:val="20"/>
                <w:lang w:eastAsia="en-GB"/>
              </w:rPr>
              <w:t>£ 131,522.30</w:t>
            </w:r>
            <w:r w:rsidRPr="007B36CF">
              <w:rPr>
                <w:rFonts w:asciiTheme="minorHAnsi" w:hAnsiTheme="minorHAnsi" w:cstheme="minorHAnsi"/>
                <w:color w:val="000000"/>
                <w:sz w:val="20"/>
                <w:szCs w:val="20"/>
                <w:lang w:eastAsia="en-GB"/>
              </w:rPr>
              <w:t xml:space="preserve"> </w:t>
            </w:r>
          </w:p>
        </w:tc>
        <w:tc>
          <w:tcPr>
            <w:tcW w:w="123" w:type="pct"/>
            <w:tcBorders>
              <w:top w:val="nil"/>
              <w:left w:val="nil"/>
              <w:bottom w:val="nil"/>
              <w:right w:val="nil"/>
            </w:tcBorders>
            <w:shd w:val="clear" w:color="auto" w:fill="auto"/>
            <w:noWrap/>
            <w:vAlign w:val="bottom"/>
            <w:hideMark/>
          </w:tcPr>
          <w:p w14:paraId="2CCF17F2" w14:textId="77777777" w:rsidR="007B36CF" w:rsidRPr="007B36CF" w:rsidRDefault="007B36CF" w:rsidP="007B36CF">
            <w:pPr>
              <w:jc w:val="center"/>
              <w:rPr>
                <w:rFonts w:asciiTheme="minorHAnsi" w:hAnsiTheme="minorHAnsi" w:cstheme="minorHAnsi"/>
                <w:color w:val="000000"/>
                <w:sz w:val="20"/>
                <w:szCs w:val="20"/>
                <w:lang w:eastAsia="en-GB"/>
              </w:rPr>
            </w:pPr>
          </w:p>
        </w:tc>
        <w:tc>
          <w:tcPr>
            <w:tcW w:w="502" w:type="pct"/>
            <w:tcBorders>
              <w:top w:val="single" w:sz="8" w:space="0" w:color="auto"/>
              <w:left w:val="single" w:sz="8" w:space="0" w:color="auto"/>
              <w:bottom w:val="single" w:sz="8" w:space="0" w:color="auto"/>
              <w:right w:val="nil"/>
            </w:tcBorders>
            <w:shd w:val="clear" w:color="auto" w:fill="auto"/>
            <w:noWrap/>
            <w:vAlign w:val="center"/>
            <w:hideMark/>
          </w:tcPr>
          <w:p w14:paraId="1FD66426"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Months</w:t>
            </w:r>
          </w:p>
        </w:tc>
        <w:tc>
          <w:tcPr>
            <w:tcW w:w="814"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ECCD959"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Income</w:t>
            </w:r>
          </w:p>
        </w:tc>
        <w:tc>
          <w:tcPr>
            <w:tcW w:w="814" w:type="pct"/>
            <w:tcBorders>
              <w:top w:val="single" w:sz="8" w:space="0" w:color="auto"/>
              <w:left w:val="nil"/>
              <w:bottom w:val="single" w:sz="8" w:space="0" w:color="auto"/>
              <w:right w:val="nil"/>
            </w:tcBorders>
            <w:shd w:val="clear" w:color="auto" w:fill="auto"/>
            <w:noWrap/>
            <w:vAlign w:val="center"/>
            <w:hideMark/>
          </w:tcPr>
          <w:p w14:paraId="13BB197B"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Depreciation</w:t>
            </w:r>
          </w:p>
        </w:tc>
        <w:tc>
          <w:tcPr>
            <w:tcW w:w="814" w:type="pct"/>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BCD37C3"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Profit</w:t>
            </w:r>
          </w:p>
        </w:tc>
      </w:tr>
      <w:tr w:rsidR="007B36CF" w:rsidRPr="007B36CF" w14:paraId="3A5645C8" w14:textId="77777777" w:rsidTr="007B36CF">
        <w:trPr>
          <w:trHeight w:val="315"/>
        </w:trPr>
        <w:tc>
          <w:tcPr>
            <w:tcW w:w="861" w:type="pct"/>
            <w:tcBorders>
              <w:top w:val="single" w:sz="8" w:space="0" w:color="auto"/>
              <w:left w:val="single" w:sz="8" w:space="0" w:color="auto"/>
              <w:bottom w:val="single" w:sz="8" w:space="0" w:color="auto"/>
              <w:right w:val="nil"/>
            </w:tcBorders>
            <w:shd w:val="clear" w:color="auto" w:fill="auto"/>
            <w:noWrap/>
            <w:vAlign w:val="bottom"/>
            <w:hideMark/>
          </w:tcPr>
          <w:p w14:paraId="02787032" w14:textId="77777777" w:rsidR="007B36CF" w:rsidRPr="007B36CF" w:rsidRDefault="007B36CF" w:rsidP="007B36CF">
            <w:pP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Residual Investment</w:t>
            </w:r>
          </w:p>
        </w:tc>
        <w:tc>
          <w:tcPr>
            <w:tcW w:w="1072" w:type="pct"/>
            <w:tcBorders>
              <w:top w:val="single" w:sz="8" w:space="0" w:color="auto"/>
              <w:left w:val="single" w:sz="8" w:space="0" w:color="auto"/>
              <w:bottom w:val="single" w:sz="8" w:space="0" w:color="auto"/>
              <w:right w:val="single" w:sz="8" w:space="0" w:color="auto"/>
            </w:tcBorders>
            <w:shd w:val="clear" w:color="000000" w:fill="FFFF00"/>
            <w:noWrap/>
            <w:vAlign w:val="center"/>
            <w:hideMark/>
          </w:tcPr>
          <w:p w14:paraId="6174D905" w14:textId="2F67109C"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w:t>
            </w:r>
            <w:r>
              <w:rPr>
                <w:rFonts w:asciiTheme="minorHAnsi" w:hAnsiTheme="minorHAnsi" w:cstheme="minorHAnsi"/>
                <w:color w:val="000000"/>
                <w:sz w:val="20"/>
                <w:szCs w:val="20"/>
                <w:lang w:eastAsia="en-GB"/>
              </w:rPr>
              <w:t>0</w:t>
            </w:r>
            <w:r w:rsidRPr="007B36CF">
              <w:rPr>
                <w:rFonts w:asciiTheme="minorHAnsi" w:hAnsiTheme="minorHAnsi" w:cstheme="minorHAnsi"/>
                <w:color w:val="000000"/>
                <w:sz w:val="20"/>
                <w:szCs w:val="20"/>
                <w:lang w:eastAsia="en-GB"/>
              </w:rPr>
              <w:t xml:space="preserve">  </w:t>
            </w:r>
          </w:p>
        </w:tc>
        <w:tc>
          <w:tcPr>
            <w:tcW w:w="123" w:type="pct"/>
            <w:tcBorders>
              <w:top w:val="nil"/>
              <w:left w:val="nil"/>
              <w:bottom w:val="nil"/>
              <w:right w:val="nil"/>
            </w:tcBorders>
            <w:shd w:val="clear" w:color="auto" w:fill="auto"/>
            <w:noWrap/>
            <w:vAlign w:val="bottom"/>
            <w:hideMark/>
          </w:tcPr>
          <w:p w14:paraId="5AB69120" w14:textId="77777777" w:rsidR="007B36CF" w:rsidRPr="007B36CF" w:rsidRDefault="007B36CF" w:rsidP="007B36CF">
            <w:pPr>
              <w:jc w:val="center"/>
              <w:rPr>
                <w:rFonts w:asciiTheme="minorHAnsi" w:hAnsiTheme="minorHAnsi" w:cstheme="minorHAnsi"/>
                <w:color w:val="000000"/>
                <w:sz w:val="20"/>
                <w:szCs w:val="20"/>
                <w:lang w:eastAsia="en-GB"/>
              </w:rPr>
            </w:pPr>
          </w:p>
        </w:tc>
        <w:tc>
          <w:tcPr>
            <w:tcW w:w="502" w:type="pct"/>
            <w:tcBorders>
              <w:top w:val="nil"/>
              <w:left w:val="single" w:sz="8" w:space="0" w:color="auto"/>
              <w:bottom w:val="single" w:sz="4" w:space="0" w:color="auto"/>
              <w:right w:val="nil"/>
            </w:tcBorders>
            <w:shd w:val="clear" w:color="auto" w:fill="auto"/>
            <w:noWrap/>
            <w:vAlign w:val="center"/>
            <w:hideMark/>
          </w:tcPr>
          <w:p w14:paraId="28EA5038"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1</w:t>
            </w:r>
          </w:p>
        </w:tc>
        <w:tc>
          <w:tcPr>
            <w:tcW w:w="814" w:type="pct"/>
            <w:tcBorders>
              <w:top w:val="nil"/>
              <w:left w:val="single" w:sz="8" w:space="0" w:color="auto"/>
              <w:bottom w:val="single" w:sz="4" w:space="0" w:color="auto"/>
              <w:right w:val="single" w:sz="8" w:space="0" w:color="auto"/>
            </w:tcBorders>
            <w:shd w:val="clear" w:color="auto" w:fill="auto"/>
            <w:noWrap/>
            <w:vAlign w:val="center"/>
            <w:hideMark/>
          </w:tcPr>
          <w:p w14:paraId="401434C8"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16,446.00 </w:t>
            </w:r>
          </w:p>
        </w:tc>
        <w:tc>
          <w:tcPr>
            <w:tcW w:w="814" w:type="pct"/>
            <w:tcBorders>
              <w:top w:val="nil"/>
              <w:left w:val="nil"/>
              <w:bottom w:val="single" w:sz="4" w:space="0" w:color="auto"/>
              <w:right w:val="nil"/>
            </w:tcBorders>
            <w:shd w:val="clear" w:color="auto" w:fill="auto"/>
            <w:noWrap/>
            <w:vAlign w:val="center"/>
            <w:hideMark/>
          </w:tcPr>
          <w:p w14:paraId="6239BE96"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5,978.29 </w:t>
            </w:r>
          </w:p>
        </w:tc>
        <w:tc>
          <w:tcPr>
            <w:tcW w:w="814" w:type="pct"/>
            <w:tcBorders>
              <w:top w:val="nil"/>
              <w:left w:val="single" w:sz="8" w:space="0" w:color="auto"/>
              <w:bottom w:val="single" w:sz="4" w:space="0" w:color="auto"/>
              <w:right w:val="single" w:sz="8" w:space="0" w:color="auto"/>
            </w:tcBorders>
            <w:shd w:val="clear" w:color="auto" w:fill="auto"/>
            <w:noWrap/>
            <w:vAlign w:val="center"/>
            <w:hideMark/>
          </w:tcPr>
          <w:p w14:paraId="5C5169D7"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10,467.71 </w:t>
            </w:r>
          </w:p>
        </w:tc>
      </w:tr>
      <w:tr w:rsidR="007B36CF" w:rsidRPr="007B36CF" w14:paraId="5B11FAC4" w14:textId="77777777" w:rsidTr="007B36CF">
        <w:trPr>
          <w:trHeight w:val="315"/>
        </w:trPr>
        <w:tc>
          <w:tcPr>
            <w:tcW w:w="861" w:type="pct"/>
            <w:tcBorders>
              <w:top w:val="nil"/>
              <w:left w:val="single" w:sz="8" w:space="0" w:color="auto"/>
              <w:bottom w:val="single" w:sz="8" w:space="0" w:color="auto"/>
              <w:right w:val="nil"/>
            </w:tcBorders>
            <w:shd w:val="clear" w:color="auto" w:fill="auto"/>
            <w:noWrap/>
            <w:vAlign w:val="bottom"/>
            <w:hideMark/>
          </w:tcPr>
          <w:p w14:paraId="1ABFD9FB" w14:textId="77777777" w:rsidR="007B36CF" w:rsidRPr="007B36CF" w:rsidRDefault="007B36CF" w:rsidP="007B36CF">
            <w:pP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Time Scale</w:t>
            </w:r>
          </w:p>
        </w:tc>
        <w:tc>
          <w:tcPr>
            <w:tcW w:w="1072" w:type="pct"/>
            <w:tcBorders>
              <w:top w:val="nil"/>
              <w:left w:val="single" w:sz="8" w:space="0" w:color="auto"/>
              <w:bottom w:val="single" w:sz="8" w:space="0" w:color="auto"/>
              <w:right w:val="single" w:sz="8" w:space="0" w:color="auto"/>
            </w:tcBorders>
            <w:shd w:val="clear" w:color="000000" w:fill="FFFF00"/>
            <w:noWrap/>
            <w:vAlign w:val="center"/>
            <w:hideMark/>
          </w:tcPr>
          <w:p w14:paraId="4D1A413C"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22</w:t>
            </w:r>
          </w:p>
        </w:tc>
        <w:tc>
          <w:tcPr>
            <w:tcW w:w="123" w:type="pct"/>
            <w:tcBorders>
              <w:top w:val="nil"/>
              <w:left w:val="nil"/>
              <w:bottom w:val="nil"/>
              <w:right w:val="nil"/>
            </w:tcBorders>
            <w:shd w:val="clear" w:color="auto" w:fill="auto"/>
            <w:noWrap/>
            <w:vAlign w:val="bottom"/>
            <w:hideMark/>
          </w:tcPr>
          <w:p w14:paraId="0345667A" w14:textId="77777777" w:rsidR="007B36CF" w:rsidRPr="007B36CF" w:rsidRDefault="007B36CF" w:rsidP="007B36CF">
            <w:pPr>
              <w:jc w:val="center"/>
              <w:rPr>
                <w:rFonts w:asciiTheme="minorHAnsi" w:hAnsiTheme="minorHAnsi" w:cstheme="minorHAnsi"/>
                <w:color w:val="000000"/>
                <w:sz w:val="20"/>
                <w:szCs w:val="20"/>
                <w:lang w:eastAsia="en-GB"/>
              </w:rPr>
            </w:pPr>
          </w:p>
        </w:tc>
        <w:tc>
          <w:tcPr>
            <w:tcW w:w="502" w:type="pct"/>
            <w:tcBorders>
              <w:top w:val="nil"/>
              <w:left w:val="single" w:sz="8" w:space="0" w:color="auto"/>
              <w:bottom w:val="single" w:sz="4" w:space="0" w:color="auto"/>
              <w:right w:val="nil"/>
            </w:tcBorders>
            <w:shd w:val="clear" w:color="auto" w:fill="auto"/>
            <w:noWrap/>
            <w:vAlign w:val="center"/>
            <w:hideMark/>
          </w:tcPr>
          <w:p w14:paraId="18791B55"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2</w:t>
            </w:r>
          </w:p>
        </w:tc>
        <w:tc>
          <w:tcPr>
            <w:tcW w:w="814" w:type="pct"/>
            <w:tcBorders>
              <w:top w:val="nil"/>
              <w:left w:val="single" w:sz="8" w:space="0" w:color="auto"/>
              <w:bottom w:val="single" w:sz="4" w:space="0" w:color="auto"/>
              <w:right w:val="single" w:sz="8" w:space="0" w:color="auto"/>
            </w:tcBorders>
            <w:shd w:val="clear" w:color="auto" w:fill="auto"/>
            <w:noWrap/>
            <w:vAlign w:val="center"/>
            <w:hideMark/>
          </w:tcPr>
          <w:p w14:paraId="791A4A85"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22,056.00 </w:t>
            </w:r>
          </w:p>
        </w:tc>
        <w:tc>
          <w:tcPr>
            <w:tcW w:w="814" w:type="pct"/>
            <w:tcBorders>
              <w:top w:val="nil"/>
              <w:left w:val="nil"/>
              <w:bottom w:val="single" w:sz="4" w:space="0" w:color="auto"/>
              <w:right w:val="nil"/>
            </w:tcBorders>
            <w:shd w:val="clear" w:color="auto" w:fill="auto"/>
            <w:noWrap/>
            <w:vAlign w:val="center"/>
            <w:hideMark/>
          </w:tcPr>
          <w:p w14:paraId="00A9BB78"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5,978.29 </w:t>
            </w:r>
          </w:p>
        </w:tc>
        <w:tc>
          <w:tcPr>
            <w:tcW w:w="814" w:type="pct"/>
            <w:tcBorders>
              <w:top w:val="nil"/>
              <w:left w:val="single" w:sz="8" w:space="0" w:color="auto"/>
              <w:bottom w:val="single" w:sz="4" w:space="0" w:color="auto"/>
              <w:right w:val="single" w:sz="8" w:space="0" w:color="auto"/>
            </w:tcBorders>
            <w:shd w:val="clear" w:color="auto" w:fill="auto"/>
            <w:noWrap/>
            <w:vAlign w:val="center"/>
            <w:hideMark/>
          </w:tcPr>
          <w:p w14:paraId="0A89947B"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16,077.71 </w:t>
            </w:r>
          </w:p>
        </w:tc>
      </w:tr>
      <w:tr w:rsidR="007B36CF" w:rsidRPr="007B36CF" w14:paraId="6341F046" w14:textId="77777777" w:rsidTr="007B36CF">
        <w:trPr>
          <w:trHeight w:val="315"/>
        </w:trPr>
        <w:tc>
          <w:tcPr>
            <w:tcW w:w="861" w:type="pct"/>
            <w:tcBorders>
              <w:top w:val="nil"/>
              <w:left w:val="nil"/>
              <w:bottom w:val="nil"/>
              <w:right w:val="nil"/>
            </w:tcBorders>
            <w:shd w:val="clear" w:color="auto" w:fill="auto"/>
            <w:noWrap/>
            <w:vAlign w:val="bottom"/>
            <w:hideMark/>
          </w:tcPr>
          <w:p w14:paraId="5BCE0C80" w14:textId="77777777" w:rsidR="007B36CF" w:rsidRPr="007B36CF" w:rsidRDefault="007B36CF" w:rsidP="007B36CF">
            <w:pPr>
              <w:jc w:val="center"/>
              <w:rPr>
                <w:rFonts w:asciiTheme="minorHAnsi" w:hAnsiTheme="minorHAnsi" w:cstheme="minorHAnsi"/>
                <w:color w:val="000000"/>
                <w:sz w:val="20"/>
                <w:szCs w:val="20"/>
                <w:lang w:eastAsia="en-GB"/>
              </w:rPr>
            </w:pPr>
          </w:p>
        </w:tc>
        <w:tc>
          <w:tcPr>
            <w:tcW w:w="1072" w:type="pct"/>
            <w:tcBorders>
              <w:top w:val="nil"/>
              <w:left w:val="nil"/>
              <w:bottom w:val="nil"/>
              <w:right w:val="nil"/>
            </w:tcBorders>
            <w:shd w:val="clear" w:color="auto" w:fill="auto"/>
            <w:noWrap/>
            <w:vAlign w:val="bottom"/>
            <w:hideMark/>
          </w:tcPr>
          <w:p w14:paraId="0AC28430" w14:textId="77777777" w:rsidR="007B36CF" w:rsidRPr="007B36CF" w:rsidRDefault="007B36CF" w:rsidP="007B36CF">
            <w:pPr>
              <w:rPr>
                <w:rFonts w:asciiTheme="minorHAnsi" w:hAnsiTheme="minorHAnsi" w:cstheme="minorHAnsi"/>
                <w:sz w:val="20"/>
                <w:szCs w:val="20"/>
                <w:lang w:eastAsia="en-GB"/>
              </w:rPr>
            </w:pPr>
          </w:p>
        </w:tc>
        <w:tc>
          <w:tcPr>
            <w:tcW w:w="123" w:type="pct"/>
            <w:tcBorders>
              <w:top w:val="nil"/>
              <w:left w:val="nil"/>
              <w:bottom w:val="nil"/>
              <w:right w:val="nil"/>
            </w:tcBorders>
            <w:shd w:val="clear" w:color="auto" w:fill="auto"/>
            <w:noWrap/>
            <w:vAlign w:val="bottom"/>
            <w:hideMark/>
          </w:tcPr>
          <w:p w14:paraId="6355D850" w14:textId="77777777" w:rsidR="007B36CF" w:rsidRPr="007B36CF" w:rsidRDefault="007B36CF" w:rsidP="007B36CF">
            <w:pPr>
              <w:rPr>
                <w:rFonts w:asciiTheme="minorHAnsi" w:hAnsiTheme="minorHAnsi" w:cstheme="minorHAnsi"/>
                <w:sz w:val="20"/>
                <w:szCs w:val="20"/>
                <w:lang w:eastAsia="en-GB"/>
              </w:rPr>
            </w:pPr>
          </w:p>
        </w:tc>
        <w:tc>
          <w:tcPr>
            <w:tcW w:w="502" w:type="pct"/>
            <w:tcBorders>
              <w:top w:val="nil"/>
              <w:left w:val="single" w:sz="8" w:space="0" w:color="auto"/>
              <w:bottom w:val="single" w:sz="4" w:space="0" w:color="auto"/>
              <w:right w:val="nil"/>
            </w:tcBorders>
            <w:shd w:val="clear" w:color="auto" w:fill="auto"/>
            <w:noWrap/>
            <w:vAlign w:val="center"/>
            <w:hideMark/>
          </w:tcPr>
          <w:p w14:paraId="6F585BB6"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3</w:t>
            </w:r>
          </w:p>
        </w:tc>
        <w:tc>
          <w:tcPr>
            <w:tcW w:w="814" w:type="pct"/>
            <w:tcBorders>
              <w:top w:val="nil"/>
              <w:left w:val="single" w:sz="8" w:space="0" w:color="auto"/>
              <w:bottom w:val="single" w:sz="4" w:space="0" w:color="auto"/>
              <w:right w:val="single" w:sz="8" w:space="0" w:color="auto"/>
            </w:tcBorders>
            <w:shd w:val="clear" w:color="auto" w:fill="auto"/>
            <w:noWrap/>
            <w:vAlign w:val="center"/>
            <w:hideMark/>
          </w:tcPr>
          <w:p w14:paraId="2BC34F7A"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29,861.00 </w:t>
            </w:r>
          </w:p>
        </w:tc>
        <w:tc>
          <w:tcPr>
            <w:tcW w:w="814" w:type="pct"/>
            <w:tcBorders>
              <w:top w:val="nil"/>
              <w:left w:val="nil"/>
              <w:bottom w:val="single" w:sz="4" w:space="0" w:color="auto"/>
              <w:right w:val="nil"/>
            </w:tcBorders>
            <w:shd w:val="clear" w:color="auto" w:fill="auto"/>
            <w:noWrap/>
            <w:vAlign w:val="center"/>
            <w:hideMark/>
          </w:tcPr>
          <w:p w14:paraId="7ECCC69F"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5,978.29 </w:t>
            </w:r>
          </w:p>
        </w:tc>
        <w:tc>
          <w:tcPr>
            <w:tcW w:w="814" w:type="pct"/>
            <w:tcBorders>
              <w:top w:val="nil"/>
              <w:left w:val="single" w:sz="8" w:space="0" w:color="auto"/>
              <w:bottom w:val="single" w:sz="4" w:space="0" w:color="auto"/>
              <w:right w:val="single" w:sz="8" w:space="0" w:color="auto"/>
            </w:tcBorders>
            <w:shd w:val="clear" w:color="auto" w:fill="auto"/>
            <w:noWrap/>
            <w:vAlign w:val="center"/>
            <w:hideMark/>
          </w:tcPr>
          <w:p w14:paraId="10ECB0A9"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23,882.71 </w:t>
            </w:r>
          </w:p>
        </w:tc>
      </w:tr>
      <w:tr w:rsidR="007B36CF" w:rsidRPr="007B36CF" w14:paraId="3FD1735E" w14:textId="77777777" w:rsidTr="007B36CF">
        <w:trPr>
          <w:trHeight w:val="300"/>
        </w:trPr>
        <w:tc>
          <w:tcPr>
            <w:tcW w:w="861" w:type="pct"/>
            <w:tcBorders>
              <w:top w:val="single" w:sz="8" w:space="0" w:color="auto"/>
              <w:left w:val="single" w:sz="8" w:space="0" w:color="auto"/>
              <w:bottom w:val="single" w:sz="4" w:space="0" w:color="auto"/>
              <w:right w:val="single" w:sz="8" w:space="0" w:color="auto"/>
            </w:tcBorders>
            <w:shd w:val="clear" w:color="auto" w:fill="auto"/>
            <w:noWrap/>
            <w:vAlign w:val="bottom"/>
            <w:hideMark/>
          </w:tcPr>
          <w:p w14:paraId="73ABA610" w14:textId="77777777" w:rsidR="007B36CF" w:rsidRPr="007B36CF" w:rsidRDefault="007B36CF" w:rsidP="007B36CF">
            <w:pP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Difference</w:t>
            </w:r>
          </w:p>
        </w:tc>
        <w:tc>
          <w:tcPr>
            <w:tcW w:w="1072" w:type="pct"/>
            <w:tcBorders>
              <w:top w:val="single" w:sz="8" w:space="0" w:color="auto"/>
              <w:left w:val="nil"/>
              <w:bottom w:val="single" w:sz="4" w:space="0" w:color="auto"/>
              <w:right w:val="single" w:sz="8" w:space="0" w:color="auto"/>
            </w:tcBorders>
            <w:shd w:val="clear" w:color="auto" w:fill="auto"/>
            <w:noWrap/>
            <w:vAlign w:val="center"/>
            <w:hideMark/>
          </w:tcPr>
          <w:p w14:paraId="1B0E9E97" w14:textId="6D50629B"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w:t>
            </w:r>
            <w:r w:rsidR="00910F94" w:rsidRPr="007B36CF">
              <w:rPr>
                <w:rFonts w:asciiTheme="minorHAnsi" w:hAnsiTheme="minorHAnsi" w:cstheme="minorHAnsi"/>
                <w:color w:val="000000"/>
                <w:sz w:val="20"/>
                <w:szCs w:val="20"/>
                <w:lang w:eastAsia="en-GB"/>
              </w:rPr>
              <w:t>£ 131,522.30</w:t>
            </w:r>
            <w:r w:rsidRPr="007B36CF">
              <w:rPr>
                <w:rFonts w:asciiTheme="minorHAnsi" w:hAnsiTheme="minorHAnsi" w:cstheme="minorHAnsi"/>
                <w:color w:val="000000"/>
                <w:sz w:val="20"/>
                <w:szCs w:val="20"/>
                <w:lang w:eastAsia="en-GB"/>
              </w:rPr>
              <w:t xml:space="preserve"> </w:t>
            </w:r>
          </w:p>
        </w:tc>
        <w:tc>
          <w:tcPr>
            <w:tcW w:w="123" w:type="pct"/>
            <w:tcBorders>
              <w:top w:val="nil"/>
              <w:left w:val="nil"/>
              <w:bottom w:val="nil"/>
              <w:right w:val="nil"/>
            </w:tcBorders>
            <w:shd w:val="clear" w:color="auto" w:fill="auto"/>
            <w:noWrap/>
            <w:vAlign w:val="bottom"/>
            <w:hideMark/>
          </w:tcPr>
          <w:p w14:paraId="1AE6B431" w14:textId="77777777" w:rsidR="007B36CF" w:rsidRPr="007B36CF" w:rsidRDefault="007B36CF" w:rsidP="007B36CF">
            <w:pPr>
              <w:jc w:val="center"/>
              <w:rPr>
                <w:rFonts w:asciiTheme="minorHAnsi" w:hAnsiTheme="minorHAnsi" w:cstheme="minorHAnsi"/>
                <w:color w:val="000000"/>
                <w:sz w:val="20"/>
                <w:szCs w:val="20"/>
                <w:lang w:eastAsia="en-GB"/>
              </w:rPr>
            </w:pPr>
          </w:p>
        </w:tc>
        <w:tc>
          <w:tcPr>
            <w:tcW w:w="502" w:type="pct"/>
            <w:tcBorders>
              <w:top w:val="nil"/>
              <w:left w:val="single" w:sz="8" w:space="0" w:color="auto"/>
              <w:bottom w:val="single" w:sz="4" w:space="0" w:color="auto"/>
              <w:right w:val="nil"/>
            </w:tcBorders>
            <w:shd w:val="clear" w:color="auto" w:fill="auto"/>
            <w:noWrap/>
            <w:vAlign w:val="center"/>
            <w:hideMark/>
          </w:tcPr>
          <w:p w14:paraId="1F9B6B28"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4</w:t>
            </w:r>
          </w:p>
        </w:tc>
        <w:tc>
          <w:tcPr>
            <w:tcW w:w="814" w:type="pct"/>
            <w:tcBorders>
              <w:top w:val="nil"/>
              <w:left w:val="single" w:sz="8" w:space="0" w:color="auto"/>
              <w:bottom w:val="single" w:sz="4" w:space="0" w:color="auto"/>
              <w:right w:val="single" w:sz="8" w:space="0" w:color="auto"/>
            </w:tcBorders>
            <w:shd w:val="clear" w:color="auto" w:fill="auto"/>
            <w:noWrap/>
            <w:vAlign w:val="center"/>
            <w:hideMark/>
          </w:tcPr>
          <w:p w14:paraId="286AAF94"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48,611.00 </w:t>
            </w:r>
          </w:p>
        </w:tc>
        <w:tc>
          <w:tcPr>
            <w:tcW w:w="814" w:type="pct"/>
            <w:tcBorders>
              <w:top w:val="nil"/>
              <w:left w:val="nil"/>
              <w:bottom w:val="single" w:sz="4" w:space="0" w:color="auto"/>
              <w:right w:val="nil"/>
            </w:tcBorders>
            <w:shd w:val="clear" w:color="auto" w:fill="auto"/>
            <w:noWrap/>
            <w:vAlign w:val="center"/>
            <w:hideMark/>
          </w:tcPr>
          <w:p w14:paraId="1FDE96A3"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5,978.29 </w:t>
            </w:r>
          </w:p>
        </w:tc>
        <w:tc>
          <w:tcPr>
            <w:tcW w:w="814" w:type="pct"/>
            <w:tcBorders>
              <w:top w:val="nil"/>
              <w:left w:val="single" w:sz="8" w:space="0" w:color="auto"/>
              <w:bottom w:val="single" w:sz="4" w:space="0" w:color="auto"/>
              <w:right w:val="single" w:sz="8" w:space="0" w:color="auto"/>
            </w:tcBorders>
            <w:shd w:val="clear" w:color="auto" w:fill="auto"/>
            <w:noWrap/>
            <w:vAlign w:val="center"/>
            <w:hideMark/>
          </w:tcPr>
          <w:p w14:paraId="3945A4D6"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42,632.71 </w:t>
            </w:r>
          </w:p>
        </w:tc>
      </w:tr>
      <w:tr w:rsidR="007B36CF" w:rsidRPr="007B36CF" w14:paraId="3F710BAB" w14:textId="77777777" w:rsidTr="007B36CF">
        <w:trPr>
          <w:trHeight w:val="300"/>
        </w:trPr>
        <w:tc>
          <w:tcPr>
            <w:tcW w:w="861" w:type="pct"/>
            <w:tcBorders>
              <w:top w:val="nil"/>
              <w:left w:val="single" w:sz="8" w:space="0" w:color="auto"/>
              <w:bottom w:val="single" w:sz="4" w:space="0" w:color="auto"/>
              <w:right w:val="single" w:sz="8" w:space="0" w:color="auto"/>
            </w:tcBorders>
            <w:shd w:val="clear" w:color="auto" w:fill="auto"/>
            <w:noWrap/>
            <w:vAlign w:val="bottom"/>
            <w:hideMark/>
          </w:tcPr>
          <w:p w14:paraId="6143BDE1" w14:textId="77777777" w:rsidR="007B36CF" w:rsidRPr="007B36CF" w:rsidRDefault="007B36CF" w:rsidP="007B36CF">
            <w:pP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Depreciation</w:t>
            </w:r>
          </w:p>
        </w:tc>
        <w:tc>
          <w:tcPr>
            <w:tcW w:w="1072" w:type="pct"/>
            <w:tcBorders>
              <w:top w:val="nil"/>
              <w:left w:val="nil"/>
              <w:bottom w:val="single" w:sz="4" w:space="0" w:color="auto"/>
              <w:right w:val="single" w:sz="8" w:space="0" w:color="auto"/>
            </w:tcBorders>
            <w:shd w:val="clear" w:color="auto" w:fill="auto"/>
            <w:noWrap/>
            <w:vAlign w:val="center"/>
            <w:hideMark/>
          </w:tcPr>
          <w:p w14:paraId="7ED84DAE"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5,978.29 </w:t>
            </w:r>
          </w:p>
        </w:tc>
        <w:tc>
          <w:tcPr>
            <w:tcW w:w="123" w:type="pct"/>
            <w:tcBorders>
              <w:top w:val="nil"/>
              <w:left w:val="nil"/>
              <w:bottom w:val="nil"/>
              <w:right w:val="nil"/>
            </w:tcBorders>
            <w:shd w:val="clear" w:color="auto" w:fill="auto"/>
            <w:noWrap/>
            <w:vAlign w:val="bottom"/>
            <w:hideMark/>
          </w:tcPr>
          <w:p w14:paraId="4B291076" w14:textId="77777777" w:rsidR="007B36CF" w:rsidRPr="007B36CF" w:rsidRDefault="007B36CF" w:rsidP="007B36CF">
            <w:pPr>
              <w:jc w:val="center"/>
              <w:rPr>
                <w:rFonts w:asciiTheme="minorHAnsi" w:hAnsiTheme="minorHAnsi" w:cstheme="minorHAnsi"/>
                <w:color w:val="000000"/>
                <w:sz w:val="20"/>
                <w:szCs w:val="20"/>
                <w:lang w:eastAsia="en-GB"/>
              </w:rPr>
            </w:pPr>
          </w:p>
        </w:tc>
        <w:tc>
          <w:tcPr>
            <w:tcW w:w="502" w:type="pct"/>
            <w:tcBorders>
              <w:top w:val="nil"/>
              <w:left w:val="single" w:sz="8" w:space="0" w:color="auto"/>
              <w:bottom w:val="single" w:sz="4" w:space="0" w:color="auto"/>
              <w:right w:val="nil"/>
            </w:tcBorders>
            <w:shd w:val="clear" w:color="auto" w:fill="auto"/>
            <w:noWrap/>
            <w:vAlign w:val="center"/>
            <w:hideMark/>
          </w:tcPr>
          <w:p w14:paraId="01694946"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5</w:t>
            </w:r>
          </w:p>
        </w:tc>
        <w:tc>
          <w:tcPr>
            <w:tcW w:w="814" w:type="pct"/>
            <w:tcBorders>
              <w:top w:val="nil"/>
              <w:left w:val="single" w:sz="8" w:space="0" w:color="auto"/>
              <w:bottom w:val="single" w:sz="4" w:space="0" w:color="auto"/>
              <w:right w:val="single" w:sz="8" w:space="0" w:color="auto"/>
            </w:tcBorders>
            <w:shd w:val="clear" w:color="auto" w:fill="auto"/>
            <w:noWrap/>
            <w:vAlign w:val="center"/>
            <w:hideMark/>
          </w:tcPr>
          <w:p w14:paraId="3F2CC411"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32,247.00 </w:t>
            </w:r>
          </w:p>
        </w:tc>
        <w:tc>
          <w:tcPr>
            <w:tcW w:w="814" w:type="pct"/>
            <w:tcBorders>
              <w:top w:val="nil"/>
              <w:left w:val="nil"/>
              <w:bottom w:val="single" w:sz="4" w:space="0" w:color="auto"/>
              <w:right w:val="nil"/>
            </w:tcBorders>
            <w:shd w:val="clear" w:color="auto" w:fill="auto"/>
            <w:noWrap/>
            <w:vAlign w:val="center"/>
            <w:hideMark/>
          </w:tcPr>
          <w:p w14:paraId="336A9E83"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5,978.29 </w:t>
            </w:r>
          </w:p>
        </w:tc>
        <w:tc>
          <w:tcPr>
            <w:tcW w:w="814" w:type="pct"/>
            <w:tcBorders>
              <w:top w:val="nil"/>
              <w:left w:val="single" w:sz="8" w:space="0" w:color="auto"/>
              <w:bottom w:val="single" w:sz="4" w:space="0" w:color="auto"/>
              <w:right w:val="single" w:sz="8" w:space="0" w:color="auto"/>
            </w:tcBorders>
            <w:shd w:val="clear" w:color="auto" w:fill="auto"/>
            <w:noWrap/>
            <w:vAlign w:val="center"/>
            <w:hideMark/>
          </w:tcPr>
          <w:p w14:paraId="1C4FE0D5"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26,268.71 </w:t>
            </w:r>
          </w:p>
        </w:tc>
      </w:tr>
      <w:tr w:rsidR="007B36CF" w:rsidRPr="007B36CF" w14:paraId="10545396" w14:textId="77777777" w:rsidTr="007B36CF">
        <w:trPr>
          <w:trHeight w:val="315"/>
        </w:trPr>
        <w:tc>
          <w:tcPr>
            <w:tcW w:w="861" w:type="pct"/>
            <w:tcBorders>
              <w:top w:val="nil"/>
              <w:left w:val="single" w:sz="8" w:space="0" w:color="auto"/>
              <w:bottom w:val="nil"/>
              <w:right w:val="single" w:sz="8" w:space="0" w:color="auto"/>
            </w:tcBorders>
            <w:shd w:val="clear" w:color="auto" w:fill="auto"/>
            <w:noWrap/>
            <w:vAlign w:val="bottom"/>
            <w:hideMark/>
          </w:tcPr>
          <w:p w14:paraId="6ED9731D" w14:textId="77777777" w:rsidR="007B36CF" w:rsidRPr="007B36CF" w:rsidRDefault="007B36CF" w:rsidP="007B36CF">
            <w:pP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Average Investment</w:t>
            </w:r>
          </w:p>
        </w:tc>
        <w:tc>
          <w:tcPr>
            <w:tcW w:w="1072" w:type="pct"/>
            <w:tcBorders>
              <w:top w:val="nil"/>
              <w:left w:val="nil"/>
              <w:bottom w:val="nil"/>
              <w:right w:val="single" w:sz="8" w:space="0" w:color="auto"/>
            </w:tcBorders>
            <w:shd w:val="clear" w:color="auto" w:fill="auto"/>
            <w:noWrap/>
            <w:vAlign w:val="center"/>
            <w:hideMark/>
          </w:tcPr>
          <w:p w14:paraId="27221121"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65,761.15 </w:t>
            </w:r>
          </w:p>
        </w:tc>
        <w:tc>
          <w:tcPr>
            <w:tcW w:w="123" w:type="pct"/>
            <w:tcBorders>
              <w:top w:val="nil"/>
              <w:left w:val="nil"/>
              <w:bottom w:val="nil"/>
              <w:right w:val="nil"/>
            </w:tcBorders>
            <w:shd w:val="clear" w:color="auto" w:fill="auto"/>
            <w:noWrap/>
            <w:vAlign w:val="bottom"/>
            <w:hideMark/>
          </w:tcPr>
          <w:p w14:paraId="60F7E08D" w14:textId="77777777" w:rsidR="007B36CF" w:rsidRPr="007B36CF" w:rsidRDefault="007B36CF" w:rsidP="007B36CF">
            <w:pPr>
              <w:jc w:val="center"/>
              <w:rPr>
                <w:rFonts w:asciiTheme="minorHAnsi" w:hAnsiTheme="minorHAnsi" w:cstheme="minorHAnsi"/>
                <w:color w:val="000000"/>
                <w:sz w:val="20"/>
                <w:szCs w:val="20"/>
                <w:lang w:eastAsia="en-GB"/>
              </w:rPr>
            </w:pPr>
          </w:p>
        </w:tc>
        <w:tc>
          <w:tcPr>
            <w:tcW w:w="502" w:type="pct"/>
            <w:tcBorders>
              <w:top w:val="nil"/>
              <w:left w:val="single" w:sz="8" w:space="0" w:color="auto"/>
              <w:bottom w:val="single" w:sz="4" w:space="0" w:color="auto"/>
              <w:right w:val="nil"/>
            </w:tcBorders>
            <w:shd w:val="clear" w:color="auto" w:fill="auto"/>
            <w:noWrap/>
            <w:vAlign w:val="center"/>
            <w:hideMark/>
          </w:tcPr>
          <w:p w14:paraId="206E5897"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6</w:t>
            </w:r>
          </w:p>
        </w:tc>
        <w:tc>
          <w:tcPr>
            <w:tcW w:w="814" w:type="pct"/>
            <w:tcBorders>
              <w:top w:val="nil"/>
              <w:left w:val="single" w:sz="8" w:space="0" w:color="auto"/>
              <w:bottom w:val="single" w:sz="4" w:space="0" w:color="auto"/>
              <w:right w:val="single" w:sz="8" w:space="0" w:color="auto"/>
            </w:tcBorders>
            <w:shd w:val="clear" w:color="auto" w:fill="auto"/>
            <w:noWrap/>
            <w:vAlign w:val="center"/>
            <w:hideMark/>
          </w:tcPr>
          <w:p w14:paraId="44496AC1"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27,863.00 </w:t>
            </w:r>
          </w:p>
        </w:tc>
        <w:tc>
          <w:tcPr>
            <w:tcW w:w="814" w:type="pct"/>
            <w:tcBorders>
              <w:top w:val="nil"/>
              <w:left w:val="nil"/>
              <w:bottom w:val="single" w:sz="4" w:space="0" w:color="auto"/>
              <w:right w:val="nil"/>
            </w:tcBorders>
            <w:shd w:val="clear" w:color="auto" w:fill="auto"/>
            <w:noWrap/>
            <w:vAlign w:val="center"/>
            <w:hideMark/>
          </w:tcPr>
          <w:p w14:paraId="4F91360B"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5,978.29 </w:t>
            </w:r>
          </w:p>
        </w:tc>
        <w:tc>
          <w:tcPr>
            <w:tcW w:w="814" w:type="pct"/>
            <w:tcBorders>
              <w:top w:val="nil"/>
              <w:left w:val="single" w:sz="8" w:space="0" w:color="auto"/>
              <w:bottom w:val="single" w:sz="4" w:space="0" w:color="auto"/>
              <w:right w:val="single" w:sz="8" w:space="0" w:color="auto"/>
            </w:tcBorders>
            <w:shd w:val="clear" w:color="auto" w:fill="auto"/>
            <w:noWrap/>
            <w:vAlign w:val="center"/>
            <w:hideMark/>
          </w:tcPr>
          <w:p w14:paraId="10D32C39"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21,884.71 </w:t>
            </w:r>
          </w:p>
        </w:tc>
      </w:tr>
      <w:tr w:rsidR="007B36CF" w:rsidRPr="007B36CF" w14:paraId="790EF1D9" w14:textId="77777777" w:rsidTr="007B36CF">
        <w:trPr>
          <w:trHeight w:val="315"/>
        </w:trPr>
        <w:tc>
          <w:tcPr>
            <w:tcW w:w="861"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E1762E8" w14:textId="77777777" w:rsidR="007B36CF" w:rsidRPr="007B36CF" w:rsidRDefault="007B36CF" w:rsidP="007B36CF">
            <w:pP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Average Profit</w:t>
            </w:r>
          </w:p>
        </w:tc>
        <w:tc>
          <w:tcPr>
            <w:tcW w:w="1072" w:type="pct"/>
            <w:tcBorders>
              <w:top w:val="single" w:sz="8" w:space="0" w:color="auto"/>
              <w:left w:val="nil"/>
              <w:bottom w:val="single" w:sz="8" w:space="0" w:color="auto"/>
              <w:right w:val="single" w:sz="8" w:space="0" w:color="auto"/>
            </w:tcBorders>
            <w:shd w:val="clear" w:color="auto" w:fill="auto"/>
            <w:noWrap/>
            <w:vAlign w:val="center"/>
            <w:hideMark/>
          </w:tcPr>
          <w:p w14:paraId="323A27B6"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24,163.62 </w:t>
            </w:r>
          </w:p>
        </w:tc>
        <w:tc>
          <w:tcPr>
            <w:tcW w:w="123" w:type="pct"/>
            <w:tcBorders>
              <w:top w:val="nil"/>
              <w:left w:val="nil"/>
              <w:bottom w:val="nil"/>
              <w:right w:val="nil"/>
            </w:tcBorders>
            <w:shd w:val="clear" w:color="auto" w:fill="auto"/>
            <w:noWrap/>
            <w:vAlign w:val="bottom"/>
            <w:hideMark/>
          </w:tcPr>
          <w:p w14:paraId="7C124B41" w14:textId="77777777" w:rsidR="007B36CF" w:rsidRPr="007B36CF" w:rsidRDefault="007B36CF" w:rsidP="007B36CF">
            <w:pPr>
              <w:jc w:val="center"/>
              <w:rPr>
                <w:rFonts w:asciiTheme="minorHAnsi" w:hAnsiTheme="minorHAnsi" w:cstheme="minorHAnsi"/>
                <w:color w:val="000000"/>
                <w:sz w:val="20"/>
                <w:szCs w:val="20"/>
                <w:lang w:eastAsia="en-GB"/>
              </w:rPr>
            </w:pPr>
          </w:p>
        </w:tc>
        <w:tc>
          <w:tcPr>
            <w:tcW w:w="502" w:type="pct"/>
            <w:tcBorders>
              <w:top w:val="nil"/>
              <w:left w:val="single" w:sz="8" w:space="0" w:color="auto"/>
              <w:bottom w:val="single" w:sz="4" w:space="0" w:color="auto"/>
              <w:right w:val="nil"/>
            </w:tcBorders>
            <w:shd w:val="clear" w:color="auto" w:fill="auto"/>
            <w:noWrap/>
            <w:vAlign w:val="center"/>
            <w:hideMark/>
          </w:tcPr>
          <w:p w14:paraId="64DDEA28"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7</w:t>
            </w:r>
          </w:p>
        </w:tc>
        <w:tc>
          <w:tcPr>
            <w:tcW w:w="814" w:type="pct"/>
            <w:tcBorders>
              <w:top w:val="nil"/>
              <w:left w:val="single" w:sz="8" w:space="0" w:color="auto"/>
              <w:bottom w:val="single" w:sz="4" w:space="0" w:color="auto"/>
              <w:right w:val="single" w:sz="8" w:space="0" w:color="auto"/>
            </w:tcBorders>
            <w:shd w:val="clear" w:color="auto" w:fill="auto"/>
            <w:noWrap/>
            <w:vAlign w:val="center"/>
            <w:hideMark/>
          </w:tcPr>
          <w:p w14:paraId="306CEFF3"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39,560.00 </w:t>
            </w:r>
          </w:p>
        </w:tc>
        <w:tc>
          <w:tcPr>
            <w:tcW w:w="814" w:type="pct"/>
            <w:tcBorders>
              <w:top w:val="nil"/>
              <w:left w:val="nil"/>
              <w:bottom w:val="single" w:sz="4" w:space="0" w:color="auto"/>
              <w:right w:val="nil"/>
            </w:tcBorders>
            <w:shd w:val="clear" w:color="auto" w:fill="auto"/>
            <w:noWrap/>
            <w:vAlign w:val="center"/>
            <w:hideMark/>
          </w:tcPr>
          <w:p w14:paraId="5E3E1AF0"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5,978.29 </w:t>
            </w:r>
          </w:p>
        </w:tc>
        <w:tc>
          <w:tcPr>
            <w:tcW w:w="814" w:type="pct"/>
            <w:tcBorders>
              <w:top w:val="nil"/>
              <w:left w:val="single" w:sz="8" w:space="0" w:color="auto"/>
              <w:bottom w:val="single" w:sz="4" w:space="0" w:color="auto"/>
              <w:right w:val="single" w:sz="8" w:space="0" w:color="auto"/>
            </w:tcBorders>
            <w:shd w:val="clear" w:color="auto" w:fill="auto"/>
            <w:noWrap/>
            <w:vAlign w:val="center"/>
            <w:hideMark/>
          </w:tcPr>
          <w:p w14:paraId="0F9C44FA"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33,581.71 </w:t>
            </w:r>
          </w:p>
        </w:tc>
      </w:tr>
      <w:tr w:rsidR="007B36CF" w:rsidRPr="007B36CF" w14:paraId="6D780BCF" w14:textId="77777777" w:rsidTr="007B36CF">
        <w:trPr>
          <w:trHeight w:val="315"/>
        </w:trPr>
        <w:tc>
          <w:tcPr>
            <w:tcW w:w="861" w:type="pct"/>
            <w:tcBorders>
              <w:top w:val="nil"/>
              <w:left w:val="single" w:sz="8" w:space="0" w:color="auto"/>
              <w:bottom w:val="single" w:sz="8" w:space="0" w:color="auto"/>
              <w:right w:val="single" w:sz="8" w:space="0" w:color="auto"/>
            </w:tcBorders>
            <w:shd w:val="clear" w:color="auto" w:fill="auto"/>
            <w:noWrap/>
            <w:vAlign w:val="bottom"/>
            <w:hideMark/>
          </w:tcPr>
          <w:p w14:paraId="4D611987" w14:textId="77777777" w:rsidR="007B36CF" w:rsidRPr="007B36CF" w:rsidRDefault="007B36CF" w:rsidP="007B36CF">
            <w:pPr>
              <w:rPr>
                <w:rFonts w:asciiTheme="minorHAnsi" w:hAnsiTheme="minorHAnsi" w:cstheme="minorHAnsi"/>
                <w:color w:val="000000"/>
                <w:sz w:val="20"/>
                <w:szCs w:val="20"/>
                <w:u w:val="single"/>
                <w:lang w:eastAsia="en-GB"/>
              </w:rPr>
            </w:pPr>
            <w:r w:rsidRPr="007B36CF">
              <w:rPr>
                <w:rFonts w:asciiTheme="minorHAnsi" w:hAnsiTheme="minorHAnsi" w:cstheme="minorHAnsi"/>
                <w:color w:val="000000"/>
                <w:sz w:val="20"/>
                <w:szCs w:val="20"/>
                <w:u w:val="single"/>
                <w:lang w:eastAsia="en-GB"/>
              </w:rPr>
              <w:t>ARR</w:t>
            </w:r>
          </w:p>
        </w:tc>
        <w:tc>
          <w:tcPr>
            <w:tcW w:w="1072" w:type="pct"/>
            <w:tcBorders>
              <w:top w:val="nil"/>
              <w:left w:val="nil"/>
              <w:bottom w:val="single" w:sz="8" w:space="0" w:color="auto"/>
              <w:right w:val="single" w:sz="8" w:space="0" w:color="auto"/>
            </w:tcBorders>
            <w:shd w:val="clear" w:color="auto" w:fill="auto"/>
            <w:noWrap/>
            <w:vAlign w:val="center"/>
            <w:hideMark/>
          </w:tcPr>
          <w:p w14:paraId="211D2816" w14:textId="77777777" w:rsidR="007B36CF" w:rsidRPr="007B36CF" w:rsidRDefault="007B36CF" w:rsidP="007B36CF">
            <w:pPr>
              <w:jc w:val="center"/>
              <w:rPr>
                <w:rFonts w:asciiTheme="minorHAnsi" w:hAnsiTheme="minorHAnsi" w:cstheme="minorHAnsi"/>
                <w:color w:val="000000"/>
                <w:sz w:val="20"/>
                <w:szCs w:val="20"/>
                <w:u w:val="single"/>
                <w:lang w:eastAsia="en-GB"/>
              </w:rPr>
            </w:pPr>
            <w:r w:rsidRPr="007B36CF">
              <w:rPr>
                <w:rFonts w:asciiTheme="minorHAnsi" w:hAnsiTheme="minorHAnsi" w:cstheme="minorHAnsi"/>
                <w:color w:val="000000"/>
                <w:sz w:val="20"/>
                <w:szCs w:val="20"/>
                <w:u w:val="single"/>
                <w:lang w:eastAsia="en-GB"/>
              </w:rPr>
              <w:t>36.74%</w:t>
            </w:r>
          </w:p>
        </w:tc>
        <w:tc>
          <w:tcPr>
            <w:tcW w:w="123" w:type="pct"/>
            <w:tcBorders>
              <w:top w:val="nil"/>
              <w:left w:val="nil"/>
              <w:bottom w:val="nil"/>
              <w:right w:val="nil"/>
            </w:tcBorders>
            <w:shd w:val="clear" w:color="auto" w:fill="auto"/>
            <w:noWrap/>
            <w:vAlign w:val="bottom"/>
            <w:hideMark/>
          </w:tcPr>
          <w:p w14:paraId="769797E0" w14:textId="77777777" w:rsidR="007B36CF" w:rsidRPr="007B36CF" w:rsidRDefault="007B36CF" w:rsidP="007B36CF">
            <w:pPr>
              <w:jc w:val="center"/>
              <w:rPr>
                <w:rFonts w:asciiTheme="minorHAnsi" w:hAnsiTheme="minorHAnsi" w:cstheme="minorHAnsi"/>
                <w:color w:val="000000"/>
                <w:sz w:val="20"/>
                <w:szCs w:val="20"/>
                <w:u w:val="single"/>
                <w:lang w:eastAsia="en-GB"/>
              </w:rPr>
            </w:pPr>
          </w:p>
        </w:tc>
        <w:tc>
          <w:tcPr>
            <w:tcW w:w="502" w:type="pct"/>
            <w:tcBorders>
              <w:top w:val="nil"/>
              <w:left w:val="single" w:sz="8" w:space="0" w:color="auto"/>
              <w:bottom w:val="single" w:sz="4" w:space="0" w:color="auto"/>
              <w:right w:val="nil"/>
            </w:tcBorders>
            <w:shd w:val="clear" w:color="auto" w:fill="auto"/>
            <w:noWrap/>
            <w:vAlign w:val="center"/>
            <w:hideMark/>
          </w:tcPr>
          <w:p w14:paraId="30AA5BF2"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8</w:t>
            </w:r>
          </w:p>
        </w:tc>
        <w:tc>
          <w:tcPr>
            <w:tcW w:w="814" w:type="pct"/>
            <w:tcBorders>
              <w:top w:val="nil"/>
              <w:left w:val="single" w:sz="8" w:space="0" w:color="auto"/>
              <w:bottom w:val="single" w:sz="4" w:space="0" w:color="auto"/>
              <w:right w:val="single" w:sz="8" w:space="0" w:color="auto"/>
            </w:tcBorders>
            <w:shd w:val="clear" w:color="auto" w:fill="auto"/>
            <w:noWrap/>
            <w:vAlign w:val="center"/>
            <w:hideMark/>
          </w:tcPr>
          <w:p w14:paraId="1296183A"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32,343.00 </w:t>
            </w:r>
          </w:p>
        </w:tc>
        <w:tc>
          <w:tcPr>
            <w:tcW w:w="814" w:type="pct"/>
            <w:tcBorders>
              <w:top w:val="nil"/>
              <w:left w:val="nil"/>
              <w:bottom w:val="single" w:sz="4" w:space="0" w:color="auto"/>
              <w:right w:val="nil"/>
            </w:tcBorders>
            <w:shd w:val="clear" w:color="auto" w:fill="auto"/>
            <w:noWrap/>
            <w:vAlign w:val="center"/>
            <w:hideMark/>
          </w:tcPr>
          <w:p w14:paraId="232C1D39"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5,978.29 </w:t>
            </w:r>
          </w:p>
        </w:tc>
        <w:tc>
          <w:tcPr>
            <w:tcW w:w="814" w:type="pct"/>
            <w:tcBorders>
              <w:top w:val="nil"/>
              <w:left w:val="single" w:sz="8" w:space="0" w:color="auto"/>
              <w:bottom w:val="single" w:sz="4" w:space="0" w:color="auto"/>
              <w:right w:val="single" w:sz="8" w:space="0" w:color="auto"/>
            </w:tcBorders>
            <w:shd w:val="clear" w:color="auto" w:fill="auto"/>
            <w:noWrap/>
            <w:vAlign w:val="center"/>
            <w:hideMark/>
          </w:tcPr>
          <w:p w14:paraId="6E69D75D"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26,364.71 </w:t>
            </w:r>
          </w:p>
        </w:tc>
      </w:tr>
      <w:tr w:rsidR="007B36CF" w:rsidRPr="007B36CF" w14:paraId="21F61F51" w14:textId="77777777" w:rsidTr="007B36CF">
        <w:trPr>
          <w:trHeight w:val="315"/>
        </w:trPr>
        <w:tc>
          <w:tcPr>
            <w:tcW w:w="861" w:type="pct"/>
            <w:tcBorders>
              <w:top w:val="nil"/>
              <w:left w:val="single" w:sz="8" w:space="0" w:color="auto"/>
              <w:bottom w:val="single" w:sz="8" w:space="0" w:color="auto"/>
              <w:right w:val="single" w:sz="8" w:space="0" w:color="auto"/>
            </w:tcBorders>
            <w:shd w:val="clear" w:color="auto" w:fill="auto"/>
            <w:noWrap/>
            <w:vAlign w:val="bottom"/>
            <w:hideMark/>
          </w:tcPr>
          <w:p w14:paraId="3169FC4F" w14:textId="77777777" w:rsidR="007B36CF" w:rsidRPr="007B36CF" w:rsidRDefault="007B36CF" w:rsidP="007B36CF">
            <w:pP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Total Cashflow</w:t>
            </w:r>
          </w:p>
        </w:tc>
        <w:tc>
          <w:tcPr>
            <w:tcW w:w="1072" w:type="pct"/>
            <w:tcBorders>
              <w:top w:val="nil"/>
              <w:left w:val="nil"/>
              <w:bottom w:val="single" w:sz="8" w:space="0" w:color="auto"/>
              <w:right w:val="single" w:sz="8" w:space="0" w:color="auto"/>
            </w:tcBorders>
            <w:shd w:val="clear" w:color="auto" w:fill="auto"/>
            <w:noWrap/>
            <w:vAlign w:val="center"/>
            <w:hideMark/>
          </w:tcPr>
          <w:p w14:paraId="4A014322" w14:textId="21FD9BAE"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w:t>
            </w:r>
            <w:r w:rsidR="00910F94" w:rsidRPr="007B36CF">
              <w:rPr>
                <w:rFonts w:asciiTheme="minorHAnsi" w:hAnsiTheme="minorHAnsi" w:cstheme="minorHAnsi"/>
                <w:color w:val="000000"/>
                <w:sz w:val="20"/>
                <w:szCs w:val="20"/>
                <w:lang w:eastAsia="en-GB"/>
              </w:rPr>
              <w:t>£ 663,122.00</w:t>
            </w:r>
            <w:r w:rsidRPr="007B36CF">
              <w:rPr>
                <w:rFonts w:asciiTheme="minorHAnsi" w:hAnsiTheme="minorHAnsi" w:cstheme="minorHAnsi"/>
                <w:color w:val="000000"/>
                <w:sz w:val="20"/>
                <w:szCs w:val="20"/>
                <w:lang w:eastAsia="en-GB"/>
              </w:rPr>
              <w:t xml:space="preserve"> </w:t>
            </w:r>
          </w:p>
        </w:tc>
        <w:tc>
          <w:tcPr>
            <w:tcW w:w="123" w:type="pct"/>
            <w:tcBorders>
              <w:top w:val="nil"/>
              <w:left w:val="nil"/>
              <w:bottom w:val="nil"/>
              <w:right w:val="nil"/>
            </w:tcBorders>
            <w:shd w:val="clear" w:color="auto" w:fill="auto"/>
            <w:noWrap/>
            <w:vAlign w:val="bottom"/>
            <w:hideMark/>
          </w:tcPr>
          <w:p w14:paraId="2D79406D" w14:textId="77777777" w:rsidR="007B36CF" w:rsidRPr="007B36CF" w:rsidRDefault="007B36CF" w:rsidP="007B36CF">
            <w:pPr>
              <w:jc w:val="center"/>
              <w:rPr>
                <w:rFonts w:asciiTheme="minorHAnsi" w:hAnsiTheme="minorHAnsi" w:cstheme="minorHAnsi"/>
                <w:color w:val="000000"/>
                <w:sz w:val="20"/>
                <w:szCs w:val="20"/>
                <w:lang w:eastAsia="en-GB"/>
              </w:rPr>
            </w:pPr>
          </w:p>
        </w:tc>
        <w:tc>
          <w:tcPr>
            <w:tcW w:w="502" w:type="pct"/>
            <w:tcBorders>
              <w:top w:val="nil"/>
              <w:left w:val="single" w:sz="8" w:space="0" w:color="auto"/>
              <w:bottom w:val="single" w:sz="4" w:space="0" w:color="auto"/>
              <w:right w:val="nil"/>
            </w:tcBorders>
            <w:shd w:val="clear" w:color="auto" w:fill="auto"/>
            <w:noWrap/>
            <w:vAlign w:val="center"/>
            <w:hideMark/>
          </w:tcPr>
          <w:p w14:paraId="1FA95D9B"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9</w:t>
            </w:r>
          </w:p>
        </w:tc>
        <w:tc>
          <w:tcPr>
            <w:tcW w:w="814" w:type="pct"/>
            <w:tcBorders>
              <w:top w:val="nil"/>
              <w:left w:val="single" w:sz="8" w:space="0" w:color="auto"/>
              <w:bottom w:val="single" w:sz="4" w:space="0" w:color="auto"/>
              <w:right w:val="single" w:sz="8" w:space="0" w:color="auto"/>
            </w:tcBorders>
            <w:shd w:val="clear" w:color="auto" w:fill="auto"/>
            <w:noWrap/>
            <w:vAlign w:val="center"/>
            <w:hideMark/>
          </w:tcPr>
          <w:p w14:paraId="3F78CC24"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35,404.00 </w:t>
            </w:r>
          </w:p>
        </w:tc>
        <w:tc>
          <w:tcPr>
            <w:tcW w:w="814" w:type="pct"/>
            <w:tcBorders>
              <w:top w:val="nil"/>
              <w:left w:val="nil"/>
              <w:bottom w:val="single" w:sz="4" w:space="0" w:color="auto"/>
              <w:right w:val="nil"/>
            </w:tcBorders>
            <w:shd w:val="clear" w:color="auto" w:fill="auto"/>
            <w:noWrap/>
            <w:vAlign w:val="center"/>
            <w:hideMark/>
          </w:tcPr>
          <w:p w14:paraId="183C49D6"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5,978.29 </w:t>
            </w:r>
          </w:p>
        </w:tc>
        <w:tc>
          <w:tcPr>
            <w:tcW w:w="814" w:type="pct"/>
            <w:tcBorders>
              <w:top w:val="nil"/>
              <w:left w:val="single" w:sz="8" w:space="0" w:color="auto"/>
              <w:bottom w:val="single" w:sz="4" w:space="0" w:color="auto"/>
              <w:right w:val="single" w:sz="8" w:space="0" w:color="auto"/>
            </w:tcBorders>
            <w:shd w:val="clear" w:color="auto" w:fill="auto"/>
            <w:noWrap/>
            <w:vAlign w:val="center"/>
            <w:hideMark/>
          </w:tcPr>
          <w:p w14:paraId="5BE95887"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29,425.71 </w:t>
            </w:r>
          </w:p>
        </w:tc>
      </w:tr>
      <w:tr w:rsidR="007B36CF" w:rsidRPr="007B36CF" w14:paraId="5D2B0D9E" w14:textId="77777777" w:rsidTr="007B36CF">
        <w:trPr>
          <w:trHeight w:val="315"/>
        </w:trPr>
        <w:tc>
          <w:tcPr>
            <w:tcW w:w="861" w:type="pct"/>
            <w:tcBorders>
              <w:top w:val="nil"/>
              <w:left w:val="single" w:sz="8" w:space="0" w:color="auto"/>
              <w:bottom w:val="single" w:sz="8" w:space="0" w:color="auto"/>
              <w:right w:val="single" w:sz="8" w:space="0" w:color="auto"/>
            </w:tcBorders>
            <w:shd w:val="clear" w:color="auto" w:fill="auto"/>
            <w:noWrap/>
            <w:vAlign w:val="bottom"/>
            <w:hideMark/>
          </w:tcPr>
          <w:p w14:paraId="7A1C2BF5" w14:textId="77777777" w:rsidR="007B36CF" w:rsidRPr="007B36CF" w:rsidRDefault="007B36CF" w:rsidP="007B36CF">
            <w:pP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Net Income/Profit</w:t>
            </w:r>
          </w:p>
        </w:tc>
        <w:tc>
          <w:tcPr>
            <w:tcW w:w="1072" w:type="pct"/>
            <w:tcBorders>
              <w:top w:val="nil"/>
              <w:left w:val="nil"/>
              <w:bottom w:val="single" w:sz="8" w:space="0" w:color="auto"/>
              <w:right w:val="single" w:sz="8" w:space="0" w:color="auto"/>
            </w:tcBorders>
            <w:shd w:val="clear" w:color="auto" w:fill="auto"/>
            <w:noWrap/>
            <w:vAlign w:val="center"/>
            <w:hideMark/>
          </w:tcPr>
          <w:p w14:paraId="25CF456D" w14:textId="4F563740"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w:t>
            </w:r>
            <w:r w:rsidR="00910F94" w:rsidRPr="007B36CF">
              <w:rPr>
                <w:rFonts w:asciiTheme="minorHAnsi" w:hAnsiTheme="minorHAnsi" w:cstheme="minorHAnsi"/>
                <w:color w:val="000000"/>
                <w:sz w:val="20"/>
                <w:szCs w:val="20"/>
                <w:lang w:eastAsia="en-GB"/>
              </w:rPr>
              <w:t>£ 531,599.70</w:t>
            </w:r>
            <w:r w:rsidRPr="007B36CF">
              <w:rPr>
                <w:rFonts w:asciiTheme="minorHAnsi" w:hAnsiTheme="minorHAnsi" w:cstheme="minorHAnsi"/>
                <w:color w:val="000000"/>
                <w:sz w:val="20"/>
                <w:szCs w:val="20"/>
                <w:lang w:eastAsia="en-GB"/>
              </w:rPr>
              <w:t xml:space="preserve"> </w:t>
            </w:r>
          </w:p>
        </w:tc>
        <w:tc>
          <w:tcPr>
            <w:tcW w:w="123" w:type="pct"/>
            <w:tcBorders>
              <w:top w:val="nil"/>
              <w:left w:val="nil"/>
              <w:bottom w:val="nil"/>
              <w:right w:val="nil"/>
            </w:tcBorders>
            <w:shd w:val="clear" w:color="auto" w:fill="auto"/>
            <w:noWrap/>
            <w:vAlign w:val="bottom"/>
            <w:hideMark/>
          </w:tcPr>
          <w:p w14:paraId="1BA71DF9" w14:textId="77777777" w:rsidR="007B36CF" w:rsidRPr="007B36CF" w:rsidRDefault="007B36CF" w:rsidP="007B36CF">
            <w:pPr>
              <w:jc w:val="center"/>
              <w:rPr>
                <w:rFonts w:asciiTheme="minorHAnsi" w:hAnsiTheme="minorHAnsi" w:cstheme="minorHAnsi"/>
                <w:color w:val="000000"/>
                <w:sz w:val="20"/>
                <w:szCs w:val="20"/>
                <w:lang w:eastAsia="en-GB"/>
              </w:rPr>
            </w:pPr>
          </w:p>
        </w:tc>
        <w:tc>
          <w:tcPr>
            <w:tcW w:w="502" w:type="pct"/>
            <w:tcBorders>
              <w:top w:val="nil"/>
              <w:left w:val="single" w:sz="8" w:space="0" w:color="auto"/>
              <w:bottom w:val="single" w:sz="8" w:space="0" w:color="auto"/>
              <w:right w:val="nil"/>
            </w:tcBorders>
            <w:shd w:val="clear" w:color="auto" w:fill="auto"/>
            <w:noWrap/>
            <w:vAlign w:val="center"/>
            <w:hideMark/>
          </w:tcPr>
          <w:p w14:paraId="753595D9"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10</w:t>
            </w:r>
          </w:p>
        </w:tc>
        <w:tc>
          <w:tcPr>
            <w:tcW w:w="814" w:type="pct"/>
            <w:tcBorders>
              <w:top w:val="nil"/>
              <w:left w:val="single" w:sz="8" w:space="0" w:color="auto"/>
              <w:bottom w:val="single" w:sz="8" w:space="0" w:color="auto"/>
              <w:right w:val="single" w:sz="8" w:space="0" w:color="auto"/>
            </w:tcBorders>
            <w:shd w:val="clear" w:color="auto" w:fill="auto"/>
            <w:noWrap/>
            <w:vAlign w:val="center"/>
            <w:hideMark/>
          </w:tcPr>
          <w:p w14:paraId="23C28F1C"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37,324.00 </w:t>
            </w:r>
          </w:p>
        </w:tc>
        <w:tc>
          <w:tcPr>
            <w:tcW w:w="814" w:type="pct"/>
            <w:tcBorders>
              <w:top w:val="nil"/>
              <w:left w:val="nil"/>
              <w:bottom w:val="single" w:sz="8" w:space="0" w:color="auto"/>
              <w:right w:val="nil"/>
            </w:tcBorders>
            <w:shd w:val="clear" w:color="auto" w:fill="auto"/>
            <w:noWrap/>
            <w:vAlign w:val="center"/>
            <w:hideMark/>
          </w:tcPr>
          <w:p w14:paraId="79F8E096"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5,978.29 </w:t>
            </w:r>
          </w:p>
        </w:tc>
        <w:tc>
          <w:tcPr>
            <w:tcW w:w="814" w:type="pct"/>
            <w:tcBorders>
              <w:top w:val="nil"/>
              <w:left w:val="single" w:sz="8" w:space="0" w:color="auto"/>
              <w:bottom w:val="single" w:sz="8" w:space="0" w:color="auto"/>
              <w:right w:val="single" w:sz="8" w:space="0" w:color="auto"/>
            </w:tcBorders>
            <w:shd w:val="clear" w:color="auto" w:fill="auto"/>
            <w:noWrap/>
            <w:vAlign w:val="center"/>
            <w:hideMark/>
          </w:tcPr>
          <w:p w14:paraId="5BCCDC44"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31,345.71 </w:t>
            </w:r>
          </w:p>
        </w:tc>
      </w:tr>
      <w:tr w:rsidR="007B36CF" w:rsidRPr="007B36CF" w14:paraId="212C9393" w14:textId="77777777" w:rsidTr="007B36CF">
        <w:trPr>
          <w:trHeight w:val="300"/>
        </w:trPr>
        <w:tc>
          <w:tcPr>
            <w:tcW w:w="861" w:type="pct"/>
            <w:tcBorders>
              <w:top w:val="nil"/>
              <w:left w:val="nil"/>
              <w:bottom w:val="nil"/>
              <w:right w:val="nil"/>
            </w:tcBorders>
            <w:shd w:val="clear" w:color="auto" w:fill="auto"/>
            <w:noWrap/>
            <w:vAlign w:val="bottom"/>
            <w:hideMark/>
          </w:tcPr>
          <w:p w14:paraId="57B65C56" w14:textId="77777777" w:rsidR="007B36CF" w:rsidRPr="007B36CF" w:rsidRDefault="007B36CF" w:rsidP="007B36CF">
            <w:pPr>
              <w:jc w:val="center"/>
              <w:rPr>
                <w:rFonts w:asciiTheme="minorHAnsi" w:hAnsiTheme="minorHAnsi" w:cstheme="minorHAnsi"/>
                <w:color w:val="000000"/>
                <w:sz w:val="20"/>
                <w:szCs w:val="20"/>
                <w:lang w:eastAsia="en-GB"/>
              </w:rPr>
            </w:pPr>
          </w:p>
        </w:tc>
        <w:tc>
          <w:tcPr>
            <w:tcW w:w="1072" w:type="pct"/>
            <w:tcBorders>
              <w:top w:val="nil"/>
              <w:left w:val="nil"/>
              <w:bottom w:val="nil"/>
              <w:right w:val="nil"/>
            </w:tcBorders>
            <w:shd w:val="clear" w:color="auto" w:fill="auto"/>
            <w:noWrap/>
            <w:vAlign w:val="bottom"/>
            <w:hideMark/>
          </w:tcPr>
          <w:p w14:paraId="0A012557" w14:textId="77777777" w:rsidR="007B36CF" w:rsidRPr="007B36CF" w:rsidRDefault="007B36CF" w:rsidP="007B36CF">
            <w:pPr>
              <w:rPr>
                <w:rFonts w:asciiTheme="minorHAnsi" w:hAnsiTheme="minorHAnsi" w:cstheme="minorHAnsi"/>
                <w:sz w:val="20"/>
                <w:szCs w:val="20"/>
                <w:lang w:eastAsia="en-GB"/>
              </w:rPr>
            </w:pPr>
          </w:p>
        </w:tc>
        <w:tc>
          <w:tcPr>
            <w:tcW w:w="123" w:type="pct"/>
            <w:tcBorders>
              <w:top w:val="nil"/>
              <w:left w:val="nil"/>
              <w:bottom w:val="nil"/>
              <w:right w:val="nil"/>
            </w:tcBorders>
            <w:shd w:val="clear" w:color="auto" w:fill="auto"/>
            <w:noWrap/>
            <w:vAlign w:val="bottom"/>
            <w:hideMark/>
          </w:tcPr>
          <w:p w14:paraId="690222C4" w14:textId="77777777" w:rsidR="007B36CF" w:rsidRPr="007B36CF" w:rsidRDefault="007B36CF" w:rsidP="007B36CF">
            <w:pPr>
              <w:rPr>
                <w:rFonts w:asciiTheme="minorHAnsi" w:hAnsiTheme="minorHAnsi" w:cstheme="minorHAnsi"/>
                <w:sz w:val="20"/>
                <w:szCs w:val="20"/>
                <w:lang w:eastAsia="en-GB"/>
              </w:rPr>
            </w:pPr>
          </w:p>
        </w:tc>
        <w:tc>
          <w:tcPr>
            <w:tcW w:w="502" w:type="pct"/>
            <w:tcBorders>
              <w:top w:val="single" w:sz="4" w:space="0" w:color="auto"/>
              <w:left w:val="single" w:sz="8" w:space="0" w:color="auto"/>
              <w:bottom w:val="single" w:sz="4" w:space="0" w:color="auto"/>
              <w:right w:val="nil"/>
            </w:tcBorders>
            <w:shd w:val="clear" w:color="auto" w:fill="auto"/>
            <w:noWrap/>
            <w:vAlign w:val="center"/>
            <w:hideMark/>
          </w:tcPr>
          <w:p w14:paraId="11FCA0D5"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11</w:t>
            </w:r>
          </w:p>
        </w:tc>
        <w:tc>
          <w:tcPr>
            <w:tcW w:w="814" w:type="pct"/>
            <w:tcBorders>
              <w:top w:val="single" w:sz="4" w:space="0" w:color="auto"/>
              <w:left w:val="single" w:sz="8" w:space="0" w:color="auto"/>
              <w:bottom w:val="single" w:sz="4" w:space="0" w:color="auto"/>
              <w:right w:val="single" w:sz="8" w:space="0" w:color="auto"/>
            </w:tcBorders>
            <w:shd w:val="clear" w:color="auto" w:fill="auto"/>
            <w:noWrap/>
            <w:vAlign w:val="center"/>
            <w:hideMark/>
          </w:tcPr>
          <w:p w14:paraId="23B2C6E0"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36,101.00 </w:t>
            </w:r>
          </w:p>
        </w:tc>
        <w:tc>
          <w:tcPr>
            <w:tcW w:w="814" w:type="pct"/>
            <w:tcBorders>
              <w:top w:val="single" w:sz="4" w:space="0" w:color="auto"/>
              <w:left w:val="nil"/>
              <w:bottom w:val="single" w:sz="4" w:space="0" w:color="auto"/>
              <w:right w:val="nil"/>
            </w:tcBorders>
            <w:shd w:val="clear" w:color="auto" w:fill="auto"/>
            <w:noWrap/>
            <w:vAlign w:val="center"/>
            <w:hideMark/>
          </w:tcPr>
          <w:p w14:paraId="1C843B65"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5,978.29 </w:t>
            </w:r>
          </w:p>
        </w:tc>
        <w:tc>
          <w:tcPr>
            <w:tcW w:w="814" w:type="pct"/>
            <w:tcBorders>
              <w:top w:val="single" w:sz="4" w:space="0" w:color="auto"/>
              <w:left w:val="single" w:sz="8" w:space="0" w:color="auto"/>
              <w:bottom w:val="single" w:sz="4" w:space="0" w:color="auto"/>
              <w:right w:val="single" w:sz="8" w:space="0" w:color="auto"/>
            </w:tcBorders>
            <w:shd w:val="clear" w:color="auto" w:fill="auto"/>
            <w:noWrap/>
            <w:vAlign w:val="center"/>
            <w:hideMark/>
          </w:tcPr>
          <w:p w14:paraId="17E75820"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30,122.71 </w:t>
            </w:r>
          </w:p>
        </w:tc>
      </w:tr>
      <w:tr w:rsidR="007B36CF" w:rsidRPr="007B36CF" w14:paraId="6F840038" w14:textId="77777777" w:rsidTr="007B36CF">
        <w:trPr>
          <w:trHeight w:val="315"/>
        </w:trPr>
        <w:tc>
          <w:tcPr>
            <w:tcW w:w="861" w:type="pct"/>
            <w:tcBorders>
              <w:top w:val="nil"/>
              <w:left w:val="nil"/>
              <w:bottom w:val="nil"/>
              <w:right w:val="nil"/>
            </w:tcBorders>
            <w:shd w:val="clear" w:color="auto" w:fill="auto"/>
            <w:noWrap/>
            <w:vAlign w:val="bottom"/>
            <w:hideMark/>
          </w:tcPr>
          <w:p w14:paraId="462640F9" w14:textId="77777777" w:rsidR="007B36CF" w:rsidRPr="007B36CF" w:rsidRDefault="007B36CF" w:rsidP="007B36CF">
            <w:pPr>
              <w:jc w:val="center"/>
              <w:rPr>
                <w:rFonts w:asciiTheme="minorHAnsi" w:hAnsiTheme="minorHAnsi" w:cstheme="minorHAnsi"/>
                <w:color w:val="000000"/>
                <w:sz w:val="20"/>
                <w:szCs w:val="20"/>
                <w:lang w:eastAsia="en-GB"/>
              </w:rPr>
            </w:pPr>
          </w:p>
        </w:tc>
        <w:tc>
          <w:tcPr>
            <w:tcW w:w="1072" w:type="pct"/>
            <w:tcBorders>
              <w:top w:val="nil"/>
              <w:left w:val="nil"/>
              <w:bottom w:val="nil"/>
              <w:right w:val="nil"/>
            </w:tcBorders>
            <w:shd w:val="clear" w:color="auto" w:fill="auto"/>
            <w:noWrap/>
            <w:vAlign w:val="bottom"/>
            <w:hideMark/>
          </w:tcPr>
          <w:p w14:paraId="449770BD" w14:textId="77777777" w:rsidR="007B36CF" w:rsidRPr="007B36CF" w:rsidRDefault="007B36CF" w:rsidP="007B36CF">
            <w:pPr>
              <w:rPr>
                <w:rFonts w:asciiTheme="minorHAnsi" w:hAnsiTheme="minorHAnsi" w:cstheme="minorHAnsi"/>
                <w:sz w:val="20"/>
                <w:szCs w:val="20"/>
                <w:lang w:eastAsia="en-GB"/>
              </w:rPr>
            </w:pPr>
          </w:p>
        </w:tc>
        <w:tc>
          <w:tcPr>
            <w:tcW w:w="123" w:type="pct"/>
            <w:tcBorders>
              <w:top w:val="nil"/>
              <w:left w:val="nil"/>
              <w:bottom w:val="nil"/>
              <w:right w:val="nil"/>
            </w:tcBorders>
            <w:shd w:val="clear" w:color="auto" w:fill="auto"/>
            <w:noWrap/>
            <w:vAlign w:val="bottom"/>
            <w:hideMark/>
          </w:tcPr>
          <w:p w14:paraId="00CCEC2A" w14:textId="77777777" w:rsidR="007B36CF" w:rsidRPr="007B36CF" w:rsidRDefault="007B36CF" w:rsidP="007B36CF">
            <w:pPr>
              <w:rPr>
                <w:rFonts w:asciiTheme="minorHAnsi" w:hAnsiTheme="minorHAnsi" w:cstheme="minorHAnsi"/>
                <w:sz w:val="20"/>
                <w:szCs w:val="20"/>
                <w:lang w:eastAsia="en-GB"/>
              </w:rPr>
            </w:pPr>
          </w:p>
        </w:tc>
        <w:tc>
          <w:tcPr>
            <w:tcW w:w="502" w:type="pct"/>
            <w:tcBorders>
              <w:top w:val="nil"/>
              <w:left w:val="single" w:sz="8" w:space="0" w:color="auto"/>
              <w:bottom w:val="single" w:sz="8" w:space="0" w:color="auto"/>
              <w:right w:val="nil"/>
            </w:tcBorders>
            <w:shd w:val="clear" w:color="auto" w:fill="auto"/>
            <w:noWrap/>
            <w:vAlign w:val="center"/>
            <w:hideMark/>
          </w:tcPr>
          <w:p w14:paraId="508CB124"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12</w:t>
            </w:r>
          </w:p>
        </w:tc>
        <w:tc>
          <w:tcPr>
            <w:tcW w:w="814" w:type="pct"/>
            <w:tcBorders>
              <w:top w:val="nil"/>
              <w:left w:val="single" w:sz="8" w:space="0" w:color="auto"/>
              <w:bottom w:val="single" w:sz="8" w:space="0" w:color="auto"/>
              <w:right w:val="single" w:sz="8" w:space="0" w:color="auto"/>
            </w:tcBorders>
            <w:shd w:val="clear" w:color="auto" w:fill="auto"/>
            <w:noWrap/>
            <w:vAlign w:val="center"/>
            <w:hideMark/>
          </w:tcPr>
          <w:p w14:paraId="4074A086"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29,824.00 </w:t>
            </w:r>
          </w:p>
        </w:tc>
        <w:tc>
          <w:tcPr>
            <w:tcW w:w="814" w:type="pct"/>
            <w:tcBorders>
              <w:top w:val="nil"/>
              <w:left w:val="nil"/>
              <w:bottom w:val="single" w:sz="8" w:space="0" w:color="auto"/>
              <w:right w:val="nil"/>
            </w:tcBorders>
            <w:shd w:val="clear" w:color="auto" w:fill="auto"/>
            <w:noWrap/>
            <w:vAlign w:val="center"/>
            <w:hideMark/>
          </w:tcPr>
          <w:p w14:paraId="553F0FF1"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5,978.29 </w:t>
            </w:r>
          </w:p>
        </w:tc>
        <w:tc>
          <w:tcPr>
            <w:tcW w:w="814" w:type="pct"/>
            <w:tcBorders>
              <w:top w:val="nil"/>
              <w:left w:val="single" w:sz="8" w:space="0" w:color="auto"/>
              <w:bottom w:val="single" w:sz="8" w:space="0" w:color="auto"/>
              <w:right w:val="single" w:sz="8" w:space="0" w:color="auto"/>
            </w:tcBorders>
            <w:shd w:val="clear" w:color="auto" w:fill="auto"/>
            <w:noWrap/>
            <w:vAlign w:val="center"/>
            <w:hideMark/>
          </w:tcPr>
          <w:p w14:paraId="6F537387"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23,845.71 </w:t>
            </w:r>
          </w:p>
        </w:tc>
      </w:tr>
      <w:tr w:rsidR="007B36CF" w:rsidRPr="007B36CF" w14:paraId="4427B987" w14:textId="77777777" w:rsidTr="007B36CF">
        <w:trPr>
          <w:trHeight w:val="300"/>
        </w:trPr>
        <w:tc>
          <w:tcPr>
            <w:tcW w:w="861" w:type="pct"/>
            <w:tcBorders>
              <w:top w:val="nil"/>
              <w:left w:val="nil"/>
              <w:bottom w:val="nil"/>
              <w:right w:val="nil"/>
            </w:tcBorders>
            <w:shd w:val="clear" w:color="auto" w:fill="auto"/>
            <w:noWrap/>
            <w:vAlign w:val="bottom"/>
            <w:hideMark/>
          </w:tcPr>
          <w:p w14:paraId="3609600D" w14:textId="77777777" w:rsidR="007B36CF" w:rsidRPr="007B36CF" w:rsidRDefault="007B36CF" w:rsidP="007B36CF">
            <w:pPr>
              <w:jc w:val="center"/>
              <w:rPr>
                <w:rFonts w:asciiTheme="minorHAnsi" w:hAnsiTheme="minorHAnsi" w:cstheme="minorHAnsi"/>
                <w:color w:val="000000"/>
                <w:sz w:val="20"/>
                <w:szCs w:val="20"/>
                <w:lang w:eastAsia="en-GB"/>
              </w:rPr>
            </w:pPr>
          </w:p>
        </w:tc>
        <w:tc>
          <w:tcPr>
            <w:tcW w:w="1072" w:type="pct"/>
            <w:tcBorders>
              <w:top w:val="nil"/>
              <w:left w:val="nil"/>
              <w:bottom w:val="nil"/>
              <w:right w:val="nil"/>
            </w:tcBorders>
            <w:shd w:val="clear" w:color="auto" w:fill="auto"/>
            <w:noWrap/>
            <w:vAlign w:val="bottom"/>
            <w:hideMark/>
          </w:tcPr>
          <w:p w14:paraId="20B6A85E" w14:textId="77777777" w:rsidR="007B36CF" w:rsidRPr="007B36CF" w:rsidRDefault="007B36CF" w:rsidP="007B36CF">
            <w:pPr>
              <w:rPr>
                <w:rFonts w:asciiTheme="minorHAnsi" w:hAnsiTheme="minorHAnsi" w:cstheme="minorHAnsi"/>
                <w:sz w:val="20"/>
                <w:szCs w:val="20"/>
                <w:lang w:eastAsia="en-GB"/>
              </w:rPr>
            </w:pPr>
          </w:p>
        </w:tc>
        <w:tc>
          <w:tcPr>
            <w:tcW w:w="123" w:type="pct"/>
            <w:tcBorders>
              <w:top w:val="nil"/>
              <w:left w:val="nil"/>
              <w:bottom w:val="nil"/>
              <w:right w:val="nil"/>
            </w:tcBorders>
            <w:shd w:val="clear" w:color="auto" w:fill="auto"/>
            <w:noWrap/>
            <w:vAlign w:val="bottom"/>
            <w:hideMark/>
          </w:tcPr>
          <w:p w14:paraId="1A65E93B" w14:textId="77777777" w:rsidR="007B36CF" w:rsidRPr="007B36CF" w:rsidRDefault="007B36CF" w:rsidP="007B36CF">
            <w:pPr>
              <w:rPr>
                <w:rFonts w:asciiTheme="minorHAnsi" w:hAnsiTheme="minorHAnsi" w:cstheme="minorHAnsi"/>
                <w:sz w:val="20"/>
                <w:szCs w:val="20"/>
                <w:lang w:eastAsia="en-GB"/>
              </w:rPr>
            </w:pPr>
          </w:p>
        </w:tc>
        <w:tc>
          <w:tcPr>
            <w:tcW w:w="502" w:type="pct"/>
            <w:tcBorders>
              <w:top w:val="single" w:sz="4" w:space="0" w:color="auto"/>
              <w:left w:val="single" w:sz="8" w:space="0" w:color="auto"/>
              <w:bottom w:val="single" w:sz="4" w:space="0" w:color="auto"/>
              <w:right w:val="nil"/>
            </w:tcBorders>
            <w:shd w:val="clear" w:color="auto" w:fill="auto"/>
            <w:noWrap/>
            <w:vAlign w:val="center"/>
            <w:hideMark/>
          </w:tcPr>
          <w:p w14:paraId="52B1300F"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13</w:t>
            </w:r>
          </w:p>
        </w:tc>
        <w:tc>
          <w:tcPr>
            <w:tcW w:w="814" w:type="pct"/>
            <w:tcBorders>
              <w:top w:val="single" w:sz="4" w:space="0" w:color="auto"/>
              <w:left w:val="single" w:sz="8" w:space="0" w:color="auto"/>
              <w:bottom w:val="single" w:sz="4" w:space="0" w:color="auto"/>
              <w:right w:val="single" w:sz="8" w:space="0" w:color="auto"/>
            </w:tcBorders>
            <w:shd w:val="clear" w:color="auto" w:fill="auto"/>
            <w:noWrap/>
            <w:vAlign w:val="center"/>
            <w:hideMark/>
          </w:tcPr>
          <w:p w14:paraId="728D8F0E"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43,006.00 </w:t>
            </w:r>
          </w:p>
        </w:tc>
        <w:tc>
          <w:tcPr>
            <w:tcW w:w="814" w:type="pct"/>
            <w:tcBorders>
              <w:top w:val="single" w:sz="4" w:space="0" w:color="auto"/>
              <w:left w:val="nil"/>
              <w:bottom w:val="single" w:sz="4" w:space="0" w:color="auto"/>
              <w:right w:val="nil"/>
            </w:tcBorders>
            <w:shd w:val="clear" w:color="auto" w:fill="auto"/>
            <w:noWrap/>
            <w:vAlign w:val="center"/>
            <w:hideMark/>
          </w:tcPr>
          <w:p w14:paraId="3BB60399"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5,978.29 </w:t>
            </w:r>
          </w:p>
        </w:tc>
        <w:tc>
          <w:tcPr>
            <w:tcW w:w="814" w:type="pct"/>
            <w:tcBorders>
              <w:top w:val="single" w:sz="4" w:space="0" w:color="auto"/>
              <w:left w:val="single" w:sz="8" w:space="0" w:color="auto"/>
              <w:bottom w:val="single" w:sz="4" w:space="0" w:color="auto"/>
              <w:right w:val="single" w:sz="8" w:space="0" w:color="auto"/>
            </w:tcBorders>
            <w:shd w:val="clear" w:color="auto" w:fill="auto"/>
            <w:noWrap/>
            <w:vAlign w:val="center"/>
            <w:hideMark/>
          </w:tcPr>
          <w:p w14:paraId="50B4D3A1"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37,027.71 </w:t>
            </w:r>
          </w:p>
        </w:tc>
      </w:tr>
      <w:tr w:rsidR="007B36CF" w:rsidRPr="007B36CF" w14:paraId="3A800AF4" w14:textId="77777777" w:rsidTr="007B36CF">
        <w:trPr>
          <w:trHeight w:val="315"/>
        </w:trPr>
        <w:tc>
          <w:tcPr>
            <w:tcW w:w="861" w:type="pct"/>
            <w:tcBorders>
              <w:top w:val="nil"/>
              <w:left w:val="nil"/>
              <w:bottom w:val="nil"/>
              <w:right w:val="nil"/>
            </w:tcBorders>
            <w:shd w:val="clear" w:color="auto" w:fill="auto"/>
            <w:noWrap/>
            <w:vAlign w:val="bottom"/>
            <w:hideMark/>
          </w:tcPr>
          <w:p w14:paraId="43055B6A" w14:textId="77777777" w:rsidR="007B36CF" w:rsidRPr="007B36CF" w:rsidRDefault="007B36CF" w:rsidP="007B36CF">
            <w:pPr>
              <w:jc w:val="center"/>
              <w:rPr>
                <w:rFonts w:asciiTheme="minorHAnsi" w:hAnsiTheme="minorHAnsi" w:cstheme="minorHAnsi"/>
                <w:color w:val="000000"/>
                <w:sz w:val="20"/>
                <w:szCs w:val="20"/>
                <w:lang w:eastAsia="en-GB"/>
              </w:rPr>
            </w:pPr>
          </w:p>
        </w:tc>
        <w:tc>
          <w:tcPr>
            <w:tcW w:w="1072" w:type="pct"/>
            <w:tcBorders>
              <w:top w:val="nil"/>
              <w:left w:val="nil"/>
              <w:bottom w:val="nil"/>
              <w:right w:val="nil"/>
            </w:tcBorders>
            <w:shd w:val="clear" w:color="auto" w:fill="auto"/>
            <w:noWrap/>
            <w:vAlign w:val="bottom"/>
            <w:hideMark/>
          </w:tcPr>
          <w:p w14:paraId="3F90D683" w14:textId="77777777" w:rsidR="007B36CF" w:rsidRPr="007B36CF" w:rsidRDefault="007B36CF" w:rsidP="007B36CF">
            <w:pPr>
              <w:rPr>
                <w:rFonts w:asciiTheme="minorHAnsi" w:hAnsiTheme="minorHAnsi" w:cstheme="minorHAnsi"/>
                <w:sz w:val="20"/>
                <w:szCs w:val="20"/>
                <w:lang w:eastAsia="en-GB"/>
              </w:rPr>
            </w:pPr>
          </w:p>
        </w:tc>
        <w:tc>
          <w:tcPr>
            <w:tcW w:w="123" w:type="pct"/>
            <w:tcBorders>
              <w:top w:val="nil"/>
              <w:left w:val="nil"/>
              <w:bottom w:val="nil"/>
              <w:right w:val="nil"/>
            </w:tcBorders>
            <w:shd w:val="clear" w:color="auto" w:fill="auto"/>
            <w:noWrap/>
            <w:vAlign w:val="bottom"/>
            <w:hideMark/>
          </w:tcPr>
          <w:p w14:paraId="328233BC" w14:textId="77777777" w:rsidR="007B36CF" w:rsidRPr="007B36CF" w:rsidRDefault="007B36CF" w:rsidP="007B36CF">
            <w:pPr>
              <w:rPr>
                <w:rFonts w:asciiTheme="minorHAnsi" w:hAnsiTheme="minorHAnsi" w:cstheme="minorHAnsi"/>
                <w:sz w:val="20"/>
                <w:szCs w:val="20"/>
                <w:lang w:eastAsia="en-GB"/>
              </w:rPr>
            </w:pPr>
          </w:p>
        </w:tc>
        <w:tc>
          <w:tcPr>
            <w:tcW w:w="502" w:type="pct"/>
            <w:tcBorders>
              <w:top w:val="nil"/>
              <w:left w:val="single" w:sz="8" w:space="0" w:color="auto"/>
              <w:bottom w:val="single" w:sz="8" w:space="0" w:color="auto"/>
              <w:right w:val="nil"/>
            </w:tcBorders>
            <w:shd w:val="clear" w:color="auto" w:fill="auto"/>
            <w:noWrap/>
            <w:vAlign w:val="center"/>
            <w:hideMark/>
          </w:tcPr>
          <w:p w14:paraId="48078C76"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14</w:t>
            </w:r>
          </w:p>
        </w:tc>
        <w:tc>
          <w:tcPr>
            <w:tcW w:w="814" w:type="pct"/>
            <w:tcBorders>
              <w:top w:val="nil"/>
              <w:left w:val="single" w:sz="8" w:space="0" w:color="auto"/>
              <w:bottom w:val="single" w:sz="8" w:space="0" w:color="auto"/>
              <w:right w:val="single" w:sz="8" w:space="0" w:color="auto"/>
            </w:tcBorders>
            <w:shd w:val="clear" w:color="auto" w:fill="auto"/>
            <w:noWrap/>
            <w:vAlign w:val="center"/>
            <w:hideMark/>
          </w:tcPr>
          <w:p w14:paraId="64A46A8C"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33,873.00 </w:t>
            </w:r>
          </w:p>
        </w:tc>
        <w:tc>
          <w:tcPr>
            <w:tcW w:w="814" w:type="pct"/>
            <w:tcBorders>
              <w:top w:val="nil"/>
              <w:left w:val="nil"/>
              <w:bottom w:val="single" w:sz="8" w:space="0" w:color="auto"/>
              <w:right w:val="nil"/>
            </w:tcBorders>
            <w:shd w:val="clear" w:color="auto" w:fill="auto"/>
            <w:noWrap/>
            <w:vAlign w:val="center"/>
            <w:hideMark/>
          </w:tcPr>
          <w:p w14:paraId="12987B57"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5,978.29 </w:t>
            </w:r>
          </w:p>
        </w:tc>
        <w:tc>
          <w:tcPr>
            <w:tcW w:w="814" w:type="pct"/>
            <w:tcBorders>
              <w:top w:val="nil"/>
              <w:left w:val="single" w:sz="8" w:space="0" w:color="auto"/>
              <w:bottom w:val="single" w:sz="8" w:space="0" w:color="auto"/>
              <w:right w:val="single" w:sz="8" w:space="0" w:color="auto"/>
            </w:tcBorders>
            <w:shd w:val="clear" w:color="auto" w:fill="auto"/>
            <w:noWrap/>
            <w:vAlign w:val="center"/>
            <w:hideMark/>
          </w:tcPr>
          <w:p w14:paraId="7EC08375"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27,894.71 </w:t>
            </w:r>
          </w:p>
        </w:tc>
      </w:tr>
      <w:tr w:rsidR="007B36CF" w:rsidRPr="007B36CF" w14:paraId="7DE7211A" w14:textId="77777777" w:rsidTr="007B36CF">
        <w:trPr>
          <w:trHeight w:val="300"/>
        </w:trPr>
        <w:tc>
          <w:tcPr>
            <w:tcW w:w="861" w:type="pct"/>
            <w:tcBorders>
              <w:top w:val="nil"/>
              <w:left w:val="nil"/>
              <w:bottom w:val="nil"/>
              <w:right w:val="nil"/>
            </w:tcBorders>
            <w:shd w:val="clear" w:color="auto" w:fill="auto"/>
            <w:noWrap/>
            <w:vAlign w:val="bottom"/>
            <w:hideMark/>
          </w:tcPr>
          <w:p w14:paraId="5D30F866" w14:textId="77777777" w:rsidR="007B36CF" w:rsidRPr="007B36CF" w:rsidRDefault="007B36CF" w:rsidP="007B36CF">
            <w:pPr>
              <w:jc w:val="center"/>
              <w:rPr>
                <w:rFonts w:asciiTheme="minorHAnsi" w:hAnsiTheme="minorHAnsi" w:cstheme="minorHAnsi"/>
                <w:color w:val="000000"/>
                <w:sz w:val="20"/>
                <w:szCs w:val="20"/>
                <w:lang w:eastAsia="en-GB"/>
              </w:rPr>
            </w:pPr>
          </w:p>
        </w:tc>
        <w:tc>
          <w:tcPr>
            <w:tcW w:w="1072" w:type="pct"/>
            <w:tcBorders>
              <w:top w:val="nil"/>
              <w:left w:val="nil"/>
              <w:bottom w:val="nil"/>
              <w:right w:val="nil"/>
            </w:tcBorders>
            <w:shd w:val="clear" w:color="auto" w:fill="auto"/>
            <w:noWrap/>
            <w:vAlign w:val="bottom"/>
            <w:hideMark/>
          </w:tcPr>
          <w:p w14:paraId="3AB63F04" w14:textId="77777777" w:rsidR="007B36CF" w:rsidRPr="007B36CF" w:rsidRDefault="007B36CF" w:rsidP="007B36CF">
            <w:pPr>
              <w:rPr>
                <w:rFonts w:asciiTheme="minorHAnsi" w:hAnsiTheme="minorHAnsi" w:cstheme="minorHAnsi"/>
                <w:sz w:val="20"/>
                <w:szCs w:val="20"/>
                <w:lang w:eastAsia="en-GB"/>
              </w:rPr>
            </w:pPr>
          </w:p>
        </w:tc>
        <w:tc>
          <w:tcPr>
            <w:tcW w:w="123" w:type="pct"/>
            <w:tcBorders>
              <w:top w:val="nil"/>
              <w:left w:val="nil"/>
              <w:bottom w:val="nil"/>
              <w:right w:val="nil"/>
            </w:tcBorders>
            <w:shd w:val="clear" w:color="auto" w:fill="auto"/>
            <w:noWrap/>
            <w:vAlign w:val="bottom"/>
            <w:hideMark/>
          </w:tcPr>
          <w:p w14:paraId="7C9C4DBF" w14:textId="77777777" w:rsidR="007B36CF" w:rsidRPr="007B36CF" w:rsidRDefault="007B36CF" w:rsidP="007B36CF">
            <w:pPr>
              <w:rPr>
                <w:rFonts w:asciiTheme="minorHAnsi" w:hAnsiTheme="minorHAnsi" w:cstheme="minorHAnsi"/>
                <w:sz w:val="20"/>
                <w:szCs w:val="20"/>
                <w:lang w:eastAsia="en-GB"/>
              </w:rPr>
            </w:pPr>
          </w:p>
        </w:tc>
        <w:tc>
          <w:tcPr>
            <w:tcW w:w="502" w:type="pct"/>
            <w:tcBorders>
              <w:top w:val="single" w:sz="4" w:space="0" w:color="auto"/>
              <w:left w:val="single" w:sz="8" w:space="0" w:color="auto"/>
              <w:bottom w:val="single" w:sz="4" w:space="0" w:color="auto"/>
              <w:right w:val="nil"/>
            </w:tcBorders>
            <w:shd w:val="clear" w:color="auto" w:fill="auto"/>
            <w:noWrap/>
            <w:vAlign w:val="center"/>
            <w:hideMark/>
          </w:tcPr>
          <w:p w14:paraId="135F9BAA"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15</w:t>
            </w:r>
          </w:p>
        </w:tc>
        <w:tc>
          <w:tcPr>
            <w:tcW w:w="814" w:type="pct"/>
            <w:tcBorders>
              <w:top w:val="single" w:sz="4" w:space="0" w:color="auto"/>
              <w:left w:val="single" w:sz="8" w:space="0" w:color="auto"/>
              <w:bottom w:val="single" w:sz="4" w:space="0" w:color="auto"/>
              <w:right w:val="single" w:sz="8" w:space="0" w:color="auto"/>
            </w:tcBorders>
            <w:shd w:val="clear" w:color="auto" w:fill="auto"/>
            <w:noWrap/>
            <w:vAlign w:val="center"/>
            <w:hideMark/>
          </w:tcPr>
          <w:p w14:paraId="55E38539"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29,528.00 </w:t>
            </w:r>
          </w:p>
        </w:tc>
        <w:tc>
          <w:tcPr>
            <w:tcW w:w="814" w:type="pct"/>
            <w:tcBorders>
              <w:top w:val="single" w:sz="4" w:space="0" w:color="auto"/>
              <w:left w:val="nil"/>
              <w:bottom w:val="single" w:sz="4" w:space="0" w:color="auto"/>
              <w:right w:val="nil"/>
            </w:tcBorders>
            <w:shd w:val="clear" w:color="auto" w:fill="auto"/>
            <w:noWrap/>
            <w:vAlign w:val="center"/>
            <w:hideMark/>
          </w:tcPr>
          <w:p w14:paraId="147ACBF4"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5,978.29 </w:t>
            </w:r>
          </w:p>
        </w:tc>
        <w:tc>
          <w:tcPr>
            <w:tcW w:w="814" w:type="pct"/>
            <w:tcBorders>
              <w:top w:val="single" w:sz="4" w:space="0" w:color="auto"/>
              <w:left w:val="single" w:sz="8" w:space="0" w:color="auto"/>
              <w:bottom w:val="single" w:sz="4" w:space="0" w:color="auto"/>
              <w:right w:val="single" w:sz="8" w:space="0" w:color="auto"/>
            </w:tcBorders>
            <w:shd w:val="clear" w:color="auto" w:fill="auto"/>
            <w:noWrap/>
            <w:vAlign w:val="center"/>
            <w:hideMark/>
          </w:tcPr>
          <w:p w14:paraId="45EF06DD"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23,549.71 </w:t>
            </w:r>
          </w:p>
        </w:tc>
      </w:tr>
      <w:tr w:rsidR="007B36CF" w:rsidRPr="007B36CF" w14:paraId="520C1458" w14:textId="77777777" w:rsidTr="007B36CF">
        <w:trPr>
          <w:trHeight w:val="315"/>
        </w:trPr>
        <w:tc>
          <w:tcPr>
            <w:tcW w:w="861" w:type="pct"/>
            <w:tcBorders>
              <w:top w:val="nil"/>
              <w:left w:val="nil"/>
              <w:bottom w:val="nil"/>
              <w:right w:val="nil"/>
            </w:tcBorders>
            <w:shd w:val="clear" w:color="auto" w:fill="auto"/>
            <w:noWrap/>
            <w:vAlign w:val="bottom"/>
            <w:hideMark/>
          </w:tcPr>
          <w:p w14:paraId="26EDD3F7" w14:textId="77777777" w:rsidR="007B36CF" w:rsidRPr="007B36CF" w:rsidRDefault="007B36CF" w:rsidP="007B36CF">
            <w:pPr>
              <w:jc w:val="center"/>
              <w:rPr>
                <w:rFonts w:asciiTheme="minorHAnsi" w:hAnsiTheme="minorHAnsi" w:cstheme="minorHAnsi"/>
                <w:color w:val="000000"/>
                <w:sz w:val="20"/>
                <w:szCs w:val="20"/>
                <w:lang w:eastAsia="en-GB"/>
              </w:rPr>
            </w:pPr>
          </w:p>
        </w:tc>
        <w:tc>
          <w:tcPr>
            <w:tcW w:w="1072" w:type="pct"/>
            <w:tcBorders>
              <w:top w:val="nil"/>
              <w:left w:val="nil"/>
              <w:bottom w:val="nil"/>
              <w:right w:val="nil"/>
            </w:tcBorders>
            <w:shd w:val="clear" w:color="auto" w:fill="auto"/>
            <w:noWrap/>
            <w:vAlign w:val="bottom"/>
            <w:hideMark/>
          </w:tcPr>
          <w:p w14:paraId="0CE96567" w14:textId="77777777" w:rsidR="007B36CF" w:rsidRPr="007B36CF" w:rsidRDefault="007B36CF" w:rsidP="007B36CF">
            <w:pPr>
              <w:rPr>
                <w:rFonts w:asciiTheme="minorHAnsi" w:hAnsiTheme="minorHAnsi" w:cstheme="minorHAnsi"/>
                <w:sz w:val="20"/>
                <w:szCs w:val="20"/>
                <w:lang w:eastAsia="en-GB"/>
              </w:rPr>
            </w:pPr>
          </w:p>
        </w:tc>
        <w:tc>
          <w:tcPr>
            <w:tcW w:w="123" w:type="pct"/>
            <w:tcBorders>
              <w:top w:val="nil"/>
              <w:left w:val="nil"/>
              <w:bottom w:val="nil"/>
              <w:right w:val="nil"/>
            </w:tcBorders>
            <w:shd w:val="clear" w:color="auto" w:fill="auto"/>
            <w:noWrap/>
            <w:vAlign w:val="bottom"/>
            <w:hideMark/>
          </w:tcPr>
          <w:p w14:paraId="70E3DC82" w14:textId="77777777" w:rsidR="007B36CF" w:rsidRPr="007B36CF" w:rsidRDefault="007B36CF" w:rsidP="007B36CF">
            <w:pPr>
              <w:rPr>
                <w:rFonts w:asciiTheme="minorHAnsi" w:hAnsiTheme="minorHAnsi" w:cstheme="minorHAnsi"/>
                <w:sz w:val="20"/>
                <w:szCs w:val="20"/>
                <w:lang w:eastAsia="en-GB"/>
              </w:rPr>
            </w:pPr>
          </w:p>
        </w:tc>
        <w:tc>
          <w:tcPr>
            <w:tcW w:w="502" w:type="pct"/>
            <w:tcBorders>
              <w:top w:val="nil"/>
              <w:left w:val="single" w:sz="8" w:space="0" w:color="auto"/>
              <w:bottom w:val="single" w:sz="8" w:space="0" w:color="auto"/>
              <w:right w:val="nil"/>
            </w:tcBorders>
            <w:shd w:val="clear" w:color="auto" w:fill="auto"/>
            <w:noWrap/>
            <w:vAlign w:val="center"/>
            <w:hideMark/>
          </w:tcPr>
          <w:p w14:paraId="708F5AFD"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16</w:t>
            </w:r>
          </w:p>
        </w:tc>
        <w:tc>
          <w:tcPr>
            <w:tcW w:w="814" w:type="pct"/>
            <w:tcBorders>
              <w:top w:val="nil"/>
              <w:left w:val="single" w:sz="8" w:space="0" w:color="auto"/>
              <w:bottom w:val="single" w:sz="8" w:space="0" w:color="auto"/>
              <w:right w:val="single" w:sz="8" w:space="0" w:color="auto"/>
            </w:tcBorders>
            <w:shd w:val="clear" w:color="auto" w:fill="auto"/>
            <w:noWrap/>
            <w:vAlign w:val="center"/>
            <w:hideMark/>
          </w:tcPr>
          <w:p w14:paraId="46A28E2D"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33,350.00 </w:t>
            </w:r>
          </w:p>
        </w:tc>
        <w:tc>
          <w:tcPr>
            <w:tcW w:w="814" w:type="pct"/>
            <w:tcBorders>
              <w:top w:val="nil"/>
              <w:left w:val="nil"/>
              <w:bottom w:val="single" w:sz="8" w:space="0" w:color="auto"/>
              <w:right w:val="nil"/>
            </w:tcBorders>
            <w:shd w:val="clear" w:color="auto" w:fill="auto"/>
            <w:noWrap/>
            <w:vAlign w:val="center"/>
            <w:hideMark/>
          </w:tcPr>
          <w:p w14:paraId="65352E56"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5,978.29 </w:t>
            </w:r>
          </w:p>
        </w:tc>
        <w:tc>
          <w:tcPr>
            <w:tcW w:w="814" w:type="pct"/>
            <w:tcBorders>
              <w:top w:val="nil"/>
              <w:left w:val="single" w:sz="8" w:space="0" w:color="auto"/>
              <w:bottom w:val="single" w:sz="8" w:space="0" w:color="auto"/>
              <w:right w:val="single" w:sz="8" w:space="0" w:color="auto"/>
            </w:tcBorders>
            <w:shd w:val="clear" w:color="auto" w:fill="auto"/>
            <w:noWrap/>
            <w:vAlign w:val="center"/>
            <w:hideMark/>
          </w:tcPr>
          <w:p w14:paraId="443F78DA"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27,371.71 </w:t>
            </w:r>
          </w:p>
        </w:tc>
      </w:tr>
      <w:tr w:rsidR="007B36CF" w:rsidRPr="007B36CF" w14:paraId="41C13231" w14:textId="77777777" w:rsidTr="007B36CF">
        <w:trPr>
          <w:trHeight w:val="300"/>
        </w:trPr>
        <w:tc>
          <w:tcPr>
            <w:tcW w:w="861" w:type="pct"/>
            <w:tcBorders>
              <w:top w:val="nil"/>
              <w:left w:val="nil"/>
              <w:bottom w:val="nil"/>
              <w:right w:val="nil"/>
            </w:tcBorders>
            <w:shd w:val="clear" w:color="auto" w:fill="auto"/>
            <w:noWrap/>
            <w:vAlign w:val="bottom"/>
            <w:hideMark/>
          </w:tcPr>
          <w:p w14:paraId="347542F2" w14:textId="77777777" w:rsidR="007B36CF" w:rsidRPr="007B36CF" w:rsidRDefault="007B36CF" w:rsidP="007B36CF">
            <w:pPr>
              <w:jc w:val="center"/>
              <w:rPr>
                <w:rFonts w:asciiTheme="minorHAnsi" w:hAnsiTheme="minorHAnsi" w:cstheme="minorHAnsi"/>
                <w:color w:val="000000"/>
                <w:sz w:val="20"/>
                <w:szCs w:val="20"/>
                <w:lang w:eastAsia="en-GB"/>
              </w:rPr>
            </w:pPr>
          </w:p>
        </w:tc>
        <w:tc>
          <w:tcPr>
            <w:tcW w:w="1072" w:type="pct"/>
            <w:tcBorders>
              <w:top w:val="nil"/>
              <w:left w:val="nil"/>
              <w:bottom w:val="nil"/>
              <w:right w:val="nil"/>
            </w:tcBorders>
            <w:shd w:val="clear" w:color="auto" w:fill="auto"/>
            <w:noWrap/>
            <w:vAlign w:val="bottom"/>
            <w:hideMark/>
          </w:tcPr>
          <w:p w14:paraId="119602A0" w14:textId="77777777" w:rsidR="007B36CF" w:rsidRPr="007B36CF" w:rsidRDefault="007B36CF" w:rsidP="007B36CF">
            <w:pPr>
              <w:rPr>
                <w:rFonts w:asciiTheme="minorHAnsi" w:hAnsiTheme="minorHAnsi" w:cstheme="minorHAnsi"/>
                <w:sz w:val="20"/>
                <w:szCs w:val="20"/>
                <w:lang w:eastAsia="en-GB"/>
              </w:rPr>
            </w:pPr>
          </w:p>
        </w:tc>
        <w:tc>
          <w:tcPr>
            <w:tcW w:w="123" w:type="pct"/>
            <w:tcBorders>
              <w:top w:val="nil"/>
              <w:left w:val="nil"/>
              <w:bottom w:val="nil"/>
              <w:right w:val="nil"/>
            </w:tcBorders>
            <w:shd w:val="clear" w:color="auto" w:fill="auto"/>
            <w:noWrap/>
            <w:vAlign w:val="bottom"/>
            <w:hideMark/>
          </w:tcPr>
          <w:p w14:paraId="42EF7D41" w14:textId="77777777" w:rsidR="007B36CF" w:rsidRPr="007B36CF" w:rsidRDefault="007B36CF" w:rsidP="007B36CF">
            <w:pPr>
              <w:rPr>
                <w:rFonts w:asciiTheme="minorHAnsi" w:hAnsiTheme="minorHAnsi" w:cstheme="minorHAnsi"/>
                <w:sz w:val="20"/>
                <w:szCs w:val="20"/>
                <w:lang w:eastAsia="en-GB"/>
              </w:rPr>
            </w:pPr>
          </w:p>
        </w:tc>
        <w:tc>
          <w:tcPr>
            <w:tcW w:w="502" w:type="pct"/>
            <w:tcBorders>
              <w:top w:val="single" w:sz="4" w:space="0" w:color="auto"/>
              <w:left w:val="single" w:sz="8" w:space="0" w:color="auto"/>
              <w:bottom w:val="single" w:sz="4" w:space="0" w:color="auto"/>
              <w:right w:val="nil"/>
            </w:tcBorders>
            <w:shd w:val="clear" w:color="auto" w:fill="auto"/>
            <w:noWrap/>
            <w:vAlign w:val="center"/>
            <w:hideMark/>
          </w:tcPr>
          <w:p w14:paraId="78A50B3D"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17</w:t>
            </w:r>
          </w:p>
        </w:tc>
        <w:tc>
          <w:tcPr>
            <w:tcW w:w="814" w:type="pct"/>
            <w:tcBorders>
              <w:top w:val="single" w:sz="4" w:space="0" w:color="auto"/>
              <w:left w:val="single" w:sz="8" w:space="0" w:color="auto"/>
              <w:bottom w:val="single" w:sz="4" w:space="0" w:color="auto"/>
              <w:right w:val="single" w:sz="8" w:space="0" w:color="auto"/>
            </w:tcBorders>
            <w:shd w:val="clear" w:color="auto" w:fill="auto"/>
            <w:noWrap/>
            <w:vAlign w:val="center"/>
            <w:hideMark/>
          </w:tcPr>
          <w:p w14:paraId="6EAD2130"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26,972.00 </w:t>
            </w:r>
          </w:p>
        </w:tc>
        <w:tc>
          <w:tcPr>
            <w:tcW w:w="814" w:type="pct"/>
            <w:tcBorders>
              <w:top w:val="single" w:sz="4" w:space="0" w:color="auto"/>
              <w:left w:val="nil"/>
              <w:bottom w:val="single" w:sz="4" w:space="0" w:color="auto"/>
              <w:right w:val="nil"/>
            </w:tcBorders>
            <w:shd w:val="clear" w:color="auto" w:fill="auto"/>
            <w:noWrap/>
            <w:vAlign w:val="center"/>
            <w:hideMark/>
          </w:tcPr>
          <w:p w14:paraId="02DF1C5D"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5,978.29 </w:t>
            </w:r>
          </w:p>
        </w:tc>
        <w:tc>
          <w:tcPr>
            <w:tcW w:w="814" w:type="pct"/>
            <w:tcBorders>
              <w:top w:val="single" w:sz="4" w:space="0" w:color="auto"/>
              <w:left w:val="single" w:sz="8" w:space="0" w:color="auto"/>
              <w:bottom w:val="single" w:sz="4" w:space="0" w:color="auto"/>
              <w:right w:val="single" w:sz="8" w:space="0" w:color="auto"/>
            </w:tcBorders>
            <w:shd w:val="clear" w:color="auto" w:fill="auto"/>
            <w:noWrap/>
            <w:vAlign w:val="center"/>
            <w:hideMark/>
          </w:tcPr>
          <w:p w14:paraId="444FBAE1"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20,993.71 </w:t>
            </w:r>
          </w:p>
        </w:tc>
      </w:tr>
      <w:tr w:rsidR="007B36CF" w:rsidRPr="007B36CF" w14:paraId="5227488C" w14:textId="77777777" w:rsidTr="007B36CF">
        <w:trPr>
          <w:trHeight w:val="315"/>
        </w:trPr>
        <w:tc>
          <w:tcPr>
            <w:tcW w:w="861" w:type="pct"/>
            <w:tcBorders>
              <w:top w:val="nil"/>
              <w:left w:val="nil"/>
              <w:bottom w:val="nil"/>
              <w:right w:val="nil"/>
            </w:tcBorders>
            <w:shd w:val="clear" w:color="auto" w:fill="auto"/>
            <w:noWrap/>
            <w:vAlign w:val="bottom"/>
            <w:hideMark/>
          </w:tcPr>
          <w:p w14:paraId="2BAF5439" w14:textId="77777777" w:rsidR="007B36CF" w:rsidRPr="007B36CF" w:rsidRDefault="007B36CF" w:rsidP="007B36CF">
            <w:pPr>
              <w:jc w:val="center"/>
              <w:rPr>
                <w:rFonts w:asciiTheme="minorHAnsi" w:hAnsiTheme="minorHAnsi" w:cstheme="minorHAnsi"/>
                <w:color w:val="000000"/>
                <w:sz w:val="20"/>
                <w:szCs w:val="20"/>
                <w:lang w:eastAsia="en-GB"/>
              </w:rPr>
            </w:pPr>
          </w:p>
        </w:tc>
        <w:tc>
          <w:tcPr>
            <w:tcW w:w="1072" w:type="pct"/>
            <w:tcBorders>
              <w:top w:val="nil"/>
              <w:left w:val="nil"/>
              <w:bottom w:val="nil"/>
              <w:right w:val="nil"/>
            </w:tcBorders>
            <w:shd w:val="clear" w:color="auto" w:fill="auto"/>
            <w:noWrap/>
            <w:vAlign w:val="bottom"/>
            <w:hideMark/>
          </w:tcPr>
          <w:p w14:paraId="003EE10F" w14:textId="77777777" w:rsidR="007B36CF" w:rsidRPr="007B36CF" w:rsidRDefault="007B36CF" w:rsidP="007B36CF">
            <w:pPr>
              <w:rPr>
                <w:rFonts w:asciiTheme="minorHAnsi" w:hAnsiTheme="minorHAnsi" w:cstheme="minorHAnsi"/>
                <w:sz w:val="20"/>
                <w:szCs w:val="20"/>
                <w:lang w:eastAsia="en-GB"/>
              </w:rPr>
            </w:pPr>
          </w:p>
        </w:tc>
        <w:tc>
          <w:tcPr>
            <w:tcW w:w="123" w:type="pct"/>
            <w:tcBorders>
              <w:top w:val="nil"/>
              <w:left w:val="nil"/>
              <w:bottom w:val="nil"/>
              <w:right w:val="nil"/>
            </w:tcBorders>
            <w:shd w:val="clear" w:color="auto" w:fill="auto"/>
            <w:noWrap/>
            <w:vAlign w:val="bottom"/>
            <w:hideMark/>
          </w:tcPr>
          <w:p w14:paraId="074CA178" w14:textId="77777777" w:rsidR="007B36CF" w:rsidRPr="007B36CF" w:rsidRDefault="007B36CF" w:rsidP="007B36CF">
            <w:pPr>
              <w:rPr>
                <w:rFonts w:asciiTheme="minorHAnsi" w:hAnsiTheme="minorHAnsi" w:cstheme="minorHAnsi"/>
                <w:sz w:val="20"/>
                <w:szCs w:val="20"/>
                <w:lang w:eastAsia="en-GB"/>
              </w:rPr>
            </w:pPr>
          </w:p>
        </w:tc>
        <w:tc>
          <w:tcPr>
            <w:tcW w:w="502" w:type="pct"/>
            <w:tcBorders>
              <w:top w:val="nil"/>
              <w:left w:val="single" w:sz="8" w:space="0" w:color="auto"/>
              <w:bottom w:val="single" w:sz="8" w:space="0" w:color="auto"/>
              <w:right w:val="nil"/>
            </w:tcBorders>
            <w:shd w:val="clear" w:color="auto" w:fill="auto"/>
            <w:noWrap/>
            <w:vAlign w:val="center"/>
            <w:hideMark/>
          </w:tcPr>
          <w:p w14:paraId="21DB21BC"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18</w:t>
            </w:r>
          </w:p>
        </w:tc>
        <w:tc>
          <w:tcPr>
            <w:tcW w:w="814" w:type="pct"/>
            <w:tcBorders>
              <w:top w:val="nil"/>
              <w:left w:val="single" w:sz="8" w:space="0" w:color="auto"/>
              <w:bottom w:val="single" w:sz="8" w:space="0" w:color="auto"/>
              <w:right w:val="single" w:sz="8" w:space="0" w:color="auto"/>
            </w:tcBorders>
            <w:shd w:val="clear" w:color="auto" w:fill="auto"/>
            <w:noWrap/>
            <w:vAlign w:val="center"/>
            <w:hideMark/>
          </w:tcPr>
          <w:p w14:paraId="6EA9E06F"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32,142.00 </w:t>
            </w:r>
          </w:p>
        </w:tc>
        <w:tc>
          <w:tcPr>
            <w:tcW w:w="814" w:type="pct"/>
            <w:tcBorders>
              <w:top w:val="nil"/>
              <w:left w:val="nil"/>
              <w:bottom w:val="single" w:sz="8" w:space="0" w:color="auto"/>
              <w:right w:val="nil"/>
            </w:tcBorders>
            <w:shd w:val="clear" w:color="auto" w:fill="auto"/>
            <w:noWrap/>
            <w:vAlign w:val="center"/>
            <w:hideMark/>
          </w:tcPr>
          <w:p w14:paraId="0613E74B"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5,978.29 </w:t>
            </w:r>
          </w:p>
        </w:tc>
        <w:tc>
          <w:tcPr>
            <w:tcW w:w="814" w:type="pct"/>
            <w:tcBorders>
              <w:top w:val="nil"/>
              <w:left w:val="single" w:sz="8" w:space="0" w:color="auto"/>
              <w:bottom w:val="single" w:sz="8" w:space="0" w:color="auto"/>
              <w:right w:val="single" w:sz="8" w:space="0" w:color="auto"/>
            </w:tcBorders>
            <w:shd w:val="clear" w:color="auto" w:fill="auto"/>
            <w:noWrap/>
            <w:vAlign w:val="center"/>
            <w:hideMark/>
          </w:tcPr>
          <w:p w14:paraId="449CE5C3"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26,163.71 </w:t>
            </w:r>
          </w:p>
        </w:tc>
      </w:tr>
      <w:tr w:rsidR="007B36CF" w:rsidRPr="007B36CF" w14:paraId="02EB7DB8" w14:textId="77777777" w:rsidTr="007B36CF">
        <w:trPr>
          <w:trHeight w:val="300"/>
        </w:trPr>
        <w:tc>
          <w:tcPr>
            <w:tcW w:w="861" w:type="pct"/>
            <w:tcBorders>
              <w:top w:val="nil"/>
              <w:left w:val="nil"/>
              <w:bottom w:val="nil"/>
              <w:right w:val="nil"/>
            </w:tcBorders>
            <w:shd w:val="clear" w:color="auto" w:fill="auto"/>
            <w:noWrap/>
            <w:vAlign w:val="bottom"/>
            <w:hideMark/>
          </w:tcPr>
          <w:p w14:paraId="4817137A" w14:textId="77777777" w:rsidR="007B36CF" w:rsidRPr="007B36CF" w:rsidRDefault="007B36CF" w:rsidP="007B36CF">
            <w:pPr>
              <w:jc w:val="center"/>
              <w:rPr>
                <w:rFonts w:asciiTheme="minorHAnsi" w:hAnsiTheme="minorHAnsi" w:cstheme="minorHAnsi"/>
                <w:color w:val="000000"/>
                <w:sz w:val="20"/>
                <w:szCs w:val="20"/>
                <w:lang w:eastAsia="en-GB"/>
              </w:rPr>
            </w:pPr>
          </w:p>
        </w:tc>
        <w:tc>
          <w:tcPr>
            <w:tcW w:w="1072" w:type="pct"/>
            <w:tcBorders>
              <w:top w:val="nil"/>
              <w:left w:val="nil"/>
              <w:bottom w:val="nil"/>
              <w:right w:val="nil"/>
            </w:tcBorders>
            <w:shd w:val="clear" w:color="auto" w:fill="auto"/>
            <w:noWrap/>
            <w:vAlign w:val="bottom"/>
            <w:hideMark/>
          </w:tcPr>
          <w:p w14:paraId="38530963" w14:textId="77777777" w:rsidR="007B36CF" w:rsidRPr="007B36CF" w:rsidRDefault="007B36CF" w:rsidP="007B36CF">
            <w:pPr>
              <w:rPr>
                <w:rFonts w:asciiTheme="minorHAnsi" w:hAnsiTheme="minorHAnsi" w:cstheme="minorHAnsi"/>
                <w:sz w:val="20"/>
                <w:szCs w:val="20"/>
                <w:lang w:eastAsia="en-GB"/>
              </w:rPr>
            </w:pPr>
          </w:p>
        </w:tc>
        <w:tc>
          <w:tcPr>
            <w:tcW w:w="123" w:type="pct"/>
            <w:tcBorders>
              <w:top w:val="nil"/>
              <w:left w:val="nil"/>
              <w:bottom w:val="nil"/>
              <w:right w:val="nil"/>
            </w:tcBorders>
            <w:shd w:val="clear" w:color="auto" w:fill="auto"/>
            <w:noWrap/>
            <w:vAlign w:val="bottom"/>
            <w:hideMark/>
          </w:tcPr>
          <w:p w14:paraId="649BDB2D" w14:textId="77777777" w:rsidR="007B36CF" w:rsidRPr="007B36CF" w:rsidRDefault="007B36CF" w:rsidP="007B36CF">
            <w:pPr>
              <w:rPr>
                <w:rFonts w:asciiTheme="minorHAnsi" w:hAnsiTheme="minorHAnsi" w:cstheme="minorHAnsi"/>
                <w:sz w:val="20"/>
                <w:szCs w:val="20"/>
                <w:lang w:eastAsia="en-GB"/>
              </w:rPr>
            </w:pPr>
          </w:p>
        </w:tc>
        <w:tc>
          <w:tcPr>
            <w:tcW w:w="502" w:type="pct"/>
            <w:tcBorders>
              <w:top w:val="single" w:sz="4" w:space="0" w:color="auto"/>
              <w:left w:val="single" w:sz="8" w:space="0" w:color="auto"/>
              <w:bottom w:val="single" w:sz="4" w:space="0" w:color="auto"/>
              <w:right w:val="nil"/>
            </w:tcBorders>
            <w:shd w:val="clear" w:color="auto" w:fill="auto"/>
            <w:noWrap/>
            <w:vAlign w:val="center"/>
            <w:hideMark/>
          </w:tcPr>
          <w:p w14:paraId="4A3440BD"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19</w:t>
            </w:r>
          </w:p>
        </w:tc>
        <w:tc>
          <w:tcPr>
            <w:tcW w:w="814" w:type="pct"/>
            <w:tcBorders>
              <w:top w:val="single" w:sz="4" w:space="0" w:color="auto"/>
              <w:left w:val="single" w:sz="8" w:space="0" w:color="auto"/>
              <w:bottom w:val="single" w:sz="4" w:space="0" w:color="auto"/>
              <w:right w:val="single" w:sz="8" w:space="0" w:color="auto"/>
            </w:tcBorders>
            <w:shd w:val="clear" w:color="auto" w:fill="auto"/>
            <w:noWrap/>
            <w:vAlign w:val="center"/>
            <w:hideMark/>
          </w:tcPr>
          <w:p w14:paraId="51A46202"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28,407.00 </w:t>
            </w:r>
          </w:p>
        </w:tc>
        <w:tc>
          <w:tcPr>
            <w:tcW w:w="814" w:type="pct"/>
            <w:tcBorders>
              <w:top w:val="single" w:sz="4" w:space="0" w:color="auto"/>
              <w:left w:val="nil"/>
              <w:bottom w:val="single" w:sz="4" w:space="0" w:color="auto"/>
              <w:right w:val="nil"/>
            </w:tcBorders>
            <w:shd w:val="clear" w:color="auto" w:fill="auto"/>
            <w:noWrap/>
            <w:vAlign w:val="center"/>
            <w:hideMark/>
          </w:tcPr>
          <w:p w14:paraId="2A50CE47"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5,978.29 </w:t>
            </w:r>
          </w:p>
        </w:tc>
        <w:tc>
          <w:tcPr>
            <w:tcW w:w="814" w:type="pct"/>
            <w:tcBorders>
              <w:top w:val="single" w:sz="4" w:space="0" w:color="auto"/>
              <w:left w:val="single" w:sz="8" w:space="0" w:color="auto"/>
              <w:bottom w:val="single" w:sz="4" w:space="0" w:color="auto"/>
              <w:right w:val="single" w:sz="8" w:space="0" w:color="auto"/>
            </w:tcBorders>
            <w:shd w:val="clear" w:color="auto" w:fill="auto"/>
            <w:noWrap/>
            <w:vAlign w:val="center"/>
            <w:hideMark/>
          </w:tcPr>
          <w:p w14:paraId="790654AE"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22,428.71 </w:t>
            </w:r>
          </w:p>
        </w:tc>
      </w:tr>
      <w:tr w:rsidR="007B36CF" w:rsidRPr="007B36CF" w14:paraId="35B401DC" w14:textId="77777777" w:rsidTr="007B36CF">
        <w:trPr>
          <w:trHeight w:val="315"/>
        </w:trPr>
        <w:tc>
          <w:tcPr>
            <w:tcW w:w="861" w:type="pct"/>
            <w:tcBorders>
              <w:top w:val="nil"/>
              <w:left w:val="nil"/>
              <w:bottom w:val="nil"/>
              <w:right w:val="nil"/>
            </w:tcBorders>
            <w:shd w:val="clear" w:color="auto" w:fill="auto"/>
            <w:noWrap/>
            <w:vAlign w:val="bottom"/>
            <w:hideMark/>
          </w:tcPr>
          <w:p w14:paraId="1F429B8A" w14:textId="77777777" w:rsidR="007B36CF" w:rsidRPr="007B36CF" w:rsidRDefault="007B36CF" w:rsidP="007B36CF">
            <w:pPr>
              <w:jc w:val="center"/>
              <w:rPr>
                <w:rFonts w:asciiTheme="minorHAnsi" w:hAnsiTheme="minorHAnsi" w:cstheme="minorHAnsi"/>
                <w:color w:val="000000"/>
                <w:sz w:val="20"/>
                <w:szCs w:val="20"/>
                <w:lang w:eastAsia="en-GB"/>
              </w:rPr>
            </w:pPr>
          </w:p>
        </w:tc>
        <w:tc>
          <w:tcPr>
            <w:tcW w:w="1072" w:type="pct"/>
            <w:tcBorders>
              <w:top w:val="nil"/>
              <w:left w:val="nil"/>
              <w:bottom w:val="nil"/>
              <w:right w:val="nil"/>
            </w:tcBorders>
            <w:shd w:val="clear" w:color="auto" w:fill="auto"/>
            <w:noWrap/>
            <w:vAlign w:val="bottom"/>
            <w:hideMark/>
          </w:tcPr>
          <w:p w14:paraId="5955D09B" w14:textId="77777777" w:rsidR="007B36CF" w:rsidRPr="007B36CF" w:rsidRDefault="007B36CF" w:rsidP="007B36CF">
            <w:pPr>
              <w:rPr>
                <w:rFonts w:asciiTheme="minorHAnsi" w:hAnsiTheme="minorHAnsi" w:cstheme="minorHAnsi"/>
                <w:sz w:val="20"/>
                <w:szCs w:val="20"/>
                <w:lang w:eastAsia="en-GB"/>
              </w:rPr>
            </w:pPr>
          </w:p>
        </w:tc>
        <w:tc>
          <w:tcPr>
            <w:tcW w:w="123" w:type="pct"/>
            <w:tcBorders>
              <w:top w:val="nil"/>
              <w:left w:val="nil"/>
              <w:bottom w:val="nil"/>
              <w:right w:val="nil"/>
            </w:tcBorders>
            <w:shd w:val="clear" w:color="auto" w:fill="auto"/>
            <w:noWrap/>
            <w:vAlign w:val="bottom"/>
            <w:hideMark/>
          </w:tcPr>
          <w:p w14:paraId="4C30A220" w14:textId="77777777" w:rsidR="007B36CF" w:rsidRPr="007B36CF" w:rsidRDefault="007B36CF" w:rsidP="007B36CF">
            <w:pPr>
              <w:rPr>
                <w:rFonts w:asciiTheme="minorHAnsi" w:hAnsiTheme="minorHAnsi" w:cstheme="minorHAnsi"/>
                <w:sz w:val="20"/>
                <w:szCs w:val="20"/>
                <w:lang w:eastAsia="en-GB"/>
              </w:rPr>
            </w:pPr>
          </w:p>
        </w:tc>
        <w:tc>
          <w:tcPr>
            <w:tcW w:w="502" w:type="pct"/>
            <w:tcBorders>
              <w:top w:val="nil"/>
              <w:left w:val="single" w:sz="8" w:space="0" w:color="auto"/>
              <w:bottom w:val="single" w:sz="8" w:space="0" w:color="auto"/>
              <w:right w:val="nil"/>
            </w:tcBorders>
            <w:shd w:val="clear" w:color="auto" w:fill="auto"/>
            <w:noWrap/>
            <w:vAlign w:val="center"/>
            <w:hideMark/>
          </w:tcPr>
          <w:p w14:paraId="00C87AF9"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20</w:t>
            </w:r>
          </w:p>
        </w:tc>
        <w:tc>
          <w:tcPr>
            <w:tcW w:w="814" w:type="pct"/>
            <w:tcBorders>
              <w:top w:val="nil"/>
              <w:left w:val="single" w:sz="8" w:space="0" w:color="auto"/>
              <w:bottom w:val="single" w:sz="8" w:space="0" w:color="auto"/>
              <w:right w:val="single" w:sz="8" w:space="0" w:color="auto"/>
            </w:tcBorders>
            <w:shd w:val="clear" w:color="auto" w:fill="auto"/>
            <w:noWrap/>
            <w:vAlign w:val="center"/>
            <w:hideMark/>
          </w:tcPr>
          <w:p w14:paraId="262251AA"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21,753.00 </w:t>
            </w:r>
          </w:p>
        </w:tc>
        <w:tc>
          <w:tcPr>
            <w:tcW w:w="814" w:type="pct"/>
            <w:tcBorders>
              <w:top w:val="nil"/>
              <w:left w:val="nil"/>
              <w:bottom w:val="single" w:sz="8" w:space="0" w:color="auto"/>
              <w:right w:val="nil"/>
            </w:tcBorders>
            <w:shd w:val="clear" w:color="auto" w:fill="auto"/>
            <w:noWrap/>
            <w:vAlign w:val="center"/>
            <w:hideMark/>
          </w:tcPr>
          <w:p w14:paraId="0DA3AADF"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5,978.29 </w:t>
            </w:r>
          </w:p>
        </w:tc>
        <w:tc>
          <w:tcPr>
            <w:tcW w:w="814" w:type="pct"/>
            <w:tcBorders>
              <w:top w:val="nil"/>
              <w:left w:val="single" w:sz="8" w:space="0" w:color="auto"/>
              <w:bottom w:val="single" w:sz="8" w:space="0" w:color="auto"/>
              <w:right w:val="single" w:sz="8" w:space="0" w:color="auto"/>
            </w:tcBorders>
            <w:shd w:val="clear" w:color="auto" w:fill="auto"/>
            <w:noWrap/>
            <w:vAlign w:val="center"/>
            <w:hideMark/>
          </w:tcPr>
          <w:p w14:paraId="5ADEF042"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15,774.71 </w:t>
            </w:r>
          </w:p>
        </w:tc>
      </w:tr>
      <w:tr w:rsidR="007B36CF" w:rsidRPr="007B36CF" w14:paraId="5C1EA265" w14:textId="77777777" w:rsidTr="007B36CF">
        <w:trPr>
          <w:trHeight w:val="300"/>
        </w:trPr>
        <w:tc>
          <w:tcPr>
            <w:tcW w:w="861" w:type="pct"/>
            <w:tcBorders>
              <w:top w:val="nil"/>
              <w:left w:val="nil"/>
              <w:bottom w:val="nil"/>
              <w:right w:val="nil"/>
            </w:tcBorders>
            <w:shd w:val="clear" w:color="auto" w:fill="auto"/>
            <w:noWrap/>
            <w:vAlign w:val="bottom"/>
            <w:hideMark/>
          </w:tcPr>
          <w:p w14:paraId="55B82A0A" w14:textId="77777777" w:rsidR="007B36CF" w:rsidRPr="007B36CF" w:rsidRDefault="007B36CF" w:rsidP="007B36CF">
            <w:pPr>
              <w:jc w:val="center"/>
              <w:rPr>
                <w:rFonts w:asciiTheme="minorHAnsi" w:hAnsiTheme="minorHAnsi" w:cstheme="minorHAnsi"/>
                <w:color w:val="000000"/>
                <w:sz w:val="20"/>
                <w:szCs w:val="20"/>
                <w:lang w:eastAsia="en-GB"/>
              </w:rPr>
            </w:pPr>
          </w:p>
        </w:tc>
        <w:tc>
          <w:tcPr>
            <w:tcW w:w="1072" w:type="pct"/>
            <w:tcBorders>
              <w:top w:val="nil"/>
              <w:left w:val="nil"/>
              <w:bottom w:val="nil"/>
              <w:right w:val="nil"/>
            </w:tcBorders>
            <w:shd w:val="clear" w:color="auto" w:fill="auto"/>
            <w:noWrap/>
            <w:vAlign w:val="bottom"/>
            <w:hideMark/>
          </w:tcPr>
          <w:p w14:paraId="1531A8AA" w14:textId="77777777" w:rsidR="007B36CF" w:rsidRPr="007B36CF" w:rsidRDefault="007B36CF" w:rsidP="007B36CF">
            <w:pPr>
              <w:rPr>
                <w:rFonts w:asciiTheme="minorHAnsi" w:hAnsiTheme="minorHAnsi" w:cstheme="minorHAnsi"/>
                <w:sz w:val="20"/>
                <w:szCs w:val="20"/>
                <w:lang w:eastAsia="en-GB"/>
              </w:rPr>
            </w:pPr>
          </w:p>
        </w:tc>
        <w:tc>
          <w:tcPr>
            <w:tcW w:w="123" w:type="pct"/>
            <w:tcBorders>
              <w:top w:val="nil"/>
              <w:left w:val="nil"/>
              <w:bottom w:val="nil"/>
              <w:right w:val="nil"/>
            </w:tcBorders>
            <w:shd w:val="clear" w:color="auto" w:fill="auto"/>
            <w:noWrap/>
            <w:vAlign w:val="bottom"/>
            <w:hideMark/>
          </w:tcPr>
          <w:p w14:paraId="2D202BDE" w14:textId="77777777" w:rsidR="007B36CF" w:rsidRPr="007B36CF" w:rsidRDefault="007B36CF" w:rsidP="007B36CF">
            <w:pPr>
              <w:rPr>
                <w:rFonts w:asciiTheme="minorHAnsi" w:hAnsiTheme="minorHAnsi" w:cstheme="minorHAnsi"/>
                <w:sz w:val="20"/>
                <w:szCs w:val="20"/>
                <w:lang w:eastAsia="en-GB"/>
              </w:rPr>
            </w:pPr>
          </w:p>
        </w:tc>
        <w:tc>
          <w:tcPr>
            <w:tcW w:w="502" w:type="pct"/>
            <w:tcBorders>
              <w:top w:val="single" w:sz="4" w:space="0" w:color="auto"/>
              <w:left w:val="single" w:sz="8" w:space="0" w:color="auto"/>
              <w:bottom w:val="single" w:sz="4" w:space="0" w:color="auto"/>
              <w:right w:val="nil"/>
            </w:tcBorders>
            <w:shd w:val="clear" w:color="auto" w:fill="auto"/>
            <w:noWrap/>
            <w:vAlign w:val="center"/>
            <w:hideMark/>
          </w:tcPr>
          <w:p w14:paraId="463FC0A2"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21</w:t>
            </w:r>
          </w:p>
        </w:tc>
        <w:tc>
          <w:tcPr>
            <w:tcW w:w="814" w:type="pct"/>
            <w:tcBorders>
              <w:top w:val="single" w:sz="4" w:space="0" w:color="auto"/>
              <w:left w:val="single" w:sz="8" w:space="0" w:color="auto"/>
              <w:bottom w:val="single" w:sz="4" w:space="0" w:color="auto"/>
              <w:right w:val="single" w:sz="8" w:space="0" w:color="auto"/>
            </w:tcBorders>
            <w:shd w:val="clear" w:color="auto" w:fill="auto"/>
            <w:noWrap/>
            <w:vAlign w:val="center"/>
            <w:hideMark/>
          </w:tcPr>
          <w:p w14:paraId="16CDF0A7"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21,055.00 </w:t>
            </w:r>
          </w:p>
        </w:tc>
        <w:tc>
          <w:tcPr>
            <w:tcW w:w="814" w:type="pct"/>
            <w:tcBorders>
              <w:top w:val="single" w:sz="4" w:space="0" w:color="auto"/>
              <w:left w:val="nil"/>
              <w:bottom w:val="single" w:sz="4" w:space="0" w:color="auto"/>
              <w:right w:val="nil"/>
            </w:tcBorders>
            <w:shd w:val="clear" w:color="auto" w:fill="auto"/>
            <w:noWrap/>
            <w:vAlign w:val="center"/>
            <w:hideMark/>
          </w:tcPr>
          <w:p w14:paraId="7595FC6C"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5,978.29 </w:t>
            </w:r>
          </w:p>
        </w:tc>
        <w:tc>
          <w:tcPr>
            <w:tcW w:w="814" w:type="pct"/>
            <w:tcBorders>
              <w:top w:val="single" w:sz="4" w:space="0" w:color="auto"/>
              <w:left w:val="single" w:sz="8" w:space="0" w:color="auto"/>
              <w:bottom w:val="single" w:sz="4" w:space="0" w:color="auto"/>
              <w:right w:val="single" w:sz="8" w:space="0" w:color="auto"/>
            </w:tcBorders>
            <w:shd w:val="clear" w:color="auto" w:fill="auto"/>
            <w:noWrap/>
            <w:vAlign w:val="center"/>
            <w:hideMark/>
          </w:tcPr>
          <w:p w14:paraId="1601BF90"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15,076.71 </w:t>
            </w:r>
          </w:p>
        </w:tc>
      </w:tr>
      <w:tr w:rsidR="007B36CF" w:rsidRPr="007B36CF" w14:paraId="4790E80A" w14:textId="77777777" w:rsidTr="007B36CF">
        <w:trPr>
          <w:trHeight w:val="315"/>
        </w:trPr>
        <w:tc>
          <w:tcPr>
            <w:tcW w:w="861" w:type="pct"/>
            <w:tcBorders>
              <w:top w:val="nil"/>
              <w:left w:val="nil"/>
              <w:bottom w:val="nil"/>
              <w:right w:val="nil"/>
            </w:tcBorders>
            <w:shd w:val="clear" w:color="auto" w:fill="auto"/>
            <w:noWrap/>
            <w:vAlign w:val="bottom"/>
            <w:hideMark/>
          </w:tcPr>
          <w:p w14:paraId="1E48E78B" w14:textId="77777777" w:rsidR="007B36CF" w:rsidRPr="007B36CF" w:rsidRDefault="007B36CF" w:rsidP="007B36CF">
            <w:pPr>
              <w:jc w:val="center"/>
              <w:rPr>
                <w:rFonts w:asciiTheme="minorHAnsi" w:hAnsiTheme="minorHAnsi" w:cstheme="minorHAnsi"/>
                <w:color w:val="000000"/>
                <w:sz w:val="20"/>
                <w:szCs w:val="20"/>
                <w:lang w:eastAsia="en-GB"/>
              </w:rPr>
            </w:pPr>
          </w:p>
        </w:tc>
        <w:tc>
          <w:tcPr>
            <w:tcW w:w="1072" w:type="pct"/>
            <w:tcBorders>
              <w:top w:val="nil"/>
              <w:left w:val="nil"/>
              <w:bottom w:val="nil"/>
              <w:right w:val="nil"/>
            </w:tcBorders>
            <w:shd w:val="clear" w:color="auto" w:fill="auto"/>
            <w:noWrap/>
            <w:vAlign w:val="bottom"/>
            <w:hideMark/>
          </w:tcPr>
          <w:p w14:paraId="6DE773B8" w14:textId="77777777" w:rsidR="007B36CF" w:rsidRPr="007B36CF" w:rsidRDefault="007B36CF" w:rsidP="007B36CF">
            <w:pPr>
              <w:rPr>
                <w:rFonts w:asciiTheme="minorHAnsi" w:hAnsiTheme="minorHAnsi" w:cstheme="minorHAnsi"/>
                <w:sz w:val="20"/>
                <w:szCs w:val="20"/>
                <w:lang w:eastAsia="en-GB"/>
              </w:rPr>
            </w:pPr>
          </w:p>
        </w:tc>
        <w:tc>
          <w:tcPr>
            <w:tcW w:w="123" w:type="pct"/>
            <w:tcBorders>
              <w:top w:val="nil"/>
              <w:left w:val="nil"/>
              <w:bottom w:val="nil"/>
              <w:right w:val="nil"/>
            </w:tcBorders>
            <w:shd w:val="clear" w:color="auto" w:fill="auto"/>
            <w:noWrap/>
            <w:vAlign w:val="bottom"/>
            <w:hideMark/>
          </w:tcPr>
          <w:p w14:paraId="634F4AD5" w14:textId="77777777" w:rsidR="007B36CF" w:rsidRPr="007B36CF" w:rsidRDefault="007B36CF" w:rsidP="007B36CF">
            <w:pPr>
              <w:rPr>
                <w:rFonts w:asciiTheme="minorHAnsi" w:hAnsiTheme="minorHAnsi" w:cstheme="minorHAnsi"/>
                <w:sz w:val="20"/>
                <w:szCs w:val="20"/>
                <w:lang w:eastAsia="en-GB"/>
              </w:rPr>
            </w:pPr>
          </w:p>
        </w:tc>
        <w:tc>
          <w:tcPr>
            <w:tcW w:w="502" w:type="pct"/>
            <w:tcBorders>
              <w:top w:val="nil"/>
              <w:left w:val="single" w:sz="8" w:space="0" w:color="auto"/>
              <w:bottom w:val="single" w:sz="8" w:space="0" w:color="auto"/>
              <w:right w:val="nil"/>
            </w:tcBorders>
            <w:shd w:val="clear" w:color="auto" w:fill="auto"/>
            <w:noWrap/>
            <w:vAlign w:val="center"/>
            <w:hideMark/>
          </w:tcPr>
          <w:p w14:paraId="73F6CA48"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22</w:t>
            </w:r>
          </w:p>
        </w:tc>
        <w:tc>
          <w:tcPr>
            <w:tcW w:w="814" w:type="pct"/>
            <w:tcBorders>
              <w:top w:val="nil"/>
              <w:left w:val="single" w:sz="8" w:space="0" w:color="auto"/>
              <w:bottom w:val="single" w:sz="8" w:space="0" w:color="auto"/>
              <w:right w:val="single" w:sz="8" w:space="0" w:color="auto"/>
            </w:tcBorders>
            <w:shd w:val="clear" w:color="auto" w:fill="auto"/>
            <w:noWrap/>
            <w:vAlign w:val="center"/>
            <w:hideMark/>
          </w:tcPr>
          <w:p w14:paraId="5DBB247D"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5,396.00 </w:t>
            </w:r>
          </w:p>
        </w:tc>
        <w:tc>
          <w:tcPr>
            <w:tcW w:w="814" w:type="pct"/>
            <w:tcBorders>
              <w:top w:val="nil"/>
              <w:left w:val="nil"/>
              <w:bottom w:val="single" w:sz="8" w:space="0" w:color="auto"/>
              <w:right w:val="nil"/>
            </w:tcBorders>
            <w:shd w:val="clear" w:color="auto" w:fill="auto"/>
            <w:noWrap/>
            <w:vAlign w:val="center"/>
            <w:hideMark/>
          </w:tcPr>
          <w:p w14:paraId="6F73C4D2" w14:textId="77777777"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      5,978.29 </w:t>
            </w:r>
          </w:p>
        </w:tc>
        <w:tc>
          <w:tcPr>
            <w:tcW w:w="814" w:type="pct"/>
            <w:tcBorders>
              <w:top w:val="single" w:sz="4" w:space="0" w:color="auto"/>
              <w:left w:val="single" w:sz="8" w:space="0" w:color="auto"/>
              <w:bottom w:val="single" w:sz="8" w:space="0" w:color="auto"/>
              <w:right w:val="single" w:sz="8" w:space="0" w:color="auto"/>
            </w:tcBorders>
            <w:shd w:val="clear" w:color="000000" w:fill="A6A6A6"/>
            <w:noWrap/>
            <w:vAlign w:val="center"/>
            <w:hideMark/>
          </w:tcPr>
          <w:p w14:paraId="47529E54" w14:textId="77777777" w:rsidR="007B36CF" w:rsidRPr="007B36CF" w:rsidRDefault="007B36CF" w:rsidP="007B36CF">
            <w:pPr>
              <w:jc w:val="center"/>
              <w:rPr>
                <w:rFonts w:asciiTheme="minorHAnsi" w:hAnsiTheme="minorHAnsi" w:cstheme="minorHAnsi"/>
                <w:color w:val="9C0006"/>
                <w:sz w:val="20"/>
                <w:szCs w:val="20"/>
                <w:lang w:eastAsia="en-GB"/>
              </w:rPr>
            </w:pPr>
            <w:r w:rsidRPr="007B36CF">
              <w:rPr>
                <w:rFonts w:asciiTheme="minorHAnsi" w:hAnsiTheme="minorHAnsi" w:cstheme="minorHAnsi"/>
                <w:color w:val="9C0006"/>
                <w:sz w:val="20"/>
                <w:szCs w:val="20"/>
                <w:lang w:eastAsia="en-GB"/>
              </w:rPr>
              <w:t xml:space="preserve">-£         582.29 </w:t>
            </w:r>
          </w:p>
        </w:tc>
      </w:tr>
      <w:tr w:rsidR="007B36CF" w:rsidRPr="007B36CF" w14:paraId="01D207BA" w14:textId="77777777" w:rsidTr="007B36CF">
        <w:trPr>
          <w:trHeight w:val="315"/>
        </w:trPr>
        <w:tc>
          <w:tcPr>
            <w:tcW w:w="861" w:type="pct"/>
            <w:tcBorders>
              <w:top w:val="nil"/>
              <w:left w:val="nil"/>
              <w:bottom w:val="nil"/>
              <w:right w:val="nil"/>
            </w:tcBorders>
            <w:shd w:val="clear" w:color="auto" w:fill="auto"/>
            <w:noWrap/>
            <w:vAlign w:val="bottom"/>
            <w:hideMark/>
          </w:tcPr>
          <w:p w14:paraId="1D229436" w14:textId="77777777" w:rsidR="007B36CF" w:rsidRPr="007B36CF" w:rsidRDefault="007B36CF" w:rsidP="007B36CF">
            <w:pPr>
              <w:jc w:val="center"/>
              <w:rPr>
                <w:rFonts w:asciiTheme="minorHAnsi" w:hAnsiTheme="minorHAnsi" w:cstheme="minorHAnsi"/>
                <w:color w:val="9C0006"/>
                <w:sz w:val="20"/>
                <w:szCs w:val="20"/>
                <w:lang w:eastAsia="en-GB"/>
              </w:rPr>
            </w:pPr>
          </w:p>
        </w:tc>
        <w:tc>
          <w:tcPr>
            <w:tcW w:w="1072" w:type="pct"/>
            <w:tcBorders>
              <w:top w:val="nil"/>
              <w:left w:val="nil"/>
              <w:bottom w:val="nil"/>
              <w:right w:val="nil"/>
            </w:tcBorders>
            <w:shd w:val="clear" w:color="auto" w:fill="auto"/>
            <w:noWrap/>
            <w:vAlign w:val="bottom"/>
            <w:hideMark/>
          </w:tcPr>
          <w:p w14:paraId="529CA785" w14:textId="77777777" w:rsidR="007B36CF" w:rsidRPr="007B36CF" w:rsidRDefault="007B36CF" w:rsidP="007B36CF">
            <w:pPr>
              <w:rPr>
                <w:rFonts w:asciiTheme="minorHAnsi" w:hAnsiTheme="minorHAnsi" w:cstheme="minorHAnsi"/>
                <w:sz w:val="20"/>
                <w:szCs w:val="20"/>
                <w:lang w:eastAsia="en-GB"/>
              </w:rPr>
            </w:pPr>
          </w:p>
        </w:tc>
        <w:tc>
          <w:tcPr>
            <w:tcW w:w="123" w:type="pct"/>
            <w:tcBorders>
              <w:top w:val="nil"/>
              <w:left w:val="nil"/>
              <w:bottom w:val="nil"/>
              <w:right w:val="nil"/>
            </w:tcBorders>
            <w:shd w:val="clear" w:color="auto" w:fill="auto"/>
            <w:noWrap/>
            <w:vAlign w:val="bottom"/>
            <w:hideMark/>
          </w:tcPr>
          <w:p w14:paraId="5ED3733B" w14:textId="77777777" w:rsidR="007B36CF" w:rsidRPr="007B36CF" w:rsidRDefault="007B36CF" w:rsidP="007B36CF">
            <w:pPr>
              <w:rPr>
                <w:rFonts w:asciiTheme="minorHAnsi" w:hAnsiTheme="minorHAnsi" w:cstheme="minorHAnsi"/>
                <w:sz w:val="20"/>
                <w:szCs w:val="20"/>
                <w:lang w:eastAsia="en-GB"/>
              </w:rPr>
            </w:pPr>
          </w:p>
        </w:tc>
        <w:tc>
          <w:tcPr>
            <w:tcW w:w="502" w:type="pct"/>
            <w:tcBorders>
              <w:top w:val="nil"/>
              <w:left w:val="nil"/>
              <w:bottom w:val="nil"/>
              <w:right w:val="nil"/>
            </w:tcBorders>
            <w:shd w:val="clear" w:color="auto" w:fill="auto"/>
            <w:noWrap/>
            <w:vAlign w:val="bottom"/>
            <w:hideMark/>
          </w:tcPr>
          <w:p w14:paraId="70F87712" w14:textId="77777777" w:rsidR="007B36CF" w:rsidRPr="007B36CF" w:rsidRDefault="007B36CF" w:rsidP="007B36CF">
            <w:pPr>
              <w:rPr>
                <w:rFonts w:asciiTheme="minorHAnsi" w:hAnsiTheme="minorHAnsi" w:cstheme="minorHAnsi"/>
                <w:sz w:val="20"/>
                <w:szCs w:val="20"/>
                <w:lang w:eastAsia="en-GB"/>
              </w:rPr>
            </w:pPr>
          </w:p>
        </w:tc>
        <w:tc>
          <w:tcPr>
            <w:tcW w:w="814" w:type="pct"/>
            <w:tcBorders>
              <w:top w:val="nil"/>
              <w:left w:val="single" w:sz="8" w:space="0" w:color="auto"/>
              <w:bottom w:val="single" w:sz="8" w:space="0" w:color="auto"/>
              <w:right w:val="single" w:sz="8" w:space="0" w:color="auto"/>
            </w:tcBorders>
            <w:shd w:val="clear" w:color="auto" w:fill="auto"/>
            <w:noWrap/>
            <w:vAlign w:val="center"/>
            <w:hideMark/>
          </w:tcPr>
          <w:p w14:paraId="06FCE92D" w14:textId="3F74F51C"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w:t>
            </w:r>
            <w:r w:rsidR="00910F94" w:rsidRPr="007B36CF">
              <w:rPr>
                <w:rFonts w:asciiTheme="minorHAnsi" w:hAnsiTheme="minorHAnsi" w:cstheme="minorHAnsi"/>
                <w:color w:val="000000"/>
                <w:sz w:val="20"/>
                <w:szCs w:val="20"/>
                <w:lang w:eastAsia="en-GB"/>
              </w:rPr>
              <w:t>£ 663,122.00</w:t>
            </w:r>
            <w:r w:rsidRPr="007B36CF">
              <w:rPr>
                <w:rFonts w:asciiTheme="minorHAnsi" w:hAnsiTheme="minorHAnsi" w:cstheme="minorHAnsi"/>
                <w:color w:val="000000"/>
                <w:sz w:val="20"/>
                <w:szCs w:val="20"/>
                <w:lang w:eastAsia="en-GB"/>
              </w:rPr>
              <w:t xml:space="preserve"> </w:t>
            </w:r>
          </w:p>
        </w:tc>
        <w:tc>
          <w:tcPr>
            <w:tcW w:w="814" w:type="pct"/>
            <w:tcBorders>
              <w:top w:val="nil"/>
              <w:left w:val="nil"/>
              <w:bottom w:val="single" w:sz="8" w:space="0" w:color="auto"/>
              <w:right w:val="nil"/>
            </w:tcBorders>
            <w:shd w:val="clear" w:color="auto" w:fill="auto"/>
            <w:noWrap/>
            <w:vAlign w:val="center"/>
            <w:hideMark/>
          </w:tcPr>
          <w:p w14:paraId="2F8A0BBC" w14:textId="6BD93EFF"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w:t>
            </w:r>
            <w:r w:rsidR="00910F94" w:rsidRPr="007B36CF">
              <w:rPr>
                <w:rFonts w:asciiTheme="minorHAnsi" w:hAnsiTheme="minorHAnsi" w:cstheme="minorHAnsi"/>
                <w:color w:val="000000"/>
                <w:sz w:val="20"/>
                <w:szCs w:val="20"/>
                <w:lang w:eastAsia="en-GB"/>
              </w:rPr>
              <w:t>£ 131,522.30</w:t>
            </w:r>
            <w:r w:rsidRPr="007B36CF">
              <w:rPr>
                <w:rFonts w:asciiTheme="minorHAnsi" w:hAnsiTheme="minorHAnsi" w:cstheme="minorHAnsi"/>
                <w:color w:val="000000"/>
                <w:sz w:val="20"/>
                <w:szCs w:val="20"/>
                <w:lang w:eastAsia="en-GB"/>
              </w:rPr>
              <w:t xml:space="preserve"> </w:t>
            </w:r>
          </w:p>
        </w:tc>
        <w:tc>
          <w:tcPr>
            <w:tcW w:w="814" w:type="pct"/>
            <w:tcBorders>
              <w:top w:val="nil"/>
              <w:left w:val="single" w:sz="8" w:space="0" w:color="auto"/>
              <w:bottom w:val="single" w:sz="8" w:space="0" w:color="auto"/>
              <w:right w:val="single" w:sz="8" w:space="0" w:color="auto"/>
            </w:tcBorders>
            <w:shd w:val="clear" w:color="auto" w:fill="auto"/>
            <w:noWrap/>
            <w:vAlign w:val="center"/>
            <w:hideMark/>
          </w:tcPr>
          <w:p w14:paraId="5DF10177" w14:textId="66D0508C" w:rsidR="007B36CF" w:rsidRPr="007B36CF" w:rsidRDefault="007B36CF" w:rsidP="007B36CF">
            <w:pPr>
              <w:jc w:val="center"/>
              <w:rPr>
                <w:rFonts w:asciiTheme="minorHAnsi" w:hAnsiTheme="minorHAnsi" w:cstheme="minorHAnsi"/>
                <w:color w:val="000000"/>
                <w:sz w:val="20"/>
                <w:szCs w:val="20"/>
                <w:lang w:eastAsia="en-GB"/>
              </w:rPr>
            </w:pPr>
            <w:r w:rsidRPr="007B36CF">
              <w:rPr>
                <w:rFonts w:asciiTheme="minorHAnsi" w:hAnsiTheme="minorHAnsi" w:cstheme="minorHAnsi"/>
                <w:color w:val="000000"/>
                <w:sz w:val="20"/>
                <w:szCs w:val="20"/>
                <w:lang w:eastAsia="en-GB"/>
              </w:rPr>
              <w:t xml:space="preserve"> </w:t>
            </w:r>
            <w:r w:rsidR="00910F94" w:rsidRPr="007B36CF">
              <w:rPr>
                <w:rFonts w:asciiTheme="minorHAnsi" w:hAnsiTheme="minorHAnsi" w:cstheme="minorHAnsi"/>
                <w:color w:val="000000"/>
                <w:sz w:val="20"/>
                <w:szCs w:val="20"/>
                <w:lang w:eastAsia="en-GB"/>
              </w:rPr>
              <w:t>£ 531,599.70</w:t>
            </w:r>
            <w:r w:rsidRPr="007B36CF">
              <w:rPr>
                <w:rFonts w:asciiTheme="minorHAnsi" w:hAnsiTheme="minorHAnsi" w:cstheme="minorHAnsi"/>
                <w:color w:val="000000"/>
                <w:sz w:val="20"/>
                <w:szCs w:val="20"/>
                <w:lang w:eastAsia="en-GB"/>
              </w:rPr>
              <w:t xml:space="preserve"> </w:t>
            </w:r>
          </w:p>
        </w:tc>
      </w:tr>
    </w:tbl>
    <w:p w14:paraId="22B7BCDF" w14:textId="726B0BC6" w:rsidR="007B36CF" w:rsidRDefault="007B36CF" w:rsidP="007B36CF"/>
    <w:p w14:paraId="0FAFB061" w14:textId="620E400B" w:rsidR="00CF6779" w:rsidRDefault="00CF6779" w:rsidP="007B36CF"/>
    <w:p w14:paraId="57BBD8C9" w14:textId="5C787B59" w:rsidR="00CF6779" w:rsidRDefault="00CF6779" w:rsidP="007B36CF"/>
    <w:p w14:paraId="1520E77E" w14:textId="2A5D7E4D" w:rsidR="00CF6779" w:rsidRDefault="00CF6779" w:rsidP="007B36CF"/>
    <w:p w14:paraId="5FC32C48" w14:textId="5D86BDF7" w:rsidR="00CF6779" w:rsidRDefault="00CF6779" w:rsidP="007B36CF"/>
    <w:p w14:paraId="15329795" w14:textId="50EDE35A" w:rsidR="00CF6779" w:rsidRDefault="00CF6779" w:rsidP="007B36CF"/>
    <w:p w14:paraId="5137E4B0" w14:textId="684D0A7A" w:rsidR="00CF6779" w:rsidRDefault="00CF6779" w:rsidP="007B36CF"/>
    <w:p w14:paraId="6E97E2A7" w14:textId="53DF15EE" w:rsidR="00CF6779" w:rsidRDefault="00CF6779" w:rsidP="007B36CF"/>
    <w:p w14:paraId="30592FA4" w14:textId="68857ACC" w:rsidR="00CF6779" w:rsidRDefault="00CF6779" w:rsidP="007B36CF"/>
    <w:p w14:paraId="63C4C43E" w14:textId="0EA95A17" w:rsidR="00CF6779" w:rsidRDefault="00CF6779" w:rsidP="007B36CF"/>
    <w:p w14:paraId="11F1D67C" w14:textId="05BE1A62" w:rsidR="00CF6779" w:rsidRDefault="00CF6779" w:rsidP="007B36CF"/>
    <w:p w14:paraId="6906D214" w14:textId="45B6371C" w:rsidR="00CF6779" w:rsidRDefault="00CF6779" w:rsidP="007B36CF"/>
    <w:p w14:paraId="7A6D11F2" w14:textId="45567CE1" w:rsidR="00CF6779" w:rsidRDefault="00CF6779" w:rsidP="007B36CF"/>
    <w:p w14:paraId="2201A945" w14:textId="34C77443" w:rsidR="00CF6779" w:rsidRDefault="00CF6779" w:rsidP="007B36CF"/>
    <w:p w14:paraId="62C41105" w14:textId="16CDCF20" w:rsidR="00CF6779" w:rsidRDefault="00CF6779" w:rsidP="007B36CF"/>
    <w:p w14:paraId="708FBE16" w14:textId="557C4C6D" w:rsidR="00CF6779" w:rsidRDefault="00CF6779" w:rsidP="007B36CF"/>
    <w:p w14:paraId="1C8CC3F2" w14:textId="5F45E64A" w:rsidR="00CF6779" w:rsidRDefault="00CF6779" w:rsidP="007B36CF"/>
    <w:p w14:paraId="17A09ABF" w14:textId="075D6084" w:rsidR="00CF6779" w:rsidRDefault="00CF6779" w:rsidP="007B36CF"/>
    <w:p w14:paraId="73E37213" w14:textId="65E6C887" w:rsidR="00CF6779" w:rsidRDefault="00CF6779" w:rsidP="00CF6779">
      <w:pPr>
        <w:pStyle w:val="Heading1"/>
        <w:rPr>
          <w:rFonts w:asciiTheme="minorHAnsi" w:hAnsiTheme="minorHAnsi" w:cstheme="minorHAnsi"/>
        </w:rPr>
      </w:pPr>
      <w:bookmarkStart w:id="9" w:name="_Toc115644711"/>
      <w:r w:rsidRPr="007B36CF">
        <w:rPr>
          <w:rFonts w:asciiTheme="minorHAnsi" w:hAnsiTheme="minorHAnsi" w:cstheme="minorHAnsi"/>
        </w:rPr>
        <w:lastRenderedPageBreak/>
        <w:t xml:space="preserve">Appendix </w:t>
      </w:r>
      <w:r>
        <w:rPr>
          <w:rFonts w:asciiTheme="minorHAnsi" w:hAnsiTheme="minorHAnsi" w:cstheme="minorHAnsi"/>
        </w:rPr>
        <w:t>E</w:t>
      </w:r>
      <w:r w:rsidRPr="007B36CF">
        <w:rPr>
          <w:rFonts w:asciiTheme="minorHAnsi" w:hAnsiTheme="minorHAnsi" w:cstheme="minorHAnsi"/>
        </w:rPr>
        <w:t>-</w:t>
      </w:r>
      <w:r>
        <w:rPr>
          <w:rFonts w:asciiTheme="minorHAnsi" w:hAnsiTheme="minorHAnsi" w:cstheme="minorHAnsi"/>
        </w:rPr>
        <w:t>Rosler Equipment Costs</w:t>
      </w:r>
      <w:bookmarkEnd w:id="9"/>
    </w:p>
    <w:p w14:paraId="61A7D42F" w14:textId="22CC2EF8" w:rsidR="00CF6779" w:rsidRPr="00CF6779" w:rsidRDefault="00CF6779" w:rsidP="00CF6779">
      <w:r w:rsidRPr="00CF6779">
        <w:drawing>
          <wp:inline distT="0" distB="0" distL="0" distR="0" wp14:anchorId="0E32B2E5" wp14:editId="047897D3">
            <wp:extent cx="5935147" cy="8124825"/>
            <wp:effectExtent l="19050" t="19050" r="27940" b="952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7"/>
                    <a:stretch>
                      <a:fillRect/>
                    </a:stretch>
                  </pic:blipFill>
                  <pic:spPr>
                    <a:xfrm>
                      <a:off x="0" y="0"/>
                      <a:ext cx="5941574" cy="8133624"/>
                    </a:xfrm>
                    <a:prstGeom prst="rect">
                      <a:avLst/>
                    </a:prstGeom>
                    <a:ln>
                      <a:solidFill>
                        <a:schemeClr val="tx1"/>
                      </a:solidFill>
                    </a:ln>
                  </pic:spPr>
                </pic:pic>
              </a:graphicData>
            </a:graphic>
          </wp:inline>
        </w:drawing>
      </w:r>
    </w:p>
    <w:p w14:paraId="244C543D" w14:textId="77777777" w:rsidR="00CF6779" w:rsidRPr="007B36CF" w:rsidRDefault="00CF6779" w:rsidP="00CF6779"/>
    <w:sectPr w:rsidR="00CF6779" w:rsidRPr="007B36CF" w:rsidSect="007B36CF">
      <w:pgSz w:w="11906" w:h="16838"/>
      <w:pgMar w:top="1440" w:right="1440" w:bottom="992" w:left="1440" w:header="709" w:footer="15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DE5FF2" w14:textId="77777777" w:rsidR="00476041" w:rsidRDefault="00476041" w:rsidP="0066487E">
      <w:r>
        <w:separator/>
      </w:r>
    </w:p>
  </w:endnote>
  <w:endnote w:type="continuationSeparator" w:id="0">
    <w:p w14:paraId="50D0DDFE" w14:textId="77777777" w:rsidR="00476041" w:rsidRDefault="00476041" w:rsidP="006648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63"/>
      <w:gridCol w:w="6603"/>
      <w:gridCol w:w="271"/>
      <w:gridCol w:w="708"/>
      <w:gridCol w:w="481"/>
    </w:tblGrid>
    <w:tr w:rsidR="002A72A1" w14:paraId="5CB02C29" w14:textId="77777777" w:rsidTr="002A72A1">
      <w:tc>
        <w:tcPr>
          <w:tcW w:w="963" w:type="dxa"/>
        </w:tcPr>
        <w:p w14:paraId="464B9133" w14:textId="77777777" w:rsidR="002A72A1" w:rsidRPr="002A72A1" w:rsidRDefault="002A72A1">
          <w:pPr>
            <w:pStyle w:val="Footer"/>
            <w:rPr>
              <w:rFonts w:asciiTheme="minorHAnsi" w:hAnsiTheme="minorHAnsi"/>
              <w:color w:val="808080" w:themeColor="background1" w:themeShade="80"/>
            </w:rPr>
          </w:pPr>
          <w:r w:rsidRPr="002A72A1">
            <w:rPr>
              <w:rFonts w:asciiTheme="minorHAnsi" w:hAnsiTheme="minorHAnsi"/>
              <w:color w:val="808080" w:themeColor="background1" w:themeShade="80"/>
            </w:rPr>
            <w:t>Author:</w:t>
          </w:r>
        </w:p>
      </w:tc>
      <w:tc>
        <w:tcPr>
          <w:tcW w:w="7083" w:type="dxa"/>
          <w:gridSpan w:val="2"/>
        </w:tcPr>
        <w:p w14:paraId="5C0E3422" w14:textId="09107AE3" w:rsidR="002A72A1" w:rsidRPr="002A72A1" w:rsidRDefault="00081EBB" w:rsidP="003A34D2">
          <w:pPr>
            <w:pStyle w:val="Footer"/>
            <w:rPr>
              <w:rFonts w:asciiTheme="minorHAnsi" w:hAnsiTheme="minorHAnsi"/>
              <w:color w:val="808080" w:themeColor="background1" w:themeShade="80"/>
            </w:rPr>
          </w:pPr>
          <w:r>
            <w:rPr>
              <w:rFonts w:asciiTheme="minorHAnsi" w:hAnsiTheme="minorHAnsi"/>
              <w:color w:val="808080" w:themeColor="background1" w:themeShade="80"/>
            </w:rPr>
            <w:t>2110656@student.uwtsd.ac.uk</w:t>
          </w:r>
        </w:p>
      </w:tc>
      <w:tc>
        <w:tcPr>
          <w:tcW w:w="709" w:type="dxa"/>
        </w:tcPr>
        <w:p w14:paraId="27F2D7B1" w14:textId="77777777" w:rsidR="002A72A1" w:rsidRPr="002A72A1" w:rsidRDefault="002A72A1" w:rsidP="002A72A1">
          <w:pPr>
            <w:pStyle w:val="Footer"/>
            <w:jc w:val="right"/>
            <w:rPr>
              <w:rFonts w:asciiTheme="minorHAnsi" w:hAnsiTheme="minorHAnsi"/>
              <w:color w:val="808080" w:themeColor="background1" w:themeShade="80"/>
            </w:rPr>
          </w:pPr>
          <w:r>
            <w:rPr>
              <w:rFonts w:asciiTheme="minorHAnsi" w:hAnsiTheme="minorHAnsi"/>
              <w:color w:val="808080" w:themeColor="background1" w:themeShade="80"/>
            </w:rPr>
            <w:t xml:space="preserve">Page   </w:t>
          </w:r>
        </w:p>
      </w:tc>
      <w:tc>
        <w:tcPr>
          <w:tcW w:w="487" w:type="dxa"/>
        </w:tcPr>
        <w:p w14:paraId="2A4964E3" w14:textId="77777777" w:rsidR="002A72A1" w:rsidRPr="002A72A1" w:rsidRDefault="002A72A1" w:rsidP="002A72A1">
          <w:pPr>
            <w:pStyle w:val="Footer"/>
            <w:rPr>
              <w:rFonts w:asciiTheme="minorHAnsi" w:hAnsiTheme="minorHAnsi"/>
              <w:color w:val="808080" w:themeColor="background1" w:themeShade="80"/>
            </w:rPr>
          </w:pPr>
          <w:r w:rsidRPr="002A72A1">
            <w:rPr>
              <w:rFonts w:asciiTheme="majorHAnsi" w:eastAsiaTheme="majorEastAsia" w:hAnsiTheme="majorHAnsi" w:cstheme="majorBidi"/>
              <w:color w:val="808080" w:themeColor="background1" w:themeShade="80"/>
              <w:sz w:val="28"/>
              <w:szCs w:val="28"/>
            </w:rPr>
            <w:t xml:space="preserve"> </w:t>
          </w:r>
          <w:r w:rsidRPr="002A72A1">
            <w:rPr>
              <w:rFonts w:asciiTheme="minorHAnsi" w:eastAsiaTheme="minorEastAsia" w:hAnsiTheme="minorHAnsi" w:cstheme="minorBidi"/>
              <w:color w:val="808080" w:themeColor="background1" w:themeShade="80"/>
              <w:sz w:val="22"/>
              <w:szCs w:val="22"/>
            </w:rPr>
            <w:fldChar w:fldCharType="begin"/>
          </w:r>
          <w:r w:rsidRPr="002A72A1">
            <w:rPr>
              <w:rFonts w:asciiTheme="minorHAnsi" w:hAnsiTheme="minorHAnsi"/>
              <w:color w:val="808080" w:themeColor="background1" w:themeShade="80"/>
            </w:rPr>
            <w:instrText xml:space="preserve"> PAGE    \* MERGEFORMAT </w:instrText>
          </w:r>
          <w:r w:rsidRPr="002A72A1">
            <w:rPr>
              <w:rFonts w:asciiTheme="minorHAnsi" w:eastAsiaTheme="minorEastAsia" w:hAnsiTheme="minorHAnsi" w:cstheme="minorBidi"/>
              <w:color w:val="808080" w:themeColor="background1" w:themeShade="80"/>
              <w:sz w:val="22"/>
              <w:szCs w:val="22"/>
            </w:rPr>
            <w:fldChar w:fldCharType="separate"/>
          </w:r>
          <w:r w:rsidR="00A77961" w:rsidRPr="00A77961">
            <w:rPr>
              <w:rFonts w:asciiTheme="majorHAnsi" w:eastAsiaTheme="majorEastAsia" w:hAnsiTheme="majorHAnsi" w:cstheme="majorBidi"/>
              <w:noProof/>
              <w:color w:val="808080" w:themeColor="background1" w:themeShade="80"/>
              <w:sz w:val="28"/>
              <w:szCs w:val="28"/>
            </w:rPr>
            <w:t>4</w:t>
          </w:r>
          <w:r w:rsidRPr="002A72A1">
            <w:rPr>
              <w:rFonts w:asciiTheme="majorHAnsi" w:eastAsiaTheme="majorEastAsia" w:hAnsiTheme="majorHAnsi" w:cstheme="majorBidi"/>
              <w:noProof/>
              <w:color w:val="808080" w:themeColor="background1" w:themeShade="80"/>
              <w:sz w:val="28"/>
              <w:szCs w:val="28"/>
            </w:rPr>
            <w:fldChar w:fldCharType="end"/>
          </w:r>
        </w:p>
      </w:tc>
    </w:tr>
    <w:tr w:rsidR="004B4277" w14:paraId="51A8A611" w14:textId="77777777" w:rsidTr="002A72A1">
      <w:tc>
        <w:tcPr>
          <w:tcW w:w="963" w:type="dxa"/>
        </w:tcPr>
        <w:p w14:paraId="6D9AF69C" w14:textId="77777777" w:rsidR="004B4277" w:rsidRPr="002A72A1" w:rsidRDefault="004B4277">
          <w:pPr>
            <w:pStyle w:val="Footer"/>
            <w:rPr>
              <w:rFonts w:asciiTheme="minorHAnsi" w:hAnsiTheme="minorHAnsi"/>
              <w:color w:val="808080" w:themeColor="background1" w:themeShade="80"/>
            </w:rPr>
          </w:pPr>
        </w:p>
      </w:tc>
      <w:tc>
        <w:tcPr>
          <w:tcW w:w="6800" w:type="dxa"/>
        </w:tcPr>
        <w:p w14:paraId="6CF3B714" w14:textId="1A37D47A" w:rsidR="004B4277" w:rsidRPr="002A72A1" w:rsidRDefault="004B4277">
          <w:pPr>
            <w:pStyle w:val="Footer"/>
            <w:rPr>
              <w:rFonts w:asciiTheme="minorHAnsi" w:hAnsiTheme="minorHAnsi"/>
              <w:color w:val="808080" w:themeColor="background1" w:themeShade="80"/>
            </w:rPr>
          </w:pPr>
        </w:p>
      </w:tc>
      <w:tc>
        <w:tcPr>
          <w:tcW w:w="1479" w:type="dxa"/>
          <w:gridSpan w:val="3"/>
        </w:tcPr>
        <w:p w14:paraId="5CC37692" w14:textId="009B4230" w:rsidR="004B4277" w:rsidRPr="002A72A1" w:rsidRDefault="004B4277">
          <w:pPr>
            <w:pStyle w:val="Footer"/>
            <w:rPr>
              <w:rFonts w:asciiTheme="minorHAnsi" w:hAnsiTheme="minorHAnsi"/>
              <w:color w:val="808080" w:themeColor="background1" w:themeShade="80"/>
            </w:rPr>
          </w:pPr>
        </w:p>
      </w:tc>
    </w:tr>
  </w:tbl>
  <w:p w14:paraId="4DF7AAA6" w14:textId="77777777" w:rsidR="004B4277" w:rsidRDefault="004B4277" w:rsidP="00081E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E659E6" w14:textId="590E07A0" w:rsidR="001B3E39" w:rsidRDefault="001B3E39" w:rsidP="001B3E39">
    <w:pPr>
      <w:pStyle w:val="Footer"/>
    </w:pPr>
    <w:r>
      <w:rPr>
        <w:noProof/>
      </w:rPr>
      <w:drawing>
        <wp:inline distT="0" distB="0" distL="0" distR="0" wp14:anchorId="53E2D0B4" wp14:editId="3F6D743D">
          <wp:extent cx="1809750" cy="7239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tab/>
    </w:r>
    <w:r>
      <w:tab/>
    </w:r>
    <w:r w:rsidRPr="001B3E39">
      <w:rPr>
        <w:noProof/>
      </w:rPr>
      <w:drawing>
        <wp:inline distT="0" distB="0" distL="0" distR="0" wp14:anchorId="5BA92D53" wp14:editId="53FEA244">
          <wp:extent cx="981075" cy="94297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981075" cy="942975"/>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7A0890" w14:textId="77777777" w:rsidR="00476041" w:rsidRDefault="00476041" w:rsidP="0066487E">
      <w:r>
        <w:separator/>
      </w:r>
    </w:p>
  </w:footnote>
  <w:footnote w:type="continuationSeparator" w:id="0">
    <w:p w14:paraId="2C617F2D" w14:textId="77777777" w:rsidR="00476041" w:rsidRDefault="00476041" w:rsidP="006648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single" w:sz="18" w:space="0" w:color="auto"/>
        <w:right w:val="none" w:sz="0" w:space="0" w:color="auto"/>
        <w:insideH w:val="none" w:sz="0" w:space="0" w:color="auto"/>
        <w:insideV w:val="none" w:sz="0" w:space="0" w:color="auto"/>
      </w:tblBorders>
      <w:tblLook w:val="04A0" w:firstRow="1" w:lastRow="0" w:firstColumn="1" w:lastColumn="0" w:noHBand="0" w:noVBand="1"/>
    </w:tblPr>
    <w:tblGrid>
      <w:gridCol w:w="5670"/>
      <w:gridCol w:w="1474"/>
    </w:tblGrid>
    <w:tr w:rsidR="00076F28" w14:paraId="5F8A4A8A" w14:textId="77777777" w:rsidTr="00076F28">
      <w:trPr>
        <w:trHeight w:val="615"/>
      </w:trPr>
      <w:tc>
        <w:tcPr>
          <w:tcW w:w="5670" w:type="dxa"/>
          <w:vAlign w:val="center"/>
        </w:tcPr>
        <w:sdt>
          <w:sdtPr>
            <w:rPr>
              <w:rFonts w:ascii="Arial" w:hAnsi="Arial" w:cs="Arial"/>
              <w:b/>
              <w:i/>
              <w:color w:val="808080" w:themeColor="background1" w:themeShade="80"/>
              <w:sz w:val="18"/>
              <w:szCs w:val="18"/>
            </w:rPr>
            <w:alias w:val="Title"/>
            <w:tag w:val=""/>
            <w:id w:val="-80687907"/>
            <w:placeholder>
              <w:docPart w:val="BEADB8D5B5EF43B08A0DC969EC20ABAD"/>
            </w:placeholder>
            <w:dataBinding w:prefixMappings="xmlns:ns0='http://purl.org/dc/elements/1.1/' xmlns:ns1='http://schemas.openxmlformats.org/package/2006/metadata/core-properties' " w:xpath="/ns1:coreProperties[1]/ns0:title[1]" w:storeItemID="{6C3C8BC8-F283-45AE-878A-BAB7291924A1}"/>
            <w:text/>
          </w:sdtPr>
          <w:sdtContent>
            <w:p w14:paraId="303C78C7" w14:textId="7E1FF2D9" w:rsidR="00076F28" w:rsidRDefault="009444B1" w:rsidP="00076F28">
              <w:pPr>
                <w:rPr>
                  <w:rFonts w:ascii="Arial" w:hAnsi="Arial" w:cs="Arial"/>
                  <w:b/>
                </w:rPr>
              </w:pPr>
              <w:r>
                <w:rPr>
                  <w:rFonts w:ascii="Arial" w:hAnsi="Arial" w:cs="Arial"/>
                  <w:b/>
                  <w:i/>
                  <w:color w:val="808080" w:themeColor="background1" w:themeShade="80"/>
                  <w:sz w:val="18"/>
                  <w:szCs w:val="18"/>
                </w:rPr>
                <w:t>Drag Finishing-Financial Report</w:t>
              </w:r>
            </w:p>
          </w:sdtContent>
        </w:sdt>
      </w:tc>
      <w:tc>
        <w:tcPr>
          <w:tcW w:w="1474" w:type="dxa"/>
        </w:tcPr>
        <w:p w14:paraId="5EE52E00" w14:textId="60BC3B51" w:rsidR="00076F28" w:rsidRDefault="00076F28" w:rsidP="00076F28">
          <w:pPr>
            <w:rPr>
              <w:rFonts w:ascii="Arial" w:hAnsi="Arial" w:cs="Arial"/>
              <w:b/>
            </w:rPr>
          </w:pPr>
        </w:p>
      </w:tc>
    </w:tr>
  </w:tbl>
  <w:p w14:paraId="3F71DCDB" w14:textId="77777777" w:rsidR="00FD4B21" w:rsidRDefault="00FD4B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F4B74"/>
    <w:multiLevelType w:val="hybridMultilevel"/>
    <w:tmpl w:val="AAAE5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D21917"/>
    <w:multiLevelType w:val="hybridMultilevel"/>
    <w:tmpl w:val="7B0853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9D2D7E"/>
    <w:multiLevelType w:val="hybridMultilevel"/>
    <w:tmpl w:val="FE7C68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6740DB"/>
    <w:multiLevelType w:val="hybridMultilevel"/>
    <w:tmpl w:val="C1D23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EB0A3B"/>
    <w:multiLevelType w:val="hybridMultilevel"/>
    <w:tmpl w:val="3D3CB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E017AF"/>
    <w:multiLevelType w:val="hybridMultilevel"/>
    <w:tmpl w:val="80B2AA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B37731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3D0C3FE9"/>
    <w:multiLevelType w:val="hybridMultilevel"/>
    <w:tmpl w:val="FC700A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AB7FE9"/>
    <w:multiLevelType w:val="multilevel"/>
    <w:tmpl w:val="A004322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52A122D5"/>
    <w:multiLevelType w:val="hybridMultilevel"/>
    <w:tmpl w:val="117880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9D5FD7"/>
    <w:multiLevelType w:val="multilevel"/>
    <w:tmpl w:val="E3A6DB96"/>
    <w:styleLink w:val="Headings"/>
    <w:lvl w:ilvl="0">
      <w:start w:val="1"/>
      <w:numFmt w:val="decimal"/>
      <w:pStyle w:val="Heading1"/>
      <w:lvlText w:val="%1."/>
      <w:lvlJc w:val="left"/>
      <w:pPr>
        <w:ind w:left="360" w:hanging="360"/>
      </w:pPr>
      <w:rPr>
        <w:rFonts w:hint="default"/>
      </w:rPr>
    </w:lvl>
    <w:lvl w:ilvl="1">
      <w:start w:val="1"/>
      <w:numFmt w:val="decimal"/>
      <w:pStyle w:val="Heading2"/>
      <w:lvlText w:val="%1.%2."/>
      <w:lvlJc w:val="left"/>
      <w:pPr>
        <w:ind w:left="792" w:hanging="432"/>
      </w:pPr>
      <w:rPr>
        <w:rFonts w:hint="default"/>
      </w:rPr>
    </w:lvl>
    <w:lvl w:ilvl="2">
      <w:start w:val="1"/>
      <w:numFmt w:val="decimal"/>
      <w:pStyle w:val="Heading3"/>
      <w:lvlText w:val="%1.%2.%3."/>
      <w:lvlJc w:val="left"/>
      <w:pPr>
        <w:ind w:left="1224" w:hanging="504"/>
      </w:pPr>
      <w:rPr>
        <w:rFonts w:hint="default"/>
      </w:rPr>
    </w:lvl>
    <w:lvl w:ilvl="3">
      <w:start w:val="1"/>
      <w:numFmt w:val="decimal"/>
      <w:pStyle w:val="Heading4"/>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67347AC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69BA6271"/>
    <w:multiLevelType w:val="multilevel"/>
    <w:tmpl w:val="D4BCEABC"/>
    <w:lvl w:ilvl="0">
      <w:start w:val="1"/>
      <w:numFmt w:val="decimal"/>
      <w:lvlText w:val="%1"/>
      <w:lvlJc w:val="left"/>
      <w:pPr>
        <w:ind w:left="432" w:hanging="432"/>
      </w:pPr>
    </w:lvl>
    <w:lvl w:ilvl="1">
      <w:start w:val="1"/>
      <w:numFmt w:val="decimal"/>
      <w:lvlText w:val="%1.%2"/>
      <w:lvlJc w:val="left"/>
      <w:pPr>
        <w:ind w:left="576" w:hanging="576"/>
      </w:pPr>
      <w:rPr>
        <w:rFonts w:cs="Times New Roman"/>
        <w:b w:val="0"/>
        <w:bCs w:val="0"/>
        <w:i w:val="0"/>
        <w:iCs w:val="0"/>
        <w:caps w:val="0"/>
        <w:smallCaps w:val="0"/>
        <w:strike w:val="0"/>
        <w:dstrike w:val="0"/>
        <w:noProof w:val="0"/>
        <w:vanish w:val="0"/>
        <w:color w:val="00000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750B720D"/>
    <w:multiLevelType w:val="multilevel"/>
    <w:tmpl w:val="A004322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987634981">
    <w:abstractNumId w:val="12"/>
  </w:num>
  <w:num w:numId="2" w16cid:durableId="445657924">
    <w:abstractNumId w:val="8"/>
  </w:num>
  <w:num w:numId="3" w16cid:durableId="683748459">
    <w:abstractNumId w:val="1"/>
  </w:num>
  <w:num w:numId="4" w16cid:durableId="1916084888">
    <w:abstractNumId w:val="11"/>
  </w:num>
  <w:num w:numId="5" w16cid:durableId="1601907958">
    <w:abstractNumId w:val="6"/>
  </w:num>
  <w:num w:numId="6" w16cid:durableId="787772974">
    <w:abstractNumId w:val="13"/>
  </w:num>
  <w:num w:numId="7" w16cid:durableId="1479347905">
    <w:abstractNumId w:val="5"/>
  </w:num>
  <w:num w:numId="8" w16cid:durableId="322317423">
    <w:abstractNumId w:val="7"/>
  </w:num>
  <w:num w:numId="9" w16cid:durableId="488594494">
    <w:abstractNumId w:val="10"/>
  </w:num>
  <w:num w:numId="10" w16cid:durableId="1334530516">
    <w:abstractNumId w:val="10"/>
  </w:num>
  <w:num w:numId="11" w16cid:durableId="1975408387">
    <w:abstractNumId w:val="9"/>
  </w:num>
  <w:num w:numId="12" w16cid:durableId="1714452983">
    <w:abstractNumId w:val="2"/>
  </w:num>
  <w:num w:numId="13" w16cid:durableId="1820026734">
    <w:abstractNumId w:val="3"/>
  </w:num>
  <w:num w:numId="14" w16cid:durableId="257370338">
    <w:abstractNumId w:val="0"/>
  </w:num>
  <w:num w:numId="15" w16cid:durableId="2012222315">
    <w:abstractNumId w:val="4"/>
  </w:num>
  <w:num w:numId="16" w16cid:durableId="894311944">
    <w:abstractNumId w:val="10"/>
  </w:num>
  <w:num w:numId="17" w16cid:durableId="1024743268">
    <w:abstractNumId w:val="10"/>
  </w:num>
  <w:num w:numId="18" w16cid:durableId="1611622616">
    <w:abstractNumId w:val="10"/>
  </w:num>
  <w:num w:numId="19" w16cid:durableId="1229922729">
    <w:abstractNumId w:val="10"/>
  </w:num>
  <w:num w:numId="20" w16cid:durableId="3697719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87E"/>
    <w:rsid w:val="00005EC8"/>
    <w:rsid w:val="00006815"/>
    <w:rsid w:val="00010BF0"/>
    <w:rsid w:val="000116A8"/>
    <w:rsid w:val="00011EDF"/>
    <w:rsid w:val="000210C2"/>
    <w:rsid w:val="00025F3B"/>
    <w:rsid w:val="0002749F"/>
    <w:rsid w:val="0003255F"/>
    <w:rsid w:val="000366CF"/>
    <w:rsid w:val="00037E23"/>
    <w:rsid w:val="000453A5"/>
    <w:rsid w:val="00045B86"/>
    <w:rsid w:val="00053E22"/>
    <w:rsid w:val="000570FF"/>
    <w:rsid w:val="00065038"/>
    <w:rsid w:val="000748DA"/>
    <w:rsid w:val="00076F28"/>
    <w:rsid w:val="00081EBB"/>
    <w:rsid w:val="00085A3E"/>
    <w:rsid w:val="00087605"/>
    <w:rsid w:val="0009112A"/>
    <w:rsid w:val="000958B1"/>
    <w:rsid w:val="000A450C"/>
    <w:rsid w:val="000A5CDB"/>
    <w:rsid w:val="000C02CF"/>
    <w:rsid w:val="000C16E2"/>
    <w:rsid w:val="000D1793"/>
    <w:rsid w:val="000D1CA4"/>
    <w:rsid w:val="000E5247"/>
    <w:rsid w:val="000E70DA"/>
    <w:rsid w:val="000F32A8"/>
    <w:rsid w:val="00106ECA"/>
    <w:rsid w:val="00107951"/>
    <w:rsid w:val="001100A9"/>
    <w:rsid w:val="001127B1"/>
    <w:rsid w:val="001171D1"/>
    <w:rsid w:val="001230F3"/>
    <w:rsid w:val="0013415D"/>
    <w:rsid w:val="001356FB"/>
    <w:rsid w:val="0014345F"/>
    <w:rsid w:val="00152B1E"/>
    <w:rsid w:val="00157F3F"/>
    <w:rsid w:val="00163CB9"/>
    <w:rsid w:val="001728EE"/>
    <w:rsid w:val="00174704"/>
    <w:rsid w:val="00187BC6"/>
    <w:rsid w:val="001A348A"/>
    <w:rsid w:val="001A40F3"/>
    <w:rsid w:val="001B3E39"/>
    <w:rsid w:val="001C5B08"/>
    <w:rsid w:val="001C7DB3"/>
    <w:rsid w:val="001D2787"/>
    <w:rsid w:val="00205C2A"/>
    <w:rsid w:val="00220967"/>
    <w:rsid w:val="002213A1"/>
    <w:rsid w:val="00222D0F"/>
    <w:rsid w:val="00222E38"/>
    <w:rsid w:val="00225297"/>
    <w:rsid w:val="00230CBF"/>
    <w:rsid w:val="00254797"/>
    <w:rsid w:val="00257BEF"/>
    <w:rsid w:val="0026139F"/>
    <w:rsid w:val="002778DF"/>
    <w:rsid w:val="002813D7"/>
    <w:rsid w:val="002A72A1"/>
    <w:rsid w:val="002B186B"/>
    <w:rsid w:val="002D3E10"/>
    <w:rsid w:val="002E5BAE"/>
    <w:rsid w:val="002F7730"/>
    <w:rsid w:val="00311CDC"/>
    <w:rsid w:val="00330710"/>
    <w:rsid w:val="0034634F"/>
    <w:rsid w:val="003618DC"/>
    <w:rsid w:val="003750A7"/>
    <w:rsid w:val="003921A9"/>
    <w:rsid w:val="003A34D2"/>
    <w:rsid w:val="003A62DD"/>
    <w:rsid w:val="003A6E00"/>
    <w:rsid w:val="003A79E8"/>
    <w:rsid w:val="003B5737"/>
    <w:rsid w:val="003C1215"/>
    <w:rsid w:val="003D11F9"/>
    <w:rsid w:val="003D3FF0"/>
    <w:rsid w:val="003D4962"/>
    <w:rsid w:val="003E2045"/>
    <w:rsid w:val="003E344B"/>
    <w:rsid w:val="003E5020"/>
    <w:rsid w:val="003F173B"/>
    <w:rsid w:val="003F4798"/>
    <w:rsid w:val="00420DDA"/>
    <w:rsid w:val="00426283"/>
    <w:rsid w:val="00431A34"/>
    <w:rsid w:val="0044685A"/>
    <w:rsid w:val="00450BA7"/>
    <w:rsid w:val="004608BE"/>
    <w:rsid w:val="00461707"/>
    <w:rsid w:val="004712C8"/>
    <w:rsid w:val="00476041"/>
    <w:rsid w:val="00476C58"/>
    <w:rsid w:val="00480BFE"/>
    <w:rsid w:val="00482472"/>
    <w:rsid w:val="004856E0"/>
    <w:rsid w:val="004942A8"/>
    <w:rsid w:val="004B4277"/>
    <w:rsid w:val="004C2B21"/>
    <w:rsid w:val="004C375F"/>
    <w:rsid w:val="004C5497"/>
    <w:rsid w:val="004F1742"/>
    <w:rsid w:val="004F1AA6"/>
    <w:rsid w:val="004F1B28"/>
    <w:rsid w:val="004F4901"/>
    <w:rsid w:val="00500651"/>
    <w:rsid w:val="00507062"/>
    <w:rsid w:val="0051054C"/>
    <w:rsid w:val="005146A7"/>
    <w:rsid w:val="00515DED"/>
    <w:rsid w:val="00515F2D"/>
    <w:rsid w:val="00525537"/>
    <w:rsid w:val="0053417E"/>
    <w:rsid w:val="00537768"/>
    <w:rsid w:val="00537D99"/>
    <w:rsid w:val="0054083E"/>
    <w:rsid w:val="00540B67"/>
    <w:rsid w:val="00541169"/>
    <w:rsid w:val="00541AA8"/>
    <w:rsid w:val="0054769D"/>
    <w:rsid w:val="00547935"/>
    <w:rsid w:val="005508F1"/>
    <w:rsid w:val="005543B0"/>
    <w:rsid w:val="00554632"/>
    <w:rsid w:val="00557F29"/>
    <w:rsid w:val="00563BE3"/>
    <w:rsid w:val="00567AE8"/>
    <w:rsid w:val="005730D7"/>
    <w:rsid w:val="00575A4B"/>
    <w:rsid w:val="0059185B"/>
    <w:rsid w:val="005A0243"/>
    <w:rsid w:val="005B36ED"/>
    <w:rsid w:val="005B44BD"/>
    <w:rsid w:val="005D0714"/>
    <w:rsid w:val="005D22EC"/>
    <w:rsid w:val="005D2A6D"/>
    <w:rsid w:val="005D5D65"/>
    <w:rsid w:val="005F7953"/>
    <w:rsid w:val="00624465"/>
    <w:rsid w:val="00631023"/>
    <w:rsid w:val="00634552"/>
    <w:rsid w:val="0064731E"/>
    <w:rsid w:val="00652B03"/>
    <w:rsid w:val="0066487E"/>
    <w:rsid w:val="00674E32"/>
    <w:rsid w:val="006906CA"/>
    <w:rsid w:val="0069084D"/>
    <w:rsid w:val="00694003"/>
    <w:rsid w:val="006A2A32"/>
    <w:rsid w:val="006A6AF2"/>
    <w:rsid w:val="006B1AC3"/>
    <w:rsid w:val="006B361D"/>
    <w:rsid w:val="006B4AC6"/>
    <w:rsid w:val="006C0A25"/>
    <w:rsid w:val="006C3EE8"/>
    <w:rsid w:val="006D45AA"/>
    <w:rsid w:val="006E25E1"/>
    <w:rsid w:val="006E2BF3"/>
    <w:rsid w:val="006E47CC"/>
    <w:rsid w:val="006E53DE"/>
    <w:rsid w:val="007071ED"/>
    <w:rsid w:val="00710C01"/>
    <w:rsid w:val="00712B2F"/>
    <w:rsid w:val="00714E94"/>
    <w:rsid w:val="00720064"/>
    <w:rsid w:val="007320BD"/>
    <w:rsid w:val="00750E75"/>
    <w:rsid w:val="00752012"/>
    <w:rsid w:val="00763AF9"/>
    <w:rsid w:val="00770B54"/>
    <w:rsid w:val="00774D32"/>
    <w:rsid w:val="00777D2C"/>
    <w:rsid w:val="00785B03"/>
    <w:rsid w:val="00786030"/>
    <w:rsid w:val="00787DF9"/>
    <w:rsid w:val="00793C05"/>
    <w:rsid w:val="007A037D"/>
    <w:rsid w:val="007A5B29"/>
    <w:rsid w:val="007B2F7D"/>
    <w:rsid w:val="007B36CF"/>
    <w:rsid w:val="007C04FD"/>
    <w:rsid w:val="007C1EC7"/>
    <w:rsid w:val="007C2B11"/>
    <w:rsid w:val="007C5771"/>
    <w:rsid w:val="007D4DD4"/>
    <w:rsid w:val="007E583E"/>
    <w:rsid w:val="007F4D00"/>
    <w:rsid w:val="007F5DCB"/>
    <w:rsid w:val="007F773B"/>
    <w:rsid w:val="008247F0"/>
    <w:rsid w:val="00825305"/>
    <w:rsid w:val="0082559E"/>
    <w:rsid w:val="0083214B"/>
    <w:rsid w:val="00836C0C"/>
    <w:rsid w:val="008436D1"/>
    <w:rsid w:val="00846B9A"/>
    <w:rsid w:val="00846ED4"/>
    <w:rsid w:val="0085137F"/>
    <w:rsid w:val="008529D0"/>
    <w:rsid w:val="00860D68"/>
    <w:rsid w:val="00866C66"/>
    <w:rsid w:val="00872BDB"/>
    <w:rsid w:val="008A5B8E"/>
    <w:rsid w:val="008B7131"/>
    <w:rsid w:val="008C0D31"/>
    <w:rsid w:val="008C360D"/>
    <w:rsid w:val="008C3FDA"/>
    <w:rsid w:val="008D1349"/>
    <w:rsid w:val="008D24FE"/>
    <w:rsid w:val="008D3538"/>
    <w:rsid w:val="008D3D57"/>
    <w:rsid w:val="008D7135"/>
    <w:rsid w:val="008D7DF6"/>
    <w:rsid w:val="008F1016"/>
    <w:rsid w:val="009060C0"/>
    <w:rsid w:val="00906C83"/>
    <w:rsid w:val="00907D42"/>
    <w:rsid w:val="00910375"/>
    <w:rsid w:val="00910F94"/>
    <w:rsid w:val="00917D8B"/>
    <w:rsid w:val="009208D3"/>
    <w:rsid w:val="00920D8B"/>
    <w:rsid w:val="00925CBC"/>
    <w:rsid w:val="00933CE8"/>
    <w:rsid w:val="00936ACB"/>
    <w:rsid w:val="00941E58"/>
    <w:rsid w:val="00942493"/>
    <w:rsid w:val="009444B1"/>
    <w:rsid w:val="00945132"/>
    <w:rsid w:val="00947EDC"/>
    <w:rsid w:val="0095464A"/>
    <w:rsid w:val="00985AB9"/>
    <w:rsid w:val="00987F30"/>
    <w:rsid w:val="00994F6C"/>
    <w:rsid w:val="009B4AC1"/>
    <w:rsid w:val="009D4561"/>
    <w:rsid w:val="009E1D33"/>
    <w:rsid w:val="009E7333"/>
    <w:rsid w:val="009F02D5"/>
    <w:rsid w:val="009F0480"/>
    <w:rsid w:val="009F45BA"/>
    <w:rsid w:val="009F5BE2"/>
    <w:rsid w:val="00A009F1"/>
    <w:rsid w:val="00A0683D"/>
    <w:rsid w:val="00A10A7D"/>
    <w:rsid w:val="00A20268"/>
    <w:rsid w:val="00A25A81"/>
    <w:rsid w:val="00A374B4"/>
    <w:rsid w:val="00A47196"/>
    <w:rsid w:val="00A51842"/>
    <w:rsid w:val="00A538AC"/>
    <w:rsid w:val="00A56FBC"/>
    <w:rsid w:val="00A66F73"/>
    <w:rsid w:val="00A73F81"/>
    <w:rsid w:val="00A77961"/>
    <w:rsid w:val="00A90146"/>
    <w:rsid w:val="00A91146"/>
    <w:rsid w:val="00A94AF4"/>
    <w:rsid w:val="00A9570E"/>
    <w:rsid w:val="00A96914"/>
    <w:rsid w:val="00AA6A23"/>
    <w:rsid w:val="00AB2B36"/>
    <w:rsid w:val="00AB3DC4"/>
    <w:rsid w:val="00AC0F07"/>
    <w:rsid w:val="00AD198C"/>
    <w:rsid w:val="00AE0321"/>
    <w:rsid w:val="00B02DDD"/>
    <w:rsid w:val="00B26FE6"/>
    <w:rsid w:val="00B333AE"/>
    <w:rsid w:val="00B34082"/>
    <w:rsid w:val="00B34F0A"/>
    <w:rsid w:val="00B4071B"/>
    <w:rsid w:val="00B42B5A"/>
    <w:rsid w:val="00B47087"/>
    <w:rsid w:val="00B63767"/>
    <w:rsid w:val="00B67ACC"/>
    <w:rsid w:val="00B873C0"/>
    <w:rsid w:val="00B94CEC"/>
    <w:rsid w:val="00BB48B7"/>
    <w:rsid w:val="00BC135D"/>
    <w:rsid w:val="00BC5B6B"/>
    <w:rsid w:val="00BD1172"/>
    <w:rsid w:val="00BD56E0"/>
    <w:rsid w:val="00BD7DDD"/>
    <w:rsid w:val="00BF4167"/>
    <w:rsid w:val="00C02132"/>
    <w:rsid w:val="00C11B26"/>
    <w:rsid w:val="00C155D8"/>
    <w:rsid w:val="00C15E9A"/>
    <w:rsid w:val="00C20EF3"/>
    <w:rsid w:val="00C270EC"/>
    <w:rsid w:val="00C30CEB"/>
    <w:rsid w:val="00C341AD"/>
    <w:rsid w:val="00C447F2"/>
    <w:rsid w:val="00C57C3F"/>
    <w:rsid w:val="00C60484"/>
    <w:rsid w:val="00C62EFB"/>
    <w:rsid w:val="00C67357"/>
    <w:rsid w:val="00C75E29"/>
    <w:rsid w:val="00C773EA"/>
    <w:rsid w:val="00C8183E"/>
    <w:rsid w:val="00C86355"/>
    <w:rsid w:val="00C87B9F"/>
    <w:rsid w:val="00C95440"/>
    <w:rsid w:val="00C958EF"/>
    <w:rsid w:val="00C96415"/>
    <w:rsid w:val="00CB696C"/>
    <w:rsid w:val="00CC706C"/>
    <w:rsid w:val="00CD2609"/>
    <w:rsid w:val="00CD676D"/>
    <w:rsid w:val="00CD677F"/>
    <w:rsid w:val="00CE56BC"/>
    <w:rsid w:val="00CF5D7F"/>
    <w:rsid w:val="00CF6779"/>
    <w:rsid w:val="00D032D5"/>
    <w:rsid w:val="00D063C3"/>
    <w:rsid w:val="00D316E0"/>
    <w:rsid w:val="00D32CD7"/>
    <w:rsid w:val="00D37A07"/>
    <w:rsid w:val="00D777BF"/>
    <w:rsid w:val="00D8568D"/>
    <w:rsid w:val="00D9328A"/>
    <w:rsid w:val="00D933F5"/>
    <w:rsid w:val="00D93F32"/>
    <w:rsid w:val="00D9520C"/>
    <w:rsid w:val="00DB1CBD"/>
    <w:rsid w:val="00DB22D4"/>
    <w:rsid w:val="00DC6112"/>
    <w:rsid w:val="00DD440D"/>
    <w:rsid w:val="00DD47C9"/>
    <w:rsid w:val="00DD7593"/>
    <w:rsid w:val="00DE507E"/>
    <w:rsid w:val="00DF1F64"/>
    <w:rsid w:val="00DF7288"/>
    <w:rsid w:val="00E0128D"/>
    <w:rsid w:val="00E02CC9"/>
    <w:rsid w:val="00E07715"/>
    <w:rsid w:val="00E111BF"/>
    <w:rsid w:val="00E25351"/>
    <w:rsid w:val="00E32B42"/>
    <w:rsid w:val="00E36AFE"/>
    <w:rsid w:val="00E37EF2"/>
    <w:rsid w:val="00E5105A"/>
    <w:rsid w:val="00E53D8E"/>
    <w:rsid w:val="00E56AD9"/>
    <w:rsid w:val="00E616FF"/>
    <w:rsid w:val="00E61A1D"/>
    <w:rsid w:val="00E62E64"/>
    <w:rsid w:val="00E74CE5"/>
    <w:rsid w:val="00E959F9"/>
    <w:rsid w:val="00EA364A"/>
    <w:rsid w:val="00EA3AC6"/>
    <w:rsid w:val="00EA6982"/>
    <w:rsid w:val="00EB2101"/>
    <w:rsid w:val="00EB6A4E"/>
    <w:rsid w:val="00EB7D32"/>
    <w:rsid w:val="00EC28B8"/>
    <w:rsid w:val="00ED4791"/>
    <w:rsid w:val="00EE064A"/>
    <w:rsid w:val="00EE0C2C"/>
    <w:rsid w:val="00EE6ACB"/>
    <w:rsid w:val="00EF2F3F"/>
    <w:rsid w:val="00EF3F35"/>
    <w:rsid w:val="00F025D8"/>
    <w:rsid w:val="00F03331"/>
    <w:rsid w:val="00F12674"/>
    <w:rsid w:val="00F13034"/>
    <w:rsid w:val="00F15217"/>
    <w:rsid w:val="00F34E5F"/>
    <w:rsid w:val="00F4219F"/>
    <w:rsid w:val="00F57FDD"/>
    <w:rsid w:val="00F96B88"/>
    <w:rsid w:val="00FA131F"/>
    <w:rsid w:val="00FB06C9"/>
    <w:rsid w:val="00FB45DF"/>
    <w:rsid w:val="00FC6201"/>
    <w:rsid w:val="00FD0B8C"/>
    <w:rsid w:val="00FD4B21"/>
    <w:rsid w:val="00FE03FE"/>
    <w:rsid w:val="00FE4A62"/>
    <w:rsid w:val="00FE520F"/>
    <w:rsid w:val="00FF51FD"/>
    <w:rsid w:val="00FF7C9C"/>
    <w:rsid w:val="22364105"/>
    <w:rsid w:val="2BF54CFF"/>
    <w:rsid w:val="2E686CAF"/>
    <w:rsid w:val="43C74154"/>
    <w:rsid w:val="4BF26153"/>
    <w:rsid w:val="533557B0"/>
    <w:rsid w:val="6DCCF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7F7339"/>
  <w15:docId w15:val="{82E85F49-897D-4E0B-A725-9062C810D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A72A1"/>
    <w:pPr>
      <w:spacing w:after="0" w:line="240" w:lineRule="auto"/>
    </w:pPr>
    <w:rPr>
      <w:rFonts w:ascii="Calibri" w:eastAsia="Times New Roman" w:hAnsi="Calibri" w:cs="Times New Roman"/>
      <w:sz w:val="24"/>
      <w:szCs w:val="24"/>
    </w:rPr>
  </w:style>
  <w:style w:type="paragraph" w:styleId="Heading1">
    <w:name w:val="heading 1"/>
    <w:basedOn w:val="Normal"/>
    <w:next w:val="Normal"/>
    <w:link w:val="Heading1Char"/>
    <w:uiPriority w:val="9"/>
    <w:qFormat/>
    <w:rsid w:val="006E2BF3"/>
    <w:pPr>
      <w:keepNext/>
      <w:numPr>
        <w:numId w:val="9"/>
      </w:numPr>
      <w:spacing w:before="240" w:after="60"/>
      <w:outlineLvl w:val="0"/>
    </w:pPr>
    <w:rPr>
      <w:b/>
      <w:bCs/>
      <w:kern w:val="32"/>
      <w:sz w:val="28"/>
      <w:szCs w:val="32"/>
    </w:rPr>
  </w:style>
  <w:style w:type="paragraph" w:styleId="Heading2">
    <w:name w:val="heading 2"/>
    <w:basedOn w:val="Normal"/>
    <w:next w:val="Normal"/>
    <w:link w:val="Heading2Char"/>
    <w:unhideWhenUsed/>
    <w:qFormat/>
    <w:rsid w:val="006E2BF3"/>
    <w:pPr>
      <w:keepNext/>
      <w:numPr>
        <w:ilvl w:val="1"/>
        <w:numId w:val="9"/>
      </w:numPr>
      <w:spacing w:before="120"/>
      <w:outlineLvl w:val="1"/>
    </w:pPr>
    <w:rPr>
      <w:bCs/>
      <w:iCs/>
      <w:szCs w:val="28"/>
    </w:rPr>
  </w:style>
  <w:style w:type="paragraph" w:styleId="Heading3">
    <w:name w:val="heading 3"/>
    <w:basedOn w:val="Normal"/>
    <w:next w:val="Normal"/>
    <w:link w:val="Heading3Char"/>
    <w:unhideWhenUsed/>
    <w:qFormat/>
    <w:rsid w:val="006E2BF3"/>
    <w:pPr>
      <w:keepNext/>
      <w:numPr>
        <w:ilvl w:val="2"/>
        <w:numId w:val="9"/>
      </w:numPr>
      <w:outlineLvl w:val="2"/>
    </w:pPr>
    <w:rPr>
      <w:bCs/>
      <w:szCs w:val="26"/>
    </w:rPr>
  </w:style>
  <w:style w:type="paragraph" w:styleId="Heading4">
    <w:name w:val="heading 4"/>
    <w:basedOn w:val="Normal"/>
    <w:next w:val="Normal"/>
    <w:link w:val="Heading4Char"/>
    <w:qFormat/>
    <w:rsid w:val="006E2BF3"/>
    <w:pPr>
      <w:keepNext/>
      <w:numPr>
        <w:ilvl w:val="3"/>
        <w:numId w:val="9"/>
      </w:numPr>
      <w:outlineLvl w:val="3"/>
    </w:pPr>
    <w:rPr>
      <w:rFonts w:cs="Arial"/>
      <w:bCs/>
    </w:rPr>
  </w:style>
  <w:style w:type="paragraph" w:styleId="Heading5">
    <w:name w:val="heading 5"/>
    <w:basedOn w:val="Normal"/>
    <w:next w:val="Normal"/>
    <w:link w:val="Heading5Char"/>
    <w:semiHidden/>
    <w:unhideWhenUsed/>
    <w:rsid w:val="0066487E"/>
    <w:pPr>
      <w:numPr>
        <w:ilvl w:val="4"/>
        <w:numId w:val="1"/>
      </w:numPr>
      <w:spacing w:before="240" w:after="60"/>
      <w:outlineLvl w:val="4"/>
    </w:pPr>
    <w:rPr>
      <w:b/>
      <w:bCs/>
      <w:i/>
      <w:iCs/>
      <w:sz w:val="26"/>
      <w:szCs w:val="26"/>
    </w:rPr>
  </w:style>
  <w:style w:type="paragraph" w:styleId="Heading6">
    <w:name w:val="heading 6"/>
    <w:basedOn w:val="Normal"/>
    <w:next w:val="Normal"/>
    <w:link w:val="Heading6Char"/>
    <w:semiHidden/>
    <w:unhideWhenUsed/>
    <w:qFormat/>
    <w:rsid w:val="0066487E"/>
    <w:pPr>
      <w:numPr>
        <w:ilvl w:val="5"/>
        <w:numId w:val="1"/>
      </w:numPr>
      <w:spacing w:before="240" w:after="60"/>
      <w:outlineLvl w:val="5"/>
    </w:pPr>
    <w:rPr>
      <w:b/>
      <w:bCs/>
      <w:sz w:val="22"/>
      <w:szCs w:val="22"/>
    </w:rPr>
  </w:style>
  <w:style w:type="paragraph" w:styleId="Heading7">
    <w:name w:val="heading 7"/>
    <w:basedOn w:val="Normal"/>
    <w:next w:val="Normal"/>
    <w:link w:val="Heading7Char"/>
    <w:semiHidden/>
    <w:unhideWhenUsed/>
    <w:qFormat/>
    <w:rsid w:val="0066487E"/>
    <w:pPr>
      <w:numPr>
        <w:ilvl w:val="6"/>
        <w:numId w:val="1"/>
      </w:numPr>
      <w:spacing w:before="240" w:after="60"/>
      <w:outlineLvl w:val="6"/>
    </w:pPr>
  </w:style>
  <w:style w:type="paragraph" w:styleId="Heading8">
    <w:name w:val="heading 8"/>
    <w:basedOn w:val="Normal"/>
    <w:next w:val="Normal"/>
    <w:link w:val="Heading8Char"/>
    <w:semiHidden/>
    <w:unhideWhenUsed/>
    <w:qFormat/>
    <w:rsid w:val="0066487E"/>
    <w:pPr>
      <w:numPr>
        <w:ilvl w:val="7"/>
        <w:numId w:val="1"/>
      </w:numPr>
      <w:spacing w:before="240" w:after="60"/>
      <w:outlineLvl w:val="7"/>
    </w:pPr>
    <w:rPr>
      <w:i/>
      <w:iCs/>
    </w:rPr>
  </w:style>
  <w:style w:type="paragraph" w:styleId="Heading9">
    <w:name w:val="heading 9"/>
    <w:basedOn w:val="Normal"/>
    <w:next w:val="Normal"/>
    <w:link w:val="Heading9Char"/>
    <w:semiHidden/>
    <w:unhideWhenUsed/>
    <w:qFormat/>
    <w:rsid w:val="0066487E"/>
    <w:pPr>
      <w:numPr>
        <w:ilvl w:val="8"/>
        <w:numId w:val="1"/>
      </w:numPr>
      <w:spacing w:before="240" w:after="60"/>
      <w:outlineLvl w:val="8"/>
    </w:pPr>
    <w:rPr>
      <w:rFonts w:ascii="Cambria" w:hAnsi="Cambria"/>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2BF3"/>
    <w:rPr>
      <w:rFonts w:ascii="Calibri" w:eastAsia="Times New Roman" w:hAnsi="Calibri" w:cs="Times New Roman"/>
      <w:b/>
      <w:bCs/>
      <w:kern w:val="32"/>
      <w:sz w:val="28"/>
      <w:szCs w:val="32"/>
    </w:rPr>
  </w:style>
  <w:style w:type="character" w:customStyle="1" w:styleId="Heading2Char">
    <w:name w:val="Heading 2 Char"/>
    <w:basedOn w:val="DefaultParagraphFont"/>
    <w:link w:val="Heading2"/>
    <w:rsid w:val="006E2BF3"/>
    <w:rPr>
      <w:rFonts w:ascii="Calibri" w:eastAsia="Times New Roman" w:hAnsi="Calibri" w:cs="Times New Roman"/>
      <w:bCs/>
      <w:iCs/>
      <w:sz w:val="24"/>
      <w:szCs w:val="28"/>
    </w:rPr>
  </w:style>
  <w:style w:type="character" w:customStyle="1" w:styleId="Heading3Char">
    <w:name w:val="Heading 3 Char"/>
    <w:basedOn w:val="DefaultParagraphFont"/>
    <w:link w:val="Heading3"/>
    <w:rsid w:val="006E2BF3"/>
    <w:rPr>
      <w:rFonts w:ascii="Calibri" w:eastAsia="Times New Roman" w:hAnsi="Calibri" w:cs="Times New Roman"/>
      <w:bCs/>
      <w:sz w:val="24"/>
      <w:szCs w:val="26"/>
    </w:rPr>
  </w:style>
  <w:style w:type="character" w:customStyle="1" w:styleId="Heading4Char">
    <w:name w:val="Heading 4 Char"/>
    <w:basedOn w:val="DefaultParagraphFont"/>
    <w:link w:val="Heading4"/>
    <w:rsid w:val="006E2BF3"/>
    <w:rPr>
      <w:rFonts w:ascii="Calibri" w:eastAsia="Times New Roman" w:hAnsi="Calibri" w:cs="Arial"/>
      <w:bCs/>
      <w:sz w:val="24"/>
      <w:szCs w:val="24"/>
    </w:rPr>
  </w:style>
  <w:style w:type="character" w:customStyle="1" w:styleId="Heading5Char">
    <w:name w:val="Heading 5 Char"/>
    <w:basedOn w:val="DefaultParagraphFont"/>
    <w:link w:val="Heading5"/>
    <w:semiHidden/>
    <w:rsid w:val="0066487E"/>
    <w:rPr>
      <w:rFonts w:ascii="Calibri" w:eastAsia="Times New Roman" w:hAnsi="Calibri" w:cs="Times New Roman"/>
      <w:b/>
      <w:bCs/>
      <w:i/>
      <w:iCs/>
      <w:sz w:val="26"/>
      <w:szCs w:val="26"/>
    </w:rPr>
  </w:style>
  <w:style w:type="character" w:customStyle="1" w:styleId="Heading6Char">
    <w:name w:val="Heading 6 Char"/>
    <w:basedOn w:val="DefaultParagraphFont"/>
    <w:link w:val="Heading6"/>
    <w:semiHidden/>
    <w:rsid w:val="0066487E"/>
    <w:rPr>
      <w:rFonts w:ascii="Calibri" w:eastAsia="Times New Roman" w:hAnsi="Calibri" w:cs="Times New Roman"/>
      <w:b/>
      <w:bCs/>
    </w:rPr>
  </w:style>
  <w:style w:type="character" w:customStyle="1" w:styleId="Heading7Char">
    <w:name w:val="Heading 7 Char"/>
    <w:basedOn w:val="DefaultParagraphFont"/>
    <w:link w:val="Heading7"/>
    <w:semiHidden/>
    <w:rsid w:val="0066487E"/>
    <w:rPr>
      <w:rFonts w:ascii="Calibri" w:eastAsia="Times New Roman" w:hAnsi="Calibri" w:cs="Times New Roman"/>
      <w:sz w:val="24"/>
      <w:szCs w:val="24"/>
    </w:rPr>
  </w:style>
  <w:style w:type="character" w:customStyle="1" w:styleId="Heading8Char">
    <w:name w:val="Heading 8 Char"/>
    <w:basedOn w:val="DefaultParagraphFont"/>
    <w:link w:val="Heading8"/>
    <w:semiHidden/>
    <w:rsid w:val="0066487E"/>
    <w:rPr>
      <w:rFonts w:ascii="Calibri" w:eastAsia="Times New Roman" w:hAnsi="Calibri" w:cs="Times New Roman"/>
      <w:i/>
      <w:iCs/>
      <w:sz w:val="24"/>
      <w:szCs w:val="24"/>
    </w:rPr>
  </w:style>
  <w:style w:type="character" w:customStyle="1" w:styleId="Heading9Char">
    <w:name w:val="Heading 9 Char"/>
    <w:basedOn w:val="DefaultParagraphFont"/>
    <w:link w:val="Heading9"/>
    <w:semiHidden/>
    <w:rsid w:val="0066487E"/>
    <w:rPr>
      <w:rFonts w:ascii="Cambria" w:eastAsia="Times New Roman" w:hAnsi="Cambria" w:cs="Times New Roman"/>
    </w:rPr>
  </w:style>
  <w:style w:type="paragraph" w:styleId="BodyTextIndent">
    <w:name w:val="Body Text Indent"/>
    <w:basedOn w:val="Normal"/>
    <w:link w:val="BodyTextIndentChar"/>
    <w:rsid w:val="0066487E"/>
    <w:pPr>
      <w:ind w:left="360"/>
    </w:pPr>
    <w:rPr>
      <w:rFonts w:ascii="Arial" w:hAnsi="Arial" w:cs="Arial"/>
      <w:sz w:val="22"/>
    </w:rPr>
  </w:style>
  <w:style w:type="character" w:customStyle="1" w:styleId="BodyTextIndentChar">
    <w:name w:val="Body Text Indent Char"/>
    <w:basedOn w:val="DefaultParagraphFont"/>
    <w:link w:val="BodyTextIndent"/>
    <w:rsid w:val="0066487E"/>
    <w:rPr>
      <w:rFonts w:ascii="Arial" w:eastAsia="Times New Roman" w:hAnsi="Arial" w:cs="Arial"/>
      <w:szCs w:val="24"/>
    </w:rPr>
  </w:style>
  <w:style w:type="paragraph" w:styleId="Header">
    <w:name w:val="header"/>
    <w:basedOn w:val="Normal"/>
    <w:link w:val="HeaderChar"/>
    <w:uiPriority w:val="99"/>
    <w:unhideWhenUsed/>
    <w:rsid w:val="0066487E"/>
    <w:pPr>
      <w:tabs>
        <w:tab w:val="center" w:pos="4513"/>
        <w:tab w:val="right" w:pos="9026"/>
      </w:tabs>
    </w:pPr>
  </w:style>
  <w:style w:type="character" w:customStyle="1" w:styleId="HeaderChar">
    <w:name w:val="Header Char"/>
    <w:basedOn w:val="DefaultParagraphFont"/>
    <w:link w:val="Header"/>
    <w:uiPriority w:val="99"/>
    <w:rsid w:val="0066487E"/>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66487E"/>
    <w:pPr>
      <w:tabs>
        <w:tab w:val="center" w:pos="4513"/>
        <w:tab w:val="right" w:pos="9026"/>
      </w:tabs>
    </w:pPr>
  </w:style>
  <w:style w:type="character" w:customStyle="1" w:styleId="FooterChar">
    <w:name w:val="Footer Char"/>
    <w:basedOn w:val="DefaultParagraphFont"/>
    <w:link w:val="Footer"/>
    <w:uiPriority w:val="99"/>
    <w:rsid w:val="0066487E"/>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66487E"/>
    <w:rPr>
      <w:rFonts w:ascii="Tahoma" w:hAnsi="Tahoma" w:cs="Tahoma"/>
      <w:sz w:val="16"/>
      <w:szCs w:val="16"/>
    </w:rPr>
  </w:style>
  <w:style w:type="character" w:customStyle="1" w:styleId="BalloonTextChar">
    <w:name w:val="Balloon Text Char"/>
    <w:basedOn w:val="DefaultParagraphFont"/>
    <w:link w:val="BalloonText"/>
    <w:uiPriority w:val="99"/>
    <w:semiHidden/>
    <w:rsid w:val="0066487E"/>
    <w:rPr>
      <w:rFonts w:ascii="Tahoma" w:eastAsia="Times New Roman" w:hAnsi="Tahoma" w:cs="Tahoma"/>
      <w:sz w:val="16"/>
      <w:szCs w:val="16"/>
    </w:rPr>
  </w:style>
  <w:style w:type="table" w:styleId="TableGrid">
    <w:name w:val="Table Grid"/>
    <w:basedOn w:val="TableNormal"/>
    <w:rsid w:val="003A79E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A79E8"/>
    <w:pPr>
      <w:ind w:left="720"/>
      <w:contextualSpacing/>
    </w:pPr>
  </w:style>
  <w:style w:type="paragraph" w:styleId="NoSpacing">
    <w:name w:val="No Spacing"/>
    <w:uiPriority w:val="1"/>
    <w:qFormat/>
    <w:rsid w:val="002A72A1"/>
    <w:pPr>
      <w:spacing w:after="0" w:line="240" w:lineRule="auto"/>
    </w:pPr>
    <w:rPr>
      <w:rFonts w:ascii="Calibri" w:eastAsia="Times New Roman" w:hAnsi="Calibri" w:cs="Times New Roman"/>
      <w:sz w:val="24"/>
      <w:szCs w:val="24"/>
    </w:rPr>
  </w:style>
  <w:style w:type="paragraph" w:styleId="TOC1">
    <w:name w:val="toc 1"/>
    <w:basedOn w:val="Normal"/>
    <w:next w:val="Normal"/>
    <w:autoRedefine/>
    <w:uiPriority w:val="39"/>
    <w:unhideWhenUsed/>
    <w:rsid w:val="00B94CEC"/>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B94CEC"/>
    <w:pPr>
      <w:ind w:left="240"/>
    </w:pPr>
    <w:rPr>
      <w:rFonts w:asciiTheme="minorHAnsi" w:hAnsiTheme="minorHAnsi"/>
      <w:smallCaps/>
      <w:sz w:val="20"/>
      <w:szCs w:val="20"/>
    </w:rPr>
  </w:style>
  <w:style w:type="paragraph" w:styleId="TOC3">
    <w:name w:val="toc 3"/>
    <w:basedOn w:val="Normal"/>
    <w:next w:val="Normal"/>
    <w:autoRedefine/>
    <w:uiPriority w:val="39"/>
    <w:unhideWhenUsed/>
    <w:rsid w:val="00B94CEC"/>
    <w:pPr>
      <w:ind w:left="480"/>
    </w:pPr>
    <w:rPr>
      <w:rFonts w:asciiTheme="minorHAnsi" w:hAnsiTheme="minorHAnsi"/>
      <w:i/>
      <w:iCs/>
      <w:sz w:val="20"/>
      <w:szCs w:val="20"/>
    </w:rPr>
  </w:style>
  <w:style w:type="paragraph" w:styleId="TOC4">
    <w:name w:val="toc 4"/>
    <w:basedOn w:val="Normal"/>
    <w:next w:val="Normal"/>
    <w:autoRedefine/>
    <w:uiPriority w:val="39"/>
    <w:unhideWhenUsed/>
    <w:rsid w:val="00B94CEC"/>
    <w:pPr>
      <w:ind w:left="720"/>
    </w:pPr>
    <w:rPr>
      <w:rFonts w:asciiTheme="minorHAnsi" w:hAnsiTheme="minorHAnsi"/>
      <w:sz w:val="18"/>
      <w:szCs w:val="18"/>
    </w:rPr>
  </w:style>
  <w:style w:type="paragraph" w:styleId="TOC5">
    <w:name w:val="toc 5"/>
    <w:basedOn w:val="Normal"/>
    <w:next w:val="Normal"/>
    <w:autoRedefine/>
    <w:uiPriority w:val="39"/>
    <w:unhideWhenUsed/>
    <w:rsid w:val="00B94CEC"/>
    <w:pPr>
      <w:ind w:left="960"/>
    </w:pPr>
    <w:rPr>
      <w:rFonts w:asciiTheme="minorHAnsi" w:hAnsiTheme="minorHAnsi"/>
      <w:sz w:val="18"/>
      <w:szCs w:val="18"/>
    </w:rPr>
  </w:style>
  <w:style w:type="paragraph" w:styleId="TOC6">
    <w:name w:val="toc 6"/>
    <w:basedOn w:val="Normal"/>
    <w:next w:val="Normal"/>
    <w:autoRedefine/>
    <w:uiPriority w:val="39"/>
    <w:unhideWhenUsed/>
    <w:rsid w:val="00B94CEC"/>
    <w:pPr>
      <w:ind w:left="1200"/>
    </w:pPr>
    <w:rPr>
      <w:rFonts w:asciiTheme="minorHAnsi" w:hAnsiTheme="minorHAnsi"/>
      <w:sz w:val="18"/>
      <w:szCs w:val="18"/>
    </w:rPr>
  </w:style>
  <w:style w:type="paragraph" w:styleId="TOC7">
    <w:name w:val="toc 7"/>
    <w:basedOn w:val="Normal"/>
    <w:next w:val="Normal"/>
    <w:autoRedefine/>
    <w:uiPriority w:val="39"/>
    <w:unhideWhenUsed/>
    <w:rsid w:val="00B94CEC"/>
    <w:pPr>
      <w:ind w:left="1440"/>
    </w:pPr>
    <w:rPr>
      <w:rFonts w:asciiTheme="minorHAnsi" w:hAnsiTheme="minorHAnsi"/>
      <w:sz w:val="18"/>
      <w:szCs w:val="18"/>
    </w:rPr>
  </w:style>
  <w:style w:type="paragraph" w:styleId="TOC8">
    <w:name w:val="toc 8"/>
    <w:basedOn w:val="Normal"/>
    <w:next w:val="Normal"/>
    <w:autoRedefine/>
    <w:uiPriority w:val="39"/>
    <w:unhideWhenUsed/>
    <w:rsid w:val="00B94CEC"/>
    <w:pPr>
      <w:ind w:left="1680"/>
    </w:pPr>
    <w:rPr>
      <w:rFonts w:asciiTheme="minorHAnsi" w:hAnsiTheme="minorHAnsi"/>
      <w:sz w:val="18"/>
      <w:szCs w:val="18"/>
    </w:rPr>
  </w:style>
  <w:style w:type="paragraph" w:styleId="TOC9">
    <w:name w:val="toc 9"/>
    <w:basedOn w:val="Normal"/>
    <w:next w:val="Normal"/>
    <w:autoRedefine/>
    <w:uiPriority w:val="39"/>
    <w:unhideWhenUsed/>
    <w:rsid w:val="00B94CEC"/>
    <w:pPr>
      <w:ind w:left="1920"/>
    </w:pPr>
    <w:rPr>
      <w:rFonts w:asciiTheme="minorHAnsi" w:hAnsiTheme="minorHAnsi"/>
      <w:sz w:val="18"/>
      <w:szCs w:val="18"/>
    </w:rPr>
  </w:style>
  <w:style w:type="character" w:styleId="Hyperlink">
    <w:name w:val="Hyperlink"/>
    <w:basedOn w:val="DefaultParagraphFont"/>
    <w:uiPriority w:val="99"/>
    <w:unhideWhenUsed/>
    <w:rsid w:val="00B94CEC"/>
    <w:rPr>
      <w:color w:val="0000FF" w:themeColor="hyperlink"/>
      <w:u w:val="single"/>
    </w:rPr>
  </w:style>
  <w:style w:type="numbering" w:customStyle="1" w:styleId="Headings">
    <w:name w:val="Headings"/>
    <w:uiPriority w:val="99"/>
    <w:rsid w:val="006E2BF3"/>
    <w:pPr>
      <w:numPr>
        <w:numId w:val="9"/>
      </w:numPr>
    </w:pPr>
  </w:style>
  <w:style w:type="paragraph" w:styleId="Title">
    <w:name w:val="Title"/>
    <w:basedOn w:val="Normal"/>
    <w:next w:val="Normal"/>
    <w:link w:val="TitleChar"/>
    <w:uiPriority w:val="10"/>
    <w:qFormat/>
    <w:rsid w:val="00257BEF"/>
    <w:pPr>
      <w:spacing w:after="300"/>
      <w:contextualSpacing/>
    </w:pPr>
    <w:rPr>
      <w:rFonts w:eastAsiaTheme="majorEastAsia" w:cstheme="majorBidi"/>
      <w:color w:val="000000" w:themeColor="text1"/>
      <w:spacing w:val="5"/>
      <w:kern w:val="28"/>
      <w:sz w:val="52"/>
      <w:szCs w:val="52"/>
    </w:rPr>
  </w:style>
  <w:style w:type="character" w:customStyle="1" w:styleId="TitleChar">
    <w:name w:val="Title Char"/>
    <w:basedOn w:val="DefaultParagraphFont"/>
    <w:link w:val="Title"/>
    <w:uiPriority w:val="10"/>
    <w:rsid w:val="00257BEF"/>
    <w:rPr>
      <w:rFonts w:ascii="Calibri" w:eastAsiaTheme="majorEastAsia" w:hAnsi="Calibri" w:cstheme="majorBidi"/>
      <w:color w:val="000000" w:themeColor="text1"/>
      <w:spacing w:val="5"/>
      <w:kern w:val="28"/>
      <w:sz w:val="52"/>
      <w:szCs w:val="52"/>
    </w:rPr>
  </w:style>
  <w:style w:type="paragraph" w:styleId="Subtitle">
    <w:name w:val="Subtitle"/>
    <w:basedOn w:val="Normal"/>
    <w:next w:val="Normal"/>
    <w:link w:val="SubtitleChar"/>
    <w:uiPriority w:val="11"/>
    <w:qFormat/>
    <w:rsid w:val="005F7953"/>
    <w:pPr>
      <w:numPr>
        <w:ilvl w:val="1"/>
      </w:numPr>
    </w:pPr>
    <w:rPr>
      <w:rFonts w:asciiTheme="majorHAnsi" w:eastAsiaTheme="majorEastAsia" w:hAnsiTheme="majorHAnsi" w:cstheme="majorBidi"/>
      <w:i/>
      <w:iCs/>
      <w:spacing w:val="15"/>
    </w:rPr>
  </w:style>
  <w:style w:type="character" w:customStyle="1" w:styleId="SubtitleChar">
    <w:name w:val="Subtitle Char"/>
    <w:basedOn w:val="DefaultParagraphFont"/>
    <w:link w:val="Subtitle"/>
    <w:uiPriority w:val="11"/>
    <w:rsid w:val="005F7953"/>
    <w:rPr>
      <w:rFonts w:asciiTheme="majorHAnsi" w:eastAsiaTheme="majorEastAsia" w:hAnsiTheme="majorHAnsi" w:cstheme="majorBidi"/>
      <w:i/>
      <w:iCs/>
      <w:spacing w:val="15"/>
      <w:sz w:val="24"/>
      <w:szCs w:val="24"/>
    </w:rPr>
  </w:style>
  <w:style w:type="character" w:styleId="PlaceholderText">
    <w:name w:val="Placeholder Text"/>
    <w:basedOn w:val="DefaultParagraphFont"/>
    <w:uiPriority w:val="99"/>
    <w:semiHidden/>
    <w:rsid w:val="005F7953"/>
    <w:rPr>
      <w:color w:val="808080"/>
    </w:rPr>
  </w:style>
  <w:style w:type="paragraph" w:styleId="Bibliography">
    <w:name w:val="Bibliography"/>
    <w:basedOn w:val="Normal"/>
    <w:next w:val="Normal"/>
    <w:uiPriority w:val="37"/>
    <w:unhideWhenUsed/>
    <w:rsid w:val="004C5497"/>
  </w:style>
  <w:style w:type="character" w:customStyle="1" w:styleId="topic-highlight">
    <w:name w:val="topic-highlight"/>
    <w:basedOn w:val="DefaultParagraphFont"/>
    <w:rsid w:val="007E583E"/>
  </w:style>
  <w:style w:type="character" w:customStyle="1" w:styleId="normaltextrun">
    <w:name w:val="normaltextrun"/>
    <w:basedOn w:val="DefaultParagraphFont"/>
    <w:rsid w:val="00FF51FD"/>
  </w:style>
  <w:style w:type="character" w:styleId="UnresolvedMention">
    <w:name w:val="Unresolved Mention"/>
    <w:basedOn w:val="DefaultParagraphFont"/>
    <w:uiPriority w:val="99"/>
    <w:semiHidden/>
    <w:unhideWhenUsed/>
    <w:rsid w:val="00FF7C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65151">
      <w:bodyDiv w:val="1"/>
      <w:marLeft w:val="0"/>
      <w:marRight w:val="0"/>
      <w:marTop w:val="0"/>
      <w:marBottom w:val="0"/>
      <w:divBdr>
        <w:top w:val="none" w:sz="0" w:space="0" w:color="auto"/>
        <w:left w:val="none" w:sz="0" w:space="0" w:color="auto"/>
        <w:bottom w:val="none" w:sz="0" w:space="0" w:color="auto"/>
        <w:right w:val="none" w:sz="0" w:space="0" w:color="auto"/>
      </w:divBdr>
    </w:div>
    <w:div w:id="206453431">
      <w:bodyDiv w:val="1"/>
      <w:marLeft w:val="0"/>
      <w:marRight w:val="0"/>
      <w:marTop w:val="0"/>
      <w:marBottom w:val="0"/>
      <w:divBdr>
        <w:top w:val="none" w:sz="0" w:space="0" w:color="auto"/>
        <w:left w:val="none" w:sz="0" w:space="0" w:color="auto"/>
        <w:bottom w:val="none" w:sz="0" w:space="0" w:color="auto"/>
        <w:right w:val="none" w:sz="0" w:space="0" w:color="auto"/>
      </w:divBdr>
    </w:div>
    <w:div w:id="270168016">
      <w:bodyDiv w:val="1"/>
      <w:marLeft w:val="0"/>
      <w:marRight w:val="0"/>
      <w:marTop w:val="0"/>
      <w:marBottom w:val="0"/>
      <w:divBdr>
        <w:top w:val="none" w:sz="0" w:space="0" w:color="auto"/>
        <w:left w:val="none" w:sz="0" w:space="0" w:color="auto"/>
        <w:bottom w:val="none" w:sz="0" w:space="0" w:color="auto"/>
        <w:right w:val="none" w:sz="0" w:space="0" w:color="auto"/>
      </w:divBdr>
    </w:div>
    <w:div w:id="295530841">
      <w:bodyDiv w:val="1"/>
      <w:marLeft w:val="0"/>
      <w:marRight w:val="0"/>
      <w:marTop w:val="0"/>
      <w:marBottom w:val="0"/>
      <w:divBdr>
        <w:top w:val="none" w:sz="0" w:space="0" w:color="auto"/>
        <w:left w:val="none" w:sz="0" w:space="0" w:color="auto"/>
        <w:bottom w:val="none" w:sz="0" w:space="0" w:color="auto"/>
        <w:right w:val="none" w:sz="0" w:space="0" w:color="auto"/>
      </w:divBdr>
    </w:div>
    <w:div w:id="346255703">
      <w:bodyDiv w:val="1"/>
      <w:marLeft w:val="0"/>
      <w:marRight w:val="0"/>
      <w:marTop w:val="0"/>
      <w:marBottom w:val="0"/>
      <w:divBdr>
        <w:top w:val="none" w:sz="0" w:space="0" w:color="auto"/>
        <w:left w:val="none" w:sz="0" w:space="0" w:color="auto"/>
        <w:bottom w:val="none" w:sz="0" w:space="0" w:color="auto"/>
        <w:right w:val="none" w:sz="0" w:space="0" w:color="auto"/>
      </w:divBdr>
    </w:div>
    <w:div w:id="392168260">
      <w:bodyDiv w:val="1"/>
      <w:marLeft w:val="0"/>
      <w:marRight w:val="0"/>
      <w:marTop w:val="0"/>
      <w:marBottom w:val="0"/>
      <w:divBdr>
        <w:top w:val="none" w:sz="0" w:space="0" w:color="auto"/>
        <w:left w:val="none" w:sz="0" w:space="0" w:color="auto"/>
        <w:bottom w:val="none" w:sz="0" w:space="0" w:color="auto"/>
        <w:right w:val="none" w:sz="0" w:space="0" w:color="auto"/>
      </w:divBdr>
    </w:div>
    <w:div w:id="440416846">
      <w:bodyDiv w:val="1"/>
      <w:marLeft w:val="0"/>
      <w:marRight w:val="0"/>
      <w:marTop w:val="0"/>
      <w:marBottom w:val="0"/>
      <w:divBdr>
        <w:top w:val="none" w:sz="0" w:space="0" w:color="auto"/>
        <w:left w:val="none" w:sz="0" w:space="0" w:color="auto"/>
        <w:bottom w:val="none" w:sz="0" w:space="0" w:color="auto"/>
        <w:right w:val="none" w:sz="0" w:space="0" w:color="auto"/>
      </w:divBdr>
    </w:div>
    <w:div w:id="563950593">
      <w:bodyDiv w:val="1"/>
      <w:marLeft w:val="0"/>
      <w:marRight w:val="0"/>
      <w:marTop w:val="0"/>
      <w:marBottom w:val="0"/>
      <w:divBdr>
        <w:top w:val="none" w:sz="0" w:space="0" w:color="auto"/>
        <w:left w:val="none" w:sz="0" w:space="0" w:color="auto"/>
        <w:bottom w:val="none" w:sz="0" w:space="0" w:color="auto"/>
        <w:right w:val="none" w:sz="0" w:space="0" w:color="auto"/>
      </w:divBdr>
    </w:div>
    <w:div w:id="579602425">
      <w:bodyDiv w:val="1"/>
      <w:marLeft w:val="0"/>
      <w:marRight w:val="0"/>
      <w:marTop w:val="0"/>
      <w:marBottom w:val="0"/>
      <w:divBdr>
        <w:top w:val="none" w:sz="0" w:space="0" w:color="auto"/>
        <w:left w:val="none" w:sz="0" w:space="0" w:color="auto"/>
        <w:bottom w:val="none" w:sz="0" w:space="0" w:color="auto"/>
        <w:right w:val="none" w:sz="0" w:space="0" w:color="auto"/>
      </w:divBdr>
    </w:div>
    <w:div w:id="634486732">
      <w:bodyDiv w:val="1"/>
      <w:marLeft w:val="0"/>
      <w:marRight w:val="0"/>
      <w:marTop w:val="0"/>
      <w:marBottom w:val="0"/>
      <w:divBdr>
        <w:top w:val="none" w:sz="0" w:space="0" w:color="auto"/>
        <w:left w:val="none" w:sz="0" w:space="0" w:color="auto"/>
        <w:bottom w:val="none" w:sz="0" w:space="0" w:color="auto"/>
        <w:right w:val="none" w:sz="0" w:space="0" w:color="auto"/>
      </w:divBdr>
    </w:div>
    <w:div w:id="650407896">
      <w:bodyDiv w:val="1"/>
      <w:marLeft w:val="0"/>
      <w:marRight w:val="0"/>
      <w:marTop w:val="0"/>
      <w:marBottom w:val="0"/>
      <w:divBdr>
        <w:top w:val="none" w:sz="0" w:space="0" w:color="auto"/>
        <w:left w:val="none" w:sz="0" w:space="0" w:color="auto"/>
        <w:bottom w:val="none" w:sz="0" w:space="0" w:color="auto"/>
        <w:right w:val="none" w:sz="0" w:space="0" w:color="auto"/>
      </w:divBdr>
    </w:div>
    <w:div w:id="781069368">
      <w:bodyDiv w:val="1"/>
      <w:marLeft w:val="0"/>
      <w:marRight w:val="0"/>
      <w:marTop w:val="0"/>
      <w:marBottom w:val="0"/>
      <w:divBdr>
        <w:top w:val="none" w:sz="0" w:space="0" w:color="auto"/>
        <w:left w:val="none" w:sz="0" w:space="0" w:color="auto"/>
        <w:bottom w:val="none" w:sz="0" w:space="0" w:color="auto"/>
        <w:right w:val="none" w:sz="0" w:space="0" w:color="auto"/>
      </w:divBdr>
    </w:div>
    <w:div w:id="818116224">
      <w:bodyDiv w:val="1"/>
      <w:marLeft w:val="0"/>
      <w:marRight w:val="0"/>
      <w:marTop w:val="0"/>
      <w:marBottom w:val="0"/>
      <w:divBdr>
        <w:top w:val="none" w:sz="0" w:space="0" w:color="auto"/>
        <w:left w:val="none" w:sz="0" w:space="0" w:color="auto"/>
        <w:bottom w:val="none" w:sz="0" w:space="0" w:color="auto"/>
        <w:right w:val="none" w:sz="0" w:space="0" w:color="auto"/>
      </w:divBdr>
    </w:div>
    <w:div w:id="853112269">
      <w:bodyDiv w:val="1"/>
      <w:marLeft w:val="0"/>
      <w:marRight w:val="0"/>
      <w:marTop w:val="0"/>
      <w:marBottom w:val="0"/>
      <w:divBdr>
        <w:top w:val="none" w:sz="0" w:space="0" w:color="auto"/>
        <w:left w:val="none" w:sz="0" w:space="0" w:color="auto"/>
        <w:bottom w:val="none" w:sz="0" w:space="0" w:color="auto"/>
        <w:right w:val="none" w:sz="0" w:space="0" w:color="auto"/>
      </w:divBdr>
    </w:div>
    <w:div w:id="880744188">
      <w:bodyDiv w:val="1"/>
      <w:marLeft w:val="0"/>
      <w:marRight w:val="0"/>
      <w:marTop w:val="0"/>
      <w:marBottom w:val="0"/>
      <w:divBdr>
        <w:top w:val="none" w:sz="0" w:space="0" w:color="auto"/>
        <w:left w:val="none" w:sz="0" w:space="0" w:color="auto"/>
        <w:bottom w:val="none" w:sz="0" w:space="0" w:color="auto"/>
        <w:right w:val="none" w:sz="0" w:space="0" w:color="auto"/>
      </w:divBdr>
    </w:div>
    <w:div w:id="946740625">
      <w:bodyDiv w:val="1"/>
      <w:marLeft w:val="0"/>
      <w:marRight w:val="0"/>
      <w:marTop w:val="0"/>
      <w:marBottom w:val="0"/>
      <w:divBdr>
        <w:top w:val="none" w:sz="0" w:space="0" w:color="auto"/>
        <w:left w:val="none" w:sz="0" w:space="0" w:color="auto"/>
        <w:bottom w:val="none" w:sz="0" w:space="0" w:color="auto"/>
        <w:right w:val="none" w:sz="0" w:space="0" w:color="auto"/>
      </w:divBdr>
    </w:div>
    <w:div w:id="1007169485">
      <w:bodyDiv w:val="1"/>
      <w:marLeft w:val="0"/>
      <w:marRight w:val="0"/>
      <w:marTop w:val="0"/>
      <w:marBottom w:val="0"/>
      <w:divBdr>
        <w:top w:val="none" w:sz="0" w:space="0" w:color="auto"/>
        <w:left w:val="none" w:sz="0" w:space="0" w:color="auto"/>
        <w:bottom w:val="none" w:sz="0" w:space="0" w:color="auto"/>
        <w:right w:val="none" w:sz="0" w:space="0" w:color="auto"/>
      </w:divBdr>
    </w:div>
    <w:div w:id="1016076581">
      <w:bodyDiv w:val="1"/>
      <w:marLeft w:val="0"/>
      <w:marRight w:val="0"/>
      <w:marTop w:val="0"/>
      <w:marBottom w:val="0"/>
      <w:divBdr>
        <w:top w:val="none" w:sz="0" w:space="0" w:color="auto"/>
        <w:left w:val="none" w:sz="0" w:space="0" w:color="auto"/>
        <w:bottom w:val="none" w:sz="0" w:space="0" w:color="auto"/>
        <w:right w:val="none" w:sz="0" w:space="0" w:color="auto"/>
      </w:divBdr>
    </w:div>
    <w:div w:id="1096436210">
      <w:bodyDiv w:val="1"/>
      <w:marLeft w:val="0"/>
      <w:marRight w:val="0"/>
      <w:marTop w:val="0"/>
      <w:marBottom w:val="0"/>
      <w:divBdr>
        <w:top w:val="none" w:sz="0" w:space="0" w:color="auto"/>
        <w:left w:val="none" w:sz="0" w:space="0" w:color="auto"/>
        <w:bottom w:val="none" w:sz="0" w:space="0" w:color="auto"/>
        <w:right w:val="none" w:sz="0" w:space="0" w:color="auto"/>
      </w:divBdr>
    </w:div>
    <w:div w:id="1258446621">
      <w:bodyDiv w:val="1"/>
      <w:marLeft w:val="0"/>
      <w:marRight w:val="0"/>
      <w:marTop w:val="0"/>
      <w:marBottom w:val="0"/>
      <w:divBdr>
        <w:top w:val="none" w:sz="0" w:space="0" w:color="auto"/>
        <w:left w:val="none" w:sz="0" w:space="0" w:color="auto"/>
        <w:bottom w:val="none" w:sz="0" w:space="0" w:color="auto"/>
        <w:right w:val="none" w:sz="0" w:space="0" w:color="auto"/>
      </w:divBdr>
    </w:div>
    <w:div w:id="1335061900">
      <w:bodyDiv w:val="1"/>
      <w:marLeft w:val="0"/>
      <w:marRight w:val="0"/>
      <w:marTop w:val="0"/>
      <w:marBottom w:val="0"/>
      <w:divBdr>
        <w:top w:val="none" w:sz="0" w:space="0" w:color="auto"/>
        <w:left w:val="none" w:sz="0" w:space="0" w:color="auto"/>
        <w:bottom w:val="none" w:sz="0" w:space="0" w:color="auto"/>
        <w:right w:val="none" w:sz="0" w:space="0" w:color="auto"/>
      </w:divBdr>
    </w:div>
    <w:div w:id="1424645435">
      <w:bodyDiv w:val="1"/>
      <w:marLeft w:val="0"/>
      <w:marRight w:val="0"/>
      <w:marTop w:val="0"/>
      <w:marBottom w:val="0"/>
      <w:divBdr>
        <w:top w:val="none" w:sz="0" w:space="0" w:color="auto"/>
        <w:left w:val="none" w:sz="0" w:space="0" w:color="auto"/>
        <w:bottom w:val="none" w:sz="0" w:space="0" w:color="auto"/>
        <w:right w:val="none" w:sz="0" w:space="0" w:color="auto"/>
      </w:divBdr>
    </w:div>
    <w:div w:id="1470512017">
      <w:bodyDiv w:val="1"/>
      <w:marLeft w:val="0"/>
      <w:marRight w:val="0"/>
      <w:marTop w:val="0"/>
      <w:marBottom w:val="0"/>
      <w:divBdr>
        <w:top w:val="none" w:sz="0" w:space="0" w:color="auto"/>
        <w:left w:val="none" w:sz="0" w:space="0" w:color="auto"/>
        <w:bottom w:val="none" w:sz="0" w:space="0" w:color="auto"/>
        <w:right w:val="none" w:sz="0" w:space="0" w:color="auto"/>
      </w:divBdr>
    </w:div>
    <w:div w:id="1539319953">
      <w:bodyDiv w:val="1"/>
      <w:marLeft w:val="0"/>
      <w:marRight w:val="0"/>
      <w:marTop w:val="0"/>
      <w:marBottom w:val="0"/>
      <w:divBdr>
        <w:top w:val="none" w:sz="0" w:space="0" w:color="auto"/>
        <w:left w:val="none" w:sz="0" w:space="0" w:color="auto"/>
        <w:bottom w:val="none" w:sz="0" w:space="0" w:color="auto"/>
        <w:right w:val="none" w:sz="0" w:space="0" w:color="auto"/>
      </w:divBdr>
    </w:div>
    <w:div w:id="1548643592">
      <w:bodyDiv w:val="1"/>
      <w:marLeft w:val="0"/>
      <w:marRight w:val="0"/>
      <w:marTop w:val="0"/>
      <w:marBottom w:val="0"/>
      <w:divBdr>
        <w:top w:val="none" w:sz="0" w:space="0" w:color="auto"/>
        <w:left w:val="none" w:sz="0" w:space="0" w:color="auto"/>
        <w:bottom w:val="none" w:sz="0" w:space="0" w:color="auto"/>
        <w:right w:val="none" w:sz="0" w:space="0" w:color="auto"/>
      </w:divBdr>
    </w:div>
    <w:div w:id="1574319189">
      <w:bodyDiv w:val="1"/>
      <w:marLeft w:val="0"/>
      <w:marRight w:val="0"/>
      <w:marTop w:val="0"/>
      <w:marBottom w:val="0"/>
      <w:divBdr>
        <w:top w:val="none" w:sz="0" w:space="0" w:color="auto"/>
        <w:left w:val="none" w:sz="0" w:space="0" w:color="auto"/>
        <w:bottom w:val="none" w:sz="0" w:space="0" w:color="auto"/>
        <w:right w:val="none" w:sz="0" w:space="0" w:color="auto"/>
      </w:divBdr>
    </w:div>
    <w:div w:id="1611085656">
      <w:bodyDiv w:val="1"/>
      <w:marLeft w:val="0"/>
      <w:marRight w:val="0"/>
      <w:marTop w:val="0"/>
      <w:marBottom w:val="0"/>
      <w:divBdr>
        <w:top w:val="none" w:sz="0" w:space="0" w:color="auto"/>
        <w:left w:val="none" w:sz="0" w:space="0" w:color="auto"/>
        <w:bottom w:val="none" w:sz="0" w:space="0" w:color="auto"/>
        <w:right w:val="none" w:sz="0" w:space="0" w:color="auto"/>
      </w:divBdr>
    </w:div>
    <w:div w:id="1650551220">
      <w:bodyDiv w:val="1"/>
      <w:marLeft w:val="0"/>
      <w:marRight w:val="0"/>
      <w:marTop w:val="0"/>
      <w:marBottom w:val="0"/>
      <w:divBdr>
        <w:top w:val="none" w:sz="0" w:space="0" w:color="auto"/>
        <w:left w:val="none" w:sz="0" w:space="0" w:color="auto"/>
        <w:bottom w:val="none" w:sz="0" w:space="0" w:color="auto"/>
        <w:right w:val="none" w:sz="0" w:space="0" w:color="auto"/>
      </w:divBdr>
    </w:div>
    <w:div w:id="1726106100">
      <w:bodyDiv w:val="1"/>
      <w:marLeft w:val="0"/>
      <w:marRight w:val="0"/>
      <w:marTop w:val="0"/>
      <w:marBottom w:val="0"/>
      <w:divBdr>
        <w:top w:val="none" w:sz="0" w:space="0" w:color="auto"/>
        <w:left w:val="none" w:sz="0" w:space="0" w:color="auto"/>
        <w:bottom w:val="none" w:sz="0" w:space="0" w:color="auto"/>
        <w:right w:val="none" w:sz="0" w:space="0" w:color="auto"/>
      </w:divBdr>
    </w:div>
    <w:div w:id="1783919656">
      <w:bodyDiv w:val="1"/>
      <w:marLeft w:val="0"/>
      <w:marRight w:val="0"/>
      <w:marTop w:val="0"/>
      <w:marBottom w:val="0"/>
      <w:divBdr>
        <w:top w:val="none" w:sz="0" w:space="0" w:color="auto"/>
        <w:left w:val="none" w:sz="0" w:space="0" w:color="auto"/>
        <w:bottom w:val="none" w:sz="0" w:space="0" w:color="auto"/>
        <w:right w:val="none" w:sz="0" w:space="0" w:color="auto"/>
      </w:divBdr>
    </w:div>
    <w:div w:id="1977489548">
      <w:bodyDiv w:val="1"/>
      <w:marLeft w:val="0"/>
      <w:marRight w:val="0"/>
      <w:marTop w:val="0"/>
      <w:marBottom w:val="0"/>
      <w:divBdr>
        <w:top w:val="none" w:sz="0" w:space="0" w:color="auto"/>
        <w:left w:val="none" w:sz="0" w:space="0" w:color="auto"/>
        <w:bottom w:val="none" w:sz="0" w:space="0" w:color="auto"/>
        <w:right w:val="none" w:sz="0" w:space="0" w:color="auto"/>
      </w:divBdr>
    </w:div>
    <w:div w:id="2012297222">
      <w:bodyDiv w:val="1"/>
      <w:marLeft w:val="0"/>
      <w:marRight w:val="0"/>
      <w:marTop w:val="0"/>
      <w:marBottom w:val="0"/>
      <w:divBdr>
        <w:top w:val="none" w:sz="0" w:space="0" w:color="auto"/>
        <w:left w:val="none" w:sz="0" w:space="0" w:color="auto"/>
        <w:bottom w:val="none" w:sz="0" w:space="0" w:color="auto"/>
        <w:right w:val="none" w:sz="0" w:space="0" w:color="auto"/>
      </w:divBdr>
    </w:div>
    <w:div w:id="2071536317">
      <w:bodyDiv w:val="1"/>
      <w:marLeft w:val="0"/>
      <w:marRight w:val="0"/>
      <w:marTop w:val="0"/>
      <w:marBottom w:val="0"/>
      <w:divBdr>
        <w:top w:val="none" w:sz="0" w:space="0" w:color="auto"/>
        <w:left w:val="none" w:sz="0" w:space="0" w:color="auto"/>
        <w:bottom w:val="none" w:sz="0" w:space="0" w:color="auto"/>
        <w:right w:val="none" w:sz="0" w:space="0" w:color="auto"/>
      </w:divBdr>
    </w:div>
    <w:div w:id="2121995638">
      <w:bodyDiv w:val="1"/>
      <w:marLeft w:val="0"/>
      <w:marRight w:val="0"/>
      <w:marTop w:val="0"/>
      <w:marBottom w:val="0"/>
      <w:divBdr>
        <w:top w:val="none" w:sz="0" w:space="0" w:color="auto"/>
        <w:left w:val="none" w:sz="0" w:space="0" w:color="auto"/>
        <w:bottom w:val="none" w:sz="0" w:space="0" w:color="auto"/>
        <w:right w:val="none" w:sz="0" w:space="0" w:color="auto"/>
      </w:divBdr>
    </w:div>
    <w:div w:id="2137286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10656@student.uwtsd.ac.uk" TargetMode="External"/><Relationship Id="rId5" Type="http://schemas.openxmlformats.org/officeDocument/2006/relationships/numbering" Target="numbering.xml"/><Relationship Id="rId15" Type="http://schemas.openxmlformats.org/officeDocument/2006/relationships/chart" Target="charts/chart1.xml"/><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2.xml.rels><?xml version="1.0" encoding="UTF-8" standalone="yes"?>
<Relationships xmlns="http://schemas.openxmlformats.org/package/2006/relationships"><Relationship Id="rId2" Type="http://schemas.openxmlformats.org/officeDocument/2006/relationships/image" Target="media/image2.emf"/><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natha\Desktop\Uni%20Work\Financial%20Management%20&amp;%20Planning\Drag%20Polishing\polishing%20cos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natha\Desktop\Uni%20Work\Financial%20Management%20&amp;%20Planning\Drag%20Polishing\polishing%20cost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ysClr val="windowText" lastClr="000000"/>
                </a:solidFill>
                <a:latin typeface="+mj-lt"/>
                <a:ea typeface="+mj-ea"/>
                <a:cs typeface="+mj-cs"/>
              </a:defRPr>
            </a:pPr>
            <a:r>
              <a:rPr lang="en-GB"/>
              <a:t>Tibial Demand</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ysClr val="windowText" lastClr="000000"/>
              </a:solidFill>
              <a:latin typeface="+mj-lt"/>
              <a:ea typeface="+mj-ea"/>
              <a:cs typeface="+mj-cs"/>
            </a:defRPr>
          </a:pPr>
          <a:endParaRPr lang="en-US"/>
        </a:p>
      </c:txPr>
    </c:title>
    <c:autoTitleDeleted val="0"/>
    <c:plotArea>
      <c:layout/>
      <c:lineChart>
        <c:grouping val="standard"/>
        <c:varyColors val="0"/>
        <c:ser>
          <c:idx val="0"/>
          <c:order val="0"/>
          <c:tx>
            <c:v>Previous Demand</c:v>
          </c:tx>
          <c:spPr>
            <a:ln w="38100" cap="rnd">
              <a:solidFill>
                <a:schemeClr val="accent1"/>
              </a:solidFill>
              <a:round/>
            </a:ln>
            <a:effectLst/>
          </c:spPr>
          <c:marker>
            <c:symbol val="none"/>
          </c:marker>
          <c:cat>
            <c:strRef>
              <c:f>'Demand Modified'!$D$2:$Z$2</c:f>
              <c:strCache>
                <c:ptCount val="23"/>
                <c:pt idx="0">
                  <c:v> MPS Apr-23</c:v>
                </c:pt>
                <c:pt idx="1">
                  <c:v> MPS May-23</c:v>
                </c:pt>
                <c:pt idx="2">
                  <c:v> MPS Jun-23</c:v>
                </c:pt>
                <c:pt idx="3">
                  <c:v> MPS Jul-23</c:v>
                </c:pt>
                <c:pt idx="4">
                  <c:v> MPS Aug-23</c:v>
                </c:pt>
                <c:pt idx="5">
                  <c:v> MPS Sep-23</c:v>
                </c:pt>
                <c:pt idx="6">
                  <c:v> MPS Oct-23</c:v>
                </c:pt>
                <c:pt idx="7">
                  <c:v> MPS Nov-23</c:v>
                </c:pt>
                <c:pt idx="8">
                  <c:v> MPS Dec-23</c:v>
                </c:pt>
                <c:pt idx="9">
                  <c:v> MPS Jan-24</c:v>
                </c:pt>
                <c:pt idx="10">
                  <c:v> MPS Feb-24</c:v>
                </c:pt>
                <c:pt idx="11">
                  <c:v> MPS Mar-24</c:v>
                </c:pt>
                <c:pt idx="12">
                  <c:v> MPS Apr-24</c:v>
                </c:pt>
                <c:pt idx="13">
                  <c:v> MPS May-24</c:v>
                </c:pt>
                <c:pt idx="14">
                  <c:v> MPS Jun-24</c:v>
                </c:pt>
                <c:pt idx="15">
                  <c:v> MPS Jul-24</c:v>
                </c:pt>
                <c:pt idx="16">
                  <c:v> MPS Aug-24</c:v>
                </c:pt>
                <c:pt idx="17">
                  <c:v> MPS Sep-24</c:v>
                </c:pt>
                <c:pt idx="18">
                  <c:v> MPS Oct-24</c:v>
                </c:pt>
                <c:pt idx="19">
                  <c:v> MPS Nov-24</c:v>
                </c:pt>
                <c:pt idx="20">
                  <c:v> MPS Dec-24</c:v>
                </c:pt>
                <c:pt idx="21">
                  <c:v> MPS Jan-25</c:v>
                </c:pt>
                <c:pt idx="22">
                  <c:v> MPS Feb-25</c:v>
                </c:pt>
              </c:strCache>
            </c:strRef>
          </c:cat>
          <c:val>
            <c:numRef>
              <c:f>Demand!$D$7:$Z$7</c:f>
              <c:numCache>
                <c:formatCode>0</c:formatCode>
                <c:ptCount val="23"/>
                <c:pt idx="0">
                  <c:v>19.943529411764708</c:v>
                </c:pt>
                <c:pt idx="1">
                  <c:v>21.458333333333332</c:v>
                </c:pt>
                <c:pt idx="2">
                  <c:v>36.314285714285717</c:v>
                </c:pt>
                <c:pt idx="3">
                  <c:v>47.293478260869563</c:v>
                </c:pt>
                <c:pt idx="4">
                  <c:v>39.215909090909086</c:v>
                </c:pt>
                <c:pt idx="5">
                  <c:v>33.884746676248653</c:v>
                </c:pt>
                <c:pt idx="6">
                  <c:v>38.48771266540642</c:v>
                </c:pt>
                <c:pt idx="7">
                  <c:v>39.333333333333329</c:v>
                </c:pt>
                <c:pt idx="8">
                  <c:v>43.055555555555564</c:v>
                </c:pt>
                <c:pt idx="9">
                  <c:v>36.3125</c:v>
                </c:pt>
                <c:pt idx="10">
                  <c:v>43.903409090909079</c:v>
                </c:pt>
                <c:pt idx="11">
                  <c:v>36.269030013049161</c:v>
                </c:pt>
                <c:pt idx="12">
                  <c:v>41.840475802509374</c:v>
                </c:pt>
                <c:pt idx="13">
                  <c:v>41.193771626297554</c:v>
                </c:pt>
                <c:pt idx="14">
                  <c:v>35.909090909090914</c:v>
                </c:pt>
                <c:pt idx="15">
                  <c:v>32.445652173913047</c:v>
                </c:pt>
                <c:pt idx="16">
                  <c:v>32.80113636363636</c:v>
                </c:pt>
                <c:pt idx="17">
                  <c:v>31.27066115702479</c:v>
                </c:pt>
                <c:pt idx="18">
                  <c:v>34.545946477764652</c:v>
                </c:pt>
                <c:pt idx="19">
                  <c:v>26.432114512471671</c:v>
                </c:pt>
                <c:pt idx="20">
                  <c:v>25.605468750000014</c:v>
                </c:pt>
                <c:pt idx="21">
                  <c:v>10.25</c:v>
                </c:pt>
                <c:pt idx="22">
                  <c:v>11</c:v>
                </c:pt>
              </c:numCache>
            </c:numRef>
          </c:val>
          <c:smooth val="0"/>
          <c:extLst>
            <c:ext xmlns:c16="http://schemas.microsoft.com/office/drawing/2014/chart" uri="{C3380CC4-5D6E-409C-BE32-E72D297353CC}">
              <c16:uniqueId val="{00000000-0099-4FD4-888C-2C9A9E5D232E}"/>
            </c:ext>
          </c:extLst>
        </c:ser>
        <c:ser>
          <c:idx val="1"/>
          <c:order val="1"/>
          <c:tx>
            <c:v>New Demand</c:v>
          </c:tx>
          <c:spPr>
            <a:ln w="38100" cap="rnd">
              <a:solidFill>
                <a:schemeClr val="accent2"/>
              </a:solidFill>
              <a:round/>
            </a:ln>
            <a:effectLst/>
          </c:spPr>
          <c:marker>
            <c:symbol val="none"/>
          </c:marker>
          <c:val>
            <c:numRef>
              <c:f>'Demand Modified'!$D$7:$Z$7</c:f>
              <c:numCache>
                <c:formatCode>0</c:formatCode>
                <c:ptCount val="23"/>
                <c:pt idx="0">
                  <c:v>119.66117647058825</c:v>
                </c:pt>
                <c:pt idx="1">
                  <c:v>128.75</c:v>
                </c:pt>
                <c:pt idx="2">
                  <c:v>217.8857142857143</c:v>
                </c:pt>
                <c:pt idx="3">
                  <c:v>283.76086956521738</c:v>
                </c:pt>
                <c:pt idx="4">
                  <c:v>235.29545454545456</c:v>
                </c:pt>
                <c:pt idx="5">
                  <c:v>203.30848005749195</c:v>
                </c:pt>
                <c:pt idx="6">
                  <c:v>230.92627599243855</c:v>
                </c:pt>
                <c:pt idx="7">
                  <c:v>235.99999999999997</c:v>
                </c:pt>
                <c:pt idx="8">
                  <c:v>258.33333333333337</c:v>
                </c:pt>
                <c:pt idx="9">
                  <c:v>217.875</c:v>
                </c:pt>
                <c:pt idx="10">
                  <c:v>263.4204545454545</c:v>
                </c:pt>
                <c:pt idx="11">
                  <c:v>217.61418007829496</c:v>
                </c:pt>
                <c:pt idx="12">
                  <c:v>251.04285481505624</c:v>
                </c:pt>
                <c:pt idx="13">
                  <c:v>247.16262975778528</c:v>
                </c:pt>
                <c:pt idx="14">
                  <c:v>215.4545454545455</c:v>
                </c:pt>
                <c:pt idx="15">
                  <c:v>194.67391304347828</c:v>
                </c:pt>
                <c:pt idx="16">
                  <c:v>196.80681818181813</c:v>
                </c:pt>
                <c:pt idx="17">
                  <c:v>187.62396694214874</c:v>
                </c:pt>
                <c:pt idx="18">
                  <c:v>207.27567886658792</c:v>
                </c:pt>
                <c:pt idx="19">
                  <c:v>158.59268707483</c:v>
                </c:pt>
                <c:pt idx="20">
                  <c:v>153.63281250000009</c:v>
                </c:pt>
                <c:pt idx="21">
                  <c:v>31.5</c:v>
                </c:pt>
                <c:pt idx="22">
                  <c:v>0</c:v>
                </c:pt>
              </c:numCache>
            </c:numRef>
          </c:val>
          <c:smooth val="0"/>
          <c:extLst>
            <c:ext xmlns:c16="http://schemas.microsoft.com/office/drawing/2014/chart" uri="{C3380CC4-5D6E-409C-BE32-E72D297353CC}">
              <c16:uniqueId val="{00000001-0099-4FD4-888C-2C9A9E5D232E}"/>
            </c:ext>
          </c:extLst>
        </c:ser>
        <c:dLbls>
          <c:showLegendKey val="0"/>
          <c:showVal val="0"/>
          <c:showCatName val="0"/>
          <c:showSerName val="0"/>
          <c:showPercent val="0"/>
          <c:showBubbleSize val="0"/>
        </c:dLbls>
        <c:hiLowLines>
          <c:spPr>
            <a:ln w="9525">
              <a:solidFill>
                <a:schemeClr val="tx1">
                  <a:lumMod val="50000"/>
                  <a:lumOff val="50000"/>
                </a:schemeClr>
              </a:solidFill>
              <a:prstDash val="dash"/>
            </a:ln>
            <a:effectLst/>
          </c:spPr>
        </c:hiLowLines>
        <c:marker val="1"/>
        <c:smooth val="0"/>
        <c:axId val="828712175"/>
        <c:axId val="828707183"/>
      </c:lineChart>
      <c:lineChart>
        <c:grouping val="standard"/>
        <c:varyColors val="0"/>
        <c:ser>
          <c:idx val="2"/>
          <c:order val="2"/>
          <c:tx>
            <c:v>Drag Finish Burn Down</c:v>
          </c:tx>
          <c:spPr>
            <a:ln w="38100" cap="rnd">
              <a:solidFill>
                <a:schemeClr val="accent3"/>
              </a:solidFill>
              <a:round/>
            </a:ln>
            <a:effectLst/>
          </c:spPr>
          <c:marker>
            <c:symbol val="none"/>
          </c:marker>
          <c:val>
            <c:numRef>
              <c:f>(Sheet1!$C$20,Sheet1!$G$20,Sheet1!$L$20,Sheet1!$P$20,Sheet1!$U$20,Sheet1!$Y$20,Sheet1!$AC$20,Sheet1!$AH$20,Sheet1!$AL$20,Sheet1!$AP$20,Sheet1!$AU$20,Sheet1!$AY$20,Sheet1!$BC$19,Sheet1!$BH$19,Sheet1!$BL$19,Sheet1!$BP$19,Sheet1!$BU$19,Sheet1!$BY$19,Sheet1!$CD$19,Sheet1!$CH$19,Sheet1!$CL$19,Sheet1!$CP$19,Sheet1!$CU$19)</c:f>
              <c:numCache>
                <c:formatCode>0</c:formatCode>
                <c:ptCount val="23"/>
                <c:pt idx="0">
                  <c:v>73575.582226067752</c:v>
                </c:pt>
                <c:pt idx="1">
                  <c:v>83329.477782584698</c:v>
                </c:pt>
                <c:pt idx="2">
                  <c:v>59751.582226067752</c:v>
                </c:pt>
                <c:pt idx="3">
                  <c:v>66049.477782584698</c:v>
                </c:pt>
                <c:pt idx="4">
                  <c:v>45927.582226067752</c:v>
                </c:pt>
                <c:pt idx="5">
                  <c:v>39783.582226067752</c:v>
                </c:pt>
                <c:pt idx="6">
                  <c:v>41089.47778258469</c:v>
                </c:pt>
                <c:pt idx="7">
                  <c:v>25959.582226067752</c:v>
                </c:pt>
                <c:pt idx="8">
                  <c:v>19815.582226067752</c:v>
                </c:pt>
                <c:pt idx="9">
                  <c:v>16129.47778258469</c:v>
                </c:pt>
                <c:pt idx="10">
                  <c:v>5991.5822260677523</c:v>
                </c:pt>
                <c:pt idx="11">
                  <c:v>461.68666955081426</c:v>
                </c:pt>
                <c:pt idx="12">
                  <c:v>0</c:v>
                </c:pt>
                <c:pt idx="13">
                  <c:v>0</c:v>
                </c:pt>
                <c:pt idx="14">
                  <c:v>0</c:v>
                </c:pt>
                <c:pt idx="15">
                  <c:v>0</c:v>
                </c:pt>
                <c:pt idx="16">
                  <c:v>0</c:v>
                </c:pt>
                <c:pt idx="17">
                  <c:v>0</c:v>
                </c:pt>
                <c:pt idx="18">
                  <c:v>0</c:v>
                </c:pt>
                <c:pt idx="19">
                  <c:v>0</c:v>
                </c:pt>
                <c:pt idx="20">
                  <c:v>0</c:v>
                </c:pt>
                <c:pt idx="21">
                  <c:v>0</c:v>
                </c:pt>
                <c:pt idx="22">
                  <c:v>0</c:v>
                </c:pt>
              </c:numCache>
            </c:numRef>
          </c:val>
          <c:smooth val="0"/>
          <c:extLst>
            <c:ext xmlns:c16="http://schemas.microsoft.com/office/drawing/2014/chart" uri="{C3380CC4-5D6E-409C-BE32-E72D297353CC}">
              <c16:uniqueId val="{00000002-0099-4FD4-888C-2C9A9E5D232E}"/>
            </c:ext>
          </c:extLst>
        </c:ser>
        <c:dLbls>
          <c:showLegendKey val="0"/>
          <c:showVal val="0"/>
          <c:showCatName val="0"/>
          <c:showSerName val="0"/>
          <c:showPercent val="0"/>
          <c:showBubbleSize val="0"/>
        </c:dLbls>
        <c:marker val="1"/>
        <c:smooth val="0"/>
        <c:axId val="1065690992"/>
        <c:axId val="1065685168"/>
      </c:lineChart>
      <c:catAx>
        <c:axId val="8287121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ysClr val="windowText" lastClr="000000"/>
                </a:solidFill>
                <a:latin typeface="+mn-lt"/>
                <a:ea typeface="+mn-ea"/>
                <a:cs typeface="+mn-cs"/>
              </a:defRPr>
            </a:pPr>
            <a:endParaRPr lang="en-US"/>
          </a:p>
        </c:txPr>
        <c:crossAx val="828707183"/>
        <c:crosses val="autoZero"/>
        <c:auto val="1"/>
        <c:lblAlgn val="ctr"/>
        <c:lblOffset val="100"/>
        <c:noMultiLvlLbl val="0"/>
      </c:catAx>
      <c:valAx>
        <c:axId val="82870718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ysClr val="windowText" lastClr="000000"/>
                    </a:solidFill>
                    <a:latin typeface="+mn-lt"/>
                    <a:ea typeface="+mn-ea"/>
                    <a:cs typeface="+mn-cs"/>
                  </a:defRPr>
                </a:pPr>
                <a:r>
                  <a:rPr lang="en-GB"/>
                  <a:t>Demand per Week</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ysClr val="windowText" lastClr="000000"/>
                  </a:solidFill>
                  <a:latin typeface="+mn-lt"/>
                  <a:ea typeface="+mn-ea"/>
                  <a:cs typeface="+mn-cs"/>
                </a:defRPr>
              </a:pPr>
              <a:endParaRPr lang="en-US"/>
            </a:p>
          </c:tx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828712175"/>
        <c:crosses val="autoZero"/>
        <c:crossBetween val="between"/>
      </c:valAx>
      <c:valAx>
        <c:axId val="1065685168"/>
        <c:scaling>
          <c:orientation val="minMax"/>
        </c:scaling>
        <c:delete val="0"/>
        <c:axPos val="r"/>
        <c:title>
          <c:tx>
            <c:rich>
              <a:bodyPr rot="-5400000" spcFirstLastPara="1" vertOverflow="ellipsis" vert="horz" wrap="square" anchor="ctr" anchorCtr="1"/>
              <a:lstStyle/>
              <a:p>
                <a:pPr>
                  <a:defRPr sz="900" b="0" i="0" u="none" strike="noStrike" kern="1200" cap="all" baseline="0">
                    <a:solidFill>
                      <a:sysClr val="windowText" lastClr="000000"/>
                    </a:solidFill>
                    <a:latin typeface="+mn-lt"/>
                    <a:ea typeface="+mn-ea"/>
                    <a:cs typeface="+mn-cs"/>
                  </a:defRPr>
                </a:pPr>
                <a:r>
                  <a:rPr lang="en-GB"/>
                  <a:t>Drag Finishing-Capacity at 80%</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ysClr val="windowText" lastClr="000000"/>
                  </a:solidFill>
                  <a:latin typeface="+mn-lt"/>
                  <a:ea typeface="+mn-ea"/>
                  <a:cs typeface="+mn-cs"/>
                </a:defRPr>
              </a:pPr>
              <a:endParaRPr lang="en-US"/>
            </a:p>
          </c:txPr>
        </c:title>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065690992"/>
        <c:crosses val="max"/>
        <c:crossBetween val="between"/>
      </c:valAx>
      <c:catAx>
        <c:axId val="1065690992"/>
        <c:scaling>
          <c:orientation val="minMax"/>
        </c:scaling>
        <c:delete val="1"/>
        <c:axPos val="b"/>
        <c:numFmt formatCode="General" sourceLinked="1"/>
        <c:majorTickMark val="out"/>
        <c:minorTickMark val="none"/>
        <c:tickLblPos val="nextTo"/>
        <c:crossAx val="1065685168"/>
        <c:crosses val="autoZero"/>
        <c:auto val="1"/>
        <c:lblAlgn val="ctr"/>
        <c:lblOffset val="100"/>
        <c:noMultiLvlLbl val="0"/>
      </c:cat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baseline="0">
          <a:solidFill>
            <a:sysClr val="windowText" lastClr="000000"/>
          </a:solidFill>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tx1"/>
                </a:solidFill>
                <a:latin typeface="+mn-lt"/>
                <a:ea typeface="+mn-ea"/>
                <a:cs typeface="+mn-cs"/>
              </a:defRPr>
            </a:pPr>
            <a:r>
              <a:rPr lang="en-GB"/>
              <a:t>Manning Levels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v>Current Manning</c:v>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'Demand Modified'!$D$2:$Z$2</c:f>
              <c:strCache>
                <c:ptCount val="23"/>
                <c:pt idx="0">
                  <c:v> MPS Apr-23</c:v>
                </c:pt>
                <c:pt idx="1">
                  <c:v> MPS May-23</c:v>
                </c:pt>
                <c:pt idx="2">
                  <c:v> MPS Jun-23</c:v>
                </c:pt>
                <c:pt idx="3">
                  <c:v> MPS Jul-23</c:v>
                </c:pt>
                <c:pt idx="4">
                  <c:v> MPS Aug-23</c:v>
                </c:pt>
                <c:pt idx="5">
                  <c:v> MPS Sep-23</c:v>
                </c:pt>
                <c:pt idx="6">
                  <c:v> MPS Oct-23</c:v>
                </c:pt>
                <c:pt idx="7">
                  <c:v> MPS Nov-23</c:v>
                </c:pt>
                <c:pt idx="8">
                  <c:v> MPS Dec-23</c:v>
                </c:pt>
                <c:pt idx="9">
                  <c:v> MPS Jan-24</c:v>
                </c:pt>
                <c:pt idx="10">
                  <c:v> MPS Feb-24</c:v>
                </c:pt>
                <c:pt idx="11">
                  <c:v> MPS Mar-24</c:v>
                </c:pt>
                <c:pt idx="12">
                  <c:v> MPS Apr-24</c:v>
                </c:pt>
                <c:pt idx="13">
                  <c:v> MPS May-24</c:v>
                </c:pt>
                <c:pt idx="14">
                  <c:v> MPS Jun-24</c:v>
                </c:pt>
                <c:pt idx="15">
                  <c:v> MPS Jul-24</c:v>
                </c:pt>
                <c:pt idx="16">
                  <c:v> MPS Aug-24</c:v>
                </c:pt>
                <c:pt idx="17">
                  <c:v> MPS Sep-24</c:v>
                </c:pt>
                <c:pt idx="18">
                  <c:v> MPS Oct-24</c:v>
                </c:pt>
                <c:pt idx="19">
                  <c:v> MPS Nov-24</c:v>
                </c:pt>
                <c:pt idx="20">
                  <c:v> MPS Dec-24</c:v>
                </c:pt>
                <c:pt idx="21">
                  <c:v> MPS Jan-25</c:v>
                </c:pt>
                <c:pt idx="22">
                  <c:v> MPS Feb-25</c:v>
                </c:pt>
              </c:strCache>
            </c:strRef>
          </c:cat>
          <c:val>
            <c:numRef>
              <c:f>Demand!$D$8:$Z$8</c:f>
              <c:numCache>
                <c:formatCode>0</c:formatCode>
                <c:ptCount val="23"/>
                <c:pt idx="0">
                  <c:v>4</c:v>
                </c:pt>
                <c:pt idx="1">
                  <c:v>4</c:v>
                </c:pt>
                <c:pt idx="2">
                  <c:v>7</c:v>
                </c:pt>
                <c:pt idx="3">
                  <c:v>8</c:v>
                </c:pt>
                <c:pt idx="4">
                  <c:v>7</c:v>
                </c:pt>
                <c:pt idx="5">
                  <c:v>6</c:v>
                </c:pt>
                <c:pt idx="6">
                  <c:v>7</c:v>
                </c:pt>
                <c:pt idx="7">
                  <c:v>7</c:v>
                </c:pt>
                <c:pt idx="8">
                  <c:v>8</c:v>
                </c:pt>
                <c:pt idx="9">
                  <c:v>7</c:v>
                </c:pt>
                <c:pt idx="10">
                  <c:v>8</c:v>
                </c:pt>
                <c:pt idx="11">
                  <c:v>7</c:v>
                </c:pt>
                <c:pt idx="12">
                  <c:v>7</c:v>
                </c:pt>
                <c:pt idx="13">
                  <c:v>7</c:v>
                </c:pt>
                <c:pt idx="14">
                  <c:v>6</c:v>
                </c:pt>
                <c:pt idx="15">
                  <c:v>6</c:v>
                </c:pt>
                <c:pt idx="16">
                  <c:v>6</c:v>
                </c:pt>
                <c:pt idx="17">
                  <c:v>6</c:v>
                </c:pt>
                <c:pt idx="18">
                  <c:v>6</c:v>
                </c:pt>
                <c:pt idx="19">
                  <c:v>5</c:v>
                </c:pt>
                <c:pt idx="20">
                  <c:v>5</c:v>
                </c:pt>
                <c:pt idx="21">
                  <c:v>2</c:v>
                </c:pt>
                <c:pt idx="22">
                  <c:v>2</c:v>
                </c:pt>
              </c:numCache>
            </c:numRef>
          </c:val>
          <c:extLst>
            <c:ext xmlns:c16="http://schemas.microsoft.com/office/drawing/2014/chart" uri="{C3380CC4-5D6E-409C-BE32-E72D297353CC}">
              <c16:uniqueId val="{00000000-A891-4BBA-933E-92CFFED55F77}"/>
            </c:ext>
          </c:extLst>
        </c:ser>
        <c:ser>
          <c:idx val="1"/>
          <c:order val="1"/>
          <c:tx>
            <c:v>New Manning</c:v>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'Demand Modified'!$D$2:$Z$2</c:f>
              <c:strCache>
                <c:ptCount val="23"/>
                <c:pt idx="0">
                  <c:v> MPS Apr-23</c:v>
                </c:pt>
                <c:pt idx="1">
                  <c:v> MPS May-23</c:v>
                </c:pt>
                <c:pt idx="2">
                  <c:v> MPS Jun-23</c:v>
                </c:pt>
                <c:pt idx="3">
                  <c:v> MPS Jul-23</c:v>
                </c:pt>
                <c:pt idx="4">
                  <c:v> MPS Aug-23</c:v>
                </c:pt>
                <c:pt idx="5">
                  <c:v> MPS Sep-23</c:v>
                </c:pt>
                <c:pt idx="6">
                  <c:v> MPS Oct-23</c:v>
                </c:pt>
                <c:pt idx="7">
                  <c:v> MPS Nov-23</c:v>
                </c:pt>
                <c:pt idx="8">
                  <c:v> MPS Dec-23</c:v>
                </c:pt>
                <c:pt idx="9">
                  <c:v> MPS Jan-24</c:v>
                </c:pt>
                <c:pt idx="10">
                  <c:v> MPS Feb-24</c:v>
                </c:pt>
                <c:pt idx="11">
                  <c:v> MPS Mar-24</c:v>
                </c:pt>
                <c:pt idx="12">
                  <c:v> MPS Apr-24</c:v>
                </c:pt>
                <c:pt idx="13">
                  <c:v> MPS May-24</c:v>
                </c:pt>
                <c:pt idx="14">
                  <c:v> MPS Jun-24</c:v>
                </c:pt>
                <c:pt idx="15">
                  <c:v> MPS Jul-24</c:v>
                </c:pt>
                <c:pt idx="16">
                  <c:v> MPS Aug-24</c:v>
                </c:pt>
                <c:pt idx="17">
                  <c:v> MPS Sep-24</c:v>
                </c:pt>
                <c:pt idx="18">
                  <c:v> MPS Oct-24</c:v>
                </c:pt>
                <c:pt idx="19">
                  <c:v> MPS Nov-24</c:v>
                </c:pt>
                <c:pt idx="20">
                  <c:v> MPS Dec-24</c:v>
                </c:pt>
                <c:pt idx="21">
                  <c:v> MPS Jan-25</c:v>
                </c:pt>
                <c:pt idx="22">
                  <c:v> MPS Feb-25</c:v>
                </c:pt>
              </c:strCache>
            </c:strRef>
          </c:cat>
          <c:val>
            <c:numRef>
              <c:f>'Demand Modified'!$D$8:$Z$8</c:f>
              <c:numCache>
                <c:formatCode>0</c:formatCode>
                <c:ptCount val="23"/>
                <c:pt idx="0">
                  <c:v>20</c:v>
                </c:pt>
                <c:pt idx="1">
                  <c:v>22</c:v>
                </c:pt>
                <c:pt idx="2">
                  <c:v>37</c:v>
                </c:pt>
                <c:pt idx="3">
                  <c:v>47</c:v>
                </c:pt>
                <c:pt idx="4">
                  <c:v>39</c:v>
                </c:pt>
                <c:pt idx="5">
                  <c:v>34</c:v>
                </c:pt>
                <c:pt idx="6">
                  <c:v>39</c:v>
                </c:pt>
                <c:pt idx="7">
                  <c:v>40</c:v>
                </c:pt>
                <c:pt idx="8">
                  <c:v>43</c:v>
                </c:pt>
                <c:pt idx="9">
                  <c:v>37</c:v>
                </c:pt>
                <c:pt idx="10">
                  <c:v>44</c:v>
                </c:pt>
                <c:pt idx="11">
                  <c:v>37</c:v>
                </c:pt>
                <c:pt idx="12">
                  <c:v>42</c:v>
                </c:pt>
                <c:pt idx="13">
                  <c:v>41</c:v>
                </c:pt>
                <c:pt idx="14">
                  <c:v>36</c:v>
                </c:pt>
                <c:pt idx="15">
                  <c:v>33</c:v>
                </c:pt>
                <c:pt idx="16">
                  <c:v>33</c:v>
                </c:pt>
                <c:pt idx="17">
                  <c:v>32</c:v>
                </c:pt>
                <c:pt idx="18">
                  <c:v>35</c:v>
                </c:pt>
                <c:pt idx="19">
                  <c:v>27</c:v>
                </c:pt>
                <c:pt idx="20">
                  <c:v>26</c:v>
                </c:pt>
                <c:pt idx="21">
                  <c:v>6</c:v>
                </c:pt>
                <c:pt idx="22">
                  <c:v>0</c:v>
                </c:pt>
              </c:numCache>
            </c:numRef>
          </c:val>
          <c:extLst>
            <c:ext xmlns:c16="http://schemas.microsoft.com/office/drawing/2014/chart" uri="{C3380CC4-5D6E-409C-BE32-E72D297353CC}">
              <c16:uniqueId val="{00000001-A891-4BBA-933E-92CFFED55F77}"/>
            </c:ext>
          </c:extLst>
        </c:ser>
        <c:dLbls>
          <c:dLblPos val="ctr"/>
          <c:showLegendKey val="0"/>
          <c:showVal val="1"/>
          <c:showCatName val="0"/>
          <c:showSerName val="0"/>
          <c:showPercent val="0"/>
          <c:showBubbleSize val="0"/>
        </c:dLbls>
        <c:gapWidth val="150"/>
        <c:axId val="828712175"/>
        <c:axId val="828707183"/>
      </c:barChart>
      <c:catAx>
        <c:axId val="828712175"/>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tx1"/>
                </a:solidFill>
                <a:latin typeface="+mn-lt"/>
                <a:ea typeface="+mn-ea"/>
                <a:cs typeface="+mn-cs"/>
              </a:defRPr>
            </a:pPr>
            <a:endParaRPr lang="en-US"/>
          </a:p>
        </c:txPr>
        <c:crossAx val="828707183"/>
        <c:crosses val="autoZero"/>
        <c:auto val="1"/>
        <c:lblAlgn val="ctr"/>
        <c:lblOffset val="100"/>
        <c:noMultiLvlLbl val="0"/>
      </c:catAx>
      <c:valAx>
        <c:axId val="828707183"/>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tx1"/>
                    </a:solidFill>
                    <a:latin typeface="+mn-lt"/>
                    <a:ea typeface="+mn-ea"/>
                    <a:cs typeface="+mn-cs"/>
                  </a:defRPr>
                </a:pPr>
                <a:r>
                  <a:rPr lang="en-GB"/>
                  <a:t>Required Manning</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title>
        <c:numFmt formatCode="0" sourceLinked="1"/>
        <c:majorTickMark val="none"/>
        <c:minorTickMark val="none"/>
        <c:tickLblPos val="nextTo"/>
        <c:crossAx val="828712175"/>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noFill/>
    <a:ln w="9525" cap="flat" cmpd="sng" algn="ctr">
      <a:noFill/>
      <a:round/>
    </a:ln>
    <a:effectLst/>
  </c:spPr>
  <c:txPr>
    <a:bodyPr/>
    <a:lstStyle/>
    <a:p>
      <a:pPr>
        <a:defRPr baseline="0">
          <a:solidFill>
            <a:schemeClr val="tx1"/>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F286177BFDF40D09DE5793AD82DC161"/>
        <w:category>
          <w:name w:val="General"/>
          <w:gallery w:val="placeholder"/>
        </w:category>
        <w:types>
          <w:type w:val="bbPlcHdr"/>
        </w:types>
        <w:behaviors>
          <w:behavior w:val="content"/>
        </w:behaviors>
        <w:guid w:val="{9EE32A3B-89AD-4952-9162-5EF6C138E36E}"/>
      </w:docPartPr>
      <w:docPartBody>
        <w:p w:rsidR="00776F19" w:rsidRDefault="00EA6982" w:rsidP="00EA6982">
          <w:pPr>
            <w:pStyle w:val="DF286177BFDF40D09DE5793AD82DC161"/>
          </w:pPr>
          <w:r w:rsidRPr="000A3191">
            <w:rPr>
              <w:rStyle w:val="PlaceholderText"/>
            </w:rPr>
            <w:t>[Title]</w:t>
          </w:r>
        </w:p>
      </w:docPartBody>
    </w:docPart>
    <w:docPart>
      <w:docPartPr>
        <w:name w:val="BEADB8D5B5EF43B08A0DC969EC20ABAD"/>
        <w:category>
          <w:name w:val="General"/>
          <w:gallery w:val="placeholder"/>
        </w:category>
        <w:types>
          <w:type w:val="bbPlcHdr"/>
        </w:types>
        <w:behaviors>
          <w:behavior w:val="content"/>
        </w:behaviors>
        <w:guid w:val="{758E2C31-3097-4C0C-9BFB-A2F532BED541}"/>
      </w:docPartPr>
      <w:docPartBody>
        <w:p w:rsidR="0077488D" w:rsidRDefault="004A1B92" w:rsidP="004A1B92">
          <w:pPr>
            <w:pStyle w:val="BEADB8D5B5EF43B08A0DC969EC20ABAD"/>
          </w:pPr>
          <w:r w:rsidRPr="00570B39">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A6982"/>
    <w:rsid w:val="000C49E5"/>
    <w:rsid w:val="00277FFA"/>
    <w:rsid w:val="00282A19"/>
    <w:rsid w:val="00291763"/>
    <w:rsid w:val="00297F0D"/>
    <w:rsid w:val="003060E0"/>
    <w:rsid w:val="003A1D28"/>
    <w:rsid w:val="003E4C00"/>
    <w:rsid w:val="004A1B92"/>
    <w:rsid w:val="004E6B2D"/>
    <w:rsid w:val="004F2C9F"/>
    <w:rsid w:val="0055160A"/>
    <w:rsid w:val="00630F9E"/>
    <w:rsid w:val="00735A87"/>
    <w:rsid w:val="007615EA"/>
    <w:rsid w:val="0077488D"/>
    <w:rsid w:val="00776F19"/>
    <w:rsid w:val="007B55F4"/>
    <w:rsid w:val="007C11A8"/>
    <w:rsid w:val="007C4BC2"/>
    <w:rsid w:val="007E5D03"/>
    <w:rsid w:val="00874D9B"/>
    <w:rsid w:val="00890667"/>
    <w:rsid w:val="008E6DCE"/>
    <w:rsid w:val="00965E08"/>
    <w:rsid w:val="00A51842"/>
    <w:rsid w:val="00B714EB"/>
    <w:rsid w:val="00C0006B"/>
    <w:rsid w:val="00C775BE"/>
    <w:rsid w:val="00E01467"/>
    <w:rsid w:val="00E22082"/>
    <w:rsid w:val="00E7691F"/>
    <w:rsid w:val="00E86DBF"/>
    <w:rsid w:val="00EA6982"/>
    <w:rsid w:val="00F52F76"/>
    <w:rsid w:val="00FB1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A1B92"/>
    <w:rPr>
      <w:color w:val="808080"/>
    </w:rPr>
  </w:style>
  <w:style w:type="paragraph" w:customStyle="1" w:styleId="DF286177BFDF40D09DE5793AD82DC161">
    <w:name w:val="DF286177BFDF40D09DE5793AD82DC161"/>
    <w:rsid w:val="00EA6982"/>
  </w:style>
  <w:style w:type="paragraph" w:customStyle="1" w:styleId="BEADB8D5B5EF43B08A0DC969EC20ABAD">
    <w:name w:val="BEADB8D5B5EF43B08A0DC969EC20ABAD"/>
    <w:rsid w:val="004A1B92"/>
    <w:pPr>
      <w:spacing w:after="160" w:line="259" w:lineRule="auto"/>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0A4B98E7E1E3489B70535AAF64E62C" ma:contentTypeVersion="4" ma:contentTypeDescription="Create a new document." ma:contentTypeScope="" ma:versionID="af26516e70a1d75eadcc0a84719e55df">
  <xsd:schema xmlns:xsd="http://www.w3.org/2001/XMLSchema" xmlns:xs="http://www.w3.org/2001/XMLSchema" xmlns:p="http://schemas.microsoft.com/office/2006/metadata/properties" xmlns:ns2="fce6a527-d088-470f-a996-f2b8f9f6a623" targetNamespace="http://schemas.microsoft.com/office/2006/metadata/properties" ma:root="true" ma:fieldsID="270b38cae2a8884b2e6b3b4713ff7c36" ns2:_="">
    <xsd:import namespace="fce6a527-d088-470f-a996-f2b8f9f6a623"/>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e6a527-d088-470f-a996-f2b8f9f6a62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OEC13</b:Tag>
    <b:SourceType>Report</b:SourceType>
    <b:Guid>{5A318286-C134-4915-B08F-3B11DE40B668}</b:Guid>
    <b:Author>
      <b:Author>
        <b:NameList>
          <b:Person>
            <b:Last>OECD</b:Last>
          </b:Person>
        </b:NameList>
      </b:Author>
    </b:Author>
    <b:Title>"THE WHERE" OF DEVELOPMENT FINANCE</b:Title>
    <b:Year>2013</b:Year>
    <b:Publisher>Organisation for Economic Co-operation and Development</b:Publisher>
    <b:City>Paris</b:City>
    <b:RefOrder>6</b:RefOrder>
  </b:Source>
  <b:Source>
    <b:Tag>Rem95</b:Tag>
    <b:SourceType>JournalArticle</b:SourceType>
    <b:Guid>{0C45030D-15EE-4E43-A9F8-63EE53B52F42}</b:Guid>
    <b:Title>A compendium and comparison of 25 project evaluation techniques</b:Title>
    <b:Year>1995</b:Year>
    <b:JournalName>International Journal of Production Economics</b:JournalName>
    <b:Pages>79-96</b:Pages>
    <b:Issue>42</b:Issue>
    <b:Author>
      <b:Author>
        <b:NameList>
          <b:Person>
            <b:Last>Remer</b:Last>
            <b:Middle>S.</b:Middle>
            <b:First>Donald</b:First>
          </b:Person>
          <b:Person>
            <b:Last>Nieto</b:Last>
            <b:Middle>P.</b:Middle>
            <b:First>Armando</b:First>
          </b:Person>
        </b:NameList>
      </b:Author>
    </b:Author>
    <b:RefOrder>2</b:RefOrder>
  </b:Source>
  <b:Source>
    <b:Tag>Web14</b:Tag>
    <b:SourceType>JournalArticle</b:SourceType>
    <b:Guid>{EFEE04A1-E6D4-47F5-BD30-87907E462B29}</b:Guid>
    <b:Title>On the (non-)equivalence of IRR and NPV</b:Title>
    <b:JournalName>Journal of Mathematical Economics</b:JournalName>
    <b:Year>2014</b:Year>
    <b:Pages>25-39</b:Pages>
    <b:Volume>52</b:Volume>
    <b:Author>
      <b:Author>
        <b:NameList>
          <b:Person>
            <b:Last>Webber</b:Last>
            <b:Middle>A.</b:Middle>
            <b:First>Thomas</b:First>
          </b:Person>
        </b:NameList>
      </b:Author>
    </b:Author>
    <b:RefOrder>4</b:RefOrder>
  </b:Source>
  <b:Source>
    <b:Tag>Kat21</b:Tag>
    <b:SourceType>InternetSite</b:SourceType>
    <b:Guid>{F728537F-352B-4021-9E43-DA4B3BB843EC}</b:Guid>
    <b:Title>Forbes.com</b:Title>
    <b:Year>2021</b:Year>
    <b:YearAccessed>2022</b:YearAccessed>
    <b:MonthAccessed>September</b:MonthAccessed>
    <b:DayAccessed>10</b:DayAccessed>
    <b:URL>https://www.forbes.com/sites/forbesrealestatecouncil/2021/09/29/the-importance-limitations-and-concept-of-quality-of-irr/</b:URL>
    <b:Author>
      <b:Author>
        <b:NameList>
          <b:Person>
            <b:Last>Kattan</b:Last>
            <b:First>Danny</b:First>
          </b:Person>
        </b:NameList>
      </b:Author>
    </b:Author>
    <b:RefOrder>3</b:RefOrder>
  </b:Source>
  <b:Source>
    <b:Tag>Nas15</b:Tag>
    <b:SourceType>InternetSite</b:SourceType>
    <b:Guid>{276758E6-0E03-492D-95B8-1B766327618A}</b:Guid>
    <b:Title>Nasdaq.com</b:Title>
    <b:Year>2015</b:Year>
    <b:YearAccessed>2022</b:YearAccessed>
    <b:MonthAccessed>September</b:MonthAccessed>
    <b:DayAccessed>18</b:DayAccessed>
    <b:URL>https://www.nasdaq.com/articles/advantages-and-disadvantages-net-present-value-method-2015-11-14</b:URL>
    <b:Author>
      <b:Author>
        <b:Corporate>Nasdaq</b:Corporate>
      </b:Author>
    </b:Author>
    <b:RefOrder>1</b:RefOrder>
  </b:Source>
  <b:Source>
    <b:Tag>Fee00</b:Tag>
    <b:SourceType>Report</b:SourceType>
    <b:Guid>{A3EA2787-34CD-4F2D-B026-8E2884F9AB0E}</b:Guid>
    <b:Title>Economic and Accounting Rates of Return</b:Title>
    <b:Year>2000</b:Year>
    <b:City>St. Louis</b:City>
    <b:Publisher>Federal Reserve Bank of St Louis</b:Publisher>
    <b:Author>
      <b:Author>
        <b:NameList>
          <b:Person>
            <b:Last>Feenstra</b:Last>
            <b:Middle>W</b:Middle>
            <b:First>D</b:First>
          </b:Person>
          <b:Person>
            <b:Last>Wang</b:Last>
            <b:First>H</b:First>
          </b:Person>
        </b:NameList>
      </b:Author>
    </b:Author>
    <b:RefOrder>7</b:RefOrder>
  </b:Source>
  <b:Source>
    <b:Tag>Kel91</b:Tag>
    <b:SourceType>JournalArticle</b:SourceType>
    <b:Guid>{C5392F88-1960-4997-95AE-3B6E64F9717D}</b:Guid>
    <b:Title>Economic and Accounting Rates of Return: A Statistical Model</b:Title>
    <b:Year>1991</b:Year>
    <b:JournalName>Accounting and Business Research</b:JournalName>
    <b:Pages>321-329</b:Pages>
    <b:Volume>21</b:Volume>
    <b:Issue>84</b:Issue>
    <b:Author>
      <b:Author>
        <b:NameList>
          <b:Person>
            <b:Last>Kelly</b:Last>
            <b:First>Gary</b:First>
          </b:Person>
          <b:Person>
            <b:Last>Tippett</b:Last>
            <b:First>Mark</b:First>
          </b:Person>
        </b:NameList>
      </b:Author>
    </b:Author>
    <b:RefOrder>8</b:RefOrder>
  </b:Source>
  <b:Source>
    <b:Tag>Mil17</b:Tag>
    <b:SourceType>JournalArticle</b:SourceType>
    <b:Guid>{D9A4E794-6C4C-4652-88AF-114D32B36960}</b:Guid>
    <b:Title>Internal rate of return: Good and bad features, and a new way of interpreting the historic measure</b:Title>
    <b:JournalName>Computer &amp; Chemical Engineering</b:JournalName>
    <b:Year>2017</b:Year>
    <b:Pages>396-406</b:Pages>
    <b:Volume>106</b:Volume>
    <b:Author>
      <b:Author>
        <b:NameList>
          <b:Person>
            <b:Last>Mellichamp</b:Last>
            <b:Middle>A</b:Middle>
            <b:First>Duncan</b:First>
          </b:Person>
        </b:NameList>
      </b:Author>
    </b:Author>
    <b:RefOrder>9</b:RefOrder>
  </b:Source>
  <b:Source>
    <b:Tag>Mil20</b:Tag>
    <b:SourceType>ConferenceProceedings</b:SourceType>
    <b:Guid>{253E5E9B-4F09-4505-9477-BE870627DB38}</b:Guid>
    <b:Title>Internal rate of return method - a commonly used method with few advantages and many disadvantages?</b:Title>
    <b:Year>2020</b:Year>
    <b:Publisher>University of Split</b:Publisher>
    <b:City>Hrvatska</b:City>
    <b:Author>
      <b:Author>
        <b:NameList>
          <b:Person>
            <b:Last>Miletic</b:Last>
            <b:First>Marko</b:First>
          </b:Person>
          <b:Person>
            <b:Last>Latinac</b:Last>
            <b:First>Domagoj</b:First>
          </b:Person>
        </b:NameList>
      </b:Author>
    </b:Author>
    <b:RefOrder>10</b:RefOrder>
  </b:Source>
  <b:Source>
    <b:Tag>Inv20</b:Tag>
    <b:SourceType>InternetSite</b:SourceType>
    <b:Guid>{56C9CC76-86CA-4F94-8754-B6F7CD312137}</b:Guid>
    <b:Title>nibusinessinfo.co.uk</b:Title>
    <b:Year>2020</b:Year>
    <b:Author>
      <b:Author>
        <b:Corporate>Invest Northern Ireland</b:Corporate>
      </b:Author>
    </b:Author>
    <b:YearAccessed>2022</b:YearAccessed>
    <b:MonthAccessed>September</b:MonthAccessed>
    <b:DayAccessed>18</b:DayAccessed>
    <b:URL>https://www.nibusinessinfo.co.uk/content/accounting-rate-return#:~:text=Disadvantages%20of%20the%20accounting%20rate%20of%20return&amp;text=Unlike%20other%20methods%20of%20investment,account%20the%20timing%20of%20profits.</b:URL>
    <b:RefOrder>5</b:RefOrder>
  </b:Source>
  <b:Source>
    <b:Tag>Gur12</b:Tag>
    <b:SourceType>JournalArticle</b:SourceType>
    <b:Guid>{C1C76739-AB7A-4368-B829-AEC551603950}</b:Guid>
    <b:Title>THE USE OF PROFITABILITY INDEX IN ECONOMIC EVALUATION OF INDUSTRIAL INVESTMENT PROJECTS</b:Title>
    <b:Year>2012</b:Year>
    <b:JournalName>Proceedings in Manufacturing Systems</b:JournalName>
    <b:Pages>55-58</b:Pages>
    <b:Volume>7</b:Volume>
    <b:Issue>1</b:Issue>
    <b:Author>
      <b:Author>
        <b:NameList>
          <b:Person>
            <b:Last>Gurau</b:Last>
            <b:Middle>Andrei</b:Middle>
            <b:First>Marian</b:First>
          </b:Person>
        </b:NameList>
      </b:Author>
    </b:Author>
    <b:RefOrder>11</b:RefOrder>
  </b:Source>
</b:Sources>
</file>

<file path=customXml/itemProps1.xml><?xml version="1.0" encoding="utf-8"?>
<ds:datastoreItem xmlns:ds="http://schemas.openxmlformats.org/officeDocument/2006/customXml" ds:itemID="{B503FE81-5ACA-4738-907A-C688CF632A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e6a527-d088-470f-a996-f2b8f9f6a6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147ECC-9A47-4380-ABBC-411330D7B3C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9379754-A42D-49F2-81E9-EDED7D8BBB13}">
  <ds:schemaRefs>
    <ds:schemaRef ds:uri="http://schemas.microsoft.com/sharepoint/v3/contenttype/forms"/>
  </ds:schemaRefs>
</ds:datastoreItem>
</file>

<file path=customXml/itemProps4.xml><?xml version="1.0" encoding="utf-8"?>
<ds:datastoreItem xmlns:ds="http://schemas.openxmlformats.org/officeDocument/2006/customXml" ds:itemID="{8A8F4FFE-3104-4C04-9419-0DD28DB7D0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852</TotalTime>
  <Pages>12</Pages>
  <Words>2746</Words>
  <Characters>15653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Drag Finishing-Financial Report</vt:lpstr>
    </vt:vector>
  </TitlesOfParts>
  <Company>Zimmer Biomet</Company>
  <LinksUpToDate>false</LinksUpToDate>
  <CharactersWithSpaces>18363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Drag Finishing-Financial Report</dc:title>
  <dc:subject>INDUSTRY 4.0</dc:subject>
  <dc:creator>Nathan Gunter</dc:creator>
  <cp:keywords>UWTSD</cp:keywords>
  <cp:lastModifiedBy>Nathan Gunter</cp:lastModifiedBy>
  <cp:revision>25</cp:revision>
  <cp:lastPrinted>2021-11-22T16:32:00Z</cp:lastPrinted>
  <dcterms:created xsi:type="dcterms:W3CDTF">2022-02-04T16:09:00Z</dcterms:created>
  <dcterms:modified xsi:type="dcterms:W3CDTF">2022-10-02T22:13:00Z</dcterms:modified>
  <cp:contentStatus>NPD.21.54.01</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0x010100940A4B98E7E1E3489B70535AAF64E62C</vt:lpwstr>
  </property>
</Properties>
</file>