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4EBFF" w14:textId="77777777" w:rsidR="00A849D5" w:rsidRDefault="00A849D5" w:rsidP="00A849D5">
      <w:pPr>
        <w:pStyle w:val="Title"/>
        <w:spacing w:line="360" w:lineRule="auto"/>
        <w:jc w:val="center"/>
      </w:pPr>
    </w:p>
    <w:p w14:paraId="193E97DD" w14:textId="77777777" w:rsidR="00A849D5" w:rsidRDefault="00A849D5" w:rsidP="00A849D5">
      <w:pPr>
        <w:pStyle w:val="Title"/>
        <w:spacing w:line="360" w:lineRule="auto"/>
        <w:jc w:val="center"/>
      </w:pPr>
      <w:r>
        <w:rPr>
          <w:noProof/>
        </w:rPr>
        <w:drawing>
          <wp:inline distT="0" distB="0" distL="0" distR="0" wp14:anchorId="26EE8ED0" wp14:editId="28E99C01">
            <wp:extent cx="1809524" cy="723810"/>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09524" cy="723810"/>
                    </a:xfrm>
                    <a:prstGeom prst="rect">
                      <a:avLst/>
                    </a:prstGeom>
                  </pic:spPr>
                </pic:pic>
              </a:graphicData>
            </a:graphic>
          </wp:inline>
        </w:drawing>
      </w:r>
    </w:p>
    <w:p w14:paraId="1154C770" w14:textId="77777777" w:rsidR="00A849D5" w:rsidRDefault="00A849D5" w:rsidP="00A849D5">
      <w:pPr>
        <w:pStyle w:val="Title"/>
        <w:spacing w:line="360" w:lineRule="auto"/>
        <w:jc w:val="center"/>
      </w:pPr>
    </w:p>
    <w:p w14:paraId="7C73D878" w14:textId="77777777" w:rsidR="00A849D5" w:rsidRDefault="00A849D5" w:rsidP="00A849D5">
      <w:pPr>
        <w:pStyle w:val="Title"/>
        <w:spacing w:line="360" w:lineRule="auto"/>
        <w:jc w:val="center"/>
      </w:pPr>
      <w:r w:rsidRPr="00784764">
        <w:t>AI-Enabled Marketing and the Trust Imperative: A Governance Analysis of Unilever</w:t>
      </w:r>
    </w:p>
    <w:p w14:paraId="03446A0F" w14:textId="77777777" w:rsidR="00A849D5" w:rsidRDefault="00A849D5" w:rsidP="00A849D5">
      <w:pPr>
        <w:pStyle w:val="Title"/>
        <w:spacing w:line="360" w:lineRule="auto"/>
        <w:jc w:val="center"/>
        <w:rPr>
          <w:b/>
          <w:bCs/>
        </w:rPr>
      </w:pPr>
    </w:p>
    <w:p w14:paraId="72A57BAA" w14:textId="77777777" w:rsidR="00A849D5" w:rsidRDefault="00A849D5" w:rsidP="00A849D5">
      <w:pPr>
        <w:pStyle w:val="Title"/>
        <w:spacing w:line="360" w:lineRule="auto"/>
        <w:jc w:val="center"/>
        <w:rPr>
          <w:b/>
          <w:bCs/>
        </w:rPr>
      </w:pPr>
      <w:proofErr w:type="spellStart"/>
      <w:r w:rsidRPr="008659BA">
        <w:rPr>
          <w:b/>
          <w:bCs/>
        </w:rPr>
        <w:t>Fozley</w:t>
      </w:r>
      <w:proofErr w:type="spellEnd"/>
      <w:r w:rsidRPr="008659BA">
        <w:rPr>
          <w:b/>
          <w:bCs/>
        </w:rPr>
        <w:t xml:space="preserve"> </w:t>
      </w:r>
      <w:proofErr w:type="spellStart"/>
      <w:r w:rsidRPr="008659BA">
        <w:rPr>
          <w:b/>
          <w:bCs/>
        </w:rPr>
        <w:t>Rabby</w:t>
      </w:r>
      <w:proofErr w:type="spellEnd"/>
      <w:r w:rsidRPr="008659BA">
        <w:rPr>
          <w:b/>
          <w:bCs/>
        </w:rPr>
        <w:t xml:space="preserve"> </w:t>
      </w:r>
    </w:p>
    <w:p w14:paraId="51862E22" w14:textId="77777777" w:rsidR="00A849D5" w:rsidRDefault="00A849D5" w:rsidP="00A849D5">
      <w:pPr>
        <w:pStyle w:val="Title"/>
        <w:spacing w:line="360" w:lineRule="auto"/>
        <w:jc w:val="center"/>
        <w:rPr>
          <w:b/>
          <w:bCs/>
        </w:rPr>
      </w:pPr>
      <w:r w:rsidRPr="008659BA">
        <w:rPr>
          <w:b/>
          <w:bCs/>
        </w:rPr>
        <w:t>ID: 2515911</w:t>
      </w:r>
    </w:p>
    <w:p w14:paraId="23A4A532" w14:textId="77777777" w:rsidR="00A849D5" w:rsidRPr="00A91629" w:rsidRDefault="00A849D5" w:rsidP="00A849D5">
      <w:pPr>
        <w:pStyle w:val="Title"/>
        <w:spacing w:line="360" w:lineRule="auto"/>
        <w:jc w:val="center"/>
        <w:rPr>
          <w:b/>
          <w:bCs/>
        </w:rPr>
      </w:pPr>
    </w:p>
    <w:p w14:paraId="7E6236A4" w14:textId="77777777" w:rsidR="00A849D5" w:rsidRPr="008659BA" w:rsidRDefault="00A849D5" w:rsidP="00A849D5">
      <w:pPr>
        <w:spacing w:line="360" w:lineRule="auto"/>
        <w:jc w:val="center"/>
        <w:rPr>
          <w:b/>
          <w:bCs/>
          <w:color w:val="auto"/>
          <w:sz w:val="24"/>
          <w:szCs w:val="24"/>
        </w:rPr>
      </w:pPr>
      <w:r w:rsidRPr="008659BA">
        <w:rPr>
          <w:b/>
          <w:bCs/>
          <w:color w:val="auto"/>
          <w:sz w:val="24"/>
          <w:szCs w:val="24"/>
        </w:rPr>
        <w:t>Module: BMMB7006 Global Business Challenges | MBA</w:t>
      </w:r>
    </w:p>
    <w:p w14:paraId="18D73CB9" w14:textId="77777777" w:rsidR="00A849D5" w:rsidRPr="008659BA" w:rsidRDefault="00A849D5" w:rsidP="00A849D5">
      <w:pPr>
        <w:spacing w:line="360" w:lineRule="auto"/>
        <w:jc w:val="center"/>
        <w:rPr>
          <w:b/>
          <w:bCs/>
          <w:color w:val="auto"/>
          <w:sz w:val="24"/>
          <w:szCs w:val="24"/>
        </w:rPr>
      </w:pPr>
    </w:p>
    <w:p w14:paraId="14414486" w14:textId="77777777" w:rsidR="00A849D5" w:rsidRPr="008659BA" w:rsidRDefault="00A849D5" w:rsidP="00A849D5">
      <w:pPr>
        <w:spacing w:line="360" w:lineRule="auto"/>
        <w:jc w:val="center"/>
        <w:rPr>
          <w:b/>
          <w:bCs/>
          <w:color w:val="auto"/>
          <w:sz w:val="24"/>
          <w:szCs w:val="24"/>
        </w:rPr>
      </w:pPr>
    </w:p>
    <w:p w14:paraId="04F2063E" w14:textId="77777777" w:rsidR="00A849D5" w:rsidRPr="00A91629" w:rsidRDefault="00A849D5" w:rsidP="00F83C9F">
      <w:pPr>
        <w:spacing w:line="360" w:lineRule="auto"/>
        <w:jc w:val="center"/>
        <w:rPr>
          <w:b/>
          <w:bCs/>
          <w:sz w:val="24"/>
          <w:szCs w:val="24"/>
        </w:rPr>
      </w:pPr>
    </w:p>
    <w:p w14:paraId="6B96B1AB" w14:textId="5DD6A021" w:rsidR="00C728A1" w:rsidRPr="00860442" w:rsidRDefault="00EE0F76" w:rsidP="00F83C9F">
      <w:pPr>
        <w:spacing w:line="360" w:lineRule="auto"/>
        <w:jc w:val="both"/>
        <w:rPr>
          <w:sz w:val="24"/>
          <w:szCs w:val="24"/>
        </w:rPr>
      </w:pPr>
      <w:r w:rsidRPr="00860442">
        <w:rPr>
          <w:sz w:val="24"/>
          <w:szCs w:val="24"/>
        </w:rPr>
        <w:br w:type="page"/>
      </w:r>
    </w:p>
    <w:p w14:paraId="0F2AD38D" w14:textId="77777777" w:rsidR="00C728A1" w:rsidRPr="00860442" w:rsidRDefault="00EE0F76" w:rsidP="00F83C9F">
      <w:pPr>
        <w:pStyle w:val="Heading1"/>
        <w:numPr>
          <w:ilvl w:val="0"/>
          <w:numId w:val="0"/>
        </w:numPr>
        <w:ind w:left="432" w:hanging="432"/>
      </w:pPr>
      <w:bookmarkStart w:id="0" w:name="_Toc228193095"/>
      <w:r w:rsidRPr="00860442">
        <w:lastRenderedPageBreak/>
        <w:t xml:space="preserve">Executive </w:t>
      </w:r>
      <w:r w:rsidRPr="000F30D3">
        <w:t>Summary</w:t>
      </w:r>
      <w:bookmarkEnd w:id="0"/>
    </w:p>
    <w:p w14:paraId="5D85CA7D" w14:textId="31F2B412" w:rsidR="00D95469" w:rsidRPr="00D95469" w:rsidRDefault="00D95469" w:rsidP="00F83C9F">
      <w:pPr>
        <w:spacing w:line="360" w:lineRule="auto"/>
        <w:jc w:val="both"/>
        <w:rPr>
          <w:sz w:val="24"/>
          <w:szCs w:val="24"/>
        </w:rPr>
      </w:pPr>
      <w:r w:rsidRPr="00D95469">
        <w:rPr>
          <w:sz w:val="24"/>
          <w:szCs w:val="24"/>
        </w:rPr>
        <w:t xml:space="preserve">Unilever is a multinational company that operates with fast-moving consumer goods (FMCG) and has a diversified portfolio of more than 400 brands in more than 190 countries. The revenues </w:t>
      </w:r>
      <w:r w:rsidR="000703CE">
        <w:rPr>
          <w:sz w:val="24"/>
          <w:szCs w:val="24"/>
        </w:rPr>
        <w:t xml:space="preserve">for the 2024 financial year </w:t>
      </w:r>
      <w:r w:rsidRPr="00D95469">
        <w:rPr>
          <w:sz w:val="24"/>
          <w:szCs w:val="24"/>
        </w:rPr>
        <w:t xml:space="preserve">were about 60.8 billion. The company has also implemented artificial intelligence within the operational fabric of its marketing to </w:t>
      </w:r>
      <w:proofErr w:type="spellStart"/>
      <w:r w:rsidRPr="00D95469">
        <w:rPr>
          <w:sz w:val="24"/>
          <w:szCs w:val="24"/>
        </w:rPr>
        <w:t>personalise</w:t>
      </w:r>
      <w:proofErr w:type="spellEnd"/>
      <w:r w:rsidRPr="00D95469">
        <w:rPr>
          <w:sz w:val="24"/>
          <w:szCs w:val="24"/>
        </w:rPr>
        <w:t xml:space="preserve"> demand forecasting and consumer data analytics, most notably through its increased partnership with Google Cloud. This report advises the </w:t>
      </w:r>
      <w:r w:rsidR="000703CE">
        <w:rPr>
          <w:sz w:val="24"/>
          <w:szCs w:val="24"/>
        </w:rPr>
        <w:t>Unilever board, via the senior advisory panel of RFD Global, on the risks, governance, and strategic opportunities of such an AI deployment</w:t>
      </w:r>
      <w:r w:rsidRPr="00D95469">
        <w:rPr>
          <w:sz w:val="24"/>
          <w:szCs w:val="24"/>
        </w:rPr>
        <w:t>.</w:t>
      </w:r>
    </w:p>
    <w:p w14:paraId="70B601A9" w14:textId="6B6B153A" w:rsidR="00D95469" w:rsidRPr="00D95469" w:rsidRDefault="00D95469" w:rsidP="00F83C9F">
      <w:pPr>
        <w:spacing w:line="360" w:lineRule="auto"/>
        <w:jc w:val="both"/>
        <w:rPr>
          <w:sz w:val="24"/>
          <w:szCs w:val="24"/>
        </w:rPr>
      </w:pPr>
      <w:r w:rsidRPr="00D95469">
        <w:rPr>
          <w:sz w:val="24"/>
          <w:szCs w:val="24"/>
        </w:rPr>
        <w:t xml:space="preserve">It includes an adapted PESTLE framework that comprises </w:t>
      </w:r>
      <w:r w:rsidR="000703CE">
        <w:rPr>
          <w:sz w:val="24"/>
          <w:szCs w:val="24"/>
        </w:rPr>
        <w:t>Porter's</w:t>
      </w:r>
      <w:r w:rsidRPr="00D95469">
        <w:rPr>
          <w:sz w:val="24"/>
          <w:szCs w:val="24"/>
        </w:rPr>
        <w:t xml:space="preserve"> Five Forces and three processes of analysis on the module level</w:t>
      </w:r>
      <w:r w:rsidR="000703CE">
        <w:rPr>
          <w:sz w:val="24"/>
          <w:szCs w:val="24"/>
        </w:rPr>
        <w:t>,</w:t>
      </w:r>
      <w:r w:rsidRPr="00D95469">
        <w:rPr>
          <w:sz w:val="24"/>
          <w:szCs w:val="24"/>
        </w:rPr>
        <w:t xml:space="preserve"> the OLI paradigm (Dunning, 1988) to </w:t>
      </w:r>
      <w:proofErr w:type="spellStart"/>
      <w:r w:rsidRPr="00D95469">
        <w:rPr>
          <w:sz w:val="24"/>
          <w:szCs w:val="24"/>
        </w:rPr>
        <w:t>contextualise</w:t>
      </w:r>
      <w:proofErr w:type="spellEnd"/>
      <w:r w:rsidRPr="00D95469">
        <w:rPr>
          <w:sz w:val="24"/>
          <w:szCs w:val="24"/>
        </w:rPr>
        <w:t xml:space="preserve"> the </w:t>
      </w:r>
      <w:proofErr w:type="spellStart"/>
      <w:r w:rsidRPr="00D95469">
        <w:rPr>
          <w:sz w:val="24"/>
          <w:szCs w:val="24"/>
        </w:rPr>
        <w:t>internationalisation</w:t>
      </w:r>
      <w:proofErr w:type="spellEnd"/>
      <w:r w:rsidRPr="00D95469">
        <w:rPr>
          <w:sz w:val="24"/>
          <w:szCs w:val="24"/>
        </w:rPr>
        <w:t xml:space="preserve"> logic of Unilever; the ISO 31000 to structure the management of risk; and the cultural dimensions to define the difference in consumer trust in the Asia-Pacific region. It has listed four crucial areas of risk: regulatory fragmentation between the EU and the UK; absence of algorithmic accountability; the </w:t>
      </w:r>
      <w:proofErr w:type="spellStart"/>
      <w:r w:rsidRPr="00D95469">
        <w:rPr>
          <w:sz w:val="24"/>
          <w:szCs w:val="24"/>
        </w:rPr>
        <w:t>personalisation</w:t>
      </w:r>
      <w:proofErr w:type="spellEnd"/>
      <w:r w:rsidRPr="00D95469">
        <w:rPr>
          <w:sz w:val="24"/>
          <w:szCs w:val="24"/>
        </w:rPr>
        <w:t xml:space="preserve">-privacy paradox; and reputational risk due to transparent decision-making by AI. A sixth analytical section </w:t>
      </w:r>
      <w:r w:rsidR="000703CE">
        <w:rPr>
          <w:sz w:val="24"/>
          <w:szCs w:val="24"/>
        </w:rPr>
        <w:t>extends the regulatory analysis to the Asia-Pacific,</w:t>
      </w:r>
      <w:r w:rsidRPr="00D95469">
        <w:rPr>
          <w:sz w:val="24"/>
          <w:szCs w:val="24"/>
        </w:rPr>
        <w:t xml:space="preserve"> a third jurisdiction of material and growing strategic importance.</w:t>
      </w:r>
    </w:p>
    <w:p w14:paraId="116AB1F3" w14:textId="63D0C35E" w:rsidR="00D95469" w:rsidRPr="00D95469" w:rsidRDefault="00D95469" w:rsidP="00F83C9F">
      <w:pPr>
        <w:spacing w:line="360" w:lineRule="auto"/>
        <w:jc w:val="both"/>
        <w:rPr>
          <w:sz w:val="24"/>
          <w:szCs w:val="24"/>
        </w:rPr>
      </w:pPr>
      <w:r w:rsidRPr="00D95469">
        <w:rPr>
          <w:sz w:val="24"/>
          <w:szCs w:val="24"/>
        </w:rPr>
        <w:t xml:space="preserve">The overall finding is that </w:t>
      </w:r>
      <w:r w:rsidR="000703CE">
        <w:rPr>
          <w:sz w:val="24"/>
          <w:szCs w:val="24"/>
        </w:rPr>
        <w:t>Unilever's AI competencies</w:t>
      </w:r>
      <w:r w:rsidRPr="00D95469">
        <w:rPr>
          <w:sz w:val="24"/>
          <w:szCs w:val="24"/>
        </w:rPr>
        <w:t xml:space="preserve"> are indeed competitive. Nonetheless, the </w:t>
      </w:r>
      <w:r w:rsidR="000703CE">
        <w:rPr>
          <w:sz w:val="24"/>
          <w:szCs w:val="24"/>
        </w:rPr>
        <w:t>governance framework for such capabilities is significantly deficient in the context of the EU AI Act, UK ICO enforcement practices, and increasingly stringent consumer demands for</w:t>
      </w:r>
      <w:r w:rsidRPr="00D95469">
        <w:rPr>
          <w:sz w:val="24"/>
          <w:szCs w:val="24"/>
        </w:rPr>
        <w:t xml:space="preserve"> data disclosure. The implementation plan proposes a three-horizon response</w:t>
      </w:r>
      <w:r w:rsidR="000703CE">
        <w:rPr>
          <w:sz w:val="24"/>
          <w:szCs w:val="24"/>
        </w:rPr>
        <w:t xml:space="preserve">: immediate compliance remediation, a </w:t>
      </w:r>
      <w:r w:rsidRPr="00D95469">
        <w:rPr>
          <w:sz w:val="24"/>
          <w:szCs w:val="24"/>
        </w:rPr>
        <w:t>systematic governance architecture, and long-term trust leadership, with costed recommendations at all levels.</w:t>
      </w:r>
    </w:p>
    <w:p w14:paraId="6993420C" w14:textId="7F85BC24" w:rsidR="00C728A1" w:rsidRPr="00860442" w:rsidRDefault="00D95469" w:rsidP="00F83C9F">
      <w:pPr>
        <w:spacing w:line="360" w:lineRule="auto"/>
        <w:jc w:val="both"/>
        <w:rPr>
          <w:sz w:val="24"/>
          <w:szCs w:val="24"/>
        </w:rPr>
      </w:pPr>
      <w:r w:rsidRPr="00D95469">
        <w:rPr>
          <w:sz w:val="24"/>
          <w:szCs w:val="24"/>
        </w:rPr>
        <w:t>The overarching strategic argument is as follows: Unilever is the biggest and most iconic, and has access to first-party information, which puts it in a special position in the FMCG industry to lead the responsible AI governance. This kind of leadership, which is founded on a trust-by-design model</w:t>
      </w:r>
      <w:r w:rsidR="000703CE">
        <w:rPr>
          <w:sz w:val="24"/>
          <w:szCs w:val="24"/>
        </w:rPr>
        <w:t xml:space="preserve"> rather than a compliance-reactive model, provides sustainable competitive advantage that competitors cannot attain by investing in technology alone</w:t>
      </w:r>
      <w:r w:rsidRPr="00D95469">
        <w:rPr>
          <w:sz w:val="24"/>
          <w:szCs w:val="24"/>
        </w:rPr>
        <w:t>.</w:t>
      </w:r>
      <w:r w:rsidRPr="00860442">
        <w:rPr>
          <w:sz w:val="24"/>
          <w:szCs w:val="24"/>
        </w:rPr>
        <w:br w:type="page"/>
      </w:r>
    </w:p>
    <w:sdt>
      <w:sdtPr>
        <w:rPr>
          <w:rFonts w:ascii="Arial" w:eastAsia="Arial" w:hAnsi="Arial" w:cs="Arial"/>
          <w:color w:val="000000"/>
          <w:sz w:val="22"/>
          <w:szCs w:val="22"/>
        </w:rPr>
        <w:id w:val="1271286939"/>
        <w:docPartObj>
          <w:docPartGallery w:val="Table of Contents"/>
          <w:docPartUnique/>
        </w:docPartObj>
      </w:sdtPr>
      <w:sdtEndPr>
        <w:rPr>
          <w:b/>
          <w:bCs/>
          <w:noProof/>
        </w:rPr>
      </w:sdtEndPr>
      <w:sdtContent>
        <w:p w14:paraId="655A0AA5" w14:textId="4DAC9298" w:rsidR="00572048" w:rsidRDefault="00572048" w:rsidP="00F83C9F">
          <w:pPr>
            <w:pStyle w:val="TOCHeading"/>
            <w:spacing w:before="0" w:line="360" w:lineRule="auto"/>
          </w:pPr>
          <w:r>
            <w:t>Table of Contents</w:t>
          </w:r>
        </w:p>
        <w:p w14:paraId="6B3A18A7" w14:textId="4F3B7C0B" w:rsidR="00572048" w:rsidRDefault="00572048" w:rsidP="00F83C9F">
          <w:pPr>
            <w:pStyle w:val="TOC1"/>
            <w:tabs>
              <w:tab w:val="right" w:leader="dot" w:pos="9376"/>
            </w:tabs>
            <w:spacing w:after="0" w:line="360" w:lineRule="auto"/>
            <w:rPr>
              <w:noProof/>
            </w:rPr>
          </w:pPr>
          <w:r>
            <w:fldChar w:fldCharType="begin"/>
          </w:r>
          <w:r>
            <w:instrText xml:space="preserve"> TOC \o "1-3" \h \z \u </w:instrText>
          </w:r>
          <w:r>
            <w:fldChar w:fldCharType="separate"/>
          </w:r>
          <w:hyperlink w:anchor="_Toc228193095" w:history="1">
            <w:r w:rsidRPr="00BE4257">
              <w:rPr>
                <w:rStyle w:val="Hyperlink"/>
                <w:noProof/>
              </w:rPr>
              <w:t>Executive Summary</w:t>
            </w:r>
            <w:r>
              <w:rPr>
                <w:noProof/>
                <w:webHidden/>
              </w:rPr>
              <w:tab/>
            </w:r>
            <w:r>
              <w:rPr>
                <w:noProof/>
                <w:webHidden/>
              </w:rPr>
              <w:fldChar w:fldCharType="begin"/>
            </w:r>
            <w:r>
              <w:rPr>
                <w:noProof/>
                <w:webHidden/>
              </w:rPr>
              <w:instrText xml:space="preserve"> PAGEREF _Toc228193095 \h </w:instrText>
            </w:r>
            <w:r>
              <w:rPr>
                <w:noProof/>
                <w:webHidden/>
              </w:rPr>
            </w:r>
            <w:r>
              <w:rPr>
                <w:noProof/>
                <w:webHidden/>
              </w:rPr>
              <w:fldChar w:fldCharType="separate"/>
            </w:r>
            <w:r>
              <w:rPr>
                <w:noProof/>
                <w:webHidden/>
              </w:rPr>
              <w:t>2</w:t>
            </w:r>
            <w:r>
              <w:rPr>
                <w:noProof/>
                <w:webHidden/>
              </w:rPr>
              <w:fldChar w:fldCharType="end"/>
            </w:r>
          </w:hyperlink>
        </w:p>
        <w:p w14:paraId="2ED0AEB0" w14:textId="3CDB87C6" w:rsidR="00572048" w:rsidRDefault="00EE0F76" w:rsidP="00F83C9F">
          <w:pPr>
            <w:pStyle w:val="TOC1"/>
            <w:tabs>
              <w:tab w:val="left" w:pos="480"/>
              <w:tab w:val="right" w:leader="dot" w:pos="9376"/>
            </w:tabs>
            <w:spacing w:after="0" w:line="360" w:lineRule="auto"/>
            <w:rPr>
              <w:noProof/>
            </w:rPr>
          </w:pPr>
          <w:hyperlink w:anchor="_Toc228193096" w:history="1">
            <w:r w:rsidR="00572048" w:rsidRPr="00BE4257">
              <w:rPr>
                <w:rStyle w:val="Hyperlink"/>
                <w:noProof/>
              </w:rPr>
              <w:t>1.</w:t>
            </w:r>
            <w:r w:rsidR="00572048">
              <w:rPr>
                <w:noProof/>
              </w:rPr>
              <w:tab/>
            </w:r>
            <w:r w:rsidR="00572048" w:rsidRPr="00BE4257">
              <w:rPr>
                <w:rStyle w:val="Hyperlink"/>
                <w:noProof/>
              </w:rPr>
              <w:t>Introduction</w:t>
            </w:r>
            <w:r w:rsidR="00572048">
              <w:rPr>
                <w:noProof/>
                <w:webHidden/>
              </w:rPr>
              <w:tab/>
            </w:r>
            <w:r w:rsidR="00572048">
              <w:rPr>
                <w:noProof/>
                <w:webHidden/>
              </w:rPr>
              <w:fldChar w:fldCharType="begin"/>
            </w:r>
            <w:r w:rsidR="00572048">
              <w:rPr>
                <w:noProof/>
                <w:webHidden/>
              </w:rPr>
              <w:instrText xml:space="preserve"> PAGEREF _Toc228193096 \h </w:instrText>
            </w:r>
            <w:r w:rsidR="00572048">
              <w:rPr>
                <w:noProof/>
                <w:webHidden/>
              </w:rPr>
            </w:r>
            <w:r w:rsidR="00572048">
              <w:rPr>
                <w:noProof/>
                <w:webHidden/>
              </w:rPr>
              <w:fldChar w:fldCharType="separate"/>
            </w:r>
            <w:r w:rsidR="00572048">
              <w:rPr>
                <w:noProof/>
                <w:webHidden/>
              </w:rPr>
              <w:t>4</w:t>
            </w:r>
            <w:r w:rsidR="00572048">
              <w:rPr>
                <w:noProof/>
                <w:webHidden/>
              </w:rPr>
              <w:fldChar w:fldCharType="end"/>
            </w:r>
          </w:hyperlink>
        </w:p>
        <w:p w14:paraId="16CA5EB2" w14:textId="5C93B08C" w:rsidR="00572048" w:rsidRDefault="00EE0F76" w:rsidP="00F83C9F">
          <w:pPr>
            <w:pStyle w:val="TOC1"/>
            <w:tabs>
              <w:tab w:val="left" w:pos="480"/>
              <w:tab w:val="right" w:leader="dot" w:pos="9376"/>
            </w:tabs>
            <w:spacing w:after="0" w:line="360" w:lineRule="auto"/>
            <w:rPr>
              <w:noProof/>
            </w:rPr>
          </w:pPr>
          <w:hyperlink w:anchor="_Toc228193097" w:history="1">
            <w:r w:rsidR="00572048" w:rsidRPr="00BE4257">
              <w:rPr>
                <w:rStyle w:val="Hyperlink"/>
                <w:noProof/>
              </w:rPr>
              <w:t>2.</w:t>
            </w:r>
            <w:r w:rsidR="00572048">
              <w:rPr>
                <w:noProof/>
              </w:rPr>
              <w:tab/>
            </w:r>
            <w:r w:rsidR="00572048" w:rsidRPr="00BE4257">
              <w:rPr>
                <w:rStyle w:val="Hyperlink"/>
                <w:noProof/>
              </w:rPr>
              <w:t>Main Findings</w:t>
            </w:r>
            <w:r w:rsidR="00572048">
              <w:rPr>
                <w:noProof/>
                <w:webHidden/>
              </w:rPr>
              <w:tab/>
            </w:r>
            <w:r w:rsidR="00572048">
              <w:rPr>
                <w:noProof/>
                <w:webHidden/>
              </w:rPr>
              <w:fldChar w:fldCharType="begin"/>
            </w:r>
            <w:r w:rsidR="00572048">
              <w:rPr>
                <w:noProof/>
                <w:webHidden/>
              </w:rPr>
              <w:instrText xml:space="preserve"> PAGEREF _Toc228193097 \h </w:instrText>
            </w:r>
            <w:r w:rsidR="00572048">
              <w:rPr>
                <w:noProof/>
                <w:webHidden/>
              </w:rPr>
            </w:r>
            <w:r w:rsidR="00572048">
              <w:rPr>
                <w:noProof/>
                <w:webHidden/>
              </w:rPr>
              <w:fldChar w:fldCharType="separate"/>
            </w:r>
            <w:r w:rsidR="00572048">
              <w:rPr>
                <w:noProof/>
                <w:webHidden/>
              </w:rPr>
              <w:t>4</w:t>
            </w:r>
            <w:r w:rsidR="00572048">
              <w:rPr>
                <w:noProof/>
                <w:webHidden/>
              </w:rPr>
              <w:fldChar w:fldCharType="end"/>
            </w:r>
          </w:hyperlink>
        </w:p>
        <w:p w14:paraId="6C9F9473" w14:textId="08F668DA" w:rsidR="00572048" w:rsidRDefault="00EE0F76" w:rsidP="00F83C9F">
          <w:pPr>
            <w:pStyle w:val="TOC2"/>
            <w:tabs>
              <w:tab w:val="left" w:pos="960"/>
              <w:tab w:val="right" w:leader="dot" w:pos="9376"/>
            </w:tabs>
            <w:spacing w:after="0" w:line="360" w:lineRule="auto"/>
            <w:rPr>
              <w:noProof/>
            </w:rPr>
          </w:pPr>
          <w:hyperlink w:anchor="_Toc228193098" w:history="1">
            <w:r w:rsidR="00572048" w:rsidRPr="00BE4257">
              <w:rPr>
                <w:rStyle w:val="Hyperlink"/>
                <w:noProof/>
              </w:rPr>
              <w:t>2.1</w:t>
            </w:r>
            <w:r w:rsidR="00572048">
              <w:rPr>
                <w:noProof/>
              </w:rPr>
              <w:tab/>
            </w:r>
            <w:r w:rsidR="00572048" w:rsidRPr="00BE4257">
              <w:rPr>
                <w:rStyle w:val="Hyperlink"/>
                <w:noProof/>
              </w:rPr>
              <w:t>Political and Regulatory Environment</w:t>
            </w:r>
            <w:r w:rsidR="00572048">
              <w:rPr>
                <w:noProof/>
                <w:webHidden/>
              </w:rPr>
              <w:tab/>
            </w:r>
            <w:r w:rsidR="00572048">
              <w:rPr>
                <w:noProof/>
                <w:webHidden/>
              </w:rPr>
              <w:fldChar w:fldCharType="begin"/>
            </w:r>
            <w:r w:rsidR="00572048">
              <w:rPr>
                <w:noProof/>
                <w:webHidden/>
              </w:rPr>
              <w:instrText xml:space="preserve"> PAGEREF _Toc228193098 \h </w:instrText>
            </w:r>
            <w:r w:rsidR="00572048">
              <w:rPr>
                <w:noProof/>
                <w:webHidden/>
              </w:rPr>
            </w:r>
            <w:r w:rsidR="00572048">
              <w:rPr>
                <w:noProof/>
                <w:webHidden/>
              </w:rPr>
              <w:fldChar w:fldCharType="separate"/>
            </w:r>
            <w:r w:rsidR="00572048">
              <w:rPr>
                <w:noProof/>
                <w:webHidden/>
              </w:rPr>
              <w:t>5</w:t>
            </w:r>
            <w:r w:rsidR="00572048">
              <w:rPr>
                <w:noProof/>
                <w:webHidden/>
              </w:rPr>
              <w:fldChar w:fldCharType="end"/>
            </w:r>
          </w:hyperlink>
        </w:p>
        <w:p w14:paraId="410EEC0D" w14:textId="4439D61F" w:rsidR="00572048" w:rsidRDefault="00EE0F76" w:rsidP="00F83C9F">
          <w:pPr>
            <w:pStyle w:val="TOC2"/>
            <w:tabs>
              <w:tab w:val="left" w:pos="960"/>
              <w:tab w:val="right" w:leader="dot" w:pos="9376"/>
            </w:tabs>
            <w:spacing w:after="0" w:line="360" w:lineRule="auto"/>
            <w:rPr>
              <w:noProof/>
            </w:rPr>
          </w:pPr>
          <w:hyperlink w:anchor="_Toc228193099" w:history="1">
            <w:r w:rsidR="00572048" w:rsidRPr="00BE4257">
              <w:rPr>
                <w:rStyle w:val="Hyperlink"/>
                <w:noProof/>
              </w:rPr>
              <w:t>2.2</w:t>
            </w:r>
            <w:r w:rsidR="00572048">
              <w:rPr>
                <w:noProof/>
              </w:rPr>
              <w:tab/>
            </w:r>
            <w:r w:rsidR="00572048" w:rsidRPr="00BE4257">
              <w:rPr>
                <w:rStyle w:val="Hyperlink"/>
                <w:noProof/>
              </w:rPr>
              <w:t>Technological Change and Macroeconomic Context</w:t>
            </w:r>
            <w:r w:rsidR="00572048">
              <w:rPr>
                <w:noProof/>
                <w:webHidden/>
              </w:rPr>
              <w:tab/>
            </w:r>
            <w:r w:rsidR="00572048">
              <w:rPr>
                <w:noProof/>
                <w:webHidden/>
              </w:rPr>
              <w:fldChar w:fldCharType="begin"/>
            </w:r>
            <w:r w:rsidR="00572048">
              <w:rPr>
                <w:noProof/>
                <w:webHidden/>
              </w:rPr>
              <w:instrText xml:space="preserve"> PAGEREF _Toc228193099 \h </w:instrText>
            </w:r>
            <w:r w:rsidR="00572048">
              <w:rPr>
                <w:noProof/>
                <w:webHidden/>
              </w:rPr>
            </w:r>
            <w:r w:rsidR="00572048">
              <w:rPr>
                <w:noProof/>
                <w:webHidden/>
              </w:rPr>
              <w:fldChar w:fldCharType="separate"/>
            </w:r>
            <w:r w:rsidR="00572048">
              <w:rPr>
                <w:noProof/>
                <w:webHidden/>
              </w:rPr>
              <w:t>7</w:t>
            </w:r>
            <w:r w:rsidR="00572048">
              <w:rPr>
                <w:noProof/>
                <w:webHidden/>
              </w:rPr>
              <w:fldChar w:fldCharType="end"/>
            </w:r>
          </w:hyperlink>
        </w:p>
        <w:p w14:paraId="74827454" w14:textId="75C9F5D7" w:rsidR="00572048" w:rsidRDefault="00EE0F76" w:rsidP="00F83C9F">
          <w:pPr>
            <w:pStyle w:val="TOC2"/>
            <w:tabs>
              <w:tab w:val="left" w:pos="960"/>
              <w:tab w:val="right" w:leader="dot" w:pos="9376"/>
            </w:tabs>
            <w:spacing w:after="0" w:line="360" w:lineRule="auto"/>
            <w:rPr>
              <w:noProof/>
            </w:rPr>
          </w:pPr>
          <w:hyperlink w:anchor="_Toc228193100" w:history="1">
            <w:r w:rsidR="00572048" w:rsidRPr="00BE4257">
              <w:rPr>
                <w:rStyle w:val="Hyperlink"/>
                <w:noProof/>
              </w:rPr>
              <w:t>2.3</w:t>
            </w:r>
            <w:r w:rsidR="00572048">
              <w:rPr>
                <w:noProof/>
              </w:rPr>
              <w:tab/>
            </w:r>
            <w:r w:rsidR="00572048" w:rsidRPr="00BE4257">
              <w:rPr>
                <w:rStyle w:val="Hyperlink"/>
                <w:noProof/>
              </w:rPr>
              <w:t>Economic and Competitive Context Porter’s Diamond Model</w:t>
            </w:r>
            <w:r w:rsidR="00572048">
              <w:rPr>
                <w:noProof/>
                <w:webHidden/>
              </w:rPr>
              <w:tab/>
            </w:r>
            <w:r w:rsidR="00572048">
              <w:rPr>
                <w:noProof/>
                <w:webHidden/>
              </w:rPr>
              <w:fldChar w:fldCharType="begin"/>
            </w:r>
            <w:r w:rsidR="00572048">
              <w:rPr>
                <w:noProof/>
                <w:webHidden/>
              </w:rPr>
              <w:instrText xml:space="preserve"> PAGEREF _Toc228193100 \h </w:instrText>
            </w:r>
            <w:r w:rsidR="00572048">
              <w:rPr>
                <w:noProof/>
                <w:webHidden/>
              </w:rPr>
            </w:r>
            <w:r w:rsidR="00572048">
              <w:rPr>
                <w:noProof/>
                <w:webHidden/>
              </w:rPr>
              <w:fldChar w:fldCharType="separate"/>
            </w:r>
            <w:r w:rsidR="00572048">
              <w:rPr>
                <w:noProof/>
                <w:webHidden/>
              </w:rPr>
              <w:t>8</w:t>
            </w:r>
            <w:r w:rsidR="00572048">
              <w:rPr>
                <w:noProof/>
                <w:webHidden/>
              </w:rPr>
              <w:fldChar w:fldCharType="end"/>
            </w:r>
          </w:hyperlink>
        </w:p>
        <w:p w14:paraId="4BB5B0E7" w14:textId="1181DADD" w:rsidR="00572048" w:rsidRDefault="00EE0F76" w:rsidP="00F83C9F">
          <w:pPr>
            <w:pStyle w:val="TOC2"/>
            <w:tabs>
              <w:tab w:val="left" w:pos="960"/>
              <w:tab w:val="right" w:leader="dot" w:pos="9376"/>
            </w:tabs>
            <w:spacing w:after="0" w:line="360" w:lineRule="auto"/>
            <w:rPr>
              <w:noProof/>
            </w:rPr>
          </w:pPr>
          <w:hyperlink w:anchor="_Toc228193101" w:history="1">
            <w:r w:rsidR="00572048" w:rsidRPr="00BE4257">
              <w:rPr>
                <w:rStyle w:val="Hyperlink"/>
                <w:noProof/>
              </w:rPr>
              <w:t>2.4</w:t>
            </w:r>
            <w:r w:rsidR="00572048">
              <w:rPr>
                <w:noProof/>
              </w:rPr>
              <w:tab/>
            </w:r>
            <w:r w:rsidR="00572048" w:rsidRPr="00BE4257">
              <w:rPr>
                <w:rStyle w:val="Hyperlink"/>
                <w:noProof/>
              </w:rPr>
              <w:t>Data Governance, Ethical AI and Privacy</w:t>
            </w:r>
            <w:r w:rsidR="00572048">
              <w:rPr>
                <w:noProof/>
                <w:webHidden/>
              </w:rPr>
              <w:tab/>
            </w:r>
            <w:r w:rsidR="00572048">
              <w:rPr>
                <w:noProof/>
                <w:webHidden/>
              </w:rPr>
              <w:fldChar w:fldCharType="begin"/>
            </w:r>
            <w:r w:rsidR="00572048">
              <w:rPr>
                <w:noProof/>
                <w:webHidden/>
              </w:rPr>
              <w:instrText xml:space="preserve"> PAGEREF _Toc228193101 \h </w:instrText>
            </w:r>
            <w:r w:rsidR="00572048">
              <w:rPr>
                <w:noProof/>
                <w:webHidden/>
              </w:rPr>
            </w:r>
            <w:r w:rsidR="00572048">
              <w:rPr>
                <w:noProof/>
                <w:webHidden/>
              </w:rPr>
              <w:fldChar w:fldCharType="separate"/>
            </w:r>
            <w:r w:rsidR="00572048">
              <w:rPr>
                <w:noProof/>
                <w:webHidden/>
              </w:rPr>
              <w:t>9</w:t>
            </w:r>
            <w:r w:rsidR="00572048">
              <w:rPr>
                <w:noProof/>
                <w:webHidden/>
              </w:rPr>
              <w:fldChar w:fldCharType="end"/>
            </w:r>
          </w:hyperlink>
        </w:p>
        <w:p w14:paraId="14506776" w14:textId="0ADAC018" w:rsidR="00572048" w:rsidRDefault="00EE0F76" w:rsidP="00F83C9F">
          <w:pPr>
            <w:pStyle w:val="TOC2"/>
            <w:tabs>
              <w:tab w:val="left" w:pos="960"/>
              <w:tab w:val="right" w:leader="dot" w:pos="9376"/>
            </w:tabs>
            <w:spacing w:after="0" w:line="360" w:lineRule="auto"/>
            <w:rPr>
              <w:noProof/>
            </w:rPr>
          </w:pPr>
          <w:hyperlink w:anchor="_Toc228193102" w:history="1">
            <w:r w:rsidR="00572048" w:rsidRPr="00BE4257">
              <w:rPr>
                <w:rStyle w:val="Hyperlink"/>
                <w:noProof/>
              </w:rPr>
              <w:t>2.5</w:t>
            </w:r>
            <w:r w:rsidR="00572048">
              <w:rPr>
                <w:noProof/>
              </w:rPr>
              <w:tab/>
            </w:r>
            <w:r w:rsidR="00572048" w:rsidRPr="00BE4257">
              <w:rPr>
                <w:rStyle w:val="Hyperlink"/>
                <w:noProof/>
              </w:rPr>
              <w:t>Risk Management and Customer Trust</w:t>
            </w:r>
            <w:r w:rsidR="00572048">
              <w:rPr>
                <w:noProof/>
                <w:webHidden/>
              </w:rPr>
              <w:tab/>
            </w:r>
            <w:r w:rsidR="00572048">
              <w:rPr>
                <w:noProof/>
                <w:webHidden/>
              </w:rPr>
              <w:fldChar w:fldCharType="begin"/>
            </w:r>
            <w:r w:rsidR="00572048">
              <w:rPr>
                <w:noProof/>
                <w:webHidden/>
              </w:rPr>
              <w:instrText xml:space="preserve"> PAGEREF _Toc228193102 \h </w:instrText>
            </w:r>
            <w:r w:rsidR="00572048">
              <w:rPr>
                <w:noProof/>
                <w:webHidden/>
              </w:rPr>
            </w:r>
            <w:r w:rsidR="00572048">
              <w:rPr>
                <w:noProof/>
                <w:webHidden/>
              </w:rPr>
              <w:fldChar w:fldCharType="separate"/>
            </w:r>
            <w:r w:rsidR="00572048">
              <w:rPr>
                <w:noProof/>
                <w:webHidden/>
              </w:rPr>
              <w:t>11</w:t>
            </w:r>
            <w:r w:rsidR="00572048">
              <w:rPr>
                <w:noProof/>
                <w:webHidden/>
              </w:rPr>
              <w:fldChar w:fldCharType="end"/>
            </w:r>
          </w:hyperlink>
        </w:p>
        <w:p w14:paraId="6B9DCFAA" w14:textId="1FAC18A4" w:rsidR="00572048" w:rsidRDefault="00EE0F76" w:rsidP="00F83C9F">
          <w:pPr>
            <w:pStyle w:val="TOC2"/>
            <w:tabs>
              <w:tab w:val="left" w:pos="960"/>
              <w:tab w:val="right" w:leader="dot" w:pos="9376"/>
            </w:tabs>
            <w:spacing w:after="0" w:line="360" w:lineRule="auto"/>
            <w:rPr>
              <w:noProof/>
            </w:rPr>
          </w:pPr>
          <w:hyperlink w:anchor="_Toc228193103" w:history="1">
            <w:r w:rsidR="00572048" w:rsidRPr="00BE4257">
              <w:rPr>
                <w:rStyle w:val="Hyperlink"/>
                <w:noProof/>
              </w:rPr>
              <w:t>2.6</w:t>
            </w:r>
            <w:r w:rsidR="00572048">
              <w:rPr>
                <w:noProof/>
              </w:rPr>
              <w:tab/>
            </w:r>
            <w:r w:rsidR="00572048" w:rsidRPr="00BE4257">
              <w:rPr>
                <w:rStyle w:val="Hyperlink"/>
                <w:noProof/>
              </w:rPr>
              <w:t>Asia-Pacific: Regulatory and Cultural Analysis</w:t>
            </w:r>
            <w:r w:rsidR="00572048">
              <w:rPr>
                <w:noProof/>
                <w:webHidden/>
              </w:rPr>
              <w:tab/>
            </w:r>
            <w:r w:rsidR="00572048">
              <w:rPr>
                <w:noProof/>
                <w:webHidden/>
              </w:rPr>
              <w:fldChar w:fldCharType="begin"/>
            </w:r>
            <w:r w:rsidR="00572048">
              <w:rPr>
                <w:noProof/>
                <w:webHidden/>
              </w:rPr>
              <w:instrText xml:space="preserve"> PAGEREF _Toc228193103 \h </w:instrText>
            </w:r>
            <w:r w:rsidR="00572048">
              <w:rPr>
                <w:noProof/>
                <w:webHidden/>
              </w:rPr>
            </w:r>
            <w:r w:rsidR="00572048">
              <w:rPr>
                <w:noProof/>
                <w:webHidden/>
              </w:rPr>
              <w:fldChar w:fldCharType="separate"/>
            </w:r>
            <w:r w:rsidR="00572048">
              <w:rPr>
                <w:noProof/>
                <w:webHidden/>
              </w:rPr>
              <w:t>14</w:t>
            </w:r>
            <w:r w:rsidR="00572048">
              <w:rPr>
                <w:noProof/>
                <w:webHidden/>
              </w:rPr>
              <w:fldChar w:fldCharType="end"/>
            </w:r>
          </w:hyperlink>
        </w:p>
        <w:p w14:paraId="203496A2" w14:textId="578F8480" w:rsidR="00572048" w:rsidRDefault="00EE0F76" w:rsidP="00F83C9F">
          <w:pPr>
            <w:pStyle w:val="TOC1"/>
            <w:tabs>
              <w:tab w:val="left" w:pos="480"/>
              <w:tab w:val="right" w:leader="dot" w:pos="9376"/>
            </w:tabs>
            <w:spacing w:after="0" w:line="360" w:lineRule="auto"/>
            <w:rPr>
              <w:noProof/>
            </w:rPr>
          </w:pPr>
          <w:hyperlink w:anchor="_Toc228193104" w:history="1">
            <w:r w:rsidR="00572048" w:rsidRPr="00BE4257">
              <w:rPr>
                <w:rStyle w:val="Hyperlink"/>
                <w:noProof/>
              </w:rPr>
              <w:t>3.</w:t>
            </w:r>
            <w:r w:rsidR="00572048">
              <w:rPr>
                <w:noProof/>
              </w:rPr>
              <w:tab/>
            </w:r>
            <w:r w:rsidR="00572048" w:rsidRPr="00BE4257">
              <w:rPr>
                <w:rStyle w:val="Hyperlink"/>
                <w:noProof/>
              </w:rPr>
              <w:t>Implementation Plan</w:t>
            </w:r>
            <w:r w:rsidR="00572048">
              <w:rPr>
                <w:noProof/>
                <w:webHidden/>
              </w:rPr>
              <w:tab/>
            </w:r>
            <w:r w:rsidR="00572048">
              <w:rPr>
                <w:noProof/>
                <w:webHidden/>
              </w:rPr>
              <w:fldChar w:fldCharType="begin"/>
            </w:r>
            <w:r w:rsidR="00572048">
              <w:rPr>
                <w:noProof/>
                <w:webHidden/>
              </w:rPr>
              <w:instrText xml:space="preserve"> PAGEREF _Toc228193104 \h </w:instrText>
            </w:r>
            <w:r w:rsidR="00572048">
              <w:rPr>
                <w:noProof/>
                <w:webHidden/>
              </w:rPr>
            </w:r>
            <w:r w:rsidR="00572048">
              <w:rPr>
                <w:noProof/>
                <w:webHidden/>
              </w:rPr>
              <w:fldChar w:fldCharType="separate"/>
            </w:r>
            <w:r w:rsidR="00572048">
              <w:rPr>
                <w:noProof/>
                <w:webHidden/>
              </w:rPr>
              <w:t>16</w:t>
            </w:r>
            <w:r w:rsidR="00572048">
              <w:rPr>
                <w:noProof/>
                <w:webHidden/>
              </w:rPr>
              <w:fldChar w:fldCharType="end"/>
            </w:r>
          </w:hyperlink>
        </w:p>
        <w:p w14:paraId="1C8391A8" w14:textId="6B34178E" w:rsidR="00572048" w:rsidRDefault="00EE0F76" w:rsidP="00F83C9F">
          <w:pPr>
            <w:pStyle w:val="TOC2"/>
            <w:tabs>
              <w:tab w:val="left" w:pos="960"/>
              <w:tab w:val="right" w:leader="dot" w:pos="9376"/>
            </w:tabs>
            <w:spacing w:after="0" w:line="360" w:lineRule="auto"/>
            <w:rPr>
              <w:noProof/>
            </w:rPr>
          </w:pPr>
          <w:hyperlink w:anchor="_Toc228193105" w:history="1">
            <w:r w:rsidR="00572048" w:rsidRPr="00BE4257">
              <w:rPr>
                <w:rStyle w:val="Hyperlink"/>
                <w:noProof/>
              </w:rPr>
              <w:t>3.1</w:t>
            </w:r>
            <w:r w:rsidR="00572048">
              <w:rPr>
                <w:noProof/>
              </w:rPr>
              <w:tab/>
            </w:r>
            <w:r w:rsidR="00572048" w:rsidRPr="00BE4257">
              <w:rPr>
                <w:rStyle w:val="Hyperlink"/>
                <w:noProof/>
              </w:rPr>
              <w:t>Short-Term Recommendations (0–12 months)</w:t>
            </w:r>
            <w:r w:rsidR="00572048">
              <w:rPr>
                <w:noProof/>
                <w:webHidden/>
              </w:rPr>
              <w:tab/>
            </w:r>
            <w:r w:rsidR="00572048">
              <w:rPr>
                <w:noProof/>
                <w:webHidden/>
              </w:rPr>
              <w:fldChar w:fldCharType="begin"/>
            </w:r>
            <w:r w:rsidR="00572048">
              <w:rPr>
                <w:noProof/>
                <w:webHidden/>
              </w:rPr>
              <w:instrText xml:space="preserve"> PAGEREF _Toc228193105 \h </w:instrText>
            </w:r>
            <w:r w:rsidR="00572048">
              <w:rPr>
                <w:noProof/>
                <w:webHidden/>
              </w:rPr>
            </w:r>
            <w:r w:rsidR="00572048">
              <w:rPr>
                <w:noProof/>
                <w:webHidden/>
              </w:rPr>
              <w:fldChar w:fldCharType="separate"/>
            </w:r>
            <w:r w:rsidR="00572048">
              <w:rPr>
                <w:noProof/>
                <w:webHidden/>
              </w:rPr>
              <w:t>18</w:t>
            </w:r>
            <w:r w:rsidR="00572048">
              <w:rPr>
                <w:noProof/>
                <w:webHidden/>
              </w:rPr>
              <w:fldChar w:fldCharType="end"/>
            </w:r>
          </w:hyperlink>
        </w:p>
        <w:p w14:paraId="7E779479" w14:textId="534CBC45" w:rsidR="00572048" w:rsidRDefault="00EE0F76" w:rsidP="00F83C9F">
          <w:pPr>
            <w:pStyle w:val="TOC2"/>
            <w:tabs>
              <w:tab w:val="left" w:pos="960"/>
              <w:tab w:val="right" w:leader="dot" w:pos="9376"/>
            </w:tabs>
            <w:spacing w:after="0" w:line="360" w:lineRule="auto"/>
            <w:rPr>
              <w:noProof/>
            </w:rPr>
          </w:pPr>
          <w:hyperlink w:anchor="_Toc228193106" w:history="1">
            <w:r w:rsidR="00572048" w:rsidRPr="00BE4257">
              <w:rPr>
                <w:rStyle w:val="Hyperlink"/>
                <w:noProof/>
              </w:rPr>
              <w:t>3.2</w:t>
            </w:r>
            <w:r w:rsidR="00572048">
              <w:rPr>
                <w:noProof/>
              </w:rPr>
              <w:tab/>
            </w:r>
            <w:r w:rsidR="00572048" w:rsidRPr="00BE4257">
              <w:rPr>
                <w:rStyle w:val="Hyperlink"/>
                <w:noProof/>
              </w:rPr>
              <w:t>Medium-Term Recommendations (1–3 years)</w:t>
            </w:r>
            <w:r w:rsidR="00572048">
              <w:rPr>
                <w:noProof/>
                <w:webHidden/>
              </w:rPr>
              <w:tab/>
            </w:r>
            <w:r w:rsidR="00572048">
              <w:rPr>
                <w:noProof/>
                <w:webHidden/>
              </w:rPr>
              <w:fldChar w:fldCharType="begin"/>
            </w:r>
            <w:r w:rsidR="00572048">
              <w:rPr>
                <w:noProof/>
                <w:webHidden/>
              </w:rPr>
              <w:instrText xml:space="preserve"> PAGEREF _Toc228193106 \h </w:instrText>
            </w:r>
            <w:r w:rsidR="00572048">
              <w:rPr>
                <w:noProof/>
                <w:webHidden/>
              </w:rPr>
            </w:r>
            <w:r w:rsidR="00572048">
              <w:rPr>
                <w:noProof/>
                <w:webHidden/>
              </w:rPr>
              <w:fldChar w:fldCharType="separate"/>
            </w:r>
            <w:r w:rsidR="00572048">
              <w:rPr>
                <w:noProof/>
                <w:webHidden/>
              </w:rPr>
              <w:t>19</w:t>
            </w:r>
            <w:r w:rsidR="00572048">
              <w:rPr>
                <w:noProof/>
                <w:webHidden/>
              </w:rPr>
              <w:fldChar w:fldCharType="end"/>
            </w:r>
          </w:hyperlink>
        </w:p>
        <w:p w14:paraId="4C87D9DF" w14:textId="367CB9CE" w:rsidR="00572048" w:rsidRDefault="00EE0F76" w:rsidP="00F83C9F">
          <w:pPr>
            <w:pStyle w:val="TOC2"/>
            <w:tabs>
              <w:tab w:val="left" w:pos="960"/>
              <w:tab w:val="right" w:leader="dot" w:pos="9376"/>
            </w:tabs>
            <w:spacing w:after="0" w:line="360" w:lineRule="auto"/>
            <w:rPr>
              <w:noProof/>
            </w:rPr>
          </w:pPr>
          <w:hyperlink w:anchor="_Toc228193107" w:history="1">
            <w:r w:rsidR="00572048" w:rsidRPr="00BE4257">
              <w:rPr>
                <w:rStyle w:val="Hyperlink"/>
                <w:noProof/>
              </w:rPr>
              <w:t>3.3</w:t>
            </w:r>
            <w:r w:rsidR="00572048">
              <w:rPr>
                <w:noProof/>
              </w:rPr>
              <w:tab/>
            </w:r>
            <w:r w:rsidR="00572048" w:rsidRPr="00BE4257">
              <w:rPr>
                <w:rStyle w:val="Hyperlink"/>
                <w:noProof/>
              </w:rPr>
              <w:t>Long-Term Recommendations (3–5 years)</w:t>
            </w:r>
            <w:r w:rsidR="00572048">
              <w:rPr>
                <w:noProof/>
                <w:webHidden/>
              </w:rPr>
              <w:tab/>
            </w:r>
            <w:r w:rsidR="00572048">
              <w:rPr>
                <w:noProof/>
                <w:webHidden/>
              </w:rPr>
              <w:fldChar w:fldCharType="begin"/>
            </w:r>
            <w:r w:rsidR="00572048">
              <w:rPr>
                <w:noProof/>
                <w:webHidden/>
              </w:rPr>
              <w:instrText xml:space="preserve"> PAGEREF _Toc228193107 \h </w:instrText>
            </w:r>
            <w:r w:rsidR="00572048">
              <w:rPr>
                <w:noProof/>
                <w:webHidden/>
              </w:rPr>
            </w:r>
            <w:r w:rsidR="00572048">
              <w:rPr>
                <w:noProof/>
                <w:webHidden/>
              </w:rPr>
              <w:fldChar w:fldCharType="separate"/>
            </w:r>
            <w:r w:rsidR="00572048">
              <w:rPr>
                <w:noProof/>
                <w:webHidden/>
              </w:rPr>
              <w:t>19</w:t>
            </w:r>
            <w:r w:rsidR="00572048">
              <w:rPr>
                <w:noProof/>
                <w:webHidden/>
              </w:rPr>
              <w:fldChar w:fldCharType="end"/>
            </w:r>
          </w:hyperlink>
        </w:p>
        <w:p w14:paraId="12BE19DB" w14:textId="5C1FA8E7" w:rsidR="00572048" w:rsidRDefault="00EE0F76" w:rsidP="00F83C9F">
          <w:pPr>
            <w:pStyle w:val="TOC1"/>
            <w:tabs>
              <w:tab w:val="left" w:pos="480"/>
              <w:tab w:val="right" w:leader="dot" w:pos="9376"/>
            </w:tabs>
            <w:spacing w:after="0" w:line="360" w:lineRule="auto"/>
            <w:rPr>
              <w:noProof/>
            </w:rPr>
          </w:pPr>
          <w:hyperlink w:anchor="_Toc228193108" w:history="1">
            <w:r w:rsidR="00572048" w:rsidRPr="00BE4257">
              <w:rPr>
                <w:rStyle w:val="Hyperlink"/>
                <w:noProof/>
              </w:rPr>
              <w:t>4.</w:t>
            </w:r>
            <w:r w:rsidR="00572048">
              <w:rPr>
                <w:noProof/>
              </w:rPr>
              <w:tab/>
            </w:r>
            <w:r w:rsidR="00572048" w:rsidRPr="00BE4257">
              <w:rPr>
                <w:rStyle w:val="Hyperlink"/>
                <w:noProof/>
              </w:rPr>
              <w:t>Conclusion</w:t>
            </w:r>
            <w:r w:rsidR="00572048">
              <w:rPr>
                <w:noProof/>
                <w:webHidden/>
              </w:rPr>
              <w:tab/>
            </w:r>
            <w:r w:rsidR="00572048">
              <w:rPr>
                <w:noProof/>
                <w:webHidden/>
              </w:rPr>
              <w:fldChar w:fldCharType="begin"/>
            </w:r>
            <w:r w:rsidR="00572048">
              <w:rPr>
                <w:noProof/>
                <w:webHidden/>
              </w:rPr>
              <w:instrText xml:space="preserve"> PAGEREF _Toc228193108 \h </w:instrText>
            </w:r>
            <w:r w:rsidR="00572048">
              <w:rPr>
                <w:noProof/>
                <w:webHidden/>
              </w:rPr>
            </w:r>
            <w:r w:rsidR="00572048">
              <w:rPr>
                <w:noProof/>
                <w:webHidden/>
              </w:rPr>
              <w:fldChar w:fldCharType="separate"/>
            </w:r>
            <w:r w:rsidR="00572048">
              <w:rPr>
                <w:noProof/>
                <w:webHidden/>
              </w:rPr>
              <w:t>19</w:t>
            </w:r>
            <w:r w:rsidR="00572048">
              <w:rPr>
                <w:noProof/>
                <w:webHidden/>
              </w:rPr>
              <w:fldChar w:fldCharType="end"/>
            </w:r>
          </w:hyperlink>
        </w:p>
        <w:p w14:paraId="21F291DF" w14:textId="17D76EE5" w:rsidR="00572048" w:rsidRDefault="00EE0F76" w:rsidP="00F83C9F">
          <w:pPr>
            <w:pStyle w:val="TOC1"/>
            <w:tabs>
              <w:tab w:val="left" w:pos="480"/>
              <w:tab w:val="right" w:leader="dot" w:pos="9376"/>
            </w:tabs>
            <w:spacing w:after="0" w:line="360" w:lineRule="auto"/>
            <w:rPr>
              <w:noProof/>
            </w:rPr>
          </w:pPr>
          <w:hyperlink w:anchor="_Toc228193109" w:history="1">
            <w:r w:rsidR="00572048" w:rsidRPr="00BE4257">
              <w:rPr>
                <w:rStyle w:val="Hyperlink"/>
                <w:noProof/>
              </w:rPr>
              <w:t>5.</w:t>
            </w:r>
            <w:r w:rsidR="00572048">
              <w:rPr>
                <w:noProof/>
              </w:rPr>
              <w:tab/>
            </w:r>
            <w:r w:rsidR="00572048" w:rsidRPr="00BE4257">
              <w:rPr>
                <w:rStyle w:val="Hyperlink"/>
                <w:noProof/>
              </w:rPr>
              <w:t>Bibliography</w:t>
            </w:r>
            <w:r w:rsidR="00572048">
              <w:rPr>
                <w:noProof/>
                <w:webHidden/>
              </w:rPr>
              <w:tab/>
            </w:r>
            <w:r w:rsidR="00572048">
              <w:rPr>
                <w:noProof/>
                <w:webHidden/>
              </w:rPr>
              <w:fldChar w:fldCharType="begin"/>
            </w:r>
            <w:r w:rsidR="00572048">
              <w:rPr>
                <w:noProof/>
                <w:webHidden/>
              </w:rPr>
              <w:instrText xml:space="preserve"> PAGEREF _Toc228193109 \h </w:instrText>
            </w:r>
            <w:r w:rsidR="00572048">
              <w:rPr>
                <w:noProof/>
                <w:webHidden/>
              </w:rPr>
            </w:r>
            <w:r w:rsidR="00572048">
              <w:rPr>
                <w:noProof/>
                <w:webHidden/>
              </w:rPr>
              <w:fldChar w:fldCharType="separate"/>
            </w:r>
            <w:r w:rsidR="00572048">
              <w:rPr>
                <w:noProof/>
                <w:webHidden/>
              </w:rPr>
              <w:t>21</w:t>
            </w:r>
            <w:r w:rsidR="00572048">
              <w:rPr>
                <w:noProof/>
                <w:webHidden/>
              </w:rPr>
              <w:fldChar w:fldCharType="end"/>
            </w:r>
          </w:hyperlink>
        </w:p>
        <w:p w14:paraId="4A5744D8" w14:textId="3EC604A2" w:rsidR="00572048" w:rsidRDefault="00572048" w:rsidP="00F83C9F">
          <w:pPr>
            <w:spacing w:line="360" w:lineRule="auto"/>
          </w:pPr>
          <w:r>
            <w:rPr>
              <w:b/>
              <w:bCs/>
              <w:noProof/>
            </w:rPr>
            <w:fldChar w:fldCharType="end"/>
          </w:r>
        </w:p>
      </w:sdtContent>
    </w:sdt>
    <w:p w14:paraId="2489A8DE" w14:textId="77777777" w:rsidR="0051158A" w:rsidRDefault="0051158A" w:rsidP="00F83C9F">
      <w:pPr>
        <w:spacing w:line="360" w:lineRule="auto"/>
        <w:rPr>
          <w:b/>
          <w:bCs/>
          <w:color w:val="1F3864"/>
          <w:sz w:val="24"/>
          <w:szCs w:val="24"/>
        </w:rPr>
      </w:pPr>
      <w:r>
        <w:rPr>
          <w:sz w:val="24"/>
          <w:szCs w:val="24"/>
        </w:rPr>
        <w:br w:type="page"/>
      </w:r>
    </w:p>
    <w:p w14:paraId="395CC908" w14:textId="0D44DE4D" w:rsidR="00C728A1" w:rsidRPr="00860442" w:rsidRDefault="00EE0F76" w:rsidP="00F83C9F">
      <w:pPr>
        <w:pStyle w:val="Heading1"/>
      </w:pPr>
      <w:bookmarkStart w:id="1" w:name="_Toc228193096"/>
      <w:r w:rsidRPr="00860442">
        <w:lastRenderedPageBreak/>
        <w:t>Introduction</w:t>
      </w:r>
      <w:bookmarkEnd w:id="1"/>
    </w:p>
    <w:p w14:paraId="46B0AA8F" w14:textId="357B4208" w:rsidR="0087724A" w:rsidRPr="0087724A" w:rsidRDefault="00D95469" w:rsidP="00F83C9F">
      <w:pPr>
        <w:spacing w:line="360" w:lineRule="auto"/>
        <w:jc w:val="both"/>
        <w:rPr>
          <w:sz w:val="24"/>
          <w:szCs w:val="24"/>
        </w:rPr>
      </w:pPr>
      <w:r w:rsidRPr="00D95469">
        <w:rPr>
          <w:sz w:val="24"/>
          <w:szCs w:val="24"/>
        </w:rPr>
        <w:t xml:space="preserve">AI is no longer a marginal efficiency device within the consumer goods economies of the world, but the core of competitive differentiation, consumer interaction and operational intelligence. Unilever has been undertaking this change with strategic energy that is rare in other </w:t>
      </w:r>
      <w:proofErr w:type="spellStart"/>
      <w:r w:rsidRPr="00D95469">
        <w:rPr>
          <w:sz w:val="24"/>
          <w:szCs w:val="24"/>
        </w:rPr>
        <w:t>organisations</w:t>
      </w:r>
      <w:proofErr w:type="spellEnd"/>
      <w:r w:rsidRPr="00D95469">
        <w:rPr>
          <w:sz w:val="24"/>
          <w:szCs w:val="24"/>
        </w:rPr>
        <w:t>: their collaboration with Google Cloud, the usage of machine learning to forecast demand, the widespread use of AI-generated advertising content, the implementation of social listening systems, etc., are all indicative of one of the largest AI changes of a company of this scale.</w:t>
      </w:r>
      <w:r w:rsidR="0087724A" w:rsidRPr="0087724A">
        <w:rPr>
          <w:sz w:val="24"/>
          <w:szCs w:val="24"/>
        </w:rPr>
        <w:t xml:space="preserve"> These kinds of investments are commercially viable</w:t>
      </w:r>
      <w:r w:rsidR="00CC686B">
        <w:rPr>
          <w:sz w:val="24"/>
          <w:szCs w:val="24"/>
        </w:rPr>
        <w:t xml:space="preserve"> and, in most respects, </w:t>
      </w:r>
      <w:r w:rsidR="0087724A" w:rsidRPr="0087724A">
        <w:rPr>
          <w:sz w:val="24"/>
          <w:szCs w:val="24"/>
        </w:rPr>
        <w:t>are indeed differentiated. Neither are they, as this report asserts, over-governed</w:t>
      </w:r>
      <w:r w:rsidR="00284783">
        <w:rPr>
          <w:sz w:val="24"/>
          <w:szCs w:val="24"/>
        </w:rPr>
        <w:t>,</w:t>
      </w:r>
      <w:r w:rsidR="0087724A" w:rsidRPr="0087724A">
        <w:rPr>
          <w:sz w:val="24"/>
          <w:szCs w:val="24"/>
        </w:rPr>
        <w:t xml:space="preserve"> and that is the strategic risk </w:t>
      </w:r>
      <w:r w:rsidR="00CC686B">
        <w:rPr>
          <w:sz w:val="24"/>
          <w:szCs w:val="24"/>
        </w:rPr>
        <w:t>to which Unilever is susceptible</w:t>
      </w:r>
      <w:r w:rsidR="0087724A" w:rsidRPr="0087724A">
        <w:rPr>
          <w:sz w:val="24"/>
          <w:szCs w:val="24"/>
        </w:rPr>
        <w:t>.</w:t>
      </w:r>
    </w:p>
    <w:p w14:paraId="028BFF01" w14:textId="1C670DBD" w:rsidR="0087724A" w:rsidRPr="0087724A" w:rsidRDefault="0087724A" w:rsidP="00F83C9F">
      <w:pPr>
        <w:spacing w:line="360" w:lineRule="auto"/>
        <w:jc w:val="both"/>
        <w:rPr>
          <w:sz w:val="24"/>
          <w:szCs w:val="24"/>
        </w:rPr>
      </w:pPr>
      <w:r w:rsidRPr="0087724A">
        <w:rPr>
          <w:sz w:val="24"/>
          <w:szCs w:val="24"/>
        </w:rPr>
        <w:t xml:space="preserve">The problem of governance deficit is not entirely technical. It follows </w:t>
      </w:r>
      <w:r w:rsidR="00284783">
        <w:rPr>
          <w:sz w:val="24"/>
          <w:szCs w:val="24"/>
        </w:rPr>
        <w:t xml:space="preserve">from the rate of rise of Unilever AI capabilities relative to the maturity of its internal governance systems, its transparency when interacting with consumers, and the </w:t>
      </w:r>
      <w:r w:rsidRPr="0087724A">
        <w:rPr>
          <w:sz w:val="24"/>
          <w:szCs w:val="24"/>
        </w:rPr>
        <w:t>regulatory regimes in which it operates. Another strand of AI and data regulation divergence post-Brexit is underway between the UK and the European Union, and a further level of regulatory heterogeneity</w:t>
      </w:r>
      <w:r w:rsidR="00284783">
        <w:rPr>
          <w:sz w:val="24"/>
          <w:szCs w:val="24"/>
        </w:rPr>
        <w:t>, overlaid with a high level of cultural variation in consumer trust norms, is the presence of Asia-Pacific markets as a bloc of the most commercially significant to Unilever's</w:t>
      </w:r>
      <w:r w:rsidRPr="0087724A">
        <w:rPr>
          <w:sz w:val="24"/>
          <w:szCs w:val="24"/>
        </w:rPr>
        <w:t xml:space="preserve"> growth strategy.</w:t>
      </w:r>
    </w:p>
    <w:p w14:paraId="2D15FE82" w14:textId="5D03DF76" w:rsidR="00C728A1" w:rsidRPr="00860442" w:rsidRDefault="0087724A" w:rsidP="00F83C9F">
      <w:pPr>
        <w:spacing w:line="360" w:lineRule="auto"/>
        <w:jc w:val="both"/>
        <w:rPr>
          <w:sz w:val="24"/>
          <w:szCs w:val="24"/>
        </w:rPr>
      </w:pPr>
      <w:r w:rsidRPr="0087724A">
        <w:rPr>
          <w:sz w:val="24"/>
          <w:szCs w:val="24"/>
        </w:rPr>
        <w:t>The report is prepared to inform the senior advisory panel of RFD Global</w:t>
      </w:r>
      <w:r w:rsidR="00284783">
        <w:rPr>
          <w:sz w:val="24"/>
          <w:szCs w:val="24"/>
        </w:rPr>
        <w:t>,</w:t>
      </w:r>
      <w:r w:rsidRPr="0087724A">
        <w:rPr>
          <w:sz w:val="24"/>
          <w:szCs w:val="24"/>
        </w:rPr>
        <w:t xml:space="preserve"> </w:t>
      </w:r>
      <w:r w:rsidR="00284783">
        <w:rPr>
          <w:sz w:val="24"/>
          <w:szCs w:val="24"/>
        </w:rPr>
        <w:t>while</w:t>
      </w:r>
      <w:r w:rsidRPr="0087724A">
        <w:rPr>
          <w:sz w:val="24"/>
          <w:szCs w:val="24"/>
        </w:rPr>
        <w:t xml:space="preserve"> answering three questions: what are the material risks presented by the Unilever AI-driven consumer data analytics; what governance requirements are brought about by the UK, EU, and Asia-Pacific regulatory environments; and what strategic action, in what order, and at what cost, can be taken </w:t>
      </w:r>
      <w:r w:rsidR="00284783">
        <w:rPr>
          <w:sz w:val="24"/>
          <w:szCs w:val="24"/>
        </w:rPr>
        <w:t>to</w:t>
      </w:r>
      <w:r w:rsidRPr="0087724A">
        <w:rPr>
          <w:sz w:val="24"/>
          <w:szCs w:val="24"/>
        </w:rPr>
        <w:t xml:space="preserve"> enable Unilever</w:t>
      </w:r>
    </w:p>
    <w:p w14:paraId="3C1A50FE" w14:textId="7EF9CC46" w:rsidR="00C728A1" w:rsidRPr="00113A4C" w:rsidRDefault="00EE0F76" w:rsidP="00F83C9F">
      <w:pPr>
        <w:pStyle w:val="Heading1"/>
      </w:pPr>
      <w:bookmarkStart w:id="2" w:name="_Toc228193097"/>
      <w:r w:rsidRPr="00860442">
        <w:t>Main Findings</w:t>
      </w:r>
      <w:bookmarkEnd w:id="2"/>
    </w:p>
    <w:p w14:paraId="7128C04D" w14:textId="2CEB3399" w:rsidR="00113A4C" w:rsidRDefault="00113A4C" w:rsidP="00F83C9F">
      <w:pPr>
        <w:pStyle w:val="Caption"/>
        <w:keepNext/>
        <w:spacing w:after="0" w:line="360" w:lineRule="auto"/>
      </w:pPr>
      <w:r>
        <w:t xml:space="preserve">Table </w:t>
      </w:r>
      <w:r w:rsidR="00EE0F76">
        <w:fldChar w:fldCharType="begin"/>
      </w:r>
      <w:r w:rsidR="00EE0F76">
        <w:instrText xml:space="preserve"> SEQ Table \* ARABIC </w:instrText>
      </w:r>
      <w:r w:rsidR="00EE0F76">
        <w:fldChar w:fldCharType="separate"/>
      </w:r>
      <w:r>
        <w:rPr>
          <w:noProof/>
        </w:rPr>
        <w:t>1</w:t>
      </w:r>
      <w:r w:rsidR="00EE0F76">
        <w:rPr>
          <w:noProof/>
        </w:rPr>
        <w:fldChar w:fldCharType="end"/>
      </w:r>
      <w:r>
        <w:t xml:space="preserve">: </w:t>
      </w:r>
      <w:r w:rsidRPr="008C3BDD">
        <w:t>PESTLE Overview: Unilever AI Risk Environment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47"/>
        <w:gridCol w:w="3327"/>
        <w:gridCol w:w="4102"/>
      </w:tblGrid>
      <w:tr w:rsidR="00C728A1" w:rsidRPr="00860442" w14:paraId="6D574BC9" w14:textId="77777777" w:rsidTr="00254C50">
        <w:tc>
          <w:tcPr>
            <w:tcW w:w="925" w:type="pct"/>
            <w:tcBorders>
              <w:top w:val="single" w:sz="4" w:space="0" w:color="AAAAAA"/>
              <w:left w:val="single" w:sz="4" w:space="0" w:color="AAAAAA"/>
              <w:bottom w:val="single" w:sz="4" w:space="0" w:color="AAAAAA"/>
              <w:right w:val="single" w:sz="4" w:space="0" w:color="AAAAAA"/>
            </w:tcBorders>
            <w:shd w:val="clear" w:color="auto" w:fill="1F3864"/>
            <w:tcMar>
              <w:top w:w="100" w:type="dxa"/>
              <w:left w:w="140" w:type="dxa"/>
              <w:bottom w:w="100" w:type="dxa"/>
              <w:right w:w="140" w:type="dxa"/>
            </w:tcMar>
            <w:vAlign w:val="center"/>
          </w:tcPr>
          <w:p w14:paraId="58A1EA74" w14:textId="77777777" w:rsidR="00C728A1" w:rsidRPr="00860442" w:rsidRDefault="00EE0F76" w:rsidP="00F83C9F">
            <w:pPr>
              <w:spacing w:line="360" w:lineRule="auto"/>
              <w:jc w:val="both"/>
              <w:rPr>
                <w:sz w:val="24"/>
                <w:szCs w:val="24"/>
              </w:rPr>
            </w:pPr>
            <w:r w:rsidRPr="00860442">
              <w:rPr>
                <w:b/>
                <w:bCs/>
                <w:color w:val="FFFFFF"/>
                <w:sz w:val="24"/>
                <w:szCs w:val="24"/>
              </w:rPr>
              <w:t>Dimension</w:t>
            </w:r>
          </w:p>
        </w:tc>
        <w:tc>
          <w:tcPr>
            <w:tcW w:w="1831" w:type="pct"/>
            <w:tcBorders>
              <w:top w:val="single" w:sz="4" w:space="0" w:color="AAAAAA"/>
              <w:left w:val="single" w:sz="4" w:space="0" w:color="AAAAAA"/>
              <w:bottom w:val="single" w:sz="4" w:space="0" w:color="AAAAAA"/>
              <w:right w:val="single" w:sz="4" w:space="0" w:color="AAAAAA"/>
            </w:tcBorders>
            <w:shd w:val="clear" w:color="auto" w:fill="1F3864"/>
            <w:tcMar>
              <w:top w:w="100" w:type="dxa"/>
              <w:left w:w="140" w:type="dxa"/>
              <w:bottom w:w="100" w:type="dxa"/>
              <w:right w:w="140" w:type="dxa"/>
            </w:tcMar>
            <w:vAlign w:val="center"/>
          </w:tcPr>
          <w:p w14:paraId="56AC373C" w14:textId="77777777" w:rsidR="00C728A1" w:rsidRPr="00860442" w:rsidRDefault="00EE0F76" w:rsidP="00F83C9F">
            <w:pPr>
              <w:spacing w:line="360" w:lineRule="auto"/>
              <w:jc w:val="both"/>
              <w:rPr>
                <w:sz w:val="24"/>
                <w:szCs w:val="24"/>
              </w:rPr>
            </w:pPr>
            <w:r w:rsidRPr="00860442">
              <w:rPr>
                <w:b/>
                <w:bCs/>
                <w:color w:val="FFFFFF"/>
                <w:sz w:val="24"/>
                <w:szCs w:val="24"/>
              </w:rPr>
              <w:t>Key Drivers</w:t>
            </w:r>
          </w:p>
        </w:tc>
        <w:tc>
          <w:tcPr>
            <w:tcW w:w="2244" w:type="pct"/>
            <w:tcBorders>
              <w:top w:val="single" w:sz="4" w:space="0" w:color="AAAAAA"/>
              <w:left w:val="single" w:sz="4" w:space="0" w:color="AAAAAA"/>
              <w:bottom w:val="single" w:sz="4" w:space="0" w:color="AAAAAA"/>
              <w:right w:val="single" w:sz="4" w:space="0" w:color="AAAAAA"/>
            </w:tcBorders>
            <w:shd w:val="clear" w:color="auto" w:fill="1F3864"/>
            <w:tcMar>
              <w:top w:w="100" w:type="dxa"/>
              <w:left w:w="140" w:type="dxa"/>
              <w:bottom w:w="100" w:type="dxa"/>
              <w:right w:w="140" w:type="dxa"/>
            </w:tcMar>
            <w:vAlign w:val="center"/>
          </w:tcPr>
          <w:p w14:paraId="27CFE37F" w14:textId="77777777" w:rsidR="00C728A1" w:rsidRPr="00860442" w:rsidRDefault="00EE0F76" w:rsidP="00F83C9F">
            <w:pPr>
              <w:spacing w:line="360" w:lineRule="auto"/>
              <w:jc w:val="both"/>
              <w:rPr>
                <w:sz w:val="24"/>
                <w:szCs w:val="24"/>
              </w:rPr>
            </w:pPr>
            <w:r w:rsidRPr="00860442">
              <w:rPr>
                <w:b/>
                <w:bCs/>
                <w:color w:val="FFFFFF"/>
                <w:sz w:val="24"/>
                <w:szCs w:val="24"/>
              </w:rPr>
              <w:t>Unilever Implication</w:t>
            </w:r>
          </w:p>
        </w:tc>
      </w:tr>
      <w:tr w:rsidR="00C728A1" w:rsidRPr="00860442" w14:paraId="63A94BA3" w14:textId="77777777" w:rsidTr="00254C50">
        <w:tc>
          <w:tcPr>
            <w:tcW w:w="925" w:type="pct"/>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49035741" w14:textId="77777777" w:rsidR="00C728A1" w:rsidRPr="00860442" w:rsidRDefault="00EE0F76" w:rsidP="00F83C9F">
            <w:pPr>
              <w:spacing w:line="360" w:lineRule="auto"/>
              <w:jc w:val="both"/>
              <w:rPr>
                <w:sz w:val="24"/>
                <w:szCs w:val="24"/>
              </w:rPr>
            </w:pPr>
            <w:r w:rsidRPr="00860442">
              <w:rPr>
                <w:b/>
                <w:bCs/>
                <w:sz w:val="24"/>
                <w:szCs w:val="24"/>
              </w:rPr>
              <w:t>Political</w:t>
            </w:r>
          </w:p>
        </w:tc>
        <w:tc>
          <w:tcPr>
            <w:tcW w:w="1831" w:type="pct"/>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20372E8F" w14:textId="77777777" w:rsidR="00C728A1" w:rsidRPr="00860442" w:rsidRDefault="00EE0F76" w:rsidP="00F83C9F">
            <w:pPr>
              <w:spacing w:line="360" w:lineRule="auto"/>
              <w:jc w:val="both"/>
              <w:rPr>
                <w:sz w:val="24"/>
                <w:szCs w:val="24"/>
              </w:rPr>
            </w:pPr>
            <w:r w:rsidRPr="00860442">
              <w:rPr>
                <w:sz w:val="24"/>
                <w:szCs w:val="24"/>
              </w:rPr>
              <w:t>UK GDPR / AI Safety Institute divergence from EU AI Act; DMA; DSA</w:t>
            </w:r>
          </w:p>
        </w:tc>
        <w:tc>
          <w:tcPr>
            <w:tcW w:w="2244" w:type="pct"/>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0001E48B" w14:textId="77777777" w:rsidR="00C728A1" w:rsidRPr="00860442" w:rsidRDefault="00EE0F76" w:rsidP="00F83C9F">
            <w:pPr>
              <w:spacing w:line="360" w:lineRule="auto"/>
              <w:jc w:val="both"/>
              <w:rPr>
                <w:sz w:val="24"/>
                <w:szCs w:val="24"/>
              </w:rPr>
            </w:pPr>
            <w:r w:rsidRPr="00860442">
              <w:rPr>
                <w:sz w:val="24"/>
                <w:szCs w:val="24"/>
              </w:rPr>
              <w:t xml:space="preserve">Dual </w:t>
            </w:r>
            <w:r w:rsidRPr="00860442">
              <w:rPr>
                <w:sz w:val="24"/>
                <w:szCs w:val="24"/>
              </w:rPr>
              <w:t>compliance architecture required; proactive regulator engagement essential</w:t>
            </w:r>
          </w:p>
        </w:tc>
      </w:tr>
      <w:tr w:rsidR="00C728A1" w:rsidRPr="00860442" w14:paraId="0124B352" w14:textId="77777777" w:rsidTr="00254C50">
        <w:tc>
          <w:tcPr>
            <w:tcW w:w="925" w:type="pct"/>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70C78D52" w14:textId="77777777" w:rsidR="00C728A1" w:rsidRPr="00860442" w:rsidRDefault="00EE0F76" w:rsidP="00F83C9F">
            <w:pPr>
              <w:spacing w:line="360" w:lineRule="auto"/>
              <w:jc w:val="both"/>
              <w:rPr>
                <w:sz w:val="24"/>
                <w:szCs w:val="24"/>
              </w:rPr>
            </w:pPr>
            <w:r w:rsidRPr="00860442">
              <w:rPr>
                <w:b/>
                <w:bCs/>
                <w:sz w:val="24"/>
                <w:szCs w:val="24"/>
              </w:rPr>
              <w:t>Economic</w:t>
            </w:r>
          </w:p>
        </w:tc>
        <w:tc>
          <w:tcPr>
            <w:tcW w:w="1831" w:type="pct"/>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32857A13" w14:textId="4E9BFC3B" w:rsidR="00C728A1" w:rsidRPr="00860442" w:rsidRDefault="00EE0F76" w:rsidP="00F83C9F">
            <w:pPr>
              <w:spacing w:line="360" w:lineRule="auto"/>
              <w:jc w:val="both"/>
              <w:rPr>
                <w:sz w:val="24"/>
                <w:szCs w:val="24"/>
              </w:rPr>
            </w:pPr>
            <w:r w:rsidRPr="00860442">
              <w:rPr>
                <w:sz w:val="24"/>
                <w:szCs w:val="24"/>
              </w:rPr>
              <w:t>Macroeconomic volatility</w:t>
            </w:r>
            <w:r w:rsidR="00284783">
              <w:rPr>
                <w:sz w:val="24"/>
                <w:szCs w:val="24"/>
              </w:rPr>
              <w:t>,</w:t>
            </w:r>
            <w:r w:rsidRPr="00860442">
              <w:rPr>
                <w:sz w:val="24"/>
                <w:szCs w:val="24"/>
              </w:rPr>
              <w:t xml:space="preserve"> AI investment ROI pressure</w:t>
            </w:r>
            <w:r w:rsidR="00284783">
              <w:rPr>
                <w:sz w:val="24"/>
                <w:szCs w:val="24"/>
              </w:rPr>
              <w:t>,</w:t>
            </w:r>
            <w:r w:rsidRPr="00860442">
              <w:rPr>
                <w:sz w:val="24"/>
                <w:szCs w:val="24"/>
              </w:rPr>
              <w:t xml:space="preserve"> DTC platform growth</w:t>
            </w:r>
          </w:p>
        </w:tc>
        <w:tc>
          <w:tcPr>
            <w:tcW w:w="2244" w:type="pct"/>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45A90B56" w14:textId="1AA6D76C" w:rsidR="00C728A1" w:rsidRPr="00860442" w:rsidRDefault="00EE0F76" w:rsidP="00F83C9F">
            <w:pPr>
              <w:spacing w:line="360" w:lineRule="auto"/>
              <w:jc w:val="both"/>
              <w:rPr>
                <w:sz w:val="24"/>
                <w:szCs w:val="24"/>
              </w:rPr>
            </w:pPr>
            <w:r w:rsidRPr="00860442">
              <w:rPr>
                <w:sz w:val="24"/>
                <w:szCs w:val="24"/>
              </w:rPr>
              <w:t>Demand forecasting model fragility under inflation</w:t>
            </w:r>
            <w:r w:rsidR="00284783">
              <w:rPr>
                <w:sz w:val="24"/>
                <w:szCs w:val="24"/>
              </w:rPr>
              <w:t>: Pricing</w:t>
            </w:r>
            <w:r w:rsidRPr="00860442">
              <w:rPr>
                <w:sz w:val="24"/>
                <w:szCs w:val="24"/>
              </w:rPr>
              <w:t xml:space="preserve"> risk in emerging markets</w:t>
            </w:r>
          </w:p>
        </w:tc>
      </w:tr>
      <w:tr w:rsidR="00C728A1" w:rsidRPr="00860442" w14:paraId="56568CC1" w14:textId="77777777" w:rsidTr="00254C50">
        <w:tc>
          <w:tcPr>
            <w:tcW w:w="925" w:type="pct"/>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77FFF26E" w14:textId="77777777" w:rsidR="00C728A1" w:rsidRPr="00860442" w:rsidRDefault="00EE0F76" w:rsidP="00F83C9F">
            <w:pPr>
              <w:spacing w:line="360" w:lineRule="auto"/>
              <w:jc w:val="both"/>
              <w:rPr>
                <w:sz w:val="24"/>
                <w:szCs w:val="24"/>
              </w:rPr>
            </w:pPr>
            <w:r w:rsidRPr="00860442">
              <w:rPr>
                <w:b/>
                <w:bCs/>
                <w:sz w:val="24"/>
                <w:szCs w:val="24"/>
              </w:rPr>
              <w:lastRenderedPageBreak/>
              <w:t>Social</w:t>
            </w:r>
          </w:p>
        </w:tc>
        <w:tc>
          <w:tcPr>
            <w:tcW w:w="1831" w:type="pct"/>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31045528" w14:textId="5202B263" w:rsidR="00C728A1" w:rsidRPr="00860442" w:rsidRDefault="00EE0F76" w:rsidP="00F83C9F">
            <w:pPr>
              <w:spacing w:line="360" w:lineRule="auto"/>
              <w:jc w:val="both"/>
              <w:rPr>
                <w:sz w:val="24"/>
                <w:szCs w:val="24"/>
              </w:rPr>
            </w:pPr>
            <w:r w:rsidRPr="00860442">
              <w:rPr>
                <w:sz w:val="24"/>
                <w:szCs w:val="24"/>
              </w:rPr>
              <w:t>Rising consumer privacy awareness</w:t>
            </w:r>
            <w:r w:rsidR="00284783">
              <w:rPr>
                <w:sz w:val="24"/>
                <w:szCs w:val="24"/>
              </w:rPr>
              <w:t>,</w:t>
            </w:r>
            <w:r w:rsidRPr="00860442">
              <w:rPr>
                <w:sz w:val="24"/>
                <w:szCs w:val="24"/>
              </w:rPr>
              <w:t xml:space="preserve"> trust erosion</w:t>
            </w:r>
            <w:r w:rsidR="00284783">
              <w:rPr>
                <w:sz w:val="24"/>
                <w:szCs w:val="24"/>
              </w:rPr>
              <w:t>, and</w:t>
            </w:r>
            <w:r w:rsidRPr="00860442">
              <w:rPr>
                <w:sz w:val="24"/>
                <w:szCs w:val="24"/>
              </w:rPr>
              <w:t xml:space="preserve"> </w:t>
            </w:r>
            <w:r w:rsidR="00CC686B">
              <w:rPr>
                <w:sz w:val="24"/>
                <w:szCs w:val="24"/>
              </w:rPr>
              <w:t>a demographic shift toward digital natives.</w:t>
            </w:r>
          </w:p>
        </w:tc>
        <w:tc>
          <w:tcPr>
            <w:tcW w:w="2244" w:type="pct"/>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0E43B3D4" w14:textId="77777777" w:rsidR="00C728A1" w:rsidRPr="00860442" w:rsidRDefault="00EE0F76" w:rsidP="00F83C9F">
            <w:pPr>
              <w:spacing w:line="360" w:lineRule="auto"/>
              <w:jc w:val="both"/>
              <w:rPr>
                <w:sz w:val="24"/>
                <w:szCs w:val="24"/>
              </w:rPr>
            </w:pPr>
            <w:proofErr w:type="spellStart"/>
            <w:r w:rsidRPr="00860442">
              <w:rPr>
                <w:sz w:val="24"/>
                <w:szCs w:val="24"/>
              </w:rPr>
              <w:t>Personalisation</w:t>
            </w:r>
            <w:proofErr w:type="spellEnd"/>
            <w:r w:rsidRPr="00860442">
              <w:rPr>
                <w:sz w:val="24"/>
                <w:szCs w:val="24"/>
              </w:rPr>
              <w:t>-privacy paradox; trust-by-design imperative across all brand touchpoints</w:t>
            </w:r>
          </w:p>
        </w:tc>
      </w:tr>
      <w:tr w:rsidR="00C728A1" w:rsidRPr="00860442" w14:paraId="7E32FEE0" w14:textId="77777777" w:rsidTr="00254C50">
        <w:tc>
          <w:tcPr>
            <w:tcW w:w="925" w:type="pct"/>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51629F8E" w14:textId="77777777" w:rsidR="00C728A1" w:rsidRPr="00860442" w:rsidRDefault="00EE0F76" w:rsidP="00F83C9F">
            <w:pPr>
              <w:spacing w:line="360" w:lineRule="auto"/>
              <w:jc w:val="both"/>
              <w:rPr>
                <w:sz w:val="24"/>
                <w:szCs w:val="24"/>
              </w:rPr>
            </w:pPr>
            <w:r w:rsidRPr="00860442">
              <w:rPr>
                <w:b/>
                <w:bCs/>
                <w:sz w:val="24"/>
                <w:szCs w:val="24"/>
              </w:rPr>
              <w:t>Technological</w:t>
            </w:r>
          </w:p>
        </w:tc>
        <w:tc>
          <w:tcPr>
            <w:tcW w:w="1831" w:type="pct"/>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4F8FE373" w14:textId="77777777" w:rsidR="00C728A1" w:rsidRPr="00860442" w:rsidRDefault="00EE0F76" w:rsidP="00F83C9F">
            <w:pPr>
              <w:spacing w:line="360" w:lineRule="auto"/>
              <w:jc w:val="both"/>
              <w:rPr>
                <w:sz w:val="24"/>
                <w:szCs w:val="24"/>
              </w:rPr>
            </w:pPr>
            <w:r w:rsidRPr="00860442">
              <w:rPr>
                <w:sz w:val="24"/>
                <w:szCs w:val="24"/>
              </w:rPr>
              <w:t xml:space="preserve">Generative AI; </w:t>
            </w:r>
            <w:r w:rsidRPr="00860442">
              <w:rPr>
                <w:sz w:val="24"/>
                <w:szCs w:val="24"/>
              </w:rPr>
              <w:t>deepfake advertising; ensemble vs deep-learning forecasting</w:t>
            </w:r>
          </w:p>
        </w:tc>
        <w:tc>
          <w:tcPr>
            <w:tcW w:w="2244" w:type="pct"/>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5E159CF3" w14:textId="77777777" w:rsidR="00C728A1" w:rsidRPr="00860442" w:rsidRDefault="00EE0F76" w:rsidP="00F83C9F">
            <w:pPr>
              <w:spacing w:line="360" w:lineRule="auto"/>
              <w:jc w:val="both"/>
              <w:rPr>
                <w:sz w:val="24"/>
                <w:szCs w:val="24"/>
              </w:rPr>
            </w:pPr>
            <w:r w:rsidRPr="00860442">
              <w:rPr>
                <w:sz w:val="24"/>
                <w:szCs w:val="24"/>
              </w:rPr>
              <w:t>Content generation risk; model selection complexity; algorithmic opacity</w:t>
            </w:r>
          </w:p>
        </w:tc>
      </w:tr>
      <w:tr w:rsidR="00C728A1" w:rsidRPr="00860442" w14:paraId="11528EC7" w14:textId="77777777" w:rsidTr="00254C50">
        <w:tc>
          <w:tcPr>
            <w:tcW w:w="925" w:type="pct"/>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0568C719" w14:textId="77777777" w:rsidR="00C728A1" w:rsidRPr="00860442" w:rsidRDefault="00EE0F76" w:rsidP="00F83C9F">
            <w:pPr>
              <w:spacing w:line="360" w:lineRule="auto"/>
              <w:jc w:val="both"/>
              <w:rPr>
                <w:sz w:val="24"/>
                <w:szCs w:val="24"/>
              </w:rPr>
            </w:pPr>
            <w:r w:rsidRPr="00860442">
              <w:rPr>
                <w:b/>
                <w:bCs/>
                <w:sz w:val="24"/>
                <w:szCs w:val="24"/>
              </w:rPr>
              <w:t>Legal</w:t>
            </w:r>
          </w:p>
        </w:tc>
        <w:tc>
          <w:tcPr>
            <w:tcW w:w="1831" w:type="pct"/>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1FAAB6F7" w14:textId="77777777" w:rsidR="00C728A1" w:rsidRPr="00860442" w:rsidRDefault="00EE0F76" w:rsidP="00F83C9F">
            <w:pPr>
              <w:spacing w:line="360" w:lineRule="auto"/>
              <w:jc w:val="both"/>
              <w:rPr>
                <w:sz w:val="24"/>
                <w:szCs w:val="24"/>
              </w:rPr>
            </w:pPr>
            <w:r w:rsidRPr="00860442">
              <w:rPr>
                <w:sz w:val="24"/>
                <w:szCs w:val="24"/>
              </w:rPr>
              <w:t>Right to explanation; data portability; algorithmic accountability; trade secrecy tension</w:t>
            </w:r>
          </w:p>
        </w:tc>
        <w:tc>
          <w:tcPr>
            <w:tcW w:w="2244" w:type="pct"/>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7339F400" w14:textId="77777777" w:rsidR="00C728A1" w:rsidRPr="00860442" w:rsidRDefault="00EE0F76" w:rsidP="00F83C9F">
            <w:pPr>
              <w:spacing w:line="360" w:lineRule="auto"/>
              <w:jc w:val="both"/>
              <w:rPr>
                <w:sz w:val="24"/>
                <w:szCs w:val="24"/>
              </w:rPr>
            </w:pPr>
            <w:r w:rsidRPr="00860442">
              <w:rPr>
                <w:sz w:val="24"/>
                <w:szCs w:val="24"/>
              </w:rPr>
              <w:t xml:space="preserve">Disclosure redesign; GDPR Article 22 compliance gap; right-to-explanation </w:t>
            </w:r>
            <w:proofErr w:type="spellStart"/>
            <w:r w:rsidRPr="00860442">
              <w:rPr>
                <w:sz w:val="24"/>
                <w:szCs w:val="24"/>
              </w:rPr>
              <w:t>operationalisation</w:t>
            </w:r>
            <w:proofErr w:type="spellEnd"/>
          </w:p>
        </w:tc>
      </w:tr>
      <w:tr w:rsidR="00C728A1" w:rsidRPr="00860442" w14:paraId="20F8FDD3" w14:textId="77777777" w:rsidTr="00254C50">
        <w:tc>
          <w:tcPr>
            <w:tcW w:w="925" w:type="pct"/>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273C15A0" w14:textId="77777777" w:rsidR="00C728A1" w:rsidRPr="00860442" w:rsidRDefault="00EE0F76" w:rsidP="00F83C9F">
            <w:pPr>
              <w:spacing w:line="360" w:lineRule="auto"/>
              <w:jc w:val="both"/>
              <w:rPr>
                <w:sz w:val="24"/>
                <w:szCs w:val="24"/>
              </w:rPr>
            </w:pPr>
            <w:r w:rsidRPr="00860442">
              <w:rPr>
                <w:b/>
                <w:bCs/>
                <w:sz w:val="24"/>
                <w:szCs w:val="24"/>
              </w:rPr>
              <w:t>Environmental</w:t>
            </w:r>
          </w:p>
        </w:tc>
        <w:tc>
          <w:tcPr>
            <w:tcW w:w="1831" w:type="pct"/>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471670D8" w14:textId="77777777" w:rsidR="00C728A1" w:rsidRPr="00860442" w:rsidRDefault="00EE0F76" w:rsidP="00F83C9F">
            <w:pPr>
              <w:spacing w:line="360" w:lineRule="auto"/>
              <w:jc w:val="both"/>
              <w:rPr>
                <w:sz w:val="24"/>
                <w:szCs w:val="24"/>
              </w:rPr>
            </w:pPr>
            <w:r w:rsidRPr="00860442">
              <w:rPr>
                <w:sz w:val="24"/>
                <w:szCs w:val="24"/>
              </w:rPr>
              <w:t>AI energy consumption; ESG reporting expectations from institutional investors</w:t>
            </w:r>
          </w:p>
        </w:tc>
        <w:tc>
          <w:tcPr>
            <w:tcW w:w="2244" w:type="pct"/>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42F3E084" w14:textId="77777777" w:rsidR="00C728A1" w:rsidRPr="00860442" w:rsidRDefault="00EE0F76" w:rsidP="00F83C9F">
            <w:pPr>
              <w:spacing w:line="360" w:lineRule="auto"/>
              <w:jc w:val="both"/>
              <w:rPr>
                <w:sz w:val="24"/>
                <w:szCs w:val="24"/>
              </w:rPr>
            </w:pPr>
            <w:r w:rsidRPr="00860442">
              <w:rPr>
                <w:sz w:val="24"/>
                <w:szCs w:val="24"/>
              </w:rPr>
              <w:t xml:space="preserve">AI infrastructure sustainability obligations; integration with </w:t>
            </w:r>
            <w:r w:rsidRPr="00860442">
              <w:rPr>
                <w:sz w:val="24"/>
                <w:szCs w:val="24"/>
              </w:rPr>
              <w:t>Unilever Climate Transition Plan</w:t>
            </w:r>
          </w:p>
        </w:tc>
      </w:tr>
    </w:tbl>
    <w:p w14:paraId="088AE80F" w14:textId="3F7790BF" w:rsidR="00C728A1" w:rsidRPr="00860442" w:rsidRDefault="00EE0F76" w:rsidP="00F83C9F">
      <w:pPr>
        <w:pStyle w:val="Heading2"/>
      </w:pPr>
      <w:bookmarkStart w:id="3" w:name="_Toc228193098"/>
      <w:r w:rsidRPr="00860442">
        <w:t>Political and Regulatory Environment</w:t>
      </w:r>
      <w:bookmarkEnd w:id="3"/>
    </w:p>
    <w:p w14:paraId="15CBCEA9" w14:textId="4ABC9BC9" w:rsidR="0087724A" w:rsidRPr="0087724A" w:rsidRDefault="00D95469" w:rsidP="00F83C9F">
      <w:pPr>
        <w:spacing w:line="360" w:lineRule="auto"/>
        <w:jc w:val="both"/>
        <w:rPr>
          <w:sz w:val="24"/>
          <w:szCs w:val="24"/>
        </w:rPr>
      </w:pPr>
      <w:r w:rsidRPr="00D95469">
        <w:rPr>
          <w:sz w:val="24"/>
          <w:szCs w:val="24"/>
        </w:rPr>
        <w:t xml:space="preserve">Unilever AI </w:t>
      </w:r>
      <w:r w:rsidR="000703CE">
        <w:rPr>
          <w:sz w:val="24"/>
          <w:szCs w:val="24"/>
        </w:rPr>
        <w:t>operations'</w:t>
      </w:r>
      <w:r w:rsidRPr="00D95469">
        <w:rPr>
          <w:sz w:val="24"/>
          <w:szCs w:val="24"/>
        </w:rPr>
        <w:t xml:space="preserve"> regulatory environment is increasingly becoming more complex and also increasing in its enforcement effect. The issue of </w:t>
      </w:r>
      <w:r w:rsidR="000703CE">
        <w:rPr>
          <w:sz w:val="24"/>
          <w:szCs w:val="24"/>
        </w:rPr>
        <w:t>which rules to apply is not the most important one for analysis; rather, it is how the difference between the UK and EU regulatory philosophies ties the cost of compounded</w:t>
      </w:r>
      <w:r w:rsidRPr="00D95469">
        <w:rPr>
          <w:sz w:val="24"/>
          <w:szCs w:val="24"/>
        </w:rPr>
        <w:t xml:space="preserve"> governance to a company receiving consumer information in both places.</w:t>
      </w:r>
      <w:r w:rsidR="0087724A" w:rsidRPr="0087724A">
        <w:rPr>
          <w:sz w:val="24"/>
          <w:szCs w:val="24"/>
        </w:rPr>
        <w:t xml:space="preserve"> The latest formulation of this dilemma, by De Elizalde (2025)</w:t>
      </w:r>
      <w:r w:rsidR="00284783">
        <w:rPr>
          <w:sz w:val="24"/>
          <w:szCs w:val="24"/>
        </w:rPr>
        <w:t>,</w:t>
      </w:r>
      <w:r w:rsidR="0087724A" w:rsidRPr="0087724A">
        <w:rPr>
          <w:sz w:val="24"/>
          <w:szCs w:val="24"/>
        </w:rPr>
        <w:t xml:space="preserve"> is that the cumulative character of the architecture of the Digital Markets Act, the Digital Services Act and the GDPR has produced a disjointed set of consumer law wherein each device </w:t>
      </w:r>
      <w:r w:rsidR="00284783">
        <w:rPr>
          <w:sz w:val="24"/>
          <w:szCs w:val="24"/>
        </w:rPr>
        <w:t>fulfils</w:t>
      </w:r>
      <w:r w:rsidR="0087724A" w:rsidRPr="0087724A">
        <w:rPr>
          <w:sz w:val="24"/>
          <w:szCs w:val="24"/>
        </w:rPr>
        <w:t xml:space="preserve"> worthy individual functions</w:t>
      </w:r>
      <w:r w:rsidR="00284783">
        <w:rPr>
          <w:sz w:val="24"/>
          <w:szCs w:val="24"/>
        </w:rPr>
        <w:t>,</w:t>
      </w:r>
      <w:r w:rsidR="0087724A" w:rsidRPr="0087724A">
        <w:rPr>
          <w:sz w:val="24"/>
          <w:szCs w:val="24"/>
        </w:rPr>
        <w:t xml:space="preserve"> platform accountability, online safety, </w:t>
      </w:r>
      <w:r w:rsidR="00284783">
        <w:rPr>
          <w:sz w:val="24"/>
          <w:szCs w:val="24"/>
        </w:rPr>
        <w:t xml:space="preserve">and </w:t>
      </w:r>
      <w:r w:rsidR="0087724A" w:rsidRPr="0087724A">
        <w:rPr>
          <w:sz w:val="24"/>
          <w:szCs w:val="24"/>
        </w:rPr>
        <w:t>data rights without the systemic coordination of multinational operators that they require. At Unilever, such fragmentation is not an imaginary compliance bother: the disclosure provisions of the DSA will determine how the advertising content created by the AI should be disclosed to the consumers in the EU, the interoperability provisions of the DMA will alter the commercial terms of the relationships between the Unilever and the Google and the Meta, and the prohibition on manipulative AI practices of the EU AI Act will create a legal obstacle that will have to</w:t>
      </w:r>
    </w:p>
    <w:p w14:paraId="46C3D959" w14:textId="74F14603" w:rsidR="0087724A" w:rsidRPr="0087724A" w:rsidRDefault="0087724A" w:rsidP="00F83C9F">
      <w:pPr>
        <w:spacing w:line="360" w:lineRule="auto"/>
        <w:jc w:val="both"/>
        <w:rPr>
          <w:sz w:val="24"/>
          <w:szCs w:val="24"/>
        </w:rPr>
      </w:pPr>
      <w:r w:rsidRPr="0087724A">
        <w:rPr>
          <w:sz w:val="24"/>
          <w:szCs w:val="24"/>
        </w:rPr>
        <w:t xml:space="preserve">The </w:t>
      </w:r>
      <w:r w:rsidR="00284783">
        <w:rPr>
          <w:sz w:val="24"/>
          <w:szCs w:val="24"/>
        </w:rPr>
        <w:t xml:space="preserve">governance gap that is most practically high-stakes in the existing AI architecture at Unilever is the </w:t>
      </w:r>
      <w:proofErr w:type="spellStart"/>
      <w:r w:rsidR="00284783">
        <w:rPr>
          <w:sz w:val="24"/>
          <w:szCs w:val="24"/>
        </w:rPr>
        <w:t>operationalisation</w:t>
      </w:r>
      <w:proofErr w:type="spellEnd"/>
      <w:r w:rsidR="00284783">
        <w:rPr>
          <w:sz w:val="24"/>
          <w:szCs w:val="24"/>
        </w:rPr>
        <w:t xml:space="preserve"> of GDPR Article 22,</w:t>
      </w:r>
      <w:r w:rsidRPr="0087724A">
        <w:rPr>
          <w:sz w:val="24"/>
          <w:szCs w:val="24"/>
        </w:rPr>
        <w:t xml:space="preserve"> the right to a meaningful explanation </w:t>
      </w:r>
      <w:r w:rsidRPr="0087724A">
        <w:rPr>
          <w:sz w:val="24"/>
          <w:szCs w:val="24"/>
        </w:rPr>
        <w:lastRenderedPageBreak/>
        <w:t xml:space="preserve">of automated decision-making. Systemic inadequacy was one of the findings of a multinational empirical study of how this right is implemented by </w:t>
      </w:r>
      <w:proofErr w:type="spellStart"/>
      <w:r w:rsidRPr="0087724A">
        <w:rPr>
          <w:sz w:val="24"/>
          <w:szCs w:val="24"/>
        </w:rPr>
        <w:t>organisations</w:t>
      </w:r>
      <w:proofErr w:type="spellEnd"/>
      <w:r w:rsidRPr="0087724A">
        <w:rPr>
          <w:sz w:val="24"/>
          <w:szCs w:val="24"/>
        </w:rPr>
        <w:t xml:space="preserve"> by </w:t>
      </w:r>
      <w:proofErr w:type="spellStart"/>
      <w:r w:rsidRPr="0087724A">
        <w:rPr>
          <w:sz w:val="24"/>
          <w:szCs w:val="24"/>
        </w:rPr>
        <w:t>Dexe</w:t>
      </w:r>
      <w:proofErr w:type="spellEnd"/>
      <w:r w:rsidRPr="0087724A">
        <w:rPr>
          <w:sz w:val="24"/>
          <w:szCs w:val="24"/>
        </w:rPr>
        <w:t xml:space="preserve">, Franke, Söderlund, van </w:t>
      </w:r>
      <w:proofErr w:type="spellStart"/>
      <w:r w:rsidRPr="0087724A">
        <w:rPr>
          <w:sz w:val="24"/>
          <w:szCs w:val="24"/>
        </w:rPr>
        <w:t>Berkel</w:t>
      </w:r>
      <w:proofErr w:type="spellEnd"/>
      <w:r w:rsidRPr="0087724A">
        <w:rPr>
          <w:sz w:val="24"/>
          <w:szCs w:val="24"/>
        </w:rPr>
        <w:t xml:space="preserve">, Jensen, </w:t>
      </w:r>
      <w:proofErr w:type="spellStart"/>
      <w:r w:rsidRPr="0087724A">
        <w:rPr>
          <w:sz w:val="24"/>
          <w:szCs w:val="24"/>
        </w:rPr>
        <w:t>Lepinkainen</w:t>
      </w:r>
      <w:proofErr w:type="spellEnd"/>
      <w:r w:rsidRPr="0087724A">
        <w:rPr>
          <w:sz w:val="24"/>
          <w:szCs w:val="24"/>
        </w:rPr>
        <w:t xml:space="preserve"> and </w:t>
      </w:r>
      <w:proofErr w:type="spellStart"/>
      <w:r w:rsidRPr="0087724A">
        <w:rPr>
          <w:sz w:val="24"/>
          <w:szCs w:val="24"/>
        </w:rPr>
        <w:t>Vaiste</w:t>
      </w:r>
      <w:proofErr w:type="spellEnd"/>
      <w:r w:rsidRPr="0087724A">
        <w:rPr>
          <w:sz w:val="24"/>
          <w:szCs w:val="24"/>
        </w:rPr>
        <w:t xml:space="preserve"> (2022): the overwhelming majority of disclosures were technically but communicatively opaque, in that no decision-logic was presented in a form that would be interpreted and acted A consumer appealing against such a decision is entitled under Article 22 to a meaningful explanation; Unilever current disclosure system is not a dependable method to do so. This is not just a hypothetical regulatory risk</w:t>
      </w:r>
      <w:r w:rsidR="00284783">
        <w:rPr>
          <w:sz w:val="24"/>
          <w:szCs w:val="24"/>
        </w:rPr>
        <w:t>. Since</w:t>
      </w:r>
      <w:r w:rsidRPr="0087724A">
        <w:rPr>
          <w:sz w:val="24"/>
          <w:szCs w:val="24"/>
        </w:rPr>
        <w:t xml:space="preserve"> 2022, </w:t>
      </w:r>
      <w:r w:rsidR="00284783">
        <w:rPr>
          <w:sz w:val="24"/>
          <w:szCs w:val="24"/>
        </w:rPr>
        <w:t>the ICO's enforcement posture has evolved</w:t>
      </w:r>
      <w:r w:rsidRPr="0087724A">
        <w:rPr>
          <w:sz w:val="24"/>
          <w:szCs w:val="24"/>
        </w:rPr>
        <w:t>, and the European Data Protection Board has issued a binding opinion on the same requirement.</w:t>
      </w:r>
    </w:p>
    <w:p w14:paraId="62760EC3" w14:textId="708AD48E" w:rsidR="0087724A" w:rsidRPr="0087724A" w:rsidRDefault="00D95469" w:rsidP="00F83C9F">
      <w:pPr>
        <w:spacing w:line="360" w:lineRule="auto"/>
        <w:jc w:val="both"/>
        <w:rPr>
          <w:sz w:val="24"/>
          <w:szCs w:val="24"/>
        </w:rPr>
      </w:pPr>
      <w:r w:rsidRPr="00D95469">
        <w:rPr>
          <w:sz w:val="24"/>
          <w:szCs w:val="24"/>
        </w:rPr>
        <w:t xml:space="preserve">Data portability contributes to these requirements. </w:t>
      </w:r>
      <w:proofErr w:type="spellStart"/>
      <w:r w:rsidRPr="00D95469">
        <w:rPr>
          <w:sz w:val="24"/>
          <w:szCs w:val="24"/>
        </w:rPr>
        <w:t>Kuebler-Wachendorff</w:t>
      </w:r>
      <w:proofErr w:type="spellEnd"/>
      <w:r w:rsidRPr="00D95469">
        <w:rPr>
          <w:sz w:val="24"/>
          <w:szCs w:val="24"/>
        </w:rPr>
        <w:t xml:space="preserve"> et al. (2021) </w:t>
      </w:r>
      <w:r w:rsidR="000703CE">
        <w:rPr>
          <w:sz w:val="24"/>
          <w:szCs w:val="24"/>
        </w:rPr>
        <w:t>identify a conceptual gap between the theoretical goal of GDPR Article 20 to empower consumers and encourage market processes, and the lack of technical interoperability and the inequality of implementation at</w:t>
      </w:r>
      <w:r w:rsidRPr="00D95469">
        <w:rPr>
          <w:sz w:val="24"/>
          <w:szCs w:val="24"/>
        </w:rPr>
        <w:t xml:space="preserve"> the national level. </w:t>
      </w:r>
      <w:proofErr w:type="spellStart"/>
      <w:r w:rsidRPr="00D95469">
        <w:rPr>
          <w:sz w:val="24"/>
          <w:szCs w:val="24"/>
        </w:rPr>
        <w:t>Centralised</w:t>
      </w:r>
      <w:proofErr w:type="spellEnd"/>
      <w:r w:rsidRPr="00D95469">
        <w:rPr>
          <w:sz w:val="24"/>
          <w:szCs w:val="24"/>
        </w:rPr>
        <w:t xml:space="preserve"> consumer </w:t>
      </w:r>
      <w:proofErr w:type="spellStart"/>
      <w:r w:rsidRPr="00D95469">
        <w:rPr>
          <w:sz w:val="24"/>
          <w:szCs w:val="24"/>
        </w:rPr>
        <w:t>behavioural</w:t>
      </w:r>
      <w:proofErr w:type="spellEnd"/>
      <w:r w:rsidRPr="00D95469">
        <w:rPr>
          <w:sz w:val="24"/>
          <w:szCs w:val="24"/>
        </w:rPr>
        <w:t xml:space="preserve"> data </w:t>
      </w:r>
      <w:r w:rsidR="000703CE">
        <w:rPr>
          <w:sz w:val="24"/>
          <w:szCs w:val="24"/>
        </w:rPr>
        <w:t>across hundreds of brand digital touchpoints is a compliance factor at Unilever and, in itself, a reputational indicator</w:t>
      </w:r>
      <w:r w:rsidRPr="00D95469">
        <w:rPr>
          <w:sz w:val="24"/>
          <w:szCs w:val="24"/>
        </w:rPr>
        <w:t xml:space="preserve"> of data custodianship. Rubinfeld (2023) further puts this into context, </w:t>
      </w:r>
      <w:r w:rsidR="000703CE">
        <w:rPr>
          <w:sz w:val="24"/>
          <w:szCs w:val="24"/>
        </w:rPr>
        <w:t>highlighting a structural difference between the EU's prescriptive portability framework and the US's sector-specific self-regulatory approach</w:t>
      </w:r>
      <w:r w:rsidRPr="00D95469">
        <w:rPr>
          <w:sz w:val="24"/>
          <w:szCs w:val="24"/>
        </w:rPr>
        <w:t xml:space="preserve">. This divergence compels Unilever to </w:t>
      </w:r>
      <w:r w:rsidR="000703CE">
        <w:rPr>
          <w:sz w:val="24"/>
          <w:szCs w:val="24"/>
        </w:rPr>
        <w:t>maintain a dual compliance structure worldwide,</w:t>
      </w:r>
      <w:r w:rsidRPr="00D95469">
        <w:rPr>
          <w:sz w:val="24"/>
          <w:szCs w:val="24"/>
        </w:rPr>
        <w:t xml:space="preserve"> at a high cost in terms of resources.</w:t>
      </w:r>
    </w:p>
    <w:p w14:paraId="6CC45CE2" w14:textId="27EFB689" w:rsidR="00C728A1" w:rsidRPr="00860442" w:rsidRDefault="0087724A" w:rsidP="00F83C9F">
      <w:pPr>
        <w:spacing w:line="360" w:lineRule="auto"/>
        <w:jc w:val="both"/>
        <w:rPr>
          <w:sz w:val="24"/>
          <w:szCs w:val="24"/>
        </w:rPr>
      </w:pPr>
      <w:r w:rsidRPr="0087724A">
        <w:rPr>
          <w:sz w:val="24"/>
          <w:szCs w:val="24"/>
        </w:rPr>
        <w:t xml:space="preserve">The UK post-Brexit policy has resulted in an innovation-permissive regulatory environment: the AI Safety Institute is founded on voluntary engagement rather than on a legal requirement, and the ICO guidance frameworks are more operationally flexible than the risk-classification framework of the EU AI Act. An examination of the underlying architecture of privacy-by-design in the current data protection framework, </w:t>
      </w:r>
      <w:proofErr w:type="spellStart"/>
      <w:r w:rsidRPr="0087724A">
        <w:rPr>
          <w:sz w:val="24"/>
          <w:szCs w:val="24"/>
        </w:rPr>
        <w:t>Suwannakit</w:t>
      </w:r>
      <w:proofErr w:type="spellEnd"/>
      <w:r w:rsidRPr="0087724A">
        <w:rPr>
          <w:sz w:val="24"/>
          <w:szCs w:val="24"/>
        </w:rPr>
        <w:t xml:space="preserve"> (2019) presents a convincing case that placing privacy requirements </w:t>
      </w:r>
      <w:r w:rsidR="00284783">
        <w:rPr>
          <w:sz w:val="24"/>
          <w:szCs w:val="24"/>
        </w:rPr>
        <w:t>at the system design stage, rather than trying to implement compliance in deployed systems, yields</w:t>
      </w:r>
      <w:r w:rsidRPr="0087724A">
        <w:rPr>
          <w:sz w:val="24"/>
          <w:szCs w:val="24"/>
        </w:rPr>
        <w:t xml:space="preserve"> more substantial long-term regulatory compliance. This has not been implemented </w:t>
      </w:r>
      <w:r w:rsidR="00284783">
        <w:rPr>
          <w:sz w:val="24"/>
          <w:szCs w:val="24"/>
        </w:rPr>
        <w:t>well enough in the Unilever AI implementation journey, where governance review has never been a pre-factum but a post-factum</w:t>
      </w:r>
      <w:r w:rsidRPr="0087724A">
        <w:rPr>
          <w:sz w:val="24"/>
          <w:szCs w:val="24"/>
        </w:rPr>
        <w:t xml:space="preserve"> capability deployment. This effect is justified </w:t>
      </w:r>
      <w:r w:rsidR="00284783">
        <w:rPr>
          <w:sz w:val="24"/>
          <w:szCs w:val="24"/>
        </w:rPr>
        <w:t xml:space="preserve">by Wulf and Seizov (2022): a critical analysis of GDPR-mandated AI disclosures in large </w:t>
      </w:r>
      <w:proofErr w:type="spellStart"/>
      <w:r w:rsidR="00284783">
        <w:rPr>
          <w:sz w:val="24"/>
          <w:szCs w:val="24"/>
        </w:rPr>
        <w:t>organisations</w:t>
      </w:r>
      <w:proofErr w:type="spellEnd"/>
      <w:r w:rsidR="00284783">
        <w:rPr>
          <w:sz w:val="24"/>
          <w:szCs w:val="24"/>
        </w:rPr>
        <w:t xml:space="preserve"> conducted by the author has shown that the disclosures of the present generation are generic and technical, and seem self-defensive rather than informative on the part of</w:t>
      </w:r>
      <w:r w:rsidRPr="0087724A">
        <w:rPr>
          <w:sz w:val="24"/>
          <w:szCs w:val="24"/>
        </w:rPr>
        <w:t xml:space="preserve"> the institutions. Ducato (2021) reinforces the analytical boundaries of this problem by virtue </w:t>
      </w:r>
      <w:r w:rsidRPr="0087724A">
        <w:rPr>
          <w:sz w:val="24"/>
          <w:szCs w:val="24"/>
        </w:rPr>
        <w:lastRenderedPageBreak/>
        <w:t>of the definition of automated decision-making under the GDPR</w:t>
      </w:r>
      <w:r w:rsidR="00284783">
        <w:rPr>
          <w:sz w:val="24"/>
          <w:szCs w:val="24"/>
        </w:rPr>
        <w:t>, which applies to AI-assisted tools in which the human review is nominal,</w:t>
      </w:r>
      <w:r w:rsidRPr="0087724A">
        <w:rPr>
          <w:sz w:val="24"/>
          <w:szCs w:val="24"/>
        </w:rPr>
        <w:t xml:space="preserve"> a category applied to most but not all AI-assisted marketing decisions made by Unilever.</w:t>
      </w:r>
    </w:p>
    <w:p w14:paraId="70F1B63D" w14:textId="7857985E" w:rsidR="00C728A1" w:rsidRPr="00860442" w:rsidRDefault="00EE0F76" w:rsidP="00F83C9F">
      <w:pPr>
        <w:pStyle w:val="Heading2"/>
      </w:pPr>
      <w:bookmarkStart w:id="4" w:name="_Toc228193099"/>
      <w:r w:rsidRPr="00860442">
        <w:t>Technological Change and Macroeconomic Context</w:t>
      </w:r>
      <w:bookmarkEnd w:id="4"/>
    </w:p>
    <w:p w14:paraId="1403AD5C" w14:textId="71244AE0" w:rsidR="0087724A" w:rsidRPr="0087724A" w:rsidRDefault="0087724A" w:rsidP="00F83C9F">
      <w:pPr>
        <w:spacing w:line="360" w:lineRule="auto"/>
        <w:jc w:val="both"/>
        <w:rPr>
          <w:sz w:val="24"/>
          <w:szCs w:val="24"/>
        </w:rPr>
      </w:pPr>
      <w:r w:rsidRPr="0087724A">
        <w:rPr>
          <w:sz w:val="24"/>
          <w:szCs w:val="24"/>
        </w:rPr>
        <w:t xml:space="preserve">The Unilever AI solution is built across the advertising value chain, which comprises audience segmentation, dynamic </w:t>
      </w:r>
      <w:proofErr w:type="spellStart"/>
      <w:r w:rsidRPr="0087724A">
        <w:rPr>
          <w:sz w:val="24"/>
          <w:szCs w:val="24"/>
        </w:rPr>
        <w:t>personalisation</w:t>
      </w:r>
      <w:proofErr w:type="spellEnd"/>
      <w:r w:rsidRPr="0087724A">
        <w:rPr>
          <w:sz w:val="24"/>
          <w:szCs w:val="24"/>
        </w:rPr>
        <w:t xml:space="preserve">, generative content, and campaign </w:t>
      </w:r>
      <w:proofErr w:type="spellStart"/>
      <w:r w:rsidRPr="0087724A">
        <w:rPr>
          <w:sz w:val="24"/>
          <w:szCs w:val="24"/>
        </w:rPr>
        <w:t>optimisation</w:t>
      </w:r>
      <w:proofErr w:type="spellEnd"/>
      <w:r w:rsidRPr="0087724A">
        <w:rPr>
          <w:sz w:val="24"/>
          <w:szCs w:val="24"/>
        </w:rPr>
        <w:t xml:space="preserve">. The latest overview of this landscape is provided by Gao et al. (2023), who not only </w:t>
      </w:r>
      <w:r w:rsidR="00284783">
        <w:rPr>
          <w:sz w:val="24"/>
          <w:szCs w:val="24"/>
        </w:rPr>
        <w:t>map</w:t>
      </w:r>
      <w:r w:rsidRPr="0087724A">
        <w:rPr>
          <w:sz w:val="24"/>
          <w:szCs w:val="24"/>
        </w:rPr>
        <w:t xml:space="preserve"> the performance benefits that AI introduces to each </w:t>
      </w:r>
      <w:r w:rsidR="00CC686B">
        <w:rPr>
          <w:sz w:val="24"/>
          <w:szCs w:val="24"/>
        </w:rPr>
        <w:t xml:space="preserve">function but also the ethical traps </w:t>
      </w:r>
      <w:r w:rsidRPr="0087724A">
        <w:rPr>
          <w:sz w:val="24"/>
          <w:szCs w:val="24"/>
        </w:rPr>
        <w:t xml:space="preserve">inherent to them. The performance case is adequately explained: empirically, Deng et al. (2019) demonstrated that AI systems capable of generating </w:t>
      </w:r>
      <w:proofErr w:type="spellStart"/>
      <w:r w:rsidRPr="0087724A">
        <w:rPr>
          <w:sz w:val="24"/>
          <w:szCs w:val="24"/>
        </w:rPr>
        <w:t>personalised</w:t>
      </w:r>
      <w:proofErr w:type="spellEnd"/>
      <w:r w:rsidRPr="0087724A">
        <w:rPr>
          <w:sz w:val="24"/>
          <w:szCs w:val="24"/>
        </w:rPr>
        <w:t xml:space="preserve"> advertising copy </w:t>
      </w:r>
      <w:r w:rsidR="00284783">
        <w:rPr>
          <w:sz w:val="24"/>
          <w:szCs w:val="24"/>
        </w:rPr>
        <w:t xml:space="preserve">consistently outperform rule-based and human-written systems on engagement metrics, which explains the commercial logic of Unilever's vast investment </w:t>
      </w:r>
      <w:r w:rsidRPr="0087724A">
        <w:rPr>
          <w:sz w:val="24"/>
          <w:szCs w:val="24"/>
        </w:rPr>
        <w:t xml:space="preserve">in AI-generated content. Muhammad </w:t>
      </w:r>
      <w:proofErr w:type="spellStart"/>
      <w:r w:rsidRPr="0087724A">
        <w:rPr>
          <w:sz w:val="24"/>
          <w:szCs w:val="24"/>
        </w:rPr>
        <w:t>Zulhusni</w:t>
      </w:r>
      <w:proofErr w:type="spellEnd"/>
      <w:r w:rsidRPr="0087724A">
        <w:rPr>
          <w:sz w:val="24"/>
          <w:szCs w:val="24"/>
        </w:rPr>
        <w:t xml:space="preserve"> (2026) confirms the working reality: nowadays</w:t>
      </w:r>
      <w:r w:rsidR="00284783">
        <w:rPr>
          <w:sz w:val="24"/>
          <w:szCs w:val="24"/>
        </w:rPr>
        <w:t>, Unilever has a larger partnership with Google Cloud,</w:t>
      </w:r>
      <w:r w:rsidRPr="0087724A">
        <w:rPr>
          <w:sz w:val="24"/>
          <w:szCs w:val="24"/>
        </w:rPr>
        <w:t xml:space="preserve"> where AI-based marketing content creation, consumer </w:t>
      </w:r>
      <w:proofErr w:type="spellStart"/>
      <w:r w:rsidRPr="0087724A">
        <w:rPr>
          <w:sz w:val="24"/>
          <w:szCs w:val="24"/>
        </w:rPr>
        <w:t>behaviour</w:t>
      </w:r>
      <w:proofErr w:type="spellEnd"/>
      <w:r w:rsidRPr="0087724A">
        <w:rPr>
          <w:sz w:val="24"/>
          <w:szCs w:val="24"/>
        </w:rPr>
        <w:t xml:space="preserve"> modelling, and commercial decision-making capabilities are integrated </w:t>
      </w:r>
      <w:r w:rsidR="00CC686B">
        <w:rPr>
          <w:sz w:val="24"/>
          <w:szCs w:val="24"/>
        </w:rPr>
        <w:t xml:space="preserve">to accelerate the transformation of </w:t>
      </w:r>
      <w:r w:rsidRPr="0087724A">
        <w:rPr>
          <w:sz w:val="24"/>
          <w:szCs w:val="24"/>
        </w:rPr>
        <w:t>consumer insight generation into market activation.</w:t>
      </w:r>
    </w:p>
    <w:p w14:paraId="6C1E64E2" w14:textId="4E06A61B" w:rsidR="0087724A" w:rsidRPr="0087724A" w:rsidRDefault="0087724A" w:rsidP="00F83C9F">
      <w:pPr>
        <w:spacing w:line="360" w:lineRule="auto"/>
        <w:jc w:val="both"/>
        <w:rPr>
          <w:sz w:val="24"/>
          <w:szCs w:val="24"/>
        </w:rPr>
      </w:pPr>
      <w:r w:rsidRPr="0087724A">
        <w:rPr>
          <w:sz w:val="24"/>
          <w:szCs w:val="24"/>
        </w:rPr>
        <w:t xml:space="preserve">Campbell et al. (2022) stretch the horizon to argue that the technologies of generative AI and synthetic media are entirely disrupting brand storytelling by enabling it to be hyper-realistic, </w:t>
      </w:r>
      <w:proofErr w:type="spellStart"/>
      <w:r w:rsidRPr="0087724A">
        <w:rPr>
          <w:sz w:val="24"/>
          <w:szCs w:val="24"/>
        </w:rPr>
        <w:t>personalised</w:t>
      </w:r>
      <w:proofErr w:type="spellEnd"/>
      <w:r w:rsidRPr="0087724A">
        <w:rPr>
          <w:sz w:val="24"/>
          <w:szCs w:val="24"/>
        </w:rPr>
        <w:t xml:space="preserve">, and produced at production economics previously unattainable. The politics of this route is larger than the current Unilever practice acknowledges: the indistinction of human-made and AI-produced brand communication leaves the authenticity clues on which consumer trust is based structurally unclear. According to Verma et al. (2021), the three areas that </w:t>
      </w:r>
      <w:r w:rsidR="00284783">
        <w:rPr>
          <w:sz w:val="24"/>
          <w:szCs w:val="24"/>
        </w:rPr>
        <w:t>deliver the most consistent, quantifiable AI value in marketing scenarios are demand forecasting, sentiment analysis, and dynamic pricing, which align perfectly with Unilever's priorities</w:t>
      </w:r>
      <w:r w:rsidRPr="0087724A">
        <w:rPr>
          <w:sz w:val="24"/>
          <w:szCs w:val="24"/>
        </w:rPr>
        <w:t xml:space="preserve">. In a comparison </w:t>
      </w:r>
      <w:r w:rsidR="00284783">
        <w:rPr>
          <w:sz w:val="24"/>
          <w:szCs w:val="24"/>
        </w:rPr>
        <w:t xml:space="preserve">of ensemble methods and LSTM deep learning models for predicting retail demand, Nasseri et al. (2023) found that the former </w:t>
      </w:r>
      <w:r w:rsidR="00CC686B">
        <w:rPr>
          <w:sz w:val="24"/>
          <w:szCs w:val="24"/>
        </w:rPr>
        <w:t>performed better on</w:t>
      </w:r>
      <w:r w:rsidR="00284783">
        <w:rPr>
          <w:sz w:val="24"/>
          <w:szCs w:val="24"/>
        </w:rPr>
        <w:t xml:space="preserve"> traditional retail data</w:t>
      </w:r>
      <w:r w:rsidR="00CC686B">
        <w:rPr>
          <w:sz w:val="24"/>
          <w:szCs w:val="24"/>
        </w:rPr>
        <w:t>. In contrast, the</w:t>
      </w:r>
      <w:r w:rsidR="00284783">
        <w:rPr>
          <w:sz w:val="24"/>
          <w:szCs w:val="24"/>
        </w:rPr>
        <w:t xml:space="preserve"> latter excels in dynamic,</w:t>
      </w:r>
      <w:r w:rsidRPr="0087724A">
        <w:rPr>
          <w:sz w:val="24"/>
          <w:szCs w:val="24"/>
        </w:rPr>
        <w:t xml:space="preserve"> volatile demand conditions. Lin et al. (2022) even further demonstrate that AI systems that handle consumer-created content may greatly reduce the product innovation timelines a feature that Unilever </w:t>
      </w:r>
      <w:proofErr w:type="spellStart"/>
      <w:r w:rsidRPr="0087724A">
        <w:rPr>
          <w:sz w:val="24"/>
          <w:szCs w:val="24"/>
        </w:rPr>
        <w:t>operationalises</w:t>
      </w:r>
      <w:proofErr w:type="spellEnd"/>
      <w:r w:rsidRPr="0087724A">
        <w:rPr>
          <w:sz w:val="24"/>
          <w:szCs w:val="24"/>
        </w:rPr>
        <w:t xml:space="preserve"> partially through social listening and not at all through formal demand planning.</w:t>
      </w:r>
    </w:p>
    <w:p w14:paraId="5AC0B56C" w14:textId="77777777" w:rsidR="00B40239" w:rsidRPr="00F351F4" w:rsidRDefault="0087724A" w:rsidP="00F83C9F">
      <w:pPr>
        <w:spacing w:line="360" w:lineRule="auto"/>
        <w:jc w:val="both"/>
        <w:rPr>
          <w:color w:val="FFFFFF" w:themeColor="background1"/>
          <w:sz w:val="24"/>
          <w:szCs w:val="24"/>
        </w:rPr>
      </w:pPr>
      <w:r w:rsidRPr="0087724A">
        <w:rPr>
          <w:sz w:val="24"/>
          <w:szCs w:val="24"/>
        </w:rPr>
        <w:t xml:space="preserve">The macroeconomic component of AI demand forecasting is poorly addressed in the overall corporate AI strategies and Unilever is not an exception. </w:t>
      </w:r>
      <w:proofErr w:type="spellStart"/>
      <w:r w:rsidRPr="0087724A">
        <w:rPr>
          <w:sz w:val="24"/>
          <w:szCs w:val="24"/>
        </w:rPr>
        <w:t>Muth</w:t>
      </w:r>
      <w:proofErr w:type="spellEnd"/>
      <w:r w:rsidRPr="0087724A">
        <w:rPr>
          <w:sz w:val="24"/>
          <w:szCs w:val="24"/>
        </w:rPr>
        <w:t xml:space="preserve">, </w:t>
      </w:r>
      <w:proofErr w:type="spellStart"/>
      <w:r w:rsidRPr="0087724A">
        <w:rPr>
          <w:sz w:val="24"/>
          <w:szCs w:val="24"/>
        </w:rPr>
        <w:t>Lingenfeld</w:t>
      </w:r>
      <w:proofErr w:type="spellEnd"/>
      <w:r w:rsidRPr="0087724A">
        <w:rPr>
          <w:sz w:val="24"/>
          <w:szCs w:val="24"/>
        </w:rPr>
        <w:t xml:space="preserve"> and </w:t>
      </w:r>
      <w:proofErr w:type="spellStart"/>
      <w:r w:rsidRPr="0087724A">
        <w:rPr>
          <w:sz w:val="24"/>
          <w:szCs w:val="24"/>
        </w:rPr>
        <w:lastRenderedPageBreak/>
        <w:t>Nufer</w:t>
      </w:r>
      <w:proofErr w:type="spellEnd"/>
      <w:r w:rsidRPr="0087724A">
        <w:rPr>
          <w:sz w:val="24"/>
          <w:szCs w:val="24"/>
        </w:rPr>
        <w:t xml:space="preserve"> (2024) carried out a systematic literature review</w:t>
      </w:r>
      <w:r w:rsidR="00284783">
        <w:rPr>
          <w:sz w:val="24"/>
          <w:szCs w:val="24"/>
        </w:rPr>
        <w:t>,</w:t>
      </w:r>
      <w:r w:rsidRPr="0087724A">
        <w:rPr>
          <w:sz w:val="24"/>
          <w:szCs w:val="24"/>
        </w:rPr>
        <w:t xml:space="preserve"> which found that machine learning models trained on pre-disruption data tend to perform poorly during periods of structural economic change: inflationary shocks, interest rate cycle disruption and supply chain disruption all introduce distributional shifts that do not satisfy the statistical assumptions on which historical training data is conditioned. It is not a marginal technical problem it i</w:t>
      </w:r>
      <w:r w:rsidRPr="00F351F4">
        <w:rPr>
          <w:color w:val="FFFFFF" w:themeColor="background1"/>
          <w:sz w:val="24"/>
          <w:szCs w:val="24"/>
        </w:rPr>
        <w:t xml:space="preserve">s </w:t>
      </w:r>
    </w:p>
    <w:tbl>
      <w:tblPr>
        <w:tblStyle w:val="TableGrid"/>
        <w:tblpPr w:leftFromText="180" w:rightFromText="180" w:vertAnchor="text" w:tblpY="212"/>
        <w:tblW w:w="0" w:type="auto"/>
        <w:tblLook w:val="04A0" w:firstRow="1" w:lastRow="0" w:firstColumn="1" w:lastColumn="0" w:noHBand="0" w:noVBand="1"/>
      </w:tblPr>
      <w:tblGrid>
        <w:gridCol w:w="2123"/>
        <w:gridCol w:w="7253"/>
      </w:tblGrid>
      <w:tr w:rsidR="00B40239" w:rsidRPr="00F351F4" w14:paraId="253DF937" w14:textId="77777777" w:rsidTr="00F351F4">
        <w:tc>
          <w:tcPr>
            <w:tcW w:w="0" w:type="auto"/>
            <w:shd w:val="clear" w:color="auto" w:fill="1F3864" w:themeFill="accent1" w:themeFillShade="80"/>
            <w:hideMark/>
          </w:tcPr>
          <w:p w14:paraId="2DFCE533" w14:textId="77777777" w:rsidR="00B40239" w:rsidRPr="00F351F4" w:rsidRDefault="00B40239" w:rsidP="00F83C9F">
            <w:pPr>
              <w:pBdr>
                <w:bottom w:val="single" w:sz="4" w:space="1" w:color="D9E2F3"/>
              </w:pBdr>
              <w:spacing w:line="360" w:lineRule="auto"/>
              <w:jc w:val="both"/>
              <w:rPr>
                <w:b/>
                <w:bCs/>
                <w:color w:val="FFFFFF" w:themeColor="background1"/>
                <w:sz w:val="24"/>
                <w:szCs w:val="24"/>
              </w:rPr>
            </w:pPr>
            <w:r w:rsidRPr="00F351F4">
              <w:rPr>
                <w:b/>
                <w:bCs/>
                <w:color w:val="FFFFFF" w:themeColor="background1"/>
                <w:sz w:val="24"/>
                <w:szCs w:val="24"/>
              </w:rPr>
              <w:t>Determinant</w:t>
            </w:r>
          </w:p>
        </w:tc>
        <w:tc>
          <w:tcPr>
            <w:tcW w:w="0" w:type="auto"/>
            <w:shd w:val="clear" w:color="auto" w:fill="1F3864" w:themeFill="accent1" w:themeFillShade="80"/>
            <w:hideMark/>
          </w:tcPr>
          <w:p w14:paraId="59F19DC2" w14:textId="77777777" w:rsidR="00B40239" w:rsidRPr="00F351F4" w:rsidRDefault="00B40239" w:rsidP="00F83C9F">
            <w:pPr>
              <w:pBdr>
                <w:bottom w:val="single" w:sz="4" w:space="1" w:color="D9E2F3"/>
              </w:pBdr>
              <w:spacing w:line="360" w:lineRule="auto"/>
              <w:jc w:val="both"/>
              <w:rPr>
                <w:b/>
                <w:bCs/>
                <w:color w:val="FFFFFF" w:themeColor="background1"/>
                <w:sz w:val="24"/>
                <w:szCs w:val="24"/>
              </w:rPr>
            </w:pPr>
            <w:r w:rsidRPr="00F351F4">
              <w:rPr>
                <w:b/>
                <w:bCs/>
                <w:color w:val="FFFFFF" w:themeColor="background1"/>
                <w:sz w:val="24"/>
                <w:szCs w:val="24"/>
              </w:rPr>
              <w:t>Analytical Assessment (Unilever Context)</w:t>
            </w:r>
          </w:p>
        </w:tc>
      </w:tr>
      <w:tr w:rsidR="00B40239" w:rsidRPr="00860442" w14:paraId="214D98BA" w14:textId="77777777" w:rsidTr="003C0826">
        <w:tc>
          <w:tcPr>
            <w:tcW w:w="0" w:type="auto"/>
            <w:shd w:val="clear" w:color="auto" w:fill="D9E2F3" w:themeFill="accent1" w:themeFillTint="33"/>
            <w:hideMark/>
          </w:tcPr>
          <w:p w14:paraId="558E6F5F" w14:textId="77777777" w:rsidR="00B40239" w:rsidRPr="00860442" w:rsidRDefault="00B40239" w:rsidP="00F83C9F">
            <w:pPr>
              <w:pBdr>
                <w:bottom w:val="single" w:sz="4" w:space="1" w:color="D9E2F3"/>
              </w:pBdr>
              <w:spacing w:line="360" w:lineRule="auto"/>
              <w:jc w:val="both"/>
              <w:rPr>
                <w:sz w:val="24"/>
                <w:szCs w:val="24"/>
              </w:rPr>
            </w:pPr>
            <w:r w:rsidRPr="00860442">
              <w:rPr>
                <w:b/>
                <w:bCs/>
                <w:sz w:val="24"/>
                <w:szCs w:val="24"/>
              </w:rPr>
              <w:t>Factor Conditions</w:t>
            </w:r>
          </w:p>
        </w:tc>
        <w:tc>
          <w:tcPr>
            <w:tcW w:w="0" w:type="auto"/>
            <w:shd w:val="clear" w:color="auto" w:fill="D9E2F3" w:themeFill="accent1" w:themeFillTint="33"/>
            <w:hideMark/>
          </w:tcPr>
          <w:p w14:paraId="545378C9" w14:textId="04633190" w:rsidR="00B40239" w:rsidRPr="00860442" w:rsidRDefault="00B40239" w:rsidP="00F83C9F">
            <w:pPr>
              <w:pBdr>
                <w:bottom w:val="single" w:sz="4" w:space="1" w:color="D9E2F3"/>
              </w:pBdr>
              <w:spacing w:line="360" w:lineRule="auto"/>
              <w:jc w:val="both"/>
              <w:rPr>
                <w:sz w:val="24"/>
                <w:szCs w:val="24"/>
              </w:rPr>
            </w:pPr>
            <w:r w:rsidRPr="00B40239">
              <w:rPr>
                <w:sz w:val="24"/>
                <w:szCs w:val="24"/>
              </w:rPr>
              <w:t xml:space="preserve">Advanced, developed aspects of Unilever (proprietary first-party consumer data, AI, and cloud infrastructure alliances (e.g., Google Cloud)) are the factors that drive its competitive edge. Such </w:t>
            </w:r>
            <w:proofErr w:type="spellStart"/>
            <w:r w:rsidRPr="00B40239">
              <w:rPr>
                <w:sz w:val="24"/>
                <w:szCs w:val="24"/>
              </w:rPr>
              <w:t>specialised</w:t>
            </w:r>
            <w:proofErr w:type="spellEnd"/>
            <w:r w:rsidRPr="00B40239">
              <w:rPr>
                <w:sz w:val="24"/>
                <w:szCs w:val="24"/>
              </w:rPr>
              <w:t xml:space="preserve"> assets can be used alongside the factor creation that is made emphasis on innovation as the foundation of long-term competitiveness (Porter, 1990).</w:t>
            </w:r>
          </w:p>
        </w:tc>
      </w:tr>
      <w:tr w:rsidR="00B40239" w:rsidRPr="00860442" w14:paraId="257DD530" w14:textId="77777777" w:rsidTr="00B40239">
        <w:tc>
          <w:tcPr>
            <w:tcW w:w="0" w:type="auto"/>
            <w:hideMark/>
          </w:tcPr>
          <w:p w14:paraId="38E8EC04" w14:textId="77777777" w:rsidR="00B40239" w:rsidRPr="00860442" w:rsidRDefault="00B40239" w:rsidP="00F83C9F">
            <w:pPr>
              <w:pBdr>
                <w:bottom w:val="single" w:sz="4" w:space="1" w:color="D9E2F3"/>
              </w:pBdr>
              <w:spacing w:line="360" w:lineRule="auto"/>
              <w:jc w:val="both"/>
              <w:rPr>
                <w:sz w:val="24"/>
                <w:szCs w:val="24"/>
              </w:rPr>
            </w:pPr>
            <w:r w:rsidRPr="00860442">
              <w:rPr>
                <w:b/>
                <w:bCs/>
                <w:sz w:val="24"/>
                <w:szCs w:val="24"/>
              </w:rPr>
              <w:t>Demand Conditions</w:t>
            </w:r>
          </w:p>
        </w:tc>
        <w:tc>
          <w:tcPr>
            <w:tcW w:w="0" w:type="auto"/>
            <w:hideMark/>
          </w:tcPr>
          <w:p w14:paraId="5AB32420" w14:textId="1154B4A1" w:rsidR="00B40239" w:rsidRPr="00860442" w:rsidRDefault="00B40239" w:rsidP="00F83C9F">
            <w:pPr>
              <w:pBdr>
                <w:bottom w:val="single" w:sz="4" w:space="1" w:color="D9E2F3"/>
              </w:pBdr>
              <w:spacing w:line="360" w:lineRule="auto"/>
              <w:jc w:val="both"/>
              <w:rPr>
                <w:sz w:val="24"/>
                <w:szCs w:val="24"/>
              </w:rPr>
            </w:pPr>
            <w:r w:rsidRPr="00B40239">
              <w:rPr>
                <w:sz w:val="24"/>
                <w:szCs w:val="24"/>
              </w:rPr>
              <w:t>Digitally engaged consumers are highly sophisticated, and they require hyper-</w:t>
            </w:r>
            <w:proofErr w:type="spellStart"/>
            <w:r w:rsidRPr="00B40239">
              <w:rPr>
                <w:sz w:val="24"/>
                <w:szCs w:val="24"/>
              </w:rPr>
              <w:t>personalisation</w:t>
            </w:r>
            <w:proofErr w:type="spellEnd"/>
            <w:r w:rsidRPr="00B40239">
              <w:rPr>
                <w:sz w:val="24"/>
                <w:szCs w:val="24"/>
              </w:rPr>
              <w:t xml:space="preserve"> as well as data transparency, which puts a strain of constant innovation in AI systems. These competitive pressures are known to be some of the main factors that encourage the process of competitive upgrading in the Diamond framework (Porter, 1990; Ketels, 2006).</w:t>
            </w:r>
          </w:p>
        </w:tc>
      </w:tr>
      <w:tr w:rsidR="00B40239" w:rsidRPr="00860442" w14:paraId="7FE7BDF2" w14:textId="77777777" w:rsidTr="003C0826">
        <w:tc>
          <w:tcPr>
            <w:tcW w:w="0" w:type="auto"/>
            <w:shd w:val="clear" w:color="auto" w:fill="D9E2F3" w:themeFill="accent1" w:themeFillTint="33"/>
            <w:hideMark/>
          </w:tcPr>
          <w:p w14:paraId="67686C0D" w14:textId="77777777" w:rsidR="00B40239" w:rsidRPr="00860442" w:rsidRDefault="00B40239" w:rsidP="00F83C9F">
            <w:pPr>
              <w:pBdr>
                <w:bottom w:val="single" w:sz="4" w:space="1" w:color="D9E2F3"/>
              </w:pBdr>
              <w:spacing w:line="360" w:lineRule="auto"/>
              <w:jc w:val="both"/>
              <w:rPr>
                <w:sz w:val="24"/>
                <w:szCs w:val="24"/>
              </w:rPr>
            </w:pPr>
            <w:r w:rsidRPr="00860442">
              <w:rPr>
                <w:b/>
                <w:bCs/>
                <w:sz w:val="24"/>
                <w:szCs w:val="24"/>
              </w:rPr>
              <w:t>Related and Supporting Industries</w:t>
            </w:r>
          </w:p>
        </w:tc>
        <w:tc>
          <w:tcPr>
            <w:tcW w:w="0" w:type="auto"/>
            <w:shd w:val="clear" w:color="auto" w:fill="D9E2F3" w:themeFill="accent1" w:themeFillTint="33"/>
            <w:hideMark/>
          </w:tcPr>
          <w:p w14:paraId="2C0611DB" w14:textId="3C90F187" w:rsidR="00B40239" w:rsidRPr="00860442" w:rsidRDefault="00B40239" w:rsidP="00F83C9F">
            <w:pPr>
              <w:pBdr>
                <w:bottom w:val="single" w:sz="4" w:space="1" w:color="D9E2F3"/>
              </w:pBdr>
              <w:spacing w:line="360" w:lineRule="auto"/>
              <w:jc w:val="both"/>
              <w:rPr>
                <w:sz w:val="24"/>
                <w:szCs w:val="24"/>
              </w:rPr>
            </w:pPr>
            <w:r w:rsidRPr="00B40239">
              <w:rPr>
                <w:sz w:val="24"/>
                <w:szCs w:val="24"/>
              </w:rPr>
              <w:t>The empowering industries are cloud computing providers and digital advertising ecosystems, which allow Unilever to develop AI-based capabilities quickly. Innovation and productivity are strengthened by the cluster benefits and ecosystem (Delgado, Porter and Stern, 2010).</w:t>
            </w:r>
          </w:p>
        </w:tc>
      </w:tr>
      <w:tr w:rsidR="00B40239" w:rsidRPr="00860442" w14:paraId="0E9E6DF7" w14:textId="77777777" w:rsidTr="00B40239">
        <w:tc>
          <w:tcPr>
            <w:tcW w:w="0" w:type="auto"/>
            <w:hideMark/>
          </w:tcPr>
          <w:p w14:paraId="786EE060" w14:textId="77777777" w:rsidR="00B40239" w:rsidRPr="00860442" w:rsidRDefault="00B40239" w:rsidP="00F83C9F">
            <w:pPr>
              <w:pBdr>
                <w:bottom w:val="single" w:sz="4" w:space="1" w:color="D9E2F3"/>
              </w:pBdr>
              <w:spacing w:line="360" w:lineRule="auto"/>
              <w:jc w:val="both"/>
              <w:rPr>
                <w:sz w:val="24"/>
                <w:szCs w:val="24"/>
              </w:rPr>
            </w:pPr>
            <w:r w:rsidRPr="00860442">
              <w:rPr>
                <w:b/>
                <w:bCs/>
                <w:sz w:val="24"/>
                <w:szCs w:val="24"/>
              </w:rPr>
              <w:t>Firm Strategy, Structure, and Rivalry</w:t>
            </w:r>
          </w:p>
        </w:tc>
        <w:tc>
          <w:tcPr>
            <w:tcW w:w="0" w:type="auto"/>
            <w:hideMark/>
          </w:tcPr>
          <w:p w14:paraId="50A2BFA1" w14:textId="6BF0A25D" w:rsidR="00B40239" w:rsidRPr="00860442" w:rsidRDefault="00B40239" w:rsidP="00F83C9F">
            <w:pPr>
              <w:pBdr>
                <w:bottom w:val="single" w:sz="4" w:space="1" w:color="D9E2F3"/>
              </w:pBdr>
              <w:spacing w:line="360" w:lineRule="auto"/>
              <w:jc w:val="both"/>
              <w:rPr>
                <w:sz w:val="24"/>
                <w:szCs w:val="24"/>
              </w:rPr>
            </w:pPr>
            <w:r w:rsidRPr="00B40239">
              <w:rPr>
                <w:sz w:val="24"/>
                <w:szCs w:val="24"/>
              </w:rPr>
              <w:t xml:space="preserve">Strong international competition with other companies like P&amp;G and Nestle stimulates the ongoing investment in AI and data analytics. Porter (1990) </w:t>
            </w:r>
            <w:proofErr w:type="spellStart"/>
            <w:r w:rsidRPr="00B40239">
              <w:rPr>
                <w:sz w:val="24"/>
                <w:szCs w:val="24"/>
              </w:rPr>
              <w:t>emphasises</w:t>
            </w:r>
            <w:proofErr w:type="spellEnd"/>
            <w:r w:rsidRPr="00B40239">
              <w:rPr>
                <w:sz w:val="24"/>
                <w:szCs w:val="24"/>
              </w:rPr>
              <w:t xml:space="preserve"> that this type of rivalry enhances innovation, and </w:t>
            </w:r>
            <w:proofErr w:type="spellStart"/>
            <w:r w:rsidRPr="00B40239">
              <w:rPr>
                <w:sz w:val="24"/>
                <w:szCs w:val="24"/>
              </w:rPr>
              <w:t>organisational</w:t>
            </w:r>
            <w:proofErr w:type="spellEnd"/>
            <w:r w:rsidRPr="00B40239">
              <w:rPr>
                <w:sz w:val="24"/>
                <w:szCs w:val="24"/>
              </w:rPr>
              <w:t xml:space="preserve"> structure defines how successful firms are in responding to competition.</w:t>
            </w:r>
          </w:p>
        </w:tc>
      </w:tr>
      <w:tr w:rsidR="00B40239" w:rsidRPr="00860442" w14:paraId="10983B55" w14:textId="77777777" w:rsidTr="003C0826">
        <w:tc>
          <w:tcPr>
            <w:tcW w:w="0" w:type="auto"/>
            <w:shd w:val="clear" w:color="auto" w:fill="D9E2F3" w:themeFill="accent1" w:themeFillTint="33"/>
            <w:hideMark/>
          </w:tcPr>
          <w:p w14:paraId="6EED5479" w14:textId="77777777" w:rsidR="00B40239" w:rsidRPr="00860442" w:rsidRDefault="00B40239" w:rsidP="00F83C9F">
            <w:pPr>
              <w:pBdr>
                <w:bottom w:val="single" w:sz="4" w:space="1" w:color="D9E2F3"/>
              </w:pBdr>
              <w:spacing w:line="360" w:lineRule="auto"/>
              <w:jc w:val="both"/>
              <w:rPr>
                <w:sz w:val="24"/>
                <w:szCs w:val="24"/>
              </w:rPr>
            </w:pPr>
            <w:r w:rsidRPr="00860442">
              <w:rPr>
                <w:b/>
                <w:bCs/>
                <w:sz w:val="24"/>
                <w:szCs w:val="24"/>
              </w:rPr>
              <w:t>Government (Extended Diamond)</w:t>
            </w:r>
          </w:p>
        </w:tc>
        <w:tc>
          <w:tcPr>
            <w:tcW w:w="0" w:type="auto"/>
            <w:shd w:val="clear" w:color="auto" w:fill="D9E2F3" w:themeFill="accent1" w:themeFillTint="33"/>
            <w:hideMark/>
          </w:tcPr>
          <w:p w14:paraId="21CEAB8E" w14:textId="368D74DE" w:rsidR="00B40239" w:rsidRPr="00860442" w:rsidRDefault="00B40239" w:rsidP="00F83C9F">
            <w:pPr>
              <w:pBdr>
                <w:bottom w:val="single" w:sz="4" w:space="1" w:color="D9E2F3"/>
              </w:pBdr>
              <w:spacing w:line="360" w:lineRule="auto"/>
              <w:jc w:val="both"/>
              <w:rPr>
                <w:sz w:val="24"/>
                <w:szCs w:val="24"/>
              </w:rPr>
            </w:pPr>
            <w:r w:rsidRPr="00B40239">
              <w:rPr>
                <w:sz w:val="24"/>
                <w:szCs w:val="24"/>
              </w:rPr>
              <w:t xml:space="preserve">The scope of AI usage and data processing is defined by regulatory frameworks (e.g., the GDPR and the EU AI Act). The government intervention is vital in determining the firm competitiveness and an </w:t>
            </w:r>
            <w:r w:rsidRPr="00B40239">
              <w:rPr>
                <w:sz w:val="24"/>
                <w:szCs w:val="24"/>
              </w:rPr>
              <w:lastRenderedPageBreak/>
              <w:t>incentive to innovate in the Diamond system (Porter, 1990; Ketels, 2006).</w:t>
            </w:r>
          </w:p>
        </w:tc>
      </w:tr>
      <w:tr w:rsidR="00B40239" w:rsidRPr="00860442" w14:paraId="710D57F0" w14:textId="77777777" w:rsidTr="00B40239">
        <w:tc>
          <w:tcPr>
            <w:tcW w:w="0" w:type="auto"/>
            <w:hideMark/>
          </w:tcPr>
          <w:p w14:paraId="3B28F010" w14:textId="77777777" w:rsidR="00B40239" w:rsidRPr="00860442" w:rsidRDefault="00B40239" w:rsidP="00F83C9F">
            <w:pPr>
              <w:pBdr>
                <w:bottom w:val="single" w:sz="4" w:space="1" w:color="D9E2F3"/>
              </w:pBdr>
              <w:spacing w:line="360" w:lineRule="auto"/>
              <w:jc w:val="both"/>
              <w:rPr>
                <w:sz w:val="24"/>
                <w:szCs w:val="24"/>
              </w:rPr>
            </w:pPr>
            <w:r w:rsidRPr="00860442">
              <w:rPr>
                <w:b/>
                <w:bCs/>
                <w:sz w:val="24"/>
                <w:szCs w:val="24"/>
              </w:rPr>
              <w:lastRenderedPageBreak/>
              <w:t>Chance (Extended Diamond)</w:t>
            </w:r>
          </w:p>
        </w:tc>
        <w:tc>
          <w:tcPr>
            <w:tcW w:w="0" w:type="auto"/>
            <w:hideMark/>
          </w:tcPr>
          <w:p w14:paraId="2C8E7AE4" w14:textId="26F2F59E" w:rsidR="00B40239" w:rsidRPr="00860442" w:rsidRDefault="00B40239" w:rsidP="00F83C9F">
            <w:pPr>
              <w:pBdr>
                <w:bottom w:val="single" w:sz="4" w:space="1" w:color="D9E2F3"/>
              </w:pBdr>
              <w:spacing w:line="360" w:lineRule="auto"/>
              <w:jc w:val="both"/>
              <w:rPr>
                <w:sz w:val="24"/>
                <w:szCs w:val="24"/>
              </w:rPr>
            </w:pPr>
            <w:r w:rsidRPr="00B40239">
              <w:rPr>
                <w:sz w:val="24"/>
                <w:szCs w:val="24"/>
              </w:rPr>
              <w:t>Competitive forces and demand dynamics are reformulated by external shocks, including improvements in generative AI and macroeconomic volatility. According to Porter (1990), these chance events are known to be catalysts to disorganize or speed up competitive advantage.</w:t>
            </w:r>
          </w:p>
        </w:tc>
      </w:tr>
    </w:tbl>
    <w:p w14:paraId="1AACF3CF" w14:textId="3AD00E48" w:rsidR="00C728A1" w:rsidRPr="00860442" w:rsidRDefault="0087724A" w:rsidP="00F83C9F">
      <w:pPr>
        <w:spacing w:line="360" w:lineRule="auto"/>
        <w:jc w:val="both"/>
        <w:rPr>
          <w:sz w:val="24"/>
          <w:szCs w:val="24"/>
        </w:rPr>
      </w:pPr>
      <w:r w:rsidRPr="0087724A">
        <w:rPr>
          <w:sz w:val="24"/>
          <w:szCs w:val="24"/>
        </w:rPr>
        <w:t xml:space="preserve">a business risk. Macroeconomic environments in </w:t>
      </w:r>
      <w:r w:rsidR="00284783">
        <w:rPr>
          <w:sz w:val="24"/>
          <w:szCs w:val="24"/>
        </w:rPr>
        <w:t>Unilever's markets differ radically: high-inflation emerging markets in South and South-East Asia contrast with near-zero-growth developed markets in Western Europe, and a single, globally integrated demand forecast will be systematically in error in at least one of these markets at any given</w:t>
      </w:r>
      <w:r w:rsidRPr="0087724A">
        <w:rPr>
          <w:sz w:val="24"/>
          <w:szCs w:val="24"/>
        </w:rPr>
        <w:t xml:space="preserve"> time. Mejia and Aguilar (2024) </w:t>
      </w:r>
      <w:r w:rsidR="000703CE">
        <w:rPr>
          <w:sz w:val="24"/>
          <w:szCs w:val="24"/>
        </w:rPr>
        <w:t>propose a technical solution, including a hybrid ensemble architecture and a forecasting methodology tailored to</w:t>
      </w:r>
      <w:r w:rsidRPr="0087724A">
        <w:rPr>
          <w:sz w:val="24"/>
          <w:szCs w:val="24"/>
        </w:rPr>
        <w:t xml:space="preserve"> the time-series characteristics of each product category and market background. In the case of </w:t>
      </w:r>
      <w:r w:rsidR="00284783">
        <w:rPr>
          <w:sz w:val="24"/>
          <w:szCs w:val="24"/>
        </w:rPr>
        <w:t>Unilever's portfolio, it would imply that AI predictive infrastructure would be structured in such a way that it becomes modular, with macroeconomic conditioning variables, including inflation rates, interest rate trends, and consumer confidence indicators, input</w:t>
      </w:r>
      <w:r w:rsidRPr="0087724A">
        <w:rPr>
          <w:sz w:val="24"/>
          <w:szCs w:val="24"/>
        </w:rPr>
        <w:t xml:space="preserve"> into the standard model. </w:t>
      </w:r>
      <w:r w:rsidR="00284783">
        <w:rPr>
          <w:sz w:val="24"/>
          <w:szCs w:val="24"/>
        </w:rPr>
        <w:t xml:space="preserve">Governance needs to include a formal revalidation of the model </w:t>
      </w:r>
      <w:r w:rsidR="00CC686B">
        <w:rPr>
          <w:sz w:val="24"/>
          <w:szCs w:val="24"/>
        </w:rPr>
        <w:t>whenever macroeconomic conditions exceed</w:t>
      </w:r>
      <w:r w:rsidR="00284783">
        <w:rPr>
          <w:sz w:val="24"/>
          <w:szCs w:val="24"/>
        </w:rPr>
        <w:t xml:space="preserve"> the</w:t>
      </w:r>
      <w:r w:rsidRPr="0087724A">
        <w:rPr>
          <w:sz w:val="24"/>
          <w:szCs w:val="24"/>
        </w:rPr>
        <w:t xml:space="preserve"> required threshold values.</w:t>
      </w:r>
    </w:p>
    <w:p w14:paraId="32CE165F" w14:textId="09AC7E35" w:rsidR="00F44BD8" w:rsidRPr="00860442" w:rsidRDefault="00F44BD8" w:rsidP="00F83C9F">
      <w:pPr>
        <w:pStyle w:val="Heading2"/>
      </w:pPr>
      <w:bookmarkStart w:id="5" w:name="_Toc228193100"/>
      <w:r w:rsidRPr="00860442">
        <w:t>Economic and Competitive Context</w:t>
      </w:r>
      <w:r w:rsidR="000952FD" w:rsidRPr="00860442">
        <w:t xml:space="preserve"> </w:t>
      </w:r>
      <w:r w:rsidRPr="00860442">
        <w:t>Porter’s Diamond Model</w:t>
      </w:r>
      <w:bookmarkEnd w:id="5"/>
    </w:p>
    <w:p w14:paraId="5EFA2606" w14:textId="22FA0B92" w:rsidR="00F44BD8" w:rsidRPr="00860442" w:rsidRDefault="0087724A" w:rsidP="00F83C9F">
      <w:pPr>
        <w:spacing w:line="360" w:lineRule="auto"/>
        <w:jc w:val="both"/>
        <w:rPr>
          <w:sz w:val="24"/>
          <w:szCs w:val="24"/>
        </w:rPr>
      </w:pPr>
      <w:r w:rsidRPr="0087724A">
        <w:rPr>
          <w:sz w:val="24"/>
          <w:szCs w:val="24"/>
        </w:rPr>
        <w:t>A country</w:t>
      </w:r>
      <w:r w:rsidR="00284783">
        <w:rPr>
          <w:sz w:val="24"/>
          <w:szCs w:val="24"/>
        </w:rPr>
        <w:t>- and firm-based framework of competitive advantage is the Diamond Model of Porter (Porter, 1990), which has four interdependent determinants:</w:t>
      </w:r>
      <w:r w:rsidRPr="0087724A">
        <w:rPr>
          <w:sz w:val="24"/>
          <w:szCs w:val="24"/>
        </w:rPr>
        <w:t xml:space="preserve"> factor conditions, demand conditions, related and supporting industries, and firm strategy, structure, and rivalry. The Diamond model, in contrast to the industry-structure focus of the Five Forces model, is more applicable </w:t>
      </w:r>
      <w:r w:rsidR="00284783">
        <w:rPr>
          <w:sz w:val="24"/>
          <w:szCs w:val="24"/>
        </w:rPr>
        <w:t>to the analysis of how Unilever can sustain a competitive edge in AI-based consumer markets through systemic capabilities building rather than</w:t>
      </w:r>
      <w:r w:rsidRPr="0087724A">
        <w:rPr>
          <w:sz w:val="24"/>
          <w:szCs w:val="24"/>
        </w:rPr>
        <w:t xml:space="preserve"> positional </w:t>
      </w:r>
      <w:proofErr w:type="spellStart"/>
      <w:r w:rsidRPr="0087724A">
        <w:rPr>
          <w:sz w:val="24"/>
          <w:szCs w:val="24"/>
        </w:rPr>
        <w:t>defence</w:t>
      </w:r>
      <w:proofErr w:type="spellEnd"/>
      <w:r w:rsidRPr="0087724A">
        <w:rPr>
          <w:sz w:val="24"/>
          <w:szCs w:val="24"/>
        </w:rPr>
        <w:t>.</w:t>
      </w:r>
    </w:p>
    <w:p w14:paraId="387E5E30" w14:textId="14841F90" w:rsidR="00113A4C" w:rsidRDefault="00113A4C" w:rsidP="00F83C9F">
      <w:pPr>
        <w:pStyle w:val="Caption"/>
        <w:keepNext/>
        <w:spacing w:after="0" w:line="360" w:lineRule="auto"/>
      </w:pPr>
      <w:r>
        <w:t xml:space="preserve">Table </w:t>
      </w:r>
      <w:r w:rsidR="00EE0F76">
        <w:fldChar w:fldCharType="begin"/>
      </w:r>
      <w:r w:rsidR="00EE0F76">
        <w:instrText xml:space="preserve"> SEQ Table \* ARABIC </w:instrText>
      </w:r>
      <w:r w:rsidR="00EE0F76">
        <w:fldChar w:fldCharType="separate"/>
      </w:r>
      <w:r>
        <w:rPr>
          <w:noProof/>
        </w:rPr>
        <w:t>2</w:t>
      </w:r>
      <w:r w:rsidR="00EE0F76">
        <w:rPr>
          <w:noProof/>
        </w:rPr>
        <w:fldChar w:fldCharType="end"/>
      </w:r>
      <w:r>
        <w:t xml:space="preserve">: </w:t>
      </w:r>
      <w:r w:rsidRPr="00927DCD">
        <w:t>Porter’s Diamond Model applied to Unilever</w:t>
      </w:r>
    </w:p>
    <w:p w14:paraId="41905273" w14:textId="60276615" w:rsidR="00C728A1" w:rsidRPr="00860442" w:rsidRDefault="00EE0F76" w:rsidP="00F83C9F">
      <w:pPr>
        <w:pStyle w:val="Heading2"/>
      </w:pPr>
      <w:bookmarkStart w:id="6" w:name="_Toc228193101"/>
      <w:r w:rsidRPr="00860442">
        <w:t>Data Governance, Ethical AI and Privacy</w:t>
      </w:r>
      <w:bookmarkEnd w:id="6"/>
    </w:p>
    <w:p w14:paraId="1F277327" w14:textId="5E1A2831" w:rsidR="0087724A" w:rsidRPr="0087724A" w:rsidRDefault="0087724A" w:rsidP="00F83C9F">
      <w:pPr>
        <w:spacing w:line="360" w:lineRule="auto"/>
        <w:jc w:val="both"/>
        <w:rPr>
          <w:sz w:val="24"/>
          <w:szCs w:val="24"/>
        </w:rPr>
      </w:pPr>
      <w:r w:rsidRPr="0087724A">
        <w:rPr>
          <w:sz w:val="24"/>
          <w:szCs w:val="24"/>
        </w:rPr>
        <w:t xml:space="preserve">The area </w:t>
      </w:r>
      <w:r w:rsidR="00284783">
        <w:rPr>
          <w:sz w:val="24"/>
          <w:szCs w:val="24"/>
        </w:rPr>
        <w:t xml:space="preserve">where the Unilever AI ambitions collide with the company's moral concerns and duties is </w:t>
      </w:r>
      <w:r w:rsidRPr="0087724A">
        <w:rPr>
          <w:sz w:val="24"/>
          <w:szCs w:val="24"/>
        </w:rPr>
        <w:t xml:space="preserve">control over consumer data. The tension behind this is </w:t>
      </w:r>
      <w:proofErr w:type="spellStart"/>
      <w:r w:rsidRPr="0087724A">
        <w:rPr>
          <w:sz w:val="24"/>
          <w:szCs w:val="24"/>
        </w:rPr>
        <w:t>behavioural</w:t>
      </w:r>
      <w:proofErr w:type="spellEnd"/>
      <w:r w:rsidRPr="0087724A">
        <w:rPr>
          <w:sz w:val="24"/>
          <w:szCs w:val="24"/>
        </w:rPr>
        <w:t xml:space="preserve">: </w:t>
      </w:r>
      <w:proofErr w:type="spellStart"/>
      <w:r w:rsidRPr="0087724A">
        <w:rPr>
          <w:sz w:val="24"/>
          <w:szCs w:val="24"/>
        </w:rPr>
        <w:t>Acquisti</w:t>
      </w:r>
      <w:proofErr w:type="spellEnd"/>
      <w:r w:rsidRPr="0087724A">
        <w:rPr>
          <w:sz w:val="24"/>
          <w:szCs w:val="24"/>
        </w:rPr>
        <w:t xml:space="preserve">, </w:t>
      </w:r>
      <w:proofErr w:type="spellStart"/>
      <w:r w:rsidRPr="0087724A">
        <w:rPr>
          <w:sz w:val="24"/>
          <w:szCs w:val="24"/>
        </w:rPr>
        <w:t>Brandimarte</w:t>
      </w:r>
      <w:proofErr w:type="spellEnd"/>
      <w:r w:rsidRPr="0087724A">
        <w:rPr>
          <w:sz w:val="24"/>
          <w:szCs w:val="24"/>
        </w:rPr>
        <w:t xml:space="preserve"> and Loewenstein (2015) observe a systematic difference in perceptions of privacy risk</w:t>
      </w:r>
      <w:r w:rsidR="00CC686B">
        <w:rPr>
          <w:sz w:val="24"/>
          <w:szCs w:val="24"/>
        </w:rPr>
        <w:t xml:space="preserve">, as an expression of strong normative preferences to regulate data, compared with real </w:t>
      </w:r>
      <w:proofErr w:type="spellStart"/>
      <w:r w:rsidR="00CC686B">
        <w:rPr>
          <w:sz w:val="24"/>
          <w:szCs w:val="24"/>
        </w:rPr>
        <w:t>behaviour</w:t>
      </w:r>
      <w:proofErr w:type="spellEnd"/>
      <w:r w:rsidR="00CC686B">
        <w:rPr>
          <w:sz w:val="24"/>
          <w:szCs w:val="24"/>
        </w:rPr>
        <w:t xml:space="preserve"> when convenience is offered as a trade-off for</w:t>
      </w:r>
      <w:r w:rsidRPr="0087724A">
        <w:rPr>
          <w:sz w:val="24"/>
          <w:szCs w:val="24"/>
        </w:rPr>
        <w:t xml:space="preserve"> disclosure. </w:t>
      </w:r>
      <w:r w:rsidR="00CC686B">
        <w:rPr>
          <w:sz w:val="24"/>
          <w:szCs w:val="24"/>
        </w:rPr>
        <w:t>Data-</w:t>
      </w:r>
      <w:r w:rsidR="00CC686B">
        <w:rPr>
          <w:sz w:val="24"/>
          <w:szCs w:val="24"/>
        </w:rPr>
        <w:lastRenderedPageBreak/>
        <w:t xml:space="preserve">intensive companies, not ethically have commercially </w:t>
      </w:r>
      <w:proofErr w:type="spellStart"/>
      <w:r w:rsidR="00CC686B">
        <w:rPr>
          <w:sz w:val="24"/>
          <w:szCs w:val="24"/>
        </w:rPr>
        <w:t>capitalised</w:t>
      </w:r>
      <w:proofErr w:type="spellEnd"/>
      <w:r w:rsidR="00CC686B">
        <w:rPr>
          <w:sz w:val="24"/>
          <w:szCs w:val="24"/>
        </w:rPr>
        <w:t xml:space="preserve"> on this imbalance</w:t>
      </w:r>
      <w:r w:rsidRPr="0087724A">
        <w:rPr>
          <w:sz w:val="24"/>
          <w:szCs w:val="24"/>
        </w:rPr>
        <w:t xml:space="preserve">. </w:t>
      </w:r>
      <w:proofErr w:type="spellStart"/>
      <w:r w:rsidRPr="0087724A">
        <w:rPr>
          <w:sz w:val="24"/>
          <w:szCs w:val="24"/>
        </w:rPr>
        <w:t>Zuboff</w:t>
      </w:r>
      <w:proofErr w:type="spellEnd"/>
      <w:r w:rsidRPr="0087724A">
        <w:rPr>
          <w:sz w:val="24"/>
          <w:szCs w:val="24"/>
        </w:rPr>
        <w:t xml:space="preserve"> (2019) </w:t>
      </w:r>
      <w:proofErr w:type="spellStart"/>
      <w:r w:rsidRPr="0087724A">
        <w:rPr>
          <w:sz w:val="24"/>
          <w:szCs w:val="24"/>
        </w:rPr>
        <w:t>theorises</w:t>
      </w:r>
      <w:proofErr w:type="spellEnd"/>
      <w:r w:rsidRPr="0087724A">
        <w:rPr>
          <w:sz w:val="24"/>
          <w:szCs w:val="24"/>
        </w:rPr>
        <w:t xml:space="preserve"> this exploitation as the logic of surveillance capitalism</w:t>
      </w:r>
      <w:r w:rsidR="00CC686B">
        <w:rPr>
          <w:sz w:val="24"/>
          <w:szCs w:val="24"/>
        </w:rPr>
        <w:t>,</w:t>
      </w:r>
      <w:r w:rsidRPr="0087724A">
        <w:rPr>
          <w:sz w:val="24"/>
          <w:szCs w:val="24"/>
        </w:rPr>
        <w:t xml:space="preserve"> where </w:t>
      </w:r>
      <w:proofErr w:type="spellStart"/>
      <w:r w:rsidRPr="0087724A">
        <w:rPr>
          <w:sz w:val="24"/>
          <w:szCs w:val="24"/>
        </w:rPr>
        <w:t>behavioural</w:t>
      </w:r>
      <w:proofErr w:type="spellEnd"/>
      <w:r w:rsidRPr="0087724A">
        <w:rPr>
          <w:sz w:val="24"/>
          <w:szCs w:val="24"/>
        </w:rPr>
        <w:t xml:space="preserve"> data is extracted as a raw material, processed to generate predictive products, and sold without the knowledge or meaningful consent of the people who generated it. Unilever is technically not a data broker in the strict </w:t>
      </w:r>
      <w:r w:rsidR="00CC686B">
        <w:rPr>
          <w:sz w:val="24"/>
          <w:szCs w:val="24"/>
        </w:rPr>
        <w:t>sense of that term, but its AI systems engage in precisely this sort of extraction, based on revealed data, to develop predictive models of consumer vulnerability, attention, and purchase intent in return for</w:t>
      </w:r>
      <w:r w:rsidRPr="0087724A">
        <w:rPr>
          <w:sz w:val="24"/>
          <w:szCs w:val="24"/>
        </w:rPr>
        <w:t xml:space="preserve"> a minor advantage of </w:t>
      </w:r>
      <w:proofErr w:type="spellStart"/>
      <w:r w:rsidRPr="0087724A">
        <w:rPr>
          <w:sz w:val="24"/>
          <w:szCs w:val="24"/>
        </w:rPr>
        <w:t>personalisation</w:t>
      </w:r>
      <w:proofErr w:type="spellEnd"/>
      <w:r w:rsidRPr="0087724A">
        <w:rPr>
          <w:sz w:val="24"/>
          <w:szCs w:val="24"/>
        </w:rPr>
        <w:t>. This tension between the practice and the proclaimed purposefulness and responsibility of Unilever as a corporate actor is analytically significant and not always taken seriously in the corporate environment.</w:t>
      </w:r>
    </w:p>
    <w:p w14:paraId="47795FFB" w14:textId="1ADCCE9D" w:rsidR="0087724A" w:rsidRPr="0087724A" w:rsidRDefault="0087724A" w:rsidP="00F83C9F">
      <w:pPr>
        <w:spacing w:line="360" w:lineRule="auto"/>
        <w:jc w:val="both"/>
        <w:rPr>
          <w:sz w:val="24"/>
          <w:szCs w:val="24"/>
        </w:rPr>
      </w:pPr>
      <w:r w:rsidRPr="0087724A">
        <w:rPr>
          <w:sz w:val="24"/>
          <w:szCs w:val="24"/>
        </w:rPr>
        <w:t xml:space="preserve">The consent model under which Unilever justifies this data processing is structurally unsound to the task. Burkhardt et al. (2022) </w:t>
      </w:r>
      <w:r w:rsidR="00CC686B">
        <w:rPr>
          <w:sz w:val="24"/>
          <w:szCs w:val="24"/>
        </w:rPr>
        <w:t xml:space="preserve">distinguish between procedural compliance, where there is a tick-box agreement, and substantive consent, which ensures </w:t>
      </w:r>
      <w:r w:rsidRPr="0087724A">
        <w:rPr>
          <w:sz w:val="24"/>
          <w:szCs w:val="24"/>
        </w:rPr>
        <w:t xml:space="preserve">actual consumer knowledge and effective control. Most large consumer goods producers are at the procedural level, like Unilever. The paradox of </w:t>
      </w:r>
      <w:proofErr w:type="spellStart"/>
      <w:r w:rsidRPr="0087724A">
        <w:rPr>
          <w:sz w:val="24"/>
          <w:szCs w:val="24"/>
        </w:rPr>
        <w:t>personalisation</w:t>
      </w:r>
      <w:proofErr w:type="spellEnd"/>
      <w:r w:rsidRPr="0087724A">
        <w:rPr>
          <w:sz w:val="24"/>
          <w:szCs w:val="24"/>
        </w:rPr>
        <w:t>-privacy</w:t>
      </w:r>
      <w:r w:rsidR="00CC686B">
        <w:rPr>
          <w:sz w:val="24"/>
          <w:szCs w:val="24"/>
        </w:rPr>
        <w:t>,</w:t>
      </w:r>
      <w:r w:rsidRPr="0087724A">
        <w:rPr>
          <w:sz w:val="24"/>
          <w:szCs w:val="24"/>
        </w:rPr>
        <w:t xml:space="preserve"> i.e. the structural and, possibly, irreconcilable tension of the desire of consumers to experience the product as </w:t>
      </w:r>
      <w:proofErr w:type="spellStart"/>
      <w:r w:rsidRPr="0087724A">
        <w:rPr>
          <w:sz w:val="24"/>
          <w:szCs w:val="24"/>
        </w:rPr>
        <w:t>personalised</w:t>
      </w:r>
      <w:proofErr w:type="spellEnd"/>
      <w:r w:rsidRPr="0087724A">
        <w:rPr>
          <w:sz w:val="24"/>
          <w:szCs w:val="24"/>
        </w:rPr>
        <w:t xml:space="preserve"> and the uneasiness of the data acquisition that allows them to experience that </w:t>
      </w:r>
      <w:proofErr w:type="spellStart"/>
      <w:r w:rsidRPr="0087724A">
        <w:rPr>
          <w:sz w:val="24"/>
          <w:szCs w:val="24"/>
        </w:rPr>
        <w:t>personalisation</w:t>
      </w:r>
      <w:proofErr w:type="spellEnd"/>
      <w:r w:rsidRPr="0087724A">
        <w:rPr>
          <w:sz w:val="24"/>
          <w:szCs w:val="24"/>
        </w:rPr>
        <w:t xml:space="preserve"> is not a short-term phenomenon in consumer psychology, but a long-term feature of the digital economy that the Unilever data strategy needs to adjust to, instead of leveraging it to its own benefit. With empirical studies about the topic of AI-enabled </w:t>
      </w:r>
      <w:proofErr w:type="spellStart"/>
      <w:r w:rsidRPr="0087724A">
        <w:rPr>
          <w:sz w:val="24"/>
          <w:szCs w:val="24"/>
        </w:rPr>
        <w:t>personalisation</w:t>
      </w:r>
      <w:proofErr w:type="spellEnd"/>
      <w:r w:rsidRPr="0087724A">
        <w:rPr>
          <w:sz w:val="24"/>
          <w:szCs w:val="24"/>
        </w:rPr>
        <w:t xml:space="preserve"> in brick-and-mortar stores, </w:t>
      </w:r>
      <w:proofErr w:type="spellStart"/>
      <w:r w:rsidRPr="0087724A">
        <w:rPr>
          <w:sz w:val="24"/>
          <w:szCs w:val="24"/>
        </w:rPr>
        <w:t>Canhoto</w:t>
      </w:r>
      <w:proofErr w:type="spellEnd"/>
      <w:r w:rsidRPr="0087724A">
        <w:rPr>
          <w:sz w:val="24"/>
          <w:szCs w:val="24"/>
        </w:rPr>
        <w:t xml:space="preserve">, Keegan and </w:t>
      </w:r>
      <w:proofErr w:type="spellStart"/>
      <w:r w:rsidRPr="0087724A">
        <w:rPr>
          <w:sz w:val="24"/>
          <w:szCs w:val="24"/>
        </w:rPr>
        <w:t>Ryzhikh</w:t>
      </w:r>
      <w:proofErr w:type="spellEnd"/>
      <w:r w:rsidRPr="0087724A">
        <w:rPr>
          <w:sz w:val="24"/>
          <w:szCs w:val="24"/>
        </w:rPr>
        <w:t xml:space="preserve"> (2023) demonstrate that consumer resistance to </w:t>
      </w:r>
      <w:proofErr w:type="spellStart"/>
      <w:r w:rsidRPr="0087724A">
        <w:rPr>
          <w:sz w:val="24"/>
          <w:szCs w:val="24"/>
        </w:rPr>
        <w:t>personalisation</w:t>
      </w:r>
      <w:proofErr w:type="spellEnd"/>
      <w:r w:rsidRPr="0087724A">
        <w:rPr>
          <w:sz w:val="24"/>
          <w:szCs w:val="24"/>
        </w:rPr>
        <w:t xml:space="preserve"> rises exponentially when the perception of </w:t>
      </w:r>
      <w:proofErr w:type="spellStart"/>
      <w:r w:rsidRPr="0087724A">
        <w:rPr>
          <w:sz w:val="24"/>
          <w:szCs w:val="24"/>
        </w:rPr>
        <w:t>personalisation</w:t>
      </w:r>
      <w:proofErr w:type="spellEnd"/>
      <w:r w:rsidRPr="0087724A">
        <w:rPr>
          <w:sz w:val="24"/>
          <w:szCs w:val="24"/>
        </w:rPr>
        <w:t xml:space="preserve"> takes place without any sense of awareness and control, which is a part of an outcome with acute significance to the loyalty </w:t>
      </w:r>
      <w:proofErr w:type="spellStart"/>
      <w:r w:rsidRPr="0087724A">
        <w:rPr>
          <w:sz w:val="24"/>
          <w:szCs w:val="24"/>
        </w:rPr>
        <w:t>programme</w:t>
      </w:r>
      <w:proofErr w:type="spellEnd"/>
      <w:r w:rsidRPr="0087724A">
        <w:rPr>
          <w:sz w:val="24"/>
          <w:szCs w:val="24"/>
        </w:rPr>
        <w:t xml:space="preserve"> analytics, in-store AI activations, and smart retail collaborations M. </w:t>
      </w:r>
      <w:proofErr w:type="spellStart"/>
      <w:r w:rsidRPr="0087724A">
        <w:rPr>
          <w:sz w:val="24"/>
          <w:szCs w:val="24"/>
        </w:rPr>
        <w:t>Leszczynska</w:t>
      </w:r>
      <w:proofErr w:type="spellEnd"/>
      <w:r w:rsidRPr="0087724A">
        <w:rPr>
          <w:sz w:val="24"/>
          <w:szCs w:val="24"/>
        </w:rPr>
        <w:t xml:space="preserve"> and D. Baltag (2024) present empirical data, demonstrating that the willingness of consumers to share data heavily depends on the perceived fairness of data exchange and the credible transparency of data use, both of which is not a stable characteristic of the current practice.</w:t>
      </w:r>
    </w:p>
    <w:p w14:paraId="1B984E19" w14:textId="335B81EF" w:rsidR="00C728A1" w:rsidRPr="00860442" w:rsidRDefault="0087724A" w:rsidP="00F83C9F">
      <w:pPr>
        <w:spacing w:line="360" w:lineRule="auto"/>
        <w:jc w:val="both"/>
        <w:rPr>
          <w:sz w:val="24"/>
          <w:szCs w:val="24"/>
        </w:rPr>
      </w:pPr>
      <w:r w:rsidRPr="0087724A">
        <w:rPr>
          <w:sz w:val="24"/>
          <w:szCs w:val="24"/>
        </w:rPr>
        <w:t xml:space="preserve">The most difficult area </w:t>
      </w:r>
      <w:r w:rsidR="00CC686B">
        <w:rPr>
          <w:sz w:val="24"/>
          <w:szCs w:val="24"/>
        </w:rPr>
        <w:t>Unilever can regulate at the algorithmic level is the accountability gap</w:t>
      </w:r>
      <w:r w:rsidRPr="0087724A">
        <w:rPr>
          <w:sz w:val="24"/>
          <w:szCs w:val="24"/>
        </w:rPr>
        <w:t xml:space="preserve"> between legal, technical, and commercial interests. Martin (2019) asserts that the algorithm of targeting and </w:t>
      </w:r>
      <w:proofErr w:type="spellStart"/>
      <w:r w:rsidRPr="0087724A">
        <w:rPr>
          <w:sz w:val="24"/>
          <w:szCs w:val="24"/>
        </w:rPr>
        <w:t>personalisation</w:t>
      </w:r>
      <w:proofErr w:type="spellEnd"/>
      <w:r w:rsidRPr="0087724A">
        <w:rPr>
          <w:sz w:val="24"/>
          <w:szCs w:val="24"/>
        </w:rPr>
        <w:t xml:space="preserve"> is not a value-neutral piece of technology, but a piece of technology containing values: this is what determines the content shown to whom, at what price, in what emotional context, and these choices are similarly ethical to </w:t>
      </w:r>
      <w:r w:rsidRPr="0087724A">
        <w:rPr>
          <w:sz w:val="24"/>
          <w:szCs w:val="24"/>
        </w:rPr>
        <w:lastRenderedPageBreak/>
        <w:t xml:space="preserve">human discriminatory choices, but do not come with procedural protections that would be applied to human choices. De Laat (2022) compares the specific legal tussle between trade secrets </w:t>
      </w:r>
      <w:r w:rsidR="000703CE">
        <w:rPr>
          <w:sz w:val="24"/>
          <w:szCs w:val="24"/>
        </w:rPr>
        <w:t xml:space="preserve">protection Unilever has a legitimate commercial interest in pursuing against its AI systems and the right to explanation as stipulated by the GDPR and concludes that, in their present legal incarnations, trade secrets protection represents a danger to the </w:t>
      </w:r>
      <w:r w:rsidRPr="0087724A">
        <w:rPr>
          <w:sz w:val="24"/>
          <w:szCs w:val="24"/>
        </w:rPr>
        <w:t xml:space="preserve">legal inadmissibility of algorithmic accountability. Moriarty (2021) extends this to </w:t>
      </w:r>
      <w:proofErr w:type="spellStart"/>
      <w:r w:rsidRPr="0087724A">
        <w:rPr>
          <w:sz w:val="24"/>
          <w:szCs w:val="24"/>
        </w:rPr>
        <w:t>personalised</w:t>
      </w:r>
      <w:proofErr w:type="spellEnd"/>
      <w:r w:rsidRPr="0087724A">
        <w:rPr>
          <w:sz w:val="24"/>
          <w:szCs w:val="24"/>
        </w:rPr>
        <w:t xml:space="preserve"> pricing, </w:t>
      </w:r>
      <w:r w:rsidR="000703CE">
        <w:rPr>
          <w:sz w:val="24"/>
          <w:szCs w:val="24"/>
        </w:rPr>
        <w:t xml:space="preserve">arguing that the tactic is structurally unfair because it exploits personal weaknesses identified through </w:t>
      </w:r>
      <w:proofErr w:type="spellStart"/>
      <w:r w:rsidR="000703CE">
        <w:rPr>
          <w:sz w:val="24"/>
          <w:szCs w:val="24"/>
        </w:rPr>
        <w:t>behavioural</w:t>
      </w:r>
      <w:proofErr w:type="spellEnd"/>
      <w:r w:rsidR="000703CE">
        <w:rPr>
          <w:sz w:val="24"/>
          <w:szCs w:val="24"/>
        </w:rPr>
        <w:t xml:space="preserve"> profiling without the consumer's knowledge</w:t>
      </w:r>
      <w:r w:rsidRPr="0087724A">
        <w:rPr>
          <w:sz w:val="24"/>
          <w:szCs w:val="24"/>
        </w:rPr>
        <w:t>. Mittelstadt et al. (2016) provide the most appropriate ethical framework in this situation by identifying six categories of algorithmic ethical concern epistemic, normative, and traceability and expressing the idea that the ethical AI governance cannot be applied through regulatory compliance but should be through active systems to detect when systems produce results that are unjust, inaccurate, or opaque, whether or not the outcome is legally actionable.</w:t>
      </w:r>
    </w:p>
    <w:p w14:paraId="33BC3360" w14:textId="0568AC5A" w:rsidR="00C728A1" w:rsidRPr="00860442" w:rsidRDefault="00EE0F76" w:rsidP="00F83C9F">
      <w:pPr>
        <w:pStyle w:val="Heading2"/>
      </w:pPr>
      <w:bookmarkStart w:id="7" w:name="_Toc228193102"/>
      <w:r w:rsidRPr="00860442">
        <w:t>Risk Management and Customer Trust</w:t>
      </w:r>
      <w:bookmarkEnd w:id="7"/>
    </w:p>
    <w:p w14:paraId="775B8727" w14:textId="2D3B8CDA" w:rsidR="00C02B21" w:rsidRDefault="0087724A" w:rsidP="00F83C9F">
      <w:pPr>
        <w:spacing w:line="360" w:lineRule="auto"/>
        <w:jc w:val="both"/>
        <w:rPr>
          <w:sz w:val="24"/>
          <w:szCs w:val="24"/>
        </w:rPr>
      </w:pPr>
      <w:r w:rsidRPr="0087724A">
        <w:rPr>
          <w:sz w:val="24"/>
          <w:szCs w:val="24"/>
        </w:rPr>
        <w:t xml:space="preserve">According to ISO 31000:2018, risk management is an ongoing process of risk identification, assessment, treatment, monitoring, and </w:t>
      </w:r>
      <w:r w:rsidR="00FC7FD4">
        <w:rPr>
          <w:sz w:val="24"/>
          <w:szCs w:val="24"/>
        </w:rPr>
        <w:t>review to align with</w:t>
      </w:r>
      <w:r w:rsidRPr="0087724A">
        <w:rPr>
          <w:sz w:val="24"/>
          <w:szCs w:val="24"/>
        </w:rPr>
        <w:t xml:space="preserve"> </w:t>
      </w:r>
      <w:proofErr w:type="spellStart"/>
      <w:r w:rsidRPr="0087724A">
        <w:rPr>
          <w:sz w:val="24"/>
          <w:szCs w:val="24"/>
        </w:rPr>
        <w:t>organisational</w:t>
      </w:r>
      <w:proofErr w:type="spellEnd"/>
      <w:r w:rsidRPr="0087724A">
        <w:rPr>
          <w:sz w:val="24"/>
          <w:szCs w:val="24"/>
        </w:rPr>
        <w:t xml:space="preserve"> strategy and stakeholder expectations. In the case of the AI scenario at Unilever, the five main guiding principles of an ISO 31000, integration, structured approach, </w:t>
      </w:r>
      <w:proofErr w:type="spellStart"/>
      <w:r w:rsidRPr="0087724A">
        <w:rPr>
          <w:sz w:val="24"/>
          <w:szCs w:val="24"/>
        </w:rPr>
        <w:t>customisation</w:t>
      </w:r>
      <w:proofErr w:type="spellEnd"/>
      <w:r w:rsidRPr="0087724A">
        <w:rPr>
          <w:sz w:val="24"/>
          <w:szCs w:val="24"/>
        </w:rPr>
        <w:t xml:space="preserve">, and continual improvement, the five core governance architecture, where the identified trust risks will be addressed systematically, the identified trust risks will be addressed. The critical analytical point is that the current AI risk governance of Unilever does not meet this standard: the enterprise risk framework of Unilever identifies data privacy and cybersecurity as the two risk categories that are the most important (Unilever.com, 2025b) and the Annual Report of Unilever </w:t>
      </w:r>
      <w:proofErr w:type="spellStart"/>
      <w:r w:rsidR="00FC7FD4">
        <w:rPr>
          <w:sz w:val="24"/>
          <w:szCs w:val="24"/>
        </w:rPr>
        <w:t>recognises</w:t>
      </w:r>
      <w:proofErr w:type="spellEnd"/>
      <w:r w:rsidRPr="0087724A">
        <w:rPr>
          <w:sz w:val="24"/>
          <w:szCs w:val="24"/>
        </w:rPr>
        <w:t xml:space="preserve"> the dual opportunity-risk profile of AI (Unilever.com, 2025a)</w:t>
      </w:r>
      <w:r w:rsidR="00CC686B">
        <w:rPr>
          <w:sz w:val="24"/>
          <w:szCs w:val="24"/>
        </w:rPr>
        <w:t>.</w:t>
      </w:r>
    </w:p>
    <w:p w14:paraId="7D161632" w14:textId="77777777" w:rsidR="0035379B" w:rsidRDefault="0035379B" w:rsidP="00F83C9F">
      <w:pPr>
        <w:keepNext/>
        <w:spacing w:line="360" w:lineRule="auto"/>
        <w:jc w:val="both"/>
      </w:pPr>
      <w:r>
        <w:rPr>
          <w:noProof/>
          <w:sz w:val="24"/>
          <w:szCs w:val="24"/>
        </w:rPr>
        <w:lastRenderedPageBreak/>
        <w:drawing>
          <wp:inline distT="0" distB="0" distL="0" distR="0" wp14:anchorId="569BCC3E" wp14:editId="14C5CDC0">
            <wp:extent cx="5909310" cy="3832860"/>
            <wp:effectExtent l="0" t="0" r="0" b="0"/>
            <wp:docPr id="7640869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086913" name="Picture 764086913"/>
                    <pic:cNvPicPr/>
                  </pic:nvPicPr>
                  <pic:blipFill rotWithShape="1">
                    <a:blip r:embed="rId9" cstate="print">
                      <a:extLst>
                        <a:ext uri="{28A0092B-C50C-407E-A947-70E740481C1C}">
                          <a14:useLocalDpi xmlns:a14="http://schemas.microsoft.com/office/drawing/2010/main" val="0"/>
                        </a:ext>
                      </a:extLst>
                    </a:blip>
                    <a:srcRect/>
                    <a:stretch>
                      <a:fillRect/>
                    </a:stretch>
                  </pic:blipFill>
                  <pic:spPr bwMode="auto">
                    <a:xfrm>
                      <a:off x="0" y="0"/>
                      <a:ext cx="5909310" cy="3832860"/>
                    </a:xfrm>
                    <a:prstGeom prst="rect">
                      <a:avLst/>
                    </a:prstGeom>
                    <a:ln>
                      <a:noFill/>
                    </a:ln>
                    <a:extLst>
                      <a:ext uri="{53640926-AAD7-44D8-BBD7-CCE9431645EC}">
                        <a14:shadowObscured xmlns:a14="http://schemas.microsoft.com/office/drawing/2010/main"/>
                      </a:ext>
                    </a:extLst>
                  </pic:spPr>
                </pic:pic>
              </a:graphicData>
            </a:graphic>
          </wp:inline>
        </w:drawing>
      </w:r>
    </w:p>
    <w:p w14:paraId="6D2C64E0" w14:textId="6B91FCE4" w:rsidR="00975787" w:rsidRPr="00C02B21" w:rsidRDefault="0035379B" w:rsidP="00F83C9F">
      <w:pPr>
        <w:pStyle w:val="Caption"/>
        <w:spacing w:after="0" w:line="360" w:lineRule="auto"/>
        <w:jc w:val="both"/>
        <w:rPr>
          <w:sz w:val="24"/>
          <w:szCs w:val="24"/>
        </w:rPr>
      </w:pPr>
      <w:r>
        <w:t xml:space="preserve">Figure </w:t>
      </w:r>
      <w:r w:rsidR="00EE0F76">
        <w:fldChar w:fldCharType="begin"/>
      </w:r>
      <w:r w:rsidR="00EE0F76">
        <w:instrText xml:space="preserve"> SEQ Figure \* ARABIC </w:instrText>
      </w:r>
      <w:r w:rsidR="00EE0F76">
        <w:fldChar w:fldCharType="separate"/>
      </w:r>
      <w:r w:rsidR="0004183B">
        <w:rPr>
          <w:noProof/>
        </w:rPr>
        <w:t>1</w:t>
      </w:r>
      <w:r w:rsidR="00EE0F76">
        <w:rPr>
          <w:noProof/>
        </w:rPr>
        <w:fldChar w:fldCharType="end"/>
      </w:r>
      <w:r>
        <w:t xml:space="preserve">: </w:t>
      </w:r>
      <w:r w:rsidRPr="00996A2B">
        <w:t>AI risk heat map (Likelihood × Impact) highlighting key risks against ISO 31000 risk appetite threshold.</w:t>
      </w:r>
      <w:r w:rsidR="0004183B">
        <w:t xml:space="preserve"> </w:t>
      </w:r>
      <w:r w:rsidR="00EB684C">
        <w:t>(Self-made)</w:t>
      </w:r>
    </w:p>
    <w:p w14:paraId="2A912128" w14:textId="7132530C" w:rsidR="00680EB6" w:rsidRPr="00680EB6" w:rsidRDefault="00680EB6" w:rsidP="00F83C9F">
      <w:pPr>
        <w:spacing w:line="360" w:lineRule="auto"/>
        <w:jc w:val="both"/>
        <w:rPr>
          <w:sz w:val="24"/>
          <w:szCs w:val="24"/>
        </w:rPr>
      </w:pPr>
      <w:r w:rsidRPr="00680EB6">
        <w:rPr>
          <w:sz w:val="24"/>
          <w:szCs w:val="24"/>
        </w:rPr>
        <w:t>Customer trust is not a soft reputational variable in AI-based data analytics</w:t>
      </w:r>
      <w:r w:rsidR="00FC7FD4">
        <w:rPr>
          <w:sz w:val="24"/>
          <w:szCs w:val="24"/>
        </w:rPr>
        <w:t>, but a quantifiable risk factor with</w:t>
      </w:r>
      <w:r w:rsidRPr="00680EB6">
        <w:rPr>
          <w:sz w:val="24"/>
          <w:szCs w:val="24"/>
        </w:rPr>
        <w:t xml:space="preserve"> a quantifiable financial outcome. Bek et al. (2024) have identified in their bibliometric review of 24 years of empirical studies on AI trust that trust in AI systems has a multidimensional nature</w:t>
      </w:r>
      <w:r w:rsidR="00FC7FD4">
        <w:rPr>
          <w:sz w:val="24"/>
          <w:szCs w:val="24"/>
        </w:rPr>
        <w:t>,</w:t>
      </w:r>
      <w:r w:rsidRPr="00680EB6">
        <w:rPr>
          <w:sz w:val="24"/>
          <w:szCs w:val="24"/>
        </w:rPr>
        <w:t xml:space="preserve"> comprising cognitive, affective, and </w:t>
      </w:r>
      <w:proofErr w:type="spellStart"/>
      <w:r w:rsidRPr="00680EB6">
        <w:rPr>
          <w:sz w:val="24"/>
          <w:szCs w:val="24"/>
        </w:rPr>
        <w:t>behavioural</w:t>
      </w:r>
      <w:proofErr w:type="spellEnd"/>
      <w:r w:rsidRPr="00680EB6">
        <w:rPr>
          <w:sz w:val="24"/>
          <w:szCs w:val="24"/>
        </w:rPr>
        <w:t xml:space="preserve"> dimensions</w:t>
      </w:r>
      <w:r w:rsidR="00FC7FD4">
        <w:rPr>
          <w:sz w:val="24"/>
          <w:szCs w:val="24"/>
        </w:rPr>
        <w:t>. That</w:t>
      </w:r>
      <w:r w:rsidRPr="00680EB6">
        <w:rPr>
          <w:sz w:val="24"/>
          <w:szCs w:val="24"/>
        </w:rPr>
        <w:t xml:space="preserve"> trust is typically fragile: a high-profile failure is disproportionately harmful to accumulated trust capital relative to the effort invested to produce it. This asymmetry implies that the AI governance investment in Unilever ought not to be </w:t>
      </w:r>
      <w:proofErr w:type="spellStart"/>
      <w:r w:rsidR="00FC7FD4">
        <w:rPr>
          <w:sz w:val="24"/>
          <w:szCs w:val="24"/>
        </w:rPr>
        <w:t>optimised</w:t>
      </w:r>
      <w:proofErr w:type="spellEnd"/>
      <w:r w:rsidRPr="00680EB6">
        <w:rPr>
          <w:sz w:val="24"/>
          <w:szCs w:val="24"/>
        </w:rPr>
        <w:t xml:space="preserve"> to the probability of failure but to the magnitude of reputational and commercial consequences in the event of failure, a risk calculus that is much more likely to increase the appropriate governance cost substantially. This discussion is extended by Huynh and </w:t>
      </w:r>
      <w:proofErr w:type="spellStart"/>
      <w:r w:rsidRPr="00680EB6">
        <w:rPr>
          <w:sz w:val="24"/>
          <w:szCs w:val="24"/>
        </w:rPr>
        <w:t>Aichner</w:t>
      </w:r>
      <w:proofErr w:type="spellEnd"/>
      <w:r w:rsidRPr="00680EB6">
        <w:rPr>
          <w:sz w:val="24"/>
          <w:szCs w:val="24"/>
        </w:rPr>
        <w:t xml:space="preserve"> (2025), who specifically address </w:t>
      </w:r>
      <w:r w:rsidR="00FC7FD4">
        <w:rPr>
          <w:sz w:val="24"/>
          <w:szCs w:val="24"/>
        </w:rPr>
        <w:t>generative AI and find that cognitive trust, which is founded on rational assessment of AI competence and integrity, is the key process leading</w:t>
      </w:r>
      <w:r w:rsidRPr="00680EB6">
        <w:rPr>
          <w:sz w:val="24"/>
          <w:szCs w:val="24"/>
        </w:rPr>
        <w:t xml:space="preserve"> to consumer acceptance of AI-generated content. The impact of AI-generated content is discovered to be the greatest contributor to the establishment of cognitive trust, and the direct empirical confirmation of the suggestion offered in Section 3: investing in consumer-facing disclosure mechanisms.</w:t>
      </w:r>
    </w:p>
    <w:p w14:paraId="1CB1D05A" w14:textId="5CBCE7F4" w:rsidR="00680EB6" w:rsidRPr="00680EB6" w:rsidRDefault="00680EB6" w:rsidP="00F83C9F">
      <w:pPr>
        <w:spacing w:line="360" w:lineRule="auto"/>
        <w:jc w:val="both"/>
        <w:rPr>
          <w:sz w:val="24"/>
          <w:szCs w:val="24"/>
        </w:rPr>
      </w:pPr>
      <w:r w:rsidRPr="00680EB6">
        <w:rPr>
          <w:sz w:val="24"/>
          <w:szCs w:val="24"/>
        </w:rPr>
        <w:lastRenderedPageBreak/>
        <w:t xml:space="preserve">The empirical foundation </w:t>
      </w:r>
      <w:r w:rsidR="00FC7FD4">
        <w:rPr>
          <w:sz w:val="24"/>
          <w:szCs w:val="24"/>
        </w:rPr>
        <w:t xml:space="preserve">for trust-building in AI-mediated business environments was laid by Kim and </w:t>
      </w:r>
      <w:proofErr w:type="spellStart"/>
      <w:r w:rsidR="00FC7FD4">
        <w:rPr>
          <w:sz w:val="24"/>
          <w:szCs w:val="24"/>
        </w:rPr>
        <w:t>Benbasat</w:t>
      </w:r>
      <w:proofErr w:type="spellEnd"/>
      <w:r w:rsidR="00FC7FD4">
        <w:rPr>
          <w:sz w:val="24"/>
          <w:szCs w:val="24"/>
        </w:rPr>
        <w:t xml:space="preserve"> (2006), who found that trust-assuring arguments structured around</w:t>
      </w:r>
      <w:r w:rsidRPr="00680EB6">
        <w:rPr>
          <w:sz w:val="24"/>
          <w:szCs w:val="24"/>
        </w:rPr>
        <w:t xml:space="preserve"> plausible commitments to system reliability and integrity are significant contributors to consumer acceptance of AI-mediated systems. More to the point, the credibility of trust-provoking messages is already determined by their credibility: the claims of trustworthiness that cannot be confirmed by </w:t>
      </w:r>
      <w:r w:rsidR="00FC7FD4">
        <w:rPr>
          <w:sz w:val="24"/>
          <w:szCs w:val="24"/>
        </w:rPr>
        <w:t xml:space="preserve">governance systems that can be checked have a minimal persuasive effect and can even be </w:t>
      </w:r>
      <w:proofErr w:type="spellStart"/>
      <w:r w:rsidR="00FC7FD4">
        <w:rPr>
          <w:sz w:val="24"/>
          <w:szCs w:val="24"/>
        </w:rPr>
        <w:t>sceptical</w:t>
      </w:r>
      <w:proofErr w:type="spellEnd"/>
      <w:r w:rsidRPr="00680EB6">
        <w:rPr>
          <w:sz w:val="24"/>
          <w:szCs w:val="24"/>
        </w:rPr>
        <w:t xml:space="preserve">. This finding has direct strategic consequences </w:t>
      </w:r>
      <w:r w:rsidR="00FC7FD4">
        <w:rPr>
          <w:sz w:val="24"/>
          <w:szCs w:val="24"/>
        </w:rPr>
        <w:t>for Unilever: indicators of consumer-facing AI trust should be reflected in</w:t>
      </w:r>
      <w:r w:rsidRPr="00680EB6">
        <w:rPr>
          <w:sz w:val="24"/>
          <w:szCs w:val="24"/>
        </w:rPr>
        <w:t xml:space="preserve"> autonomous governance structures, available data regulation instruments, and clear audit findings that are not merely asserted in brand messages. A similar result is provided by Evans, </w:t>
      </w:r>
      <w:proofErr w:type="spellStart"/>
      <w:r w:rsidRPr="00680EB6">
        <w:rPr>
          <w:sz w:val="24"/>
          <w:szCs w:val="24"/>
        </w:rPr>
        <w:t>Stavrova</w:t>
      </w:r>
      <w:proofErr w:type="spellEnd"/>
      <w:r w:rsidRPr="00680EB6">
        <w:rPr>
          <w:sz w:val="24"/>
          <w:szCs w:val="24"/>
        </w:rPr>
        <w:t xml:space="preserve">, and </w:t>
      </w:r>
      <w:proofErr w:type="spellStart"/>
      <w:r w:rsidRPr="00680EB6">
        <w:rPr>
          <w:sz w:val="24"/>
          <w:szCs w:val="24"/>
        </w:rPr>
        <w:t>Rosenbusch</w:t>
      </w:r>
      <w:proofErr w:type="spellEnd"/>
      <w:r w:rsidRPr="00680EB6">
        <w:rPr>
          <w:sz w:val="24"/>
          <w:szCs w:val="24"/>
        </w:rPr>
        <w:t xml:space="preserve"> (2021): the perceived doubt of phrases in the online review environment reduces trust significantly, even in the context of ultimately positive ratings, and the impact grows when the algorithmic uncertainty is involved, which Unilever must moderate on its AI-mediated brand communication platforms. Wang et al. (2024) demonstrate that consumer acceptance of </w:t>
      </w:r>
      <w:proofErr w:type="spellStart"/>
      <w:r w:rsidRPr="00680EB6">
        <w:rPr>
          <w:sz w:val="24"/>
          <w:szCs w:val="24"/>
        </w:rPr>
        <w:t>personalised</w:t>
      </w:r>
      <w:proofErr w:type="spellEnd"/>
      <w:r w:rsidRPr="00680EB6">
        <w:rPr>
          <w:sz w:val="24"/>
          <w:szCs w:val="24"/>
        </w:rPr>
        <w:t xml:space="preserve"> recommendations is mediated by perceptions of data control, not by mere privacy concerns: the policy implication is that the provision of granular, accessible and actually usable data control mechanisms will result in measurable benefits of engagement and conversion. Gu et al. (2024) name the creative tension that the </w:t>
      </w:r>
      <w:r w:rsidR="00FC7FD4">
        <w:rPr>
          <w:sz w:val="24"/>
          <w:szCs w:val="24"/>
        </w:rPr>
        <w:t xml:space="preserve">Unilever content strategy must strike: perceived eeriness, the uncanny valley effect of excessive </w:t>
      </w:r>
      <w:proofErr w:type="spellStart"/>
      <w:r w:rsidR="00FC7FD4">
        <w:rPr>
          <w:sz w:val="24"/>
          <w:szCs w:val="24"/>
        </w:rPr>
        <w:t>personalised</w:t>
      </w:r>
      <w:proofErr w:type="spellEnd"/>
      <w:r w:rsidR="00FC7FD4">
        <w:rPr>
          <w:sz w:val="24"/>
          <w:szCs w:val="24"/>
        </w:rPr>
        <w:t xml:space="preserve"> or synthetic content, perceived intelligence, and perceived closeness to perceptual indistinguishability between generatively capable AI and</w:t>
      </w:r>
      <w:r w:rsidRPr="00680EB6">
        <w:rPr>
          <w:sz w:val="24"/>
          <w:szCs w:val="24"/>
        </w:rPr>
        <w:t xml:space="preserve"> human-written content.</w:t>
      </w:r>
    </w:p>
    <w:p w14:paraId="261D0C9D" w14:textId="47E7E0A6" w:rsidR="00C728A1" w:rsidRPr="00860442" w:rsidRDefault="00680EB6" w:rsidP="00F83C9F">
      <w:pPr>
        <w:spacing w:line="360" w:lineRule="auto"/>
        <w:jc w:val="both"/>
        <w:rPr>
          <w:sz w:val="24"/>
          <w:szCs w:val="24"/>
        </w:rPr>
      </w:pPr>
      <w:r w:rsidRPr="00680EB6">
        <w:rPr>
          <w:sz w:val="24"/>
          <w:szCs w:val="24"/>
        </w:rPr>
        <w:t xml:space="preserve">Another risk </w:t>
      </w:r>
      <w:r w:rsidR="001F3565">
        <w:rPr>
          <w:sz w:val="24"/>
          <w:szCs w:val="24"/>
        </w:rPr>
        <w:t xml:space="preserve">underscored is the </w:t>
      </w:r>
      <w:r w:rsidRPr="00680EB6">
        <w:rPr>
          <w:sz w:val="24"/>
          <w:szCs w:val="24"/>
        </w:rPr>
        <w:t xml:space="preserve">social dissemination of AI-based trust failures. Ahmed (2021) demonstrates that AI-generated content </w:t>
      </w:r>
      <w:r w:rsidR="00FC7FD4">
        <w:rPr>
          <w:sz w:val="24"/>
          <w:szCs w:val="24"/>
        </w:rPr>
        <w:t>spreads rapidly through consumers' social networks when it is perceived as manipulative or disingenuous</w:t>
      </w:r>
      <w:r w:rsidRPr="00680EB6">
        <w:rPr>
          <w:sz w:val="24"/>
          <w:szCs w:val="24"/>
        </w:rPr>
        <w:t xml:space="preserve">. </w:t>
      </w:r>
      <w:r w:rsidR="00FC7FD4">
        <w:rPr>
          <w:sz w:val="24"/>
          <w:szCs w:val="24"/>
        </w:rPr>
        <w:t>The topological properties of said networks facilitate its propagation</w:t>
      </w:r>
      <w:r w:rsidRPr="00680EB6">
        <w:rPr>
          <w:sz w:val="24"/>
          <w:szCs w:val="24"/>
        </w:rPr>
        <w:t xml:space="preserve">, irrespective of the extent of the original content. Choi, Jeon and Kim (2020) confirm the text mining and network analysis and conclude that negative information is amplified more quickly and lasts longer than positive information in online social systems, which implies that the resources required to prevent a failure in trust are much larger than the ones required to justify a similar risk assessment through symmetric probability. Sheehan and Powers (2018) propose that operational risk governance by the board should not be about non-executive directors receiving strategic risk management frameworks but about them undertaking these frameworks proactively, and that Unilever has been doing so to a significant degree with its present AI risk posture. </w:t>
      </w:r>
      <w:r w:rsidRPr="00680EB6">
        <w:rPr>
          <w:sz w:val="24"/>
          <w:szCs w:val="24"/>
        </w:rPr>
        <w:lastRenderedPageBreak/>
        <w:t xml:space="preserve">According to the model, </w:t>
      </w:r>
      <w:r w:rsidR="00FC7FD4">
        <w:rPr>
          <w:sz w:val="24"/>
          <w:szCs w:val="24"/>
        </w:rPr>
        <w:t>a holistic approach to enterprise information assets would be proposed, viewing data governance, risk management, and strategic value creation as a single system and architectural logic for redesigning</w:t>
      </w:r>
      <w:r w:rsidRPr="00680EB6">
        <w:rPr>
          <w:sz w:val="24"/>
          <w:szCs w:val="24"/>
        </w:rPr>
        <w:t xml:space="preserve"> AI governance in Unilever (Evans and Price, 2020). A more general strategic implication that can be applied directly in analogous form is Ben Lahouel et al. (2021), who examine the non-linear connection between environmental CSR commitment and financial performance: those who are leaders of responsible practice in early-stage regulatory settings accrue disproportionate strategic advantages when regulation strengthens, whereas laggards incur compliance costs and reputational costs simultaneously.</w:t>
      </w:r>
    </w:p>
    <w:p w14:paraId="4379A712" w14:textId="61105939" w:rsidR="00C728A1" w:rsidRPr="00860442" w:rsidRDefault="00EE0F76" w:rsidP="00F83C9F">
      <w:pPr>
        <w:pStyle w:val="Heading2"/>
      </w:pPr>
      <w:bookmarkStart w:id="8" w:name="_Toc228193103"/>
      <w:r w:rsidRPr="00860442">
        <w:t>Asia-Pacific: Regulatory and Cultural Analysis</w:t>
      </w:r>
      <w:bookmarkEnd w:id="8"/>
    </w:p>
    <w:p w14:paraId="6DEE7C8B" w14:textId="77BD6408" w:rsidR="00680EB6" w:rsidRPr="00680EB6" w:rsidRDefault="00680EB6" w:rsidP="00F83C9F">
      <w:pPr>
        <w:spacing w:line="360" w:lineRule="auto"/>
        <w:jc w:val="both"/>
        <w:rPr>
          <w:sz w:val="24"/>
          <w:szCs w:val="24"/>
        </w:rPr>
      </w:pPr>
      <w:r w:rsidRPr="00680EB6">
        <w:rPr>
          <w:sz w:val="24"/>
          <w:szCs w:val="24"/>
        </w:rPr>
        <w:t xml:space="preserve">The Asia-Pacific region could be considered a promising venue of analytical tension to the Unilever AI strategy: on the one hand, it is the most commercial frontier of growth </w:t>
      </w:r>
      <w:r w:rsidR="00FC7FD4">
        <w:rPr>
          <w:sz w:val="24"/>
          <w:szCs w:val="24"/>
        </w:rPr>
        <w:t xml:space="preserve">where </w:t>
      </w:r>
      <w:r w:rsidRPr="00680EB6">
        <w:rPr>
          <w:sz w:val="24"/>
          <w:szCs w:val="24"/>
        </w:rPr>
        <w:t>the company is active there; on the other hand, this is where the AI governance assumptions that Unilever has crafted on the basis of the UK and the EU regulatory norms are most apt to be inadequate. The region encompasses regulatory models</w:t>
      </w:r>
      <w:r w:rsidR="00FC7FD4">
        <w:rPr>
          <w:sz w:val="24"/>
          <w:szCs w:val="24"/>
        </w:rPr>
        <w:t xml:space="preserve"> that range from</w:t>
      </w:r>
      <w:r w:rsidRPr="00680EB6">
        <w:rPr>
          <w:sz w:val="24"/>
          <w:szCs w:val="24"/>
        </w:rPr>
        <w:t xml:space="preserve"> prescriptive, state-led AI governance in China to principles-based, industry-led governance in Singapore, with India, Japan, South Korea and Indonesia occupying intermediate stances. Applying the Hofstede cultural dimensions model, i.e., the power distance, individualism/collectivism, uncertainty avoidance, and long-term orientation, we can also learn that consumer trust in AI-driven </w:t>
      </w:r>
      <w:proofErr w:type="spellStart"/>
      <w:r w:rsidRPr="00680EB6">
        <w:rPr>
          <w:sz w:val="24"/>
          <w:szCs w:val="24"/>
        </w:rPr>
        <w:t>personalisation</w:t>
      </w:r>
      <w:proofErr w:type="spellEnd"/>
      <w:r w:rsidRPr="00680EB6">
        <w:rPr>
          <w:sz w:val="24"/>
          <w:szCs w:val="24"/>
        </w:rPr>
        <w:t xml:space="preserve"> is, however, not a culturally neutral phenomenon that can be hardly addressed with the help of the universally applicable system of governance (Hofstede, Hofstede and Minkov, 2010).</w:t>
      </w:r>
    </w:p>
    <w:p w14:paraId="712CCD37" w14:textId="3B64E595" w:rsidR="00680EB6" w:rsidRPr="00680EB6" w:rsidRDefault="00680EB6" w:rsidP="00F83C9F">
      <w:pPr>
        <w:spacing w:line="360" w:lineRule="auto"/>
        <w:jc w:val="both"/>
        <w:rPr>
          <w:sz w:val="24"/>
          <w:szCs w:val="24"/>
        </w:rPr>
      </w:pPr>
      <w:r w:rsidRPr="00680EB6">
        <w:rPr>
          <w:sz w:val="24"/>
          <w:szCs w:val="24"/>
        </w:rPr>
        <w:t xml:space="preserve">The most prescriptive space </w:t>
      </w:r>
      <w:r w:rsidR="00FC7FD4">
        <w:rPr>
          <w:sz w:val="24"/>
          <w:szCs w:val="24"/>
        </w:rPr>
        <w:t>in which Unilever operates is China's AI regulatory framework</w:t>
      </w:r>
      <w:r w:rsidRPr="00680EB6">
        <w:rPr>
          <w:sz w:val="24"/>
          <w:szCs w:val="24"/>
        </w:rPr>
        <w:t xml:space="preserve">. The 2022 algorithmic recommendations regulations of the Cyberspace Administration of China and the 2023 Generative AI Interim Measures render AI-generated content reportable and require </w:t>
      </w:r>
      <w:r w:rsidR="00FC7FD4">
        <w:rPr>
          <w:sz w:val="24"/>
          <w:szCs w:val="24"/>
        </w:rPr>
        <w:t>AI systems to satisfy the criteria for</w:t>
      </w:r>
      <w:r w:rsidRPr="00680EB6">
        <w:rPr>
          <w:sz w:val="24"/>
          <w:szCs w:val="24"/>
        </w:rPr>
        <w:t xml:space="preserve"> state value generation, which involve direct architectural incompatibility with the globally integrated consumer data infrastructure at Unilever. The Interim Measures content-provenance requirement is of particular interest to </w:t>
      </w:r>
      <w:r w:rsidR="00FC7FD4">
        <w:rPr>
          <w:sz w:val="24"/>
          <w:szCs w:val="24"/>
        </w:rPr>
        <w:t xml:space="preserve">Unilever's AI-generated advertising operations in China: the artificial or AI-generated promotional messages must be marked, and the conditions for marking are more stringent than those </w:t>
      </w:r>
      <w:r w:rsidRPr="00680EB6">
        <w:rPr>
          <w:sz w:val="24"/>
          <w:szCs w:val="24"/>
        </w:rPr>
        <w:t xml:space="preserve">in the UK or the EU. </w:t>
      </w:r>
      <w:r w:rsidR="00FC7FD4">
        <w:rPr>
          <w:sz w:val="24"/>
          <w:szCs w:val="24"/>
        </w:rPr>
        <w:t xml:space="preserve">Under Indian law, the Digital Personal Data Protection Act 2023 introduces a consent manager and data </w:t>
      </w:r>
      <w:proofErr w:type="spellStart"/>
      <w:r w:rsidR="00FC7FD4">
        <w:rPr>
          <w:sz w:val="24"/>
          <w:szCs w:val="24"/>
        </w:rPr>
        <w:t>localisation</w:t>
      </w:r>
      <w:proofErr w:type="spellEnd"/>
      <w:r w:rsidR="00FC7FD4">
        <w:rPr>
          <w:sz w:val="24"/>
          <w:szCs w:val="24"/>
        </w:rPr>
        <w:t xml:space="preserve"> frameworks that limit Unilever's capacity to blend consumer </w:t>
      </w:r>
      <w:proofErr w:type="spellStart"/>
      <w:r w:rsidR="00FC7FD4">
        <w:rPr>
          <w:sz w:val="24"/>
          <w:szCs w:val="24"/>
        </w:rPr>
        <w:t>behavioural</w:t>
      </w:r>
      <w:proofErr w:type="spellEnd"/>
      <w:r w:rsidR="00FC7FD4">
        <w:rPr>
          <w:sz w:val="24"/>
          <w:szCs w:val="24"/>
        </w:rPr>
        <w:t xml:space="preserve"> data from its operations in India with its global AI systems, through</w:t>
      </w:r>
      <w:r w:rsidRPr="00680EB6">
        <w:rPr>
          <w:sz w:val="24"/>
          <w:szCs w:val="24"/>
        </w:rPr>
        <w:t xml:space="preserve"> structural limitations </w:t>
      </w:r>
      <w:r w:rsidRPr="00680EB6">
        <w:rPr>
          <w:sz w:val="24"/>
          <w:szCs w:val="24"/>
        </w:rPr>
        <w:lastRenderedPageBreak/>
        <w:t xml:space="preserve">that have a direct bearing on the OLI analysis. </w:t>
      </w:r>
      <w:proofErr w:type="spellStart"/>
      <w:r w:rsidRPr="00680EB6">
        <w:rPr>
          <w:sz w:val="24"/>
          <w:szCs w:val="24"/>
        </w:rPr>
        <w:t>Internalisation</w:t>
      </w:r>
      <w:proofErr w:type="spellEnd"/>
      <w:r w:rsidRPr="00680EB6">
        <w:rPr>
          <w:sz w:val="24"/>
          <w:szCs w:val="24"/>
        </w:rPr>
        <w:t xml:space="preserve"> advantage. Regarding its capacity to manage user data on an integrated AI platform globally, Dunning (1988) states that the </w:t>
      </w:r>
      <w:proofErr w:type="spellStart"/>
      <w:r w:rsidRPr="00680EB6">
        <w:rPr>
          <w:sz w:val="24"/>
          <w:szCs w:val="24"/>
        </w:rPr>
        <w:t>localisation</w:t>
      </w:r>
      <w:proofErr w:type="spellEnd"/>
      <w:r w:rsidRPr="00680EB6">
        <w:rPr>
          <w:sz w:val="24"/>
          <w:szCs w:val="24"/>
        </w:rPr>
        <w:t xml:space="preserve"> of data in China and India by the two countries, </w:t>
      </w:r>
      <w:r w:rsidR="00FC7FD4">
        <w:rPr>
          <w:sz w:val="24"/>
          <w:szCs w:val="24"/>
        </w:rPr>
        <w:t>both critical components of Unilever's</w:t>
      </w:r>
      <w:r w:rsidRPr="00680EB6">
        <w:rPr>
          <w:sz w:val="24"/>
          <w:szCs w:val="24"/>
        </w:rPr>
        <w:t xml:space="preserve"> expansion strategy, severely restricts the firm. Nonetheless</w:t>
      </w:r>
      <w:r w:rsidR="00FC7FD4">
        <w:rPr>
          <w:sz w:val="24"/>
          <w:szCs w:val="24"/>
        </w:rPr>
        <w:t>, Singapore is a more liberal environment: the Model AI Governance Framework is a principles-based framework that is far more reminiscent of the post-Brexit position of the UK, providing</w:t>
      </w:r>
      <w:r w:rsidRPr="00680EB6">
        <w:rPr>
          <w:sz w:val="24"/>
          <w:szCs w:val="24"/>
        </w:rPr>
        <w:t xml:space="preserve"> Unilever with an excellent sandbox to build AI competence in the region.</w:t>
      </w:r>
    </w:p>
    <w:p w14:paraId="5EC9A666" w14:textId="511617D2" w:rsidR="00680EB6" w:rsidRPr="00680EB6" w:rsidRDefault="00680EB6" w:rsidP="00F83C9F">
      <w:pPr>
        <w:spacing w:line="360" w:lineRule="auto"/>
        <w:jc w:val="both"/>
        <w:rPr>
          <w:sz w:val="24"/>
          <w:szCs w:val="24"/>
        </w:rPr>
      </w:pPr>
      <w:r w:rsidRPr="00680EB6">
        <w:rPr>
          <w:sz w:val="24"/>
          <w:szCs w:val="24"/>
        </w:rPr>
        <w:t xml:space="preserve">The dimensions </w:t>
      </w:r>
      <w:r w:rsidR="00FC7FD4">
        <w:rPr>
          <w:sz w:val="24"/>
          <w:szCs w:val="24"/>
        </w:rPr>
        <w:t xml:space="preserve">Hofstede identified imply that consumer trust in AI </w:t>
      </w:r>
      <w:proofErr w:type="spellStart"/>
      <w:r w:rsidR="00FC7FD4">
        <w:rPr>
          <w:sz w:val="24"/>
          <w:szCs w:val="24"/>
        </w:rPr>
        <w:t>personalisation</w:t>
      </w:r>
      <w:proofErr w:type="spellEnd"/>
      <w:r w:rsidR="00FC7FD4">
        <w:rPr>
          <w:sz w:val="24"/>
          <w:szCs w:val="24"/>
        </w:rPr>
        <w:t xml:space="preserve"> cannot be addressed with a single global communication</w:t>
      </w:r>
      <w:r w:rsidRPr="00680EB6">
        <w:rPr>
          <w:sz w:val="24"/>
          <w:szCs w:val="24"/>
        </w:rPr>
        <w:t xml:space="preserve"> modus operandi. High power distance societies, such as China, Indonesia, Malaysia, and the Philippines have consumers that are more submissive to institutional and brand authority, which can reduce active resistance to data collection practices. However, this procedure, simultaneously, amplifies the reputational impact of perceived institutional betrayal: in the scenario of reputational damage of a data breach, an algorithm bias incident, or a manipulative disclosure of </w:t>
      </w:r>
      <w:proofErr w:type="spellStart"/>
      <w:r w:rsidRPr="00680EB6">
        <w:rPr>
          <w:sz w:val="24"/>
          <w:szCs w:val="24"/>
        </w:rPr>
        <w:t>personalisation</w:t>
      </w:r>
      <w:proofErr w:type="spellEnd"/>
      <w:r w:rsidRPr="00680EB6">
        <w:rPr>
          <w:sz w:val="24"/>
          <w:szCs w:val="24"/>
        </w:rPr>
        <w:t xml:space="preserve">, the reputational harm is over-proportional, since it is not only a commercial expectation that is being breached but also a quasi-hierarchical social contract. Network-mediated trust is also present in high collectivism cultures that are rife in East and South-East Asia: the experience of a single consumer with an AI system diffuses through </w:t>
      </w:r>
      <w:r w:rsidR="00FC7FD4">
        <w:rPr>
          <w:sz w:val="24"/>
          <w:szCs w:val="24"/>
        </w:rPr>
        <w:t xml:space="preserve">tightly knit social networks with a velocity and reach that </w:t>
      </w:r>
      <w:proofErr w:type="spellStart"/>
      <w:r w:rsidR="00FC7FD4">
        <w:rPr>
          <w:sz w:val="24"/>
          <w:szCs w:val="24"/>
        </w:rPr>
        <w:t>individualised</w:t>
      </w:r>
      <w:proofErr w:type="spellEnd"/>
      <w:r w:rsidR="00FC7FD4">
        <w:rPr>
          <w:sz w:val="24"/>
          <w:szCs w:val="24"/>
        </w:rPr>
        <w:t xml:space="preserve"> models of Western consumer </w:t>
      </w:r>
      <w:proofErr w:type="spellStart"/>
      <w:r w:rsidR="00FC7FD4">
        <w:rPr>
          <w:sz w:val="24"/>
          <w:szCs w:val="24"/>
        </w:rPr>
        <w:t>behaviour</w:t>
      </w:r>
      <w:proofErr w:type="spellEnd"/>
      <w:r w:rsidR="00FC7FD4">
        <w:rPr>
          <w:sz w:val="24"/>
          <w:szCs w:val="24"/>
        </w:rPr>
        <w:t xml:space="preserve"> do not anticipate</w:t>
      </w:r>
      <w:r w:rsidRPr="00680EB6">
        <w:rPr>
          <w:sz w:val="24"/>
          <w:szCs w:val="24"/>
        </w:rPr>
        <w:t xml:space="preserve">. It is the type of amplification dynamic that Choi, Jeon and Kim (2020) can identify through social network analysis. It is crisp </w:t>
      </w:r>
      <w:r w:rsidR="00FC7FD4">
        <w:rPr>
          <w:sz w:val="24"/>
          <w:szCs w:val="24"/>
        </w:rPr>
        <w:t>about what Unilever can do to address</w:t>
      </w:r>
      <w:r w:rsidRPr="00680EB6">
        <w:rPr>
          <w:sz w:val="24"/>
          <w:szCs w:val="24"/>
        </w:rPr>
        <w:t xml:space="preserve"> its AI risks in Asia-Pacific. The highest </w:t>
      </w:r>
      <w:r w:rsidR="001F3565">
        <w:rPr>
          <w:sz w:val="24"/>
          <w:szCs w:val="24"/>
        </w:rPr>
        <w:t>level of uncertainty avoidance is in Japan, which results in consumer preferences for AI systems that can be demonstrated as predictable, transparent, and manageable, rather than</w:t>
      </w:r>
      <w:r w:rsidRPr="00680EB6">
        <w:rPr>
          <w:sz w:val="24"/>
          <w:szCs w:val="24"/>
        </w:rPr>
        <w:t xml:space="preserve"> adaptable, opaque systems that </w:t>
      </w:r>
      <w:proofErr w:type="spellStart"/>
      <w:r w:rsidRPr="00680EB6">
        <w:rPr>
          <w:sz w:val="24"/>
          <w:szCs w:val="24"/>
        </w:rPr>
        <w:t>maximise</w:t>
      </w:r>
      <w:proofErr w:type="spellEnd"/>
      <w:r w:rsidRPr="00680EB6">
        <w:rPr>
          <w:sz w:val="24"/>
          <w:szCs w:val="24"/>
        </w:rPr>
        <w:t xml:space="preserve"> engagement measures. </w:t>
      </w:r>
      <w:proofErr w:type="spellStart"/>
      <w:r w:rsidRPr="00680EB6">
        <w:rPr>
          <w:sz w:val="24"/>
          <w:szCs w:val="24"/>
        </w:rPr>
        <w:t>Nikiforou</w:t>
      </w:r>
      <w:proofErr w:type="spellEnd"/>
      <w:r w:rsidRPr="00680EB6">
        <w:rPr>
          <w:sz w:val="24"/>
          <w:szCs w:val="24"/>
        </w:rPr>
        <w:t xml:space="preserve">, </w:t>
      </w:r>
      <w:proofErr w:type="spellStart"/>
      <w:r w:rsidRPr="00680EB6">
        <w:rPr>
          <w:sz w:val="24"/>
          <w:szCs w:val="24"/>
        </w:rPr>
        <w:t>Lioukas</w:t>
      </w:r>
      <w:proofErr w:type="spellEnd"/>
      <w:r w:rsidRPr="00680EB6">
        <w:rPr>
          <w:sz w:val="24"/>
          <w:szCs w:val="24"/>
        </w:rPr>
        <w:t xml:space="preserve">, and </w:t>
      </w:r>
      <w:proofErr w:type="spellStart"/>
      <w:r w:rsidRPr="00680EB6">
        <w:rPr>
          <w:sz w:val="24"/>
          <w:szCs w:val="24"/>
        </w:rPr>
        <w:t>Voudouris</w:t>
      </w:r>
      <w:proofErr w:type="spellEnd"/>
      <w:r w:rsidRPr="00680EB6">
        <w:rPr>
          <w:sz w:val="24"/>
          <w:szCs w:val="24"/>
        </w:rPr>
        <w:t xml:space="preserve"> (2020) disclose that those companies that have been integrated into local regulatory and cultural knowledge networks possess higher resilience to innovation in the complex multi-market environment, which can be directly translated into practice: Unilever should develop genuine regional AI governance capabilities, rather than adapting global policies to local language.</w:t>
      </w:r>
    </w:p>
    <w:p w14:paraId="2FC6429B" w14:textId="58B894D2" w:rsidR="00C728A1" w:rsidRDefault="00680EB6" w:rsidP="00F83C9F">
      <w:pPr>
        <w:spacing w:line="360" w:lineRule="auto"/>
        <w:jc w:val="both"/>
        <w:rPr>
          <w:sz w:val="24"/>
          <w:szCs w:val="24"/>
        </w:rPr>
      </w:pPr>
      <w:r w:rsidRPr="00680EB6">
        <w:rPr>
          <w:sz w:val="24"/>
          <w:szCs w:val="24"/>
        </w:rPr>
        <w:t xml:space="preserve">The strategic implication of this analysis is that Unilever should </w:t>
      </w:r>
      <w:r w:rsidR="00CC686B">
        <w:rPr>
          <w:sz w:val="24"/>
          <w:szCs w:val="24"/>
        </w:rPr>
        <w:t>adopt a tiered governance architecture rather than a global AI ethics policy</w:t>
      </w:r>
      <w:r w:rsidRPr="00680EB6">
        <w:rPr>
          <w:sz w:val="24"/>
          <w:szCs w:val="24"/>
        </w:rPr>
        <w:t xml:space="preserve">. This architecture should consist of three layers: a global principles layer defining the fundamental ethical promises on algorithmic fairness, transparency, and consumer autonomy; a regional compliance layer that takes </w:t>
      </w:r>
      <w:r w:rsidRPr="00680EB6">
        <w:rPr>
          <w:sz w:val="24"/>
          <w:szCs w:val="24"/>
        </w:rPr>
        <w:lastRenderedPageBreak/>
        <w:t xml:space="preserve">into account the local regulatory context of the EU, UK, China and India; and a local adaptation layer that takes into account Hofstede-based consumer research to ensure </w:t>
      </w:r>
      <w:proofErr w:type="spellStart"/>
      <w:r w:rsidRPr="00680EB6">
        <w:rPr>
          <w:sz w:val="24"/>
          <w:szCs w:val="24"/>
        </w:rPr>
        <w:t>personalisation</w:t>
      </w:r>
      <w:proofErr w:type="spellEnd"/>
      <w:r w:rsidRPr="00680EB6">
        <w:rPr>
          <w:sz w:val="24"/>
          <w:szCs w:val="24"/>
        </w:rPr>
        <w:t xml:space="preserve"> systems are tuned to local expectations of trust. Commercially counter-optimal and legally insufficient in trying to tackle the heterogeneity of Asian-Pacific regulatory and cultural systems via the application of a UK- or EU-created governance framework.</w:t>
      </w:r>
    </w:p>
    <w:p w14:paraId="63A5FBBA" w14:textId="77777777" w:rsidR="00EB684C" w:rsidRDefault="00CB54CD" w:rsidP="00F83C9F">
      <w:pPr>
        <w:keepNext/>
        <w:spacing w:line="360" w:lineRule="auto"/>
        <w:jc w:val="both"/>
      </w:pPr>
      <w:r>
        <w:rPr>
          <w:noProof/>
          <w:sz w:val="24"/>
          <w:szCs w:val="24"/>
        </w:rPr>
        <w:drawing>
          <wp:inline distT="0" distB="0" distL="0" distR="0" wp14:anchorId="7B863FB3" wp14:editId="3E1CA6FA">
            <wp:extent cx="5850947" cy="5417128"/>
            <wp:effectExtent l="0" t="0" r="0" b="0"/>
            <wp:docPr id="20208800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80032" name="Picture 2020880032"/>
                    <pic:cNvPicPr/>
                  </pic:nvPicPr>
                  <pic:blipFill rotWithShape="1">
                    <a:blip r:embed="rId10" cstate="print">
                      <a:extLst>
                        <a:ext uri="{28A0092B-C50C-407E-A947-70E740481C1C}">
                          <a14:useLocalDpi xmlns:a14="http://schemas.microsoft.com/office/drawing/2010/main" val="0"/>
                        </a:ext>
                      </a:extLst>
                    </a:blip>
                    <a:srcRect/>
                    <a:stretch>
                      <a:fillRect/>
                    </a:stretch>
                  </pic:blipFill>
                  <pic:spPr bwMode="auto">
                    <a:xfrm>
                      <a:off x="0" y="0"/>
                      <a:ext cx="5870666" cy="5435385"/>
                    </a:xfrm>
                    <a:prstGeom prst="rect">
                      <a:avLst/>
                    </a:prstGeom>
                    <a:ln>
                      <a:noFill/>
                    </a:ln>
                    <a:extLst>
                      <a:ext uri="{53640926-AAD7-44D8-BBD7-CCE9431645EC}">
                        <a14:shadowObscured xmlns:a14="http://schemas.microsoft.com/office/drawing/2010/main"/>
                      </a:ext>
                    </a:extLst>
                  </pic:spPr>
                </pic:pic>
              </a:graphicData>
            </a:graphic>
          </wp:inline>
        </w:drawing>
      </w:r>
    </w:p>
    <w:p w14:paraId="0A04A01D" w14:textId="0AB86574" w:rsidR="00CB54CD" w:rsidRPr="00860442" w:rsidRDefault="00EB684C" w:rsidP="00F83C9F">
      <w:pPr>
        <w:pStyle w:val="Caption"/>
        <w:spacing w:after="0" w:line="360" w:lineRule="auto"/>
        <w:jc w:val="both"/>
        <w:rPr>
          <w:sz w:val="24"/>
          <w:szCs w:val="24"/>
        </w:rPr>
      </w:pPr>
      <w:r>
        <w:t xml:space="preserve">Figure </w:t>
      </w:r>
      <w:r w:rsidR="00EE0F76">
        <w:fldChar w:fldCharType="begin"/>
      </w:r>
      <w:r w:rsidR="00EE0F76">
        <w:instrText xml:space="preserve"> SEQ Figure \* ARABIC </w:instrText>
      </w:r>
      <w:r w:rsidR="00EE0F76">
        <w:fldChar w:fldCharType="separate"/>
      </w:r>
      <w:r w:rsidR="0004183B">
        <w:rPr>
          <w:noProof/>
        </w:rPr>
        <w:t>2</w:t>
      </w:r>
      <w:r w:rsidR="00EE0F76">
        <w:rPr>
          <w:noProof/>
        </w:rPr>
        <w:fldChar w:fldCharType="end"/>
      </w:r>
      <w:r>
        <w:t>:</w:t>
      </w:r>
      <w:r w:rsidRPr="002B0929">
        <w:t>Global</w:t>
      </w:r>
      <w:r>
        <w:t>-</w:t>
      </w:r>
      <w:r w:rsidRPr="002B0929">
        <w:t>regional</w:t>
      </w:r>
      <w:r>
        <w:t>-</w:t>
      </w:r>
      <w:r w:rsidRPr="002B0929">
        <w:t>local AI governance model</w:t>
      </w:r>
      <w:r>
        <w:t>(Self-made)</w:t>
      </w:r>
      <w:r w:rsidRPr="002B0929">
        <w:t>.</w:t>
      </w:r>
    </w:p>
    <w:p w14:paraId="63F60D2C" w14:textId="65DAEAB8" w:rsidR="00C728A1" w:rsidRPr="00860442" w:rsidRDefault="00EE0F76" w:rsidP="00F83C9F">
      <w:pPr>
        <w:pStyle w:val="Heading1"/>
      </w:pPr>
      <w:bookmarkStart w:id="9" w:name="_Toc228193104"/>
      <w:r w:rsidRPr="00860442">
        <w:t>Implementation Plan</w:t>
      </w:r>
      <w:bookmarkEnd w:id="9"/>
    </w:p>
    <w:p w14:paraId="71643B28" w14:textId="3FF544C1" w:rsidR="00C728A1" w:rsidRDefault="00680EB6" w:rsidP="00F83C9F">
      <w:pPr>
        <w:spacing w:line="360" w:lineRule="auto"/>
        <w:jc w:val="both"/>
        <w:rPr>
          <w:sz w:val="24"/>
          <w:szCs w:val="24"/>
        </w:rPr>
      </w:pPr>
      <w:r w:rsidRPr="00680EB6">
        <w:rPr>
          <w:sz w:val="24"/>
          <w:szCs w:val="24"/>
        </w:rPr>
        <w:t xml:space="preserve">The implementation plan is anchored </w:t>
      </w:r>
      <w:r w:rsidR="00CC686B">
        <w:rPr>
          <w:sz w:val="24"/>
          <w:szCs w:val="24"/>
        </w:rPr>
        <w:t xml:space="preserve">in the principle of continual improvement incorporated in ISO 31000 and arranged in order of </w:t>
      </w:r>
      <w:r w:rsidR="001F3565">
        <w:rPr>
          <w:sz w:val="24"/>
          <w:szCs w:val="24"/>
        </w:rPr>
        <w:t>regulatory enforcement risk urgency, the complexity of the governance architecture required, and the strategic horizon within</w:t>
      </w:r>
      <w:r w:rsidR="00CC686B">
        <w:rPr>
          <w:sz w:val="24"/>
          <w:szCs w:val="24"/>
        </w:rPr>
        <w:t xml:space="preserve"> which leadership, founded on trust,</w:t>
      </w:r>
      <w:r w:rsidRPr="00680EB6">
        <w:rPr>
          <w:sz w:val="24"/>
          <w:szCs w:val="24"/>
        </w:rPr>
        <w:t xml:space="preserve"> can be developed.</w:t>
      </w:r>
    </w:p>
    <w:p w14:paraId="7451E418" w14:textId="5FF39D2D" w:rsidR="00113A4C" w:rsidRDefault="00113A4C" w:rsidP="00F83C9F">
      <w:pPr>
        <w:pStyle w:val="Caption"/>
        <w:keepNext/>
        <w:spacing w:after="0" w:line="360" w:lineRule="auto"/>
      </w:pPr>
      <w:r>
        <w:lastRenderedPageBreak/>
        <w:t xml:space="preserve">Table </w:t>
      </w:r>
      <w:r w:rsidR="00EE0F76">
        <w:fldChar w:fldCharType="begin"/>
      </w:r>
      <w:r w:rsidR="00EE0F76">
        <w:instrText xml:space="preserve"> SEQ Table \* ARABIC </w:instrText>
      </w:r>
      <w:r w:rsidR="00EE0F76">
        <w:fldChar w:fldCharType="separate"/>
      </w:r>
      <w:r>
        <w:rPr>
          <w:noProof/>
        </w:rPr>
        <w:t>3</w:t>
      </w:r>
      <w:r w:rsidR="00EE0F76">
        <w:rPr>
          <w:noProof/>
        </w:rPr>
        <w:fldChar w:fldCharType="end"/>
      </w:r>
      <w:r>
        <w:t xml:space="preserve">: </w:t>
      </w:r>
      <w:r w:rsidRPr="00991EEC">
        <w:t>A three-stage, £10–18M roadmap to embed ethical AI governance, from independent audits and ISO-aligned risk management to industry-standard transparency reporting</w:t>
      </w:r>
    </w:p>
    <w:tbl>
      <w:tblP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69"/>
        <w:gridCol w:w="3977"/>
        <w:gridCol w:w="2233"/>
        <w:gridCol w:w="1560"/>
      </w:tblGrid>
      <w:tr w:rsidR="008B78B0" w:rsidRPr="00860442" w14:paraId="2CB13FE9" w14:textId="77777777" w:rsidTr="00281DF8">
        <w:trPr>
          <w:trHeight w:val="835"/>
        </w:trPr>
        <w:tc>
          <w:tcPr>
            <w:tcW w:w="1669" w:type="dxa"/>
            <w:tcBorders>
              <w:top w:val="single" w:sz="4" w:space="0" w:color="AAAAAA"/>
              <w:left w:val="single" w:sz="4" w:space="0" w:color="AAAAAA"/>
              <w:bottom w:val="single" w:sz="4" w:space="0" w:color="AAAAAA"/>
              <w:right w:val="single" w:sz="4" w:space="0" w:color="AAAAAA"/>
            </w:tcBorders>
            <w:shd w:val="clear" w:color="auto" w:fill="1F3864"/>
            <w:tcMar>
              <w:top w:w="100" w:type="dxa"/>
              <w:left w:w="140" w:type="dxa"/>
              <w:bottom w:w="100" w:type="dxa"/>
              <w:right w:w="140" w:type="dxa"/>
            </w:tcMar>
            <w:vAlign w:val="center"/>
          </w:tcPr>
          <w:p w14:paraId="777FA20E" w14:textId="77777777" w:rsidR="008B78B0" w:rsidRPr="00860442" w:rsidRDefault="008B78B0" w:rsidP="00F83C9F">
            <w:pPr>
              <w:spacing w:line="360" w:lineRule="auto"/>
              <w:jc w:val="both"/>
              <w:rPr>
                <w:sz w:val="24"/>
                <w:szCs w:val="24"/>
              </w:rPr>
            </w:pPr>
            <w:r w:rsidRPr="00860442">
              <w:rPr>
                <w:b/>
                <w:bCs/>
                <w:color w:val="FFFFFF"/>
                <w:sz w:val="24"/>
                <w:szCs w:val="24"/>
              </w:rPr>
              <w:t>Phase</w:t>
            </w:r>
          </w:p>
        </w:tc>
        <w:tc>
          <w:tcPr>
            <w:tcW w:w="3977" w:type="dxa"/>
            <w:tcBorders>
              <w:top w:val="single" w:sz="4" w:space="0" w:color="AAAAAA"/>
              <w:left w:val="single" w:sz="4" w:space="0" w:color="AAAAAA"/>
              <w:bottom w:val="single" w:sz="4" w:space="0" w:color="AAAAAA"/>
              <w:right w:val="single" w:sz="4" w:space="0" w:color="AAAAAA"/>
            </w:tcBorders>
            <w:shd w:val="clear" w:color="auto" w:fill="1F3864"/>
            <w:tcMar>
              <w:top w:w="100" w:type="dxa"/>
              <w:left w:w="140" w:type="dxa"/>
              <w:bottom w:w="100" w:type="dxa"/>
              <w:right w:w="140" w:type="dxa"/>
            </w:tcMar>
            <w:vAlign w:val="center"/>
          </w:tcPr>
          <w:p w14:paraId="7678EB31" w14:textId="77777777" w:rsidR="008B78B0" w:rsidRPr="00860442" w:rsidRDefault="008B78B0" w:rsidP="00F83C9F">
            <w:pPr>
              <w:spacing w:line="360" w:lineRule="auto"/>
              <w:jc w:val="both"/>
              <w:rPr>
                <w:sz w:val="24"/>
                <w:szCs w:val="24"/>
              </w:rPr>
            </w:pPr>
            <w:r w:rsidRPr="00860442">
              <w:rPr>
                <w:b/>
                <w:bCs/>
                <w:color w:val="FFFFFF"/>
                <w:sz w:val="24"/>
                <w:szCs w:val="24"/>
              </w:rPr>
              <w:t>Priority Actions</w:t>
            </w:r>
          </w:p>
        </w:tc>
        <w:tc>
          <w:tcPr>
            <w:tcW w:w="2233" w:type="dxa"/>
            <w:tcBorders>
              <w:top w:val="single" w:sz="4" w:space="0" w:color="AAAAAA"/>
              <w:left w:val="single" w:sz="4" w:space="0" w:color="AAAAAA"/>
              <w:bottom w:val="single" w:sz="4" w:space="0" w:color="AAAAAA"/>
              <w:right w:val="single" w:sz="4" w:space="0" w:color="AAAAAA"/>
            </w:tcBorders>
            <w:shd w:val="clear" w:color="auto" w:fill="1F3864"/>
            <w:tcMar>
              <w:top w:w="100" w:type="dxa"/>
              <w:left w:w="140" w:type="dxa"/>
              <w:bottom w:w="100" w:type="dxa"/>
              <w:right w:w="140" w:type="dxa"/>
            </w:tcMar>
            <w:vAlign w:val="center"/>
          </w:tcPr>
          <w:p w14:paraId="17E3BD99" w14:textId="77777777" w:rsidR="008B78B0" w:rsidRPr="00860442" w:rsidRDefault="008B78B0" w:rsidP="00F83C9F">
            <w:pPr>
              <w:spacing w:line="360" w:lineRule="auto"/>
              <w:jc w:val="both"/>
              <w:rPr>
                <w:sz w:val="24"/>
                <w:szCs w:val="24"/>
              </w:rPr>
            </w:pPr>
            <w:r w:rsidRPr="00860442">
              <w:rPr>
                <w:b/>
                <w:bCs/>
                <w:color w:val="FFFFFF"/>
                <w:sz w:val="24"/>
                <w:szCs w:val="24"/>
              </w:rPr>
              <w:t>Responsible Party</w:t>
            </w:r>
          </w:p>
        </w:tc>
        <w:tc>
          <w:tcPr>
            <w:tcW w:w="1560" w:type="dxa"/>
            <w:tcBorders>
              <w:top w:val="single" w:sz="4" w:space="0" w:color="AAAAAA"/>
              <w:left w:val="single" w:sz="4" w:space="0" w:color="AAAAAA"/>
              <w:bottom w:val="single" w:sz="4" w:space="0" w:color="AAAAAA"/>
              <w:right w:val="single" w:sz="4" w:space="0" w:color="AAAAAA"/>
            </w:tcBorders>
            <w:shd w:val="clear" w:color="auto" w:fill="1F3864"/>
            <w:tcMar>
              <w:top w:w="100" w:type="dxa"/>
              <w:left w:w="140" w:type="dxa"/>
              <w:bottom w:w="100" w:type="dxa"/>
              <w:right w:w="140" w:type="dxa"/>
            </w:tcMar>
            <w:vAlign w:val="center"/>
          </w:tcPr>
          <w:p w14:paraId="16ED67BB" w14:textId="77777777" w:rsidR="008B78B0" w:rsidRPr="00860442" w:rsidRDefault="008B78B0" w:rsidP="00F83C9F">
            <w:pPr>
              <w:spacing w:line="360" w:lineRule="auto"/>
              <w:jc w:val="both"/>
              <w:rPr>
                <w:sz w:val="24"/>
                <w:szCs w:val="24"/>
              </w:rPr>
            </w:pPr>
            <w:r w:rsidRPr="00860442">
              <w:rPr>
                <w:b/>
                <w:bCs/>
                <w:color w:val="FFFFFF"/>
                <w:sz w:val="24"/>
                <w:szCs w:val="24"/>
              </w:rPr>
              <w:t>Est. Cost</w:t>
            </w:r>
          </w:p>
        </w:tc>
      </w:tr>
      <w:tr w:rsidR="008B78B0" w:rsidRPr="00860442" w14:paraId="070FC7E2" w14:textId="77777777" w:rsidTr="00281DF8">
        <w:trPr>
          <w:trHeight w:val="4594"/>
        </w:trPr>
        <w:tc>
          <w:tcPr>
            <w:tcW w:w="1669" w:type="dxa"/>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26ED925B" w14:textId="77777777" w:rsidR="008B78B0" w:rsidRPr="00860442" w:rsidRDefault="008B78B0" w:rsidP="00F83C9F">
            <w:pPr>
              <w:spacing w:line="360" w:lineRule="auto"/>
              <w:jc w:val="both"/>
              <w:rPr>
                <w:sz w:val="24"/>
                <w:szCs w:val="24"/>
              </w:rPr>
            </w:pPr>
            <w:r w:rsidRPr="00860442">
              <w:rPr>
                <w:b/>
                <w:bCs/>
                <w:sz w:val="24"/>
                <w:szCs w:val="24"/>
              </w:rPr>
              <w:t>Short-Term 0–12 months</w:t>
            </w:r>
          </w:p>
        </w:tc>
        <w:tc>
          <w:tcPr>
            <w:tcW w:w="3977" w:type="dxa"/>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03147631" w14:textId="2E7FCA3D" w:rsidR="008B78B0" w:rsidRPr="00860442" w:rsidRDefault="008B78B0" w:rsidP="00F83C9F">
            <w:pPr>
              <w:spacing w:line="360" w:lineRule="auto"/>
              <w:jc w:val="both"/>
              <w:rPr>
                <w:sz w:val="24"/>
                <w:szCs w:val="24"/>
              </w:rPr>
            </w:pPr>
            <w:r w:rsidRPr="00860442">
              <w:rPr>
                <w:sz w:val="24"/>
                <w:szCs w:val="24"/>
              </w:rPr>
              <w:t xml:space="preserve">Commission independent AI governance audit (algorithmic transparency, consent infrastructure, data subject rights); redesign all consumer-facing AI disclosures to </w:t>
            </w:r>
            <w:r w:rsidR="00281DF8">
              <w:rPr>
                <w:sz w:val="24"/>
                <w:szCs w:val="24"/>
              </w:rPr>
              <w:t xml:space="preserve">a </w:t>
            </w:r>
            <w:r w:rsidRPr="00860442">
              <w:rPr>
                <w:sz w:val="24"/>
                <w:szCs w:val="24"/>
              </w:rPr>
              <w:t>substantive standard; appoint Chief AI Ethics Officer; initiate ISO 31000-aligned AI risk register covering all consumer-facing systems</w:t>
            </w:r>
          </w:p>
        </w:tc>
        <w:tc>
          <w:tcPr>
            <w:tcW w:w="2233" w:type="dxa"/>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4306F411" w14:textId="77777777" w:rsidR="008B78B0" w:rsidRPr="00860442" w:rsidRDefault="008B78B0" w:rsidP="00F83C9F">
            <w:pPr>
              <w:spacing w:line="360" w:lineRule="auto"/>
              <w:jc w:val="both"/>
              <w:rPr>
                <w:sz w:val="24"/>
                <w:szCs w:val="24"/>
              </w:rPr>
            </w:pPr>
            <w:r w:rsidRPr="00860442">
              <w:rPr>
                <w:sz w:val="24"/>
                <w:szCs w:val="24"/>
              </w:rPr>
              <w:t>CEO; Chief Legal Officer; Board Risk Committee</w:t>
            </w:r>
          </w:p>
        </w:tc>
        <w:tc>
          <w:tcPr>
            <w:tcW w:w="1560" w:type="dxa"/>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7CCE07D7" w14:textId="77777777" w:rsidR="008B78B0" w:rsidRPr="00860442" w:rsidRDefault="008B78B0" w:rsidP="00F83C9F">
            <w:pPr>
              <w:spacing w:line="360" w:lineRule="auto"/>
              <w:jc w:val="both"/>
              <w:rPr>
                <w:sz w:val="24"/>
                <w:szCs w:val="24"/>
              </w:rPr>
            </w:pPr>
            <w:r w:rsidRPr="00860442">
              <w:rPr>
                <w:b/>
                <w:bCs/>
                <w:sz w:val="24"/>
                <w:szCs w:val="24"/>
              </w:rPr>
              <w:t>£1.0–1.5M</w:t>
            </w:r>
          </w:p>
        </w:tc>
      </w:tr>
      <w:tr w:rsidR="008B78B0" w:rsidRPr="00860442" w14:paraId="0971BA70" w14:textId="77777777" w:rsidTr="00281DF8">
        <w:trPr>
          <w:trHeight w:val="5429"/>
        </w:trPr>
        <w:tc>
          <w:tcPr>
            <w:tcW w:w="1669"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0373D77C" w14:textId="77777777" w:rsidR="008B78B0" w:rsidRPr="00860442" w:rsidRDefault="008B78B0" w:rsidP="00F83C9F">
            <w:pPr>
              <w:spacing w:line="360" w:lineRule="auto"/>
              <w:jc w:val="both"/>
              <w:rPr>
                <w:sz w:val="24"/>
                <w:szCs w:val="24"/>
              </w:rPr>
            </w:pPr>
            <w:r w:rsidRPr="00860442">
              <w:rPr>
                <w:b/>
                <w:bCs/>
                <w:sz w:val="24"/>
                <w:szCs w:val="24"/>
              </w:rPr>
              <w:t>Medium-Term 1–3 years</w:t>
            </w:r>
          </w:p>
        </w:tc>
        <w:tc>
          <w:tcPr>
            <w:tcW w:w="3977"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0E1E743C" w14:textId="5F85F250" w:rsidR="008B78B0" w:rsidRPr="00860442" w:rsidRDefault="008B78B0" w:rsidP="00F83C9F">
            <w:pPr>
              <w:spacing w:line="360" w:lineRule="auto"/>
              <w:jc w:val="both"/>
              <w:rPr>
                <w:sz w:val="24"/>
                <w:szCs w:val="24"/>
              </w:rPr>
            </w:pPr>
            <w:r w:rsidRPr="00860442">
              <w:rPr>
                <w:sz w:val="24"/>
                <w:szCs w:val="24"/>
              </w:rPr>
              <w:t xml:space="preserve">Develop and embed </w:t>
            </w:r>
            <w:r w:rsidR="00281DF8">
              <w:rPr>
                <w:sz w:val="24"/>
                <w:szCs w:val="24"/>
              </w:rPr>
              <w:t xml:space="preserve">a </w:t>
            </w:r>
            <w:r w:rsidRPr="00860442">
              <w:rPr>
                <w:sz w:val="24"/>
                <w:szCs w:val="24"/>
              </w:rPr>
              <w:t xml:space="preserve">formal AI Risk Management Policy (ISO 31000-compliant); build </w:t>
            </w:r>
            <w:r w:rsidR="00281DF8">
              <w:rPr>
                <w:sz w:val="24"/>
                <w:szCs w:val="24"/>
              </w:rPr>
              <w:t xml:space="preserve">a </w:t>
            </w:r>
            <w:r w:rsidRPr="00860442">
              <w:rPr>
                <w:sz w:val="24"/>
                <w:szCs w:val="24"/>
              </w:rPr>
              <w:t xml:space="preserve">proprietary first-party data platform </w:t>
            </w:r>
            <w:r w:rsidR="00CE3A7E">
              <w:rPr>
                <w:sz w:val="24"/>
                <w:szCs w:val="24"/>
              </w:rPr>
              <w:t xml:space="preserve">to reduce </w:t>
            </w:r>
            <w:r w:rsidR="001F3565">
              <w:rPr>
                <w:sz w:val="24"/>
                <w:szCs w:val="24"/>
              </w:rPr>
              <w:t>reliance on third-party platforms</w:t>
            </w:r>
            <w:r w:rsidR="00CE3A7E">
              <w:rPr>
                <w:sz w:val="24"/>
                <w:szCs w:val="24"/>
              </w:rPr>
              <w:t xml:space="preserve">; develop a tiered governance architecture for Asia-Pacific; engage the UK ICO and the </w:t>
            </w:r>
            <w:r w:rsidRPr="00860442">
              <w:rPr>
                <w:sz w:val="24"/>
                <w:szCs w:val="24"/>
              </w:rPr>
              <w:t>EU AI Office proactively in regulatory sandboxes; incorporate macroeconomic conditioning variables into all demand forecasting models</w:t>
            </w:r>
            <w:r w:rsidR="00281DF8">
              <w:rPr>
                <w:sz w:val="24"/>
                <w:szCs w:val="24"/>
              </w:rPr>
              <w:t>.</w:t>
            </w:r>
          </w:p>
        </w:tc>
        <w:tc>
          <w:tcPr>
            <w:tcW w:w="223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415DE083" w14:textId="77777777" w:rsidR="008B78B0" w:rsidRPr="00860442" w:rsidRDefault="008B78B0" w:rsidP="00F83C9F">
            <w:pPr>
              <w:spacing w:line="360" w:lineRule="auto"/>
              <w:jc w:val="both"/>
              <w:rPr>
                <w:sz w:val="24"/>
                <w:szCs w:val="24"/>
              </w:rPr>
            </w:pPr>
            <w:r w:rsidRPr="00860442">
              <w:rPr>
                <w:sz w:val="24"/>
                <w:szCs w:val="24"/>
              </w:rPr>
              <w:t>CAEO; Regional General Counsels; CTO; Group Data Officer</w:t>
            </w:r>
          </w:p>
        </w:tc>
        <w:tc>
          <w:tcPr>
            <w:tcW w:w="156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497ADCB4" w14:textId="77777777" w:rsidR="008B78B0" w:rsidRPr="00860442" w:rsidRDefault="008B78B0" w:rsidP="00F83C9F">
            <w:pPr>
              <w:spacing w:line="360" w:lineRule="auto"/>
              <w:jc w:val="both"/>
              <w:rPr>
                <w:sz w:val="24"/>
                <w:szCs w:val="24"/>
              </w:rPr>
            </w:pPr>
            <w:r w:rsidRPr="00860442">
              <w:rPr>
                <w:b/>
                <w:bCs/>
                <w:sz w:val="24"/>
                <w:szCs w:val="24"/>
              </w:rPr>
              <w:t>£6–12M</w:t>
            </w:r>
          </w:p>
        </w:tc>
      </w:tr>
      <w:tr w:rsidR="008B78B0" w:rsidRPr="00860442" w14:paraId="6DEBE273" w14:textId="77777777" w:rsidTr="00281DF8">
        <w:trPr>
          <w:trHeight w:val="5012"/>
        </w:trPr>
        <w:tc>
          <w:tcPr>
            <w:tcW w:w="1669" w:type="dxa"/>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6B0A1461" w14:textId="77777777" w:rsidR="008B78B0" w:rsidRPr="00860442" w:rsidRDefault="008B78B0" w:rsidP="00F83C9F">
            <w:pPr>
              <w:spacing w:line="360" w:lineRule="auto"/>
              <w:jc w:val="both"/>
              <w:rPr>
                <w:sz w:val="24"/>
                <w:szCs w:val="24"/>
              </w:rPr>
            </w:pPr>
            <w:r w:rsidRPr="00860442">
              <w:rPr>
                <w:b/>
                <w:bCs/>
                <w:sz w:val="24"/>
                <w:szCs w:val="24"/>
              </w:rPr>
              <w:lastRenderedPageBreak/>
              <w:t>Long-Term 3–5 years</w:t>
            </w:r>
          </w:p>
        </w:tc>
        <w:tc>
          <w:tcPr>
            <w:tcW w:w="3977" w:type="dxa"/>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7CBCC831" w14:textId="77777777" w:rsidR="008B78B0" w:rsidRPr="00860442" w:rsidRDefault="008B78B0" w:rsidP="00F83C9F">
            <w:pPr>
              <w:spacing w:line="360" w:lineRule="auto"/>
              <w:jc w:val="both"/>
              <w:rPr>
                <w:sz w:val="24"/>
                <w:szCs w:val="24"/>
              </w:rPr>
            </w:pPr>
            <w:r w:rsidRPr="00860442">
              <w:rPr>
                <w:sz w:val="24"/>
                <w:szCs w:val="24"/>
              </w:rPr>
              <w:t>Certify AI governance framework against ISO/IEC 42001; launch consumer-facing algorithmic transparency dashboard; integrate AI ethics KPIs into executive remuneration framework; publish annual AI Transparency Report alongside sustainability disclosures; establish Unilever AI Governance Standard as potential FMCG industry benchmark</w:t>
            </w:r>
          </w:p>
        </w:tc>
        <w:tc>
          <w:tcPr>
            <w:tcW w:w="2233" w:type="dxa"/>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715902D9" w14:textId="77777777" w:rsidR="008B78B0" w:rsidRPr="00860442" w:rsidRDefault="008B78B0" w:rsidP="00F83C9F">
            <w:pPr>
              <w:spacing w:line="360" w:lineRule="auto"/>
              <w:jc w:val="both"/>
              <w:rPr>
                <w:sz w:val="24"/>
                <w:szCs w:val="24"/>
              </w:rPr>
            </w:pPr>
            <w:r w:rsidRPr="00860442">
              <w:rPr>
                <w:sz w:val="24"/>
                <w:szCs w:val="24"/>
              </w:rPr>
              <w:t>Board; Remuneration Committee; Group Communications; CEO</w:t>
            </w:r>
          </w:p>
        </w:tc>
        <w:tc>
          <w:tcPr>
            <w:tcW w:w="1560" w:type="dxa"/>
            <w:tcBorders>
              <w:top w:val="single" w:sz="4" w:space="0" w:color="AAAAAA"/>
              <w:left w:val="single" w:sz="4" w:space="0" w:color="AAAAAA"/>
              <w:bottom w:val="single" w:sz="4" w:space="0" w:color="AAAAAA"/>
              <w:right w:val="single" w:sz="4" w:space="0" w:color="AAAAAA"/>
            </w:tcBorders>
            <w:shd w:val="clear" w:color="auto" w:fill="F2F5FC"/>
            <w:tcMar>
              <w:top w:w="80" w:type="dxa"/>
              <w:left w:w="140" w:type="dxa"/>
              <w:bottom w:w="80" w:type="dxa"/>
              <w:right w:w="140" w:type="dxa"/>
            </w:tcMar>
          </w:tcPr>
          <w:p w14:paraId="7ECF3331" w14:textId="77777777" w:rsidR="008B78B0" w:rsidRPr="00860442" w:rsidRDefault="008B78B0" w:rsidP="00F83C9F">
            <w:pPr>
              <w:spacing w:line="360" w:lineRule="auto"/>
              <w:jc w:val="both"/>
              <w:rPr>
                <w:sz w:val="24"/>
                <w:szCs w:val="24"/>
              </w:rPr>
            </w:pPr>
            <w:r w:rsidRPr="00860442">
              <w:rPr>
                <w:b/>
                <w:bCs/>
                <w:sz w:val="24"/>
                <w:szCs w:val="24"/>
              </w:rPr>
              <w:t>£3–5M p.a.</w:t>
            </w:r>
          </w:p>
        </w:tc>
      </w:tr>
    </w:tbl>
    <w:p w14:paraId="57FB3BDD" w14:textId="77777777" w:rsidR="0004183B" w:rsidRDefault="007C271D" w:rsidP="00F83C9F">
      <w:pPr>
        <w:keepNext/>
        <w:spacing w:line="360" w:lineRule="auto"/>
      </w:pPr>
      <w:r>
        <w:rPr>
          <w:noProof/>
        </w:rPr>
        <w:drawing>
          <wp:inline distT="0" distB="0" distL="0" distR="0" wp14:anchorId="7E6A53A1" wp14:editId="0B389556">
            <wp:extent cx="5943600" cy="1945640"/>
            <wp:effectExtent l="0" t="0" r="0" b="0"/>
            <wp:docPr id="7944511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451171" name="Picture 794451171"/>
                    <pic:cNvPicPr/>
                  </pic:nvPicPr>
                  <pic:blipFill rotWithShape="1">
                    <a:blip r:embed="rId11" cstate="print">
                      <a:extLst>
                        <a:ext uri="{28A0092B-C50C-407E-A947-70E740481C1C}">
                          <a14:useLocalDpi xmlns:a14="http://schemas.microsoft.com/office/drawing/2010/main" val="0"/>
                        </a:ext>
                      </a:extLst>
                    </a:blip>
                    <a:srcRect r="-1"/>
                    <a:stretch>
                      <a:fillRect/>
                    </a:stretch>
                  </pic:blipFill>
                  <pic:spPr bwMode="auto">
                    <a:xfrm>
                      <a:off x="0" y="0"/>
                      <a:ext cx="5971391" cy="1954737"/>
                    </a:xfrm>
                    <a:prstGeom prst="rect">
                      <a:avLst/>
                    </a:prstGeom>
                    <a:ln>
                      <a:noFill/>
                    </a:ln>
                    <a:extLst>
                      <a:ext uri="{53640926-AAD7-44D8-BBD7-CCE9431645EC}">
                        <a14:shadowObscured xmlns:a14="http://schemas.microsoft.com/office/drawing/2010/main"/>
                      </a:ext>
                    </a:extLst>
                  </pic:spPr>
                </pic:pic>
              </a:graphicData>
            </a:graphic>
          </wp:inline>
        </w:drawing>
      </w:r>
    </w:p>
    <w:p w14:paraId="49D41D4F" w14:textId="0B8AF387" w:rsidR="007C271D" w:rsidRDefault="0004183B" w:rsidP="00F83C9F">
      <w:pPr>
        <w:pStyle w:val="Caption"/>
        <w:spacing w:after="0" w:line="360" w:lineRule="auto"/>
      </w:pPr>
      <w:r>
        <w:t xml:space="preserve">Figure </w:t>
      </w:r>
      <w:r w:rsidR="00EE0F76">
        <w:fldChar w:fldCharType="begin"/>
      </w:r>
      <w:r w:rsidR="00EE0F76">
        <w:instrText xml:space="preserve"> SEQ Figure \* ARABIC </w:instrText>
      </w:r>
      <w:r w:rsidR="00EE0F76">
        <w:fldChar w:fldCharType="separate"/>
      </w:r>
      <w:r>
        <w:rPr>
          <w:noProof/>
        </w:rPr>
        <w:t>3</w:t>
      </w:r>
      <w:r w:rsidR="00EE0F76">
        <w:rPr>
          <w:noProof/>
        </w:rPr>
        <w:fldChar w:fldCharType="end"/>
      </w:r>
      <w:r>
        <w:t xml:space="preserve">: </w:t>
      </w:r>
      <w:proofErr w:type="spellStart"/>
      <w:r w:rsidRPr="00D439B7">
        <w:t>hased</w:t>
      </w:r>
      <w:proofErr w:type="spellEnd"/>
      <w:r w:rsidRPr="00D439B7">
        <w:t xml:space="preserve"> AI governance implementation Gantt chart</w:t>
      </w:r>
      <w:r>
        <w:t xml:space="preserve"> (Self-made)</w:t>
      </w:r>
    </w:p>
    <w:p w14:paraId="43FB9F89" w14:textId="6A9348F3" w:rsidR="00C728A1" w:rsidRPr="00860442" w:rsidRDefault="00EE0F76" w:rsidP="00F83C9F">
      <w:pPr>
        <w:pStyle w:val="Heading2"/>
      </w:pPr>
      <w:bookmarkStart w:id="10" w:name="_Toc228193105"/>
      <w:r w:rsidRPr="00860442">
        <w:t>Short-Term Recommendations (0–12 months)</w:t>
      </w:r>
      <w:bookmarkEnd w:id="10"/>
    </w:p>
    <w:p w14:paraId="27242BE1" w14:textId="1797FE18" w:rsidR="00C728A1" w:rsidRPr="00860442" w:rsidRDefault="00680EB6" w:rsidP="00F83C9F">
      <w:pPr>
        <w:spacing w:line="360" w:lineRule="auto"/>
        <w:jc w:val="both"/>
        <w:rPr>
          <w:sz w:val="24"/>
          <w:szCs w:val="24"/>
        </w:rPr>
      </w:pPr>
      <w:r w:rsidRPr="00680EB6">
        <w:rPr>
          <w:sz w:val="24"/>
          <w:szCs w:val="24"/>
        </w:rPr>
        <w:t xml:space="preserve">The initial move would be to </w:t>
      </w:r>
      <w:r w:rsidR="001F3565">
        <w:rPr>
          <w:sz w:val="24"/>
          <w:szCs w:val="24"/>
        </w:rPr>
        <w:t>address the biggest compliance deficiency: the inadequacy of Unilever's AI disclosure and consent platform relative to the substantial requirements of GDPR Article 22, the UK GDPR,</w:t>
      </w:r>
      <w:r w:rsidRPr="00680EB6">
        <w:rPr>
          <w:sz w:val="24"/>
          <w:szCs w:val="24"/>
        </w:rPr>
        <w:t xml:space="preserve"> and the EU AI Act. The initial step to ensure the evidentiary basis </w:t>
      </w:r>
      <w:r w:rsidR="001F3565">
        <w:rPr>
          <w:sz w:val="24"/>
          <w:szCs w:val="24"/>
        </w:rPr>
        <w:t xml:space="preserve">for all subsequent governance investment decisions is an independent AI audit, performed by an external </w:t>
      </w:r>
      <w:proofErr w:type="spellStart"/>
      <w:r w:rsidR="001F3565">
        <w:rPr>
          <w:sz w:val="24"/>
          <w:szCs w:val="24"/>
        </w:rPr>
        <w:t>organisation</w:t>
      </w:r>
      <w:proofErr w:type="spellEnd"/>
      <w:r w:rsidR="001F3565">
        <w:rPr>
          <w:sz w:val="24"/>
          <w:szCs w:val="24"/>
        </w:rPr>
        <w:t xml:space="preserve"> with AI governance experience, and reported to the board risk committee with a specific</w:t>
      </w:r>
      <w:r w:rsidRPr="00680EB6">
        <w:rPr>
          <w:sz w:val="24"/>
          <w:szCs w:val="24"/>
        </w:rPr>
        <w:t xml:space="preserve"> remediation timeline. The privacy notices and algorithmic disclosure documents should be redesigned to be consumer co-created, with empirical testing and not solely legal review. The missing structure of </w:t>
      </w:r>
      <w:proofErr w:type="spellStart"/>
      <w:r w:rsidRPr="00680EB6">
        <w:rPr>
          <w:sz w:val="24"/>
          <w:szCs w:val="24"/>
        </w:rPr>
        <w:t>organisational</w:t>
      </w:r>
      <w:proofErr w:type="spellEnd"/>
      <w:r w:rsidRPr="00680EB6">
        <w:rPr>
          <w:sz w:val="24"/>
          <w:szCs w:val="24"/>
        </w:rPr>
        <w:t xml:space="preserve"> accountability is the appointment of a Chief AI Ethics Officer </w:t>
      </w:r>
      <w:r w:rsidR="001F3565">
        <w:rPr>
          <w:sz w:val="24"/>
          <w:szCs w:val="24"/>
        </w:rPr>
        <w:t>who would report to the CEO and be mandated to include policy development, incident response,</w:t>
      </w:r>
      <w:r w:rsidRPr="00680EB6">
        <w:rPr>
          <w:sz w:val="24"/>
          <w:szCs w:val="24"/>
        </w:rPr>
        <w:t xml:space="preserve"> and regulatory horizon scanning. The governance foundation on which the medium-term architecture may be built is formed by initially creating an ISO 31000-aligned AI risk </w:t>
      </w:r>
      <w:r w:rsidRPr="00680EB6">
        <w:rPr>
          <w:sz w:val="24"/>
          <w:szCs w:val="24"/>
        </w:rPr>
        <w:lastRenderedPageBreak/>
        <w:t>register</w:t>
      </w:r>
      <w:r w:rsidR="001F3565">
        <w:rPr>
          <w:sz w:val="24"/>
          <w:szCs w:val="24"/>
        </w:rPr>
        <w:t xml:space="preserve"> that includes all AI systems to which consumers are exposed, </w:t>
      </w:r>
      <w:proofErr w:type="spellStart"/>
      <w:r w:rsidR="001F3565">
        <w:rPr>
          <w:sz w:val="24"/>
          <w:szCs w:val="24"/>
        </w:rPr>
        <w:t>categorising</w:t>
      </w:r>
      <w:proofErr w:type="spellEnd"/>
      <w:r w:rsidRPr="00680EB6">
        <w:rPr>
          <w:sz w:val="24"/>
          <w:szCs w:val="24"/>
        </w:rPr>
        <w:t xml:space="preserve"> them by risk type, likelihood, impact, and current mitigation status.</w:t>
      </w:r>
    </w:p>
    <w:p w14:paraId="31B419CD" w14:textId="2D1B4961" w:rsidR="00C728A1" w:rsidRPr="00860442" w:rsidRDefault="00EE0F76" w:rsidP="00F83C9F">
      <w:pPr>
        <w:pStyle w:val="Heading2"/>
      </w:pPr>
      <w:bookmarkStart w:id="11" w:name="_Toc228193106"/>
      <w:r w:rsidRPr="00860442">
        <w:t>Medium-Term Recommendations (1–3 years)</w:t>
      </w:r>
      <w:bookmarkEnd w:id="11"/>
    </w:p>
    <w:p w14:paraId="654E96C0" w14:textId="3F65A65D" w:rsidR="00C728A1" w:rsidRPr="00860442" w:rsidRDefault="009568BB" w:rsidP="00F83C9F">
      <w:pPr>
        <w:spacing w:line="360" w:lineRule="auto"/>
        <w:jc w:val="both"/>
        <w:rPr>
          <w:sz w:val="24"/>
          <w:szCs w:val="24"/>
        </w:rPr>
      </w:pPr>
      <w:r w:rsidRPr="009568BB">
        <w:rPr>
          <w:sz w:val="24"/>
          <w:szCs w:val="24"/>
        </w:rPr>
        <w:t xml:space="preserve">The formal AI Risk Management Policy is the </w:t>
      </w:r>
      <w:proofErr w:type="spellStart"/>
      <w:r w:rsidRPr="009568BB">
        <w:rPr>
          <w:sz w:val="24"/>
          <w:szCs w:val="24"/>
        </w:rPr>
        <w:t>organised</w:t>
      </w:r>
      <w:proofErr w:type="spellEnd"/>
      <w:r w:rsidRPr="009568BB">
        <w:rPr>
          <w:sz w:val="24"/>
          <w:szCs w:val="24"/>
        </w:rPr>
        <w:t xml:space="preserve"> heart of the medium-term governance construct, instilled throughout all business lines which roll out AI products to consumers, and reviewed on an annual basis in accordance with regulatory trends. The proprietary first-party data platform, which is based on loyalty infrastructure, direct-to-consumer digital platforms, and opt-in research panels, will minimize the reliance of Unilever on third-party data on platforms and create high-quality </w:t>
      </w:r>
      <w:proofErr w:type="spellStart"/>
      <w:r w:rsidRPr="009568BB">
        <w:rPr>
          <w:sz w:val="24"/>
          <w:szCs w:val="24"/>
        </w:rPr>
        <w:t>behavioural</w:t>
      </w:r>
      <w:proofErr w:type="spellEnd"/>
      <w:r w:rsidRPr="009568BB">
        <w:rPr>
          <w:sz w:val="24"/>
          <w:szCs w:val="24"/>
        </w:rPr>
        <w:t xml:space="preserve"> information under informed consent. This step should design such a tiered governance structure in Asia-Pacific with a global principles layer, regional compliance layer that can vary based on Chinese and Indian regulatory needs, and a local cultural adaptation layer, resting on the consumer results of Hofstede. This premature intrusion into the regulatory </w:t>
      </w:r>
      <w:proofErr w:type="spellStart"/>
      <w:r w:rsidRPr="009568BB">
        <w:rPr>
          <w:sz w:val="24"/>
          <w:szCs w:val="24"/>
        </w:rPr>
        <w:t>sandboxs</w:t>
      </w:r>
      <w:proofErr w:type="spellEnd"/>
      <w:r w:rsidRPr="009568BB">
        <w:rPr>
          <w:sz w:val="24"/>
          <w:szCs w:val="24"/>
        </w:rPr>
        <w:t xml:space="preserve"> of the UK ICO and the EU AI Office would make Unilever a governance leader as opposed to a compliance laggard and set the standards that the latter will then need to adhere to.</w:t>
      </w:r>
    </w:p>
    <w:p w14:paraId="12FA3652" w14:textId="1EDAE5AF" w:rsidR="00C728A1" w:rsidRPr="00860442" w:rsidRDefault="00EE0F76" w:rsidP="00F83C9F">
      <w:pPr>
        <w:pStyle w:val="Heading2"/>
      </w:pPr>
      <w:bookmarkStart w:id="12" w:name="_Toc228193107"/>
      <w:r w:rsidRPr="00860442">
        <w:t>Long-Term Recommendations (3–5 years)</w:t>
      </w:r>
      <w:bookmarkEnd w:id="12"/>
    </w:p>
    <w:p w14:paraId="117BC35B" w14:textId="0EA4DAD7" w:rsidR="00C728A1" w:rsidRPr="00860442" w:rsidRDefault="009568BB" w:rsidP="00F83C9F">
      <w:pPr>
        <w:spacing w:line="360" w:lineRule="auto"/>
        <w:jc w:val="both"/>
        <w:rPr>
          <w:sz w:val="24"/>
          <w:szCs w:val="24"/>
        </w:rPr>
      </w:pPr>
      <w:r w:rsidRPr="009568BB">
        <w:rPr>
          <w:sz w:val="24"/>
          <w:szCs w:val="24"/>
        </w:rPr>
        <w:t xml:space="preserve">The certified ISO/IEC 42001 AI governance system, marketed to the consumers via the brand communications, establishes the trust-affirming mechanism outlined by Kim and </w:t>
      </w:r>
      <w:proofErr w:type="spellStart"/>
      <w:r w:rsidRPr="009568BB">
        <w:rPr>
          <w:sz w:val="24"/>
          <w:szCs w:val="24"/>
        </w:rPr>
        <w:t>Benbasat</w:t>
      </w:r>
      <w:proofErr w:type="spellEnd"/>
      <w:r w:rsidRPr="009568BB">
        <w:rPr>
          <w:sz w:val="24"/>
          <w:szCs w:val="24"/>
        </w:rPr>
        <w:t xml:space="preserve"> (2006) and offers a sustainable, autonomously evaluated differentiation benefit at Unilever. A market-first trust innovation in the FMCG, a transparency dashboard, which shows consumers how their personal data is used in real-time, the choices made by AI, and the ways in which they can appeal such choices is a direct manifestation of the data control mechanism that Wang et al. (2024) reveal to be a key contributor to the acceptance of recommendations. Adding ethics performance metrics to AI in executive compensation aligns financial performance with ethical performance and delivers the accountability metric more demanded by institutional investors and shareholders. The accountability standard is </w:t>
      </w:r>
      <w:proofErr w:type="spellStart"/>
      <w:r w:rsidRPr="009568BB">
        <w:rPr>
          <w:sz w:val="24"/>
          <w:szCs w:val="24"/>
        </w:rPr>
        <w:t>institutionalised</w:t>
      </w:r>
      <w:proofErr w:type="spellEnd"/>
      <w:r w:rsidRPr="009568BB">
        <w:rPr>
          <w:sz w:val="24"/>
          <w:szCs w:val="24"/>
        </w:rPr>
        <w:t xml:space="preserve"> by an annual AI Transparency Report alongside the current sustainability and climate transition disclosures. It forms a record of governance improvements publicly documented that over time regulators and consumers can consult.</w:t>
      </w:r>
    </w:p>
    <w:p w14:paraId="54022A76" w14:textId="1EAC84DA" w:rsidR="00C728A1" w:rsidRPr="00860442" w:rsidRDefault="00EE0F76" w:rsidP="00F83C9F">
      <w:pPr>
        <w:pStyle w:val="Heading1"/>
      </w:pPr>
      <w:bookmarkStart w:id="13" w:name="_Toc228193108"/>
      <w:r w:rsidRPr="00860442">
        <w:t>Conclusion</w:t>
      </w:r>
      <w:bookmarkEnd w:id="13"/>
    </w:p>
    <w:p w14:paraId="7E95CF7F" w14:textId="77777777" w:rsidR="009568BB" w:rsidRPr="009568BB" w:rsidRDefault="009568BB" w:rsidP="00F83C9F">
      <w:pPr>
        <w:spacing w:line="360" w:lineRule="auto"/>
        <w:jc w:val="both"/>
        <w:rPr>
          <w:sz w:val="24"/>
          <w:szCs w:val="24"/>
        </w:rPr>
      </w:pPr>
      <w:r w:rsidRPr="009568BB">
        <w:rPr>
          <w:sz w:val="24"/>
          <w:szCs w:val="24"/>
        </w:rPr>
        <w:t xml:space="preserve">This thesis report argues that Unilever can </w:t>
      </w:r>
      <w:proofErr w:type="spellStart"/>
      <w:r w:rsidRPr="009568BB">
        <w:rPr>
          <w:sz w:val="24"/>
          <w:szCs w:val="24"/>
        </w:rPr>
        <w:t>commercialise</w:t>
      </w:r>
      <w:proofErr w:type="spellEnd"/>
      <w:r w:rsidRPr="009568BB">
        <w:rPr>
          <w:sz w:val="24"/>
          <w:szCs w:val="24"/>
        </w:rPr>
        <w:t xml:space="preserve"> AI and that it is technologically developed. Yet, the governance framework supporting it is not strong enough to address the evolving regulatory and consumer demands. This is not a minor compliance issue but </w:t>
      </w:r>
      <w:r w:rsidRPr="009568BB">
        <w:rPr>
          <w:sz w:val="24"/>
          <w:szCs w:val="24"/>
        </w:rPr>
        <w:lastRenderedPageBreak/>
        <w:t xml:space="preserve">a strategic realignment dilemma that has to be committed at the board level, long-term investment and </w:t>
      </w:r>
      <w:proofErr w:type="spellStart"/>
      <w:r w:rsidRPr="009568BB">
        <w:rPr>
          <w:sz w:val="24"/>
          <w:szCs w:val="24"/>
        </w:rPr>
        <w:t>organisational</w:t>
      </w:r>
      <w:proofErr w:type="spellEnd"/>
      <w:r w:rsidRPr="009568BB">
        <w:rPr>
          <w:sz w:val="24"/>
          <w:szCs w:val="24"/>
        </w:rPr>
        <w:t xml:space="preserve"> redesign over five years.</w:t>
      </w:r>
    </w:p>
    <w:p w14:paraId="5446271C" w14:textId="77777777" w:rsidR="009568BB" w:rsidRPr="009568BB" w:rsidRDefault="009568BB" w:rsidP="00F83C9F">
      <w:pPr>
        <w:spacing w:line="360" w:lineRule="auto"/>
        <w:jc w:val="both"/>
        <w:rPr>
          <w:sz w:val="24"/>
          <w:szCs w:val="24"/>
        </w:rPr>
      </w:pPr>
      <w:r w:rsidRPr="009568BB">
        <w:rPr>
          <w:sz w:val="24"/>
          <w:szCs w:val="24"/>
        </w:rPr>
        <w:t>PESTLE analysis reveals a more complex regulatory environment, with UK-EU divergence creating both compliance burdens and strategic opportunities. The macroeconomic analysis also shows that AI-powered demand forecasting systems implemented by Unilever are structurally vulnerable to volatility, including inflation, supply chain volatility, and volatile interest rates. The pre-disruption models may be vulnerable to systematic inaccuracies in the key growth markets. The Diamond of Porter presents the idea that AI capability is not a determinant of competitive advantage, but the interaction between advanced data resources, high-demand consumers, and strong digital ecosystems, with the key differentiator being governance.</w:t>
      </w:r>
    </w:p>
    <w:p w14:paraId="7C423D61" w14:textId="22572D46" w:rsidR="00680EB6" w:rsidRPr="00680EB6" w:rsidRDefault="009568BB" w:rsidP="00F83C9F">
      <w:pPr>
        <w:spacing w:line="360" w:lineRule="auto"/>
        <w:jc w:val="both"/>
        <w:rPr>
          <w:sz w:val="24"/>
          <w:szCs w:val="24"/>
        </w:rPr>
      </w:pPr>
      <w:r w:rsidRPr="009568BB">
        <w:rPr>
          <w:sz w:val="24"/>
          <w:szCs w:val="24"/>
        </w:rPr>
        <w:t xml:space="preserve">The Asia-Pacific case study demonstrates that cultural cut-offs of the trustworthiness of AI </w:t>
      </w:r>
      <w:proofErr w:type="spellStart"/>
      <w:r w:rsidRPr="009568BB">
        <w:rPr>
          <w:sz w:val="24"/>
          <w:szCs w:val="24"/>
        </w:rPr>
        <w:t>personalisation</w:t>
      </w:r>
      <w:proofErr w:type="spellEnd"/>
      <w:r w:rsidRPr="009568BB">
        <w:rPr>
          <w:sz w:val="24"/>
          <w:szCs w:val="24"/>
        </w:rPr>
        <w:t xml:space="preserve"> are not consistent across cultures. The particular set of trust relations results from collectivist markets and </w:t>
      </w:r>
      <w:proofErr w:type="gramStart"/>
      <w:r w:rsidRPr="009568BB">
        <w:rPr>
          <w:sz w:val="24"/>
          <w:szCs w:val="24"/>
        </w:rPr>
        <w:t>high power</w:t>
      </w:r>
      <w:proofErr w:type="gramEnd"/>
      <w:r w:rsidRPr="009568BB">
        <w:rPr>
          <w:sz w:val="24"/>
          <w:szCs w:val="24"/>
        </w:rPr>
        <w:t xml:space="preserve"> distance, and a universal system of governance is not only legally insufficient but also culturally ineffective. A stratified governance structure is therefore necessary.</w:t>
      </w:r>
    </w:p>
    <w:p w14:paraId="608E01AC" w14:textId="1A83B0C1" w:rsidR="00C728A1" w:rsidRPr="00860442" w:rsidRDefault="00680EB6" w:rsidP="00F83C9F">
      <w:pPr>
        <w:spacing w:line="360" w:lineRule="auto"/>
        <w:jc w:val="both"/>
        <w:rPr>
          <w:sz w:val="24"/>
          <w:szCs w:val="24"/>
        </w:rPr>
      </w:pPr>
      <w:r w:rsidRPr="00680EB6">
        <w:rPr>
          <w:sz w:val="24"/>
          <w:szCs w:val="24"/>
        </w:rPr>
        <w:t xml:space="preserve">The </w:t>
      </w:r>
      <w:r w:rsidR="001F3565">
        <w:rPr>
          <w:sz w:val="24"/>
          <w:szCs w:val="24"/>
        </w:rPr>
        <w:t xml:space="preserve">report's overall argument </w:t>
      </w:r>
      <w:r w:rsidRPr="00680EB6">
        <w:rPr>
          <w:sz w:val="24"/>
          <w:szCs w:val="24"/>
        </w:rPr>
        <w:t>is that there is no tension between ethical AI governance and commercial performance. Transparency, consumer control and accountability form the basis of sustainable competitive advantage</w:t>
      </w:r>
      <w:r w:rsidR="001F3565">
        <w:rPr>
          <w:sz w:val="24"/>
          <w:szCs w:val="24"/>
        </w:rPr>
        <w:t xml:space="preserve">, and Unilever is at the </w:t>
      </w:r>
      <w:proofErr w:type="spellStart"/>
      <w:r w:rsidR="001F3565">
        <w:rPr>
          <w:sz w:val="24"/>
          <w:szCs w:val="24"/>
        </w:rPr>
        <w:t>centre</w:t>
      </w:r>
      <w:proofErr w:type="spellEnd"/>
      <w:r w:rsidRPr="00680EB6">
        <w:rPr>
          <w:sz w:val="24"/>
          <w:szCs w:val="24"/>
        </w:rPr>
        <w:t xml:space="preserve"> of the FMCG industry by a trust-by-design strategy.</w:t>
      </w:r>
      <w:r w:rsidR="00C02B21" w:rsidRPr="00860442">
        <w:rPr>
          <w:sz w:val="24"/>
          <w:szCs w:val="24"/>
        </w:rPr>
        <w:br w:type="page"/>
      </w:r>
    </w:p>
    <w:p w14:paraId="42E3044B" w14:textId="7CE94727" w:rsidR="00C728A1" w:rsidRPr="00860442" w:rsidRDefault="00EE0F76" w:rsidP="00F83C9F">
      <w:pPr>
        <w:pStyle w:val="Heading1"/>
      </w:pPr>
      <w:bookmarkStart w:id="14" w:name="_Toc228193109"/>
      <w:r w:rsidRPr="00860442">
        <w:lastRenderedPageBreak/>
        <w:t>Bibliography</w:t>
      </w:r>
      <w:bookmarkEnd w:id="14"/>
    </w:p>
    <w:p w14:paraId="1A287ECD" w14:textId="00785E25" w:rsidR="00C728A1" w:rsidRPr="00860442" w:rsidRDefault="00EE0F76" w:rsidP="00F83C9F">
      <w:pPr>
        <w:spacing w:line="360" w:lineRule="auto"/>
        <w:jc w:val="both"/>
        <w:rPr>
          <w:sz w:val="24"/>
          <w:szCs w:val="24"/>
        </w:rPr>
      </w:pPr>
      <w:proofErr w:type="spellStart"/>
      <w:r w:rsidRPr="00860442">
        <w:rPr>
          <w:sz w:val="24"/>
          <w:szCs w:val="24"/>
        </w:rPr>
        <w:t>Acquisti</w:t>
      </w:r>
      <w:proofErr w:type="spellEnd"/>
      <w:r w:rsidRPr="00860442">
        <w:rPr>
          <w:sz w:val="24"/>
          <w:szCs w:val="24"/>
        </w:rPr>
        <w:t xml:space="preserve">, A., Brandimarte, L. and Loewenstein, G. (2015). Privacy and human </w:t>
      </w:r>
      <w:proofErr w:type="spellStart"/>
      <w:r w:rsidR="00CE3A7E">
        <w:rPr>
          <w:sz w:val="24"/>
          <w:szCs w:val="24"/>
        </w:rPr>
        <w:t>behaviour</w:t>
      </w:r>
      <w:proofErr w:type="spellEnd"/>
      <w:r w:rsidRPr="00860442">
        <w:rPr>
          <w:sz w:val="24"/>
          <w:szCs w:val="24"/>
        </w:rPr>
        <w:t xml:space="preserve"> in the age of information. Science, 347(6221), pp.509–514. doi:10.1126/science.aaa1465.</w:t>
      </w:r>
    </w:p>
    <w:p w14:paraId="1E9531E0" w14:textId="2D4C48FD" w:rsidR="00C728A1" w:rsidRPr="00860442" w:rsidRDefault="00EE0F76" w:rsidP="00F83C9F">
      <w:pPr>
        <w:spacing w:line="360" w:lineRule="auto"/>
        <w:jc w:val="both"/>
        <w:rPr>
          <w:sz w:val="24"/>
          <w:szCs w:val="24"/>
        </w:rPr>
      </w:pPr>
      <w:r w:rsidRPr="00860442">
        <w:rPr>
          <w:sz w:val="24"/>
          <w:szCs w:val="24"/>
        </w:rPr>
        <w:t>Ahmed, S. (2021). Wh</w:t>
      </w:r>
      <w:r w:rsidRPr="00860442">
        <w:rPr>
          <w:sz w:val="24"/>
          <w:szCs w:val="24"/>
        </w:rPr>
        <w:t xml:space="preserve">o inadvertently shares deepfakes? </w:t>
      </w:r>
      <w:proofErr w:type="spellStart"/>
      <w:r w:rsidR="00CE3A7E">
        <w:rPr>
          <w:sz w:val="24"/>
          <w:szCs w:val="24"/>
        </w:rPr>
        <w:t>Analysing</w:t>
      </w:r>
      <w:proofErr w:type="spellEnd"/>
      <w:r w:rsidRPr="00860442">
        <w:rPr>
          <w:sz w:val="24"/>
          <w:szCs w:val="24"/>
        </w:rPr>
        <w:t xml:space="preserve"> the role of political interest, cognitive ability, and social network size. Telematics and Informatics, 57, p.101508. doi:10.1016/j.tele.2020.101508.</w:t>
      </w:r>
    </w:p>
    <w:p w14:paraId="5CA72914" w14:textId="77777777" w:rsidR="00C728A1" w:rsidRPr="00860442" w:rsidRDefault="00EE0F76" w:rsidP="00F83C9F">
      <w:pPr>
        <w:spacing w:line="360" w:lineRule="auto"/>
        <w:jc w:val="both"/>
        <w:rPr>
          <w:sz w:val="24"/>
          <w:szCs w:val="24"/>
        </w:rPr>
      </w:pPr>
      <w:r w:rsidRPr="00860442">
        <w:rPr>
          <w:sz w:val="24"/>
          <w:szCs w:val="24"/>
        </w:rPr>
        <w:t xml:space="preserve">Ben Lahouel, B., Ben Zaied, Y., </w:t>
      </w:r>
      <w:proofErr w:type="spellStart"/>
      <w:r w:rsidRPr="00860442">
        <w:rPr>
          <w:sz w:val="24"/>
          <w:szCs w:val="24"/>
        </w:rPr>
        <w:t>Managi</w:t>
      </w:r>
      <w:proofErr w:type="spellEnd"/>
      <w:r w:rsidRPr="00860442">
        <w:rPr>
          <w:sz w:val="24"/>
          <w:szCs w:val="24"/>
        </w:rPr>
        <w:t>, S. and Taleb, L. (2021</w:t>
      </w:r>
      <w:r w:rsidRPr="00860442">
        <w:rPr>
          <w:sz w:val="24"/>
          <w:szCs w:val="24"/>
        </w:rPr>
        <w:t>). Re-thinking about U: The relevance of regime-switching model in the relationship between environmental corporate social responsibility and financial performance. Journal of Business Research. doi:10.1016/j.jbusres.2021.11.019.</w:t>
      </w:r>
    </w:p>
    <w:p w14:paraId="13DFC1C7" w14:textId="77777777" w:rsidR="00C728A1" w:rsidRPr="00860442" w:rsidRDefault="00EE0F76" w:rsidP="00F83C9F">
      <w:pPr>
        <w:spacing w:line="360" w:lineRule="auto"/>
        <w:jc w:val="both"/>
        <w:rPr>
          <w:sz w:val="24"/>
          <w:szCs w:val="24"/>
        </w:rPr>
      </w:pPr>
      <w:r w:rsidRPr="00860442">
        <w:rPr>
          <w:sz w:val="24"/>
          <w:szCs w:val="24"/>
        </w:rPr>
        <w:t>Benk, M., Kerstan, S., von</w:t>
      </w:r>
      <w:r w:rsidRPr="00860442">
        <w:rPr>
          <w:sz w:val="24"/>
          <w:szCs w:val="24"/>
        </w:rPr>
        <w:t xml:space="preserve"> Wangenheim, F. and Ferrario, A. (2024). Twenty-four years of empirical research on trust in AI: a bibliometric review of trends, overlooked issues, and future directions. AI &amp; Society. doi:10.1007/s00146-024-02059-y.</w:t>
      </w:r>
    </w:p>
    <w:p w14:paraId="0A19BD26" w14:textId="77777777" w:rsidR="00C728A1" w:rsidRPr="00860442" w:rsidRDefault="00EE0F76" w:rsidP="00F83C9F">
      <w:pPr>
        <w:spacing w:line="360" w:lineRule="auto"/>
        <w:jc w:val="both"/>
        <w:rPr>
          <w:sz w:val="24"/>
          <w:szCs w:val="24"/>
        </w:rPr>
      </w:pPr>
      <w:r w:rsidRPr="00860442">
        <w:rPr>
          <w:sz w:val="24"/>
          <w:szCs w:val="24"/>
        </w:rPr>
        <w:t>Bloom, D.E., Canning, D., Fink, G. and</w:t>
      </w:r>
      <w:r w:rsidRPr="00860442">
        <w:rPr>
          <w:sz w:val="24"/>
          <w:szCs w:val="24"/>
        </w:rPr>
        <w:t xml:space="preserve"> Finlay, J.E. (2007). Does age structure forecast economic growth? International Journal of Forecasting, 23(4), pp.569–585. doi:10.1016/j.ijforecast.2007.07.001.</w:t>
      </w:r>
    </w:p>
    <w:p w14:paraId="187A03B8" w14:textId="77777777" w:rsidR="00C728A1" w:rsidRPr="00860442" w:rsidRDefault="00EE0F76" w:rsidP="00F83C9F">
      <w:pPr>
        <w:spacing w:line="360" w:lineRule="auto"/>
        <w:jc w:val="both"/>
        <w:rPr>
          <w:sz w:val="24"/>
          <w:szCs w:val="24"/>
        </w:rPr>
      </w:pPr>
      <w:r w:rsidRPr="00860442">
        <w:rPr>
          <w:sz w:val="24"/>
          <w:szCs w:val="24"/>
        </w:rPr>
        <w:t xml:space="preserve">Burkhardt, G., Boy, F., Doneddu, D. and </w:t>
      </w:r>
      <w:proofErr w:type="spellStart"/>
      <w:r w:rsidRPr="00860442">
        <w:rPr>
          <w:sz w:val="24"/>
          <w:szCs w:val="24"/>
        </w:rPr>
        <w:t>Hajli</w:t>
      </w:r>
      <w:proofErr w:type="spellEnd"/>
      <w:r w:rsidRPr="00860442">
        <w:rPr>
          <w:sz w:val="24"/>
          <w:szCs w:val="24"/>
        </w:rPr>
        <w:t xml:space="preserve">, N. (2022). Privacy </w:t>
      </w:r>
      <w:proofErr w:type="spellStart"/>
      <w:r w:rsidRPr="00860442">
        <w:rPr>
          <w:sz w:val="24"/>
          <w:szCs w:val="24"/>
        </w:rPr>
        <w:t>Behaviour</w:t>
      </w:r>
      <w:proofErr w:type="spellEnd"/>
      <w:r w:rsidRPr="00860442">
        <w:rPr>
          <w:sz w:val="24"/>
          <w:szCs w:val="24"/>
        </w:rPr>
        <w:t>: A Model for Onlin</w:t>
      </w:r>
      <w:r w:rsidRPr="00860442">
        <w:rPr>
          <w:sz w:val="24"/>
          <w:szCs w:val="24"/>
        </w:rPr>
        <w:t>e Informed Consent. Journal of Business Ethics, 186. doi:10.1007/s10551-022-05202-1.</w:t>
      </w:r>
    </w:p>
    <w:p w14:paraId="1BED6411" w14:textId="77777777" w:rsidR="00C728A1" w:rsidRPr="00860442" w:rsidRDefault="00EE0F76" w:rsidP="00F83C9F">
      <w:pPr>
        <w:spacing w:line="360" w:lineRule="auto"/>
        <w:jc w:val="both"/>
        <w:rPr>
          <w:sz w:val="24"/>
          <w:szCs w:val="24"/>
        </w:rPr>
      </w:pPr>
      <w:r w:rsidRPr="00860442">
        <w:rPr>
          <w:sz w:val="24"/>
          <w:szCs w:val="24"/>
        </w:rPr>
        <w:t xml:space="preserve">Campbell, C., </w:t>
      </w:r>
      <w:proofErr w:type="spellStart"/>
      <w:r w:rsidRPr="00860442">
        <w:rPr>
          <w:sz w:val="24"/>
          <w:szCs w:val="24"/>
        </w:rPr>
        <w:t>Plangger</w:t>
      </w:r>
      <w:proofErr w:type="spellEnd"/>
      <w:r w:rsidRPr="00860442">
        <w:rPr>
          <w:sz w:val="24"/>
          <w:szCs w:val="24"/>
        </w:rPr>
        <w:t>, K., Sands, S., Kietzmann, J. and Bates, K. (2022). How Deepfakes and Artificial Intelligence Could Reshape the Advertising Industry. Journal of Adv</w:t>
      </w:r>
      <w:r w:rsidRPr="00860442">
        <w:rPr>
          <w:sz w:val="24"/>
          <w:szCs w:val="24"/>
        </w:rPr>
        <w:t>ertising Research, 62(3), pp.241–251. doi:10.2501/jar-2022-017.</w:t>
      </w:r>
    </w:p>
    <w:p w14:paraId="7D2498D1" w14:textId="77777777" w:rsidR="00C728A1" w:rsidRPr="00860442" w:rsidRDefault="00EE0F76" w:rsidP="00F83C9F">
      <w:pPr>
        <w:spacing w:line="360" w:lineRule="auto"/>
        <w:jc w:val="both"/>
        <w:rPr>
          <w:sz w:val="24"/>
          <w:szCs w:val="24"/>
        </w:rPr>
      </w:pPr>
      <w:proofErr w:type="spellStart"/>
      <w:r w:rsidRPr="00860442">
        <w:rPr>
          <w:sz w:val="24"/>
          <w:szCs w:val="24"/>
        </w:rPr>
        <w:t>Canhoto</w:t>
      </w:r>
      <w:proofErr w:type="spellEnd"/>
      <w:r w:rsidRPr="00860442">
        <w:rPr>
          <w:sz w:val="24"/>
          <w:szCs w:val="24"/>
        </w:rPr>
        <w:t xml:space="preserve">, A.I., Keegan, B.J. and </w:t>
      </w:r>
      <w:proofErr w:type="spellStart"/>
      <w:r w:rsidRPr="00860442">
        <w:rPr>
          <w:sz w:val="24"/>
          <w:szCs w:val="24"/>
        </w:rPr>
        <w:t>Ryzhikh</w:t>
      </w:r>
      <w:proofErr w:type="spellEnd"/>
      <w:r w:rsidRPr="00860442">
        <w:rPr>
          <w:sz w:val="24"/>
          <w:szCs w:val="24"/>
        </w:rPr>
        <w:t xml:space="preserve">, M. (2023). Snakes and Ladders: Unpacking the </w:t>
      </w:r>
      <w:proofErr w:type="spellStart"/>
      <w:r w:rsidRPr="00860442">
        <w:rPr>
          <w:sz w:val="24"/>
          <w:szCs w:val="24"/>
        </w:rPr>
        <w:t>Personalisation</w:t>
      </w:r>
      <w:proofErr w:type="spellEnd"/>
      <w:r w:rsidRPr="00860442">
        <w:rPr>
          <w:sz w:val="24"/>
          <w:szCs w:val="24"/>
        </w:rPr>
        <w:t xml:space="preserve">-Privacy Paradox in the Context of AI-Enabled </w:t>
      </w:r>
      <w:proofErr w:type="spellStart"/>
      <w:r w:rsidRPr="00860442">
        <w:rPr>
          <w:sz w:val="24"/>
          <w:szCs w:val="24"/>
        </w:rPr>
        <w:t>Personalisation</w:t>
      </w:r>
      <w:proofErr w:type="spellEnd"/>
      <w:r w:rsidRPr="00860442">
        <w:rPr>
          <w:sz w:val="24"/>
          <w:szCs w:val="24"/>
        </w:rPr>
        <w:t xml:space="preserve"> in the Physical Retail Enviro</w:t>
      </w:r>
      <w:r w:rsidRPr="00860442">
        <w:rPr>
          <w:sz w:val="24"/>
          <w:szCs w:val="24"/>
        </w:rPr>
        <w:t>nment. Information Systems Frontiers, 26. doi:10.1007/s10796-023-10369-7.</w:t>
      </w:r>
    </w:p>
    <w:p w14:paraId="0007966C" w14:textId="77777777" w:rsidR="00C728A1" w:rsidRPr="00860442" w:rsidRDefault="00EE0F76" w:rsidP="00F83C9F">
      <w:pPr>
        <w:spacing w:line="360" w:lineRule="auto"/>
        <w:jc w:val="both"/>
        <w:rPr>
          <w:sz w:val="24"/>
          <w:szCs w:val="24"/>
        </w:rPr>
      </w:pPr>
      <w:r w:rsidRPr="00860442">
        <w:rPr>
          <w:sz w:val="24"/>
          <w:szCs w:val="24"/>
        </w:rPr>
        <w:t>Choi, Y.-J., Jeon, B.-J. and Kim, H.-W. (2020). Identification of key cyberbullies: A text mining and social network analysis approach. Telematics and Informatics, p.101504. doi:10.1</w:t>
      </w:r>
      <w:r w:rsidRPr="00860442">
        <w:rPr>
          <w:sz w:val="24"/>
          <w:szCs w:val="24"/>
        </w:rPr>
        <w:t>016/j.tele.2020.101504.</w:t>
      </w:r>
    </w:p>
    <w:p w14:paraId="2A998F07" w14:textId="77777777" w:rsidR="00C728A1" w:rsidRPr="00860442" w:rsidRDefault="00EE0F76" w:rsidP="00F83C9F">
      <w:pPr>
        <w:spacing w:line="360" w:lineRule="auto"/>
        <w:jc w:val="both"/>
        <w:rPr>
          <w:sz w:val="24"/>
          <w:szCs w:val="24"/>
        </w:rPr>
      </w:pPr>
      <w:r w:rsidRPr="00860442">
        <w:rPr>
          <w:sz w:val="24"/>
          <w:szCs w:val="24"/>
        </w:rPr>
        <w:t>de Elizalde, F. (2025). Fragmenting Consumer Law Through Data Protection and Digital Market Regulations: The DMA, the DSA, the GDPR, and EU Consumer Law. Journal of Consumer Policy. doi:10.1007/s10603-025-09584-3.</w:t>
      </w:r>
    </w:p>
    <w:p w14:paraId="6010CBD1" w14:textId="1756AF87" w:rsidR="00C728A1" w:rsidRPr="00860442" w:rsidRDefault="00EE0F76" w:rsidP="00F83C9F">
      <w:pPr>
        <w:spacing w:line="360" w:lineRule="auto"/>
        <w:jc w:val="both"/>
        <w:rPr>
          <w:sz w:val="24"/>
          <w:szCs w:val="24"/>
        </w:rPr>
      </w:pPr>
      <w:r w:rsidRPr="00860442">
        <w:rPr>
          <w:sz w:val="24"/>
          <w:szCs w:val="24"/>
        </w:rPr>
        <w:lastRenderedPageBreak/>
        <w:t>de Laat, P.B. (202</w:t>
      </w:r>
      <w:r w:rsidRPr="00860442">
        <w:rPr>
          <w:sz w:val="24"/>
          <w:szCs w:val="24"/>
        </w:rPr>
        <w:t xml:space="preserve">2). Algorithmic decision-making employing profiling: </w:t>
      </w:r>
      <w:r w:rsidR="00CE3A7E">
        <w:rPr>
          <w:sz w:val="24"/>
          <w:szCs w:val="24"/>
        </w:rPr>
        <w:t>Will</w:t>
      </w:r>
      <w:r w:rsidRPr="00860442">
        <w:rPr>
          <w:sz w:val="24"/>
          <w:szCs w:val="24"/>
        </w:rPr>
        <w:t xml:space="preserve"> trade secrecy protection render the right to explanation toothless? Ethics and Information Technology, 24(2). doi:10.1007/s10676-022-09642-1.</w:t>
      </w:r>
    </w:p>
    <w:p w14:paraId="5BD41929" w14:textId="1878CC6F" w:rsidR="00860442" w:rsidRPr="00860442" w:rsidRDefault="00860442" w:rsidP="00F83C9F">
      <w:pPr>
        <w:spacing w:line="360" w:lineRule="auto"/>
        <w:jc w:val="both"/>
        <w:rPr>
          <w:sz w:val="24"/>
          <w:szCs w:val="24"/>
        </w:rPr>
      </w:pPr>
      <w:r w:rsidRPr="00860442">
        <w:rPr>
          <w:sz w:val="24"/>
          <w:szCs w:val="24"/>
        </w:rPr>
        <w:t>Delgado, M., Porter, M.E. and Stern, S. (2010). Clusters and entrepreneurship. Journal of Economic Geography. https://doi.org/10.1093/jeg/lbq010</w:t>
      </w:r>
    </w:p>
    <w:p w14:paraId="7F680DAE" w14:textId="44883E7A" w:rsidR="00C728A1" w:rsidRPr="00860442" w:rsidRDefault="00EE0F76" w:rsidP="00F83C9F">
      <w:pPr>
        <w:spacing w:line="360" w:lineRule="auto"/>
        <w:jc w:val="both"/>
        <w:rPr>
          <w:sz w:val="24"/>
          <w:szCs w:val="24"/>
        </w:rPr>
      </w:pPr>
      <w:r w:rsidRPr="00860442">
        <w:rPr>
          <w:sz w:val="24"/>
          <w:szCs w:val="24"/>
        </w:rPr>
        <w:t xml:space="preserve">Deng, S., Tan, C.-W., Wang, W. and Pan, Y. (2019). Smart Generation System of </w:t>
      </w:r>
      <w:proofErr w:type="spellStart"/>
      <w:r w:rsidR="00CE3A7E">
        <w:rPr>
          <w:sz w:val="24"/>
          <w:szCs w:val="24"/>
        </w:rPr>
        <w:t>Personalised</w:t>
      </w:r>
      <w:proofErr w:type="spellEnd"/>
      <w:r w:rsidRPr="00860442">
        <w:rPr>
          <w:sz w:val="24"/>
          <w:szCs w:val="24"/>
        </w:rPr>
        <w:t xml:space="preserve"> Advertising Copy and Its Application to Advertising Practice and Research. J</w:t>
      </w:r>
      <w:r w:rsidRPr="00860442">
        <w:rPr>
          <w:sz w:val="24"/>
          <w:szCs w:val="24"/>
        </w:rPr>
        <w:t>ournal of Advertising, 48(4), pp.356–365. doi:10.1080/00913367.2019.1652121.</w:t>
      </w:r>
    </w:p>
    <w:p w14:paraId="55E1B69C" w14:textId="77777777" w:rsidR="00C728A1" w:rsidRPr="00860442" w:rsidRDefault="00EE0F76" w:rsidP="00F83C9F">
      <w:pPr>
        <w:spacing w:line="360" w:lineRule="auto"/>
        <w:jc w:val="both"/>
        <w:rPr>
          <w:sz w:val="24"/>
          <w:szCs w:val="24"/>
        </w:rPr>
      </w:pPr>
      <w:proofErr w:type="spellStart"/>
      <w:r w:rsidRPr="00860442">
        <w:rPr>
          <w:sz w:val="24"/>
          <w:szCs w:val="24"/>
        </w:rPr>
        <w:t>Dexe</w:t>
      </w:r>
      <w:proofErr w:type="spellEnd"/>
      <w:r w:rsidRPr="00860442">
        <w:rPr>
          <w:sz w:val="24"/>
          <w:szCs w:val="24"/>
        </w:rPr>
        <w:t xml:space="preserve">, J., Franke, U., Soderlund, K., van Berkel, N., Jensen, R.K., </w:t>
      </w:r>
      <w:proofErr w:type="spellStart"/>
      <w:r w:rsidRPr="00860442">
        <w:rPr>
          <w:sz w:val="24"/>
          <w:szCs w:val="24"/>
        </w:rPr>
        <w:t>Lepinkainen</w:t>
      </w:r>
      <w:proofErr w:type="spellEnd"/>
      <w:r w:rsidRPr="00860442">
        <w:rPr>
          <w:sz w:val="24"/>
          <w:szCs w:val="24"/>
        </w:rPr>
        <w:t xml:space="preserve">, N. and </w:t>
      </w:r>
      <w:proofErr w:type="spellStart"/>
      <w:r w:rsidRPr="00860442">
        <w:rPr>
          <w:sz w:val="24"/>
          <w:szCs w:val="24"/>
        </w:rPr>
        <w:t>Vaiste</w:t>
      </w:r>
      <w:proofErr w:type="spellEnd"/>
      <w:r w:rsidRPr="00860442">
        <w:rPr>
          <w:sz w:val="24"/>
          <w:szCs w:val="24"/>
        </w:rPr>
        <w:t>, J. (2022). Explaining automated decision-making: a multinational study of the GDPR r</w:t>
      </w:r>
      <w:r w:rsidRPr="00860442">
        <w:rPr>
          <w:sz w:val="24"/>
          <w:szCs w:val="24"/>
        </w:rPr>
        <w:t>ight to meaningful information. Geneva Papers on Risk and Insurance, 47(3), pp.669–697. doi:10.1057/s41288-022-00271-9.</w:t>
      </w:r>
    </w:p>
    <w:p w14:paraId="4F2755D0" w14:textId="77777777" w:rsidR="00C728A1" w:rsidRPr="00860442" w:rsidRDefault="00EE0F76" w:rsidP="00F83C9F">
      <w:pPr>
        <w:spacing w:line="360" w:lineRule="auto"/>
        <w:jc w:val="both"/>
        <w:rPr>
          <w:sz w:val="24"/>
          <w:szCs w:val="24"/>
        </w:rPr>
      </w:pPr>
      <w:r w:rsidRPr="00860442">
        <w:rPr>
          <w:sz w:val="24"/>
          <w:szCs w:val="24"/>
        </w:rPr>
        <w:t>Ducato, R. (2021). Automated Decision Making. Glossary of Platform Law and Policy Terms. Available at: https://platformglossary.info/aut</w:t>
      </w:r>
      <w:r w:rsidRPr="00860442">
        <w:rPr>
          <w:sz w:val="24"/>
          <w:szCs w:val="24"/>
        </w:rPr>
        <w:t>omated-decision-making/ [Accessed 24 April 2026].</w:t>
      </w:r>
    </w:p>
    <w:p w14:paraId="3313EFEB" w14:textId="77777777" w:rsidR="00C728A1" w:rsidRPr="00860442" w:rsidRDefault="00EE0F76" w:rsidP="00F83C9F">
      <w:pPr>
        <w:spacing w:line="360" w:lineRule="auto"/>
        <w:jc w:val="both"/>
        <w:rPr>
          <w:sz w:val="24"/>
          <w:szCs w:val="24"/>
        </w:rPr>
      </w:pPr>
      <w:r w:rsidRPr="00860442">
        <w:rPr>
          <w:sz w:val="24"/>
          <w:szCs w:val="24"/>
        </w:rPr>
        <w:t>Dunning, J.H. (1988). The eclectic paradigm of international production: a restatement and some possible extensions. Journal of International Business Studies, 19(1), pp.1–31. doi:10.1057/palgrave.jibs.8490</w:t>
      </w:r>
      <w:r w:rsidRPr="00860442">
        <w:rPr>
          <w:sz w:val="24"/>
          <w:szCs w:val="24"/>
        </w:rPr>
        <w:t>372.</w:t>
      </w:r>
    </w:p>
    <w:p w14:paraId="1EE7DEAB" w14:textId="563B9100" w:rsidR="00C728A1" w:rsidRPr="00860442" w:rsidRDefault="00EE0F76" w:rsidP="00F83C9F">
      <w:pPr>
        <w:spacing w:line="360" w:lineRule="auto"/>
        <w:jc w:val="both"/>
        <w:rPr>
          <w:sz w:val="24"/>
          <w:szCs w:val="24"/>
        </w:rPr>
      </w:pPr>
      <w:r w:rsidRPr="00860442">
        <w:rPr>
          <w:sz w:val="24"/>
          <w:szCs w:val="24"/>
        </w:rPr>
        <w:t xml:space="preserve">Evans, A.M., </w:t>
      </w:r>
      <w:proofErr w:type="spellStart"/>
      <w:r w:rsidRPr="00860442">
        <w:rPr>
          <w:sz w:val="24"/>
          <w:szCs w:val="24"/>
        </w:rPr>
        <w:t>Stavrova</w:t>
      </w:r>
      <w:proofErr w:type="spellEnd"/>
      <w:r w:rsidRPr="00860442">
        <w:rPr>
          <w:sz w:val="24"/>
          <w:szCs w:val="24"/>
        </w:rPr>
        <w:t xml:space="preserve">, O. and Rosenbusch, H. (2021). Expressions of doubt and trust in online user reviews. Computers in Human </w:t>
      </w:r>
      <w:proofErr w:type="spellStart"/>
      <w:r w:rsidR="00CE3A7E">
        <w:rPr>
          <w:sz w:val="24"/>
          <w:szCs w:val="24"/>
        </w:rPr>
        <w:t>Behaviour</w:t>
      </w:r>
      <w:proofErr w:type="spellEnd"/>
      <w:r w:rsidRPr="00860442">
        <w:rPr>
          <w:sz w:val="24"/>
          <w:szCs w:val="24"/>
        </w:rPr>
        <w:t>, 114, p.106556. doi:10.1016/j.chb.2020.106556.</w:t>
      </w:r>
    </w:p>
    <w:p w14:paraId="405606DC" w14:textId="77777777" w:rsidR="00C728A1" w:rsidRPr="00860442" w:rsidRDefault="00EE0F76" w:rsidP="00F83C9F">
      <w:pPr>
        <w:spacing w:line="360" w:lineRule="auto"/>
        <w:jc w:val="both"/>
        <w:rPr>
          <w:sz w:val="24"/>
          <w:szCs w:val="24"/>
        </w:rPr>
      </w:pPr>
      <w:r w:rsidRPr="00860442">
        <w:rPr>
          <w:sz w:val="24"/>
          <w:szCs w:val="24"/>
        </w:rPr>
        <w:t>Evans, N. and Price, J. (2020). Development of a holistic model for</w:t>
      </w:r>
      <w:r w:rsidRPr="00860442">
        <w:rPr>
          <w:sz w:val="24"/>
          <w:szCs w:val="24"/>
        </w:rPr>
        <w:t xml:space="preserve"> the management of an enterprise's information assets. International Journal of Information Management, 54, p.102193. doi:10.1016/j.ijinfomgt.2020.102193.</w:t>
      </w:r>
    </w:p>
    <w:p w14:paraId="3F51FD5D" w14:textId="19D50666" w:rsidR="00C728A1" w:rsidRPr="00860442" w:rsidRDefault="00EE0F76" w:rsidP="00F83C9F">
      <w:pPr>
        <w:spacing w:line="360" w:lineRule="auto"/>
        <w:jc w:val="both"/>
        <w:rPr>
          <w:sz w:val="24"/>
          <w:szCs w:val="24"/>
        </w:rPr>
      </w:pPr>
      <w:r w:rsidRPr="00860442">
        <w:rPr>
          <w:sz w:val="24"/>
          <w:szCs w:val="24"/>
        </w:rPr>
        <w:t xml:space="preserve">Gao, B., Wang, Y., Xie, H. and Hu, Y. (2023). Artificial Intelligence in Advertising: Advancements, Challenges, and Ethical Considerations in Targeting, </w:t>
      </w:r>
      <w:proofErr w:type="spellStart"/>
      <w:r w:rsidR="00CE3A7E">
        <w:rPr>
          <w:sz w:val="24"/>
          <w:szCs w:val="24"/>
        </w:rPr>
        <w:t>Personalisation</w:t>
      </w:r>
      <w:proofErr w:type="spellEnd"/>
      <w:r w:rsidR="00CE3A7E">
        <w:rPr>
          <w:sz w:val="24"/>
          <w:szCs w:val="24"/>
        </w:rPr>
        <w:t xml:space="preserve">, Content Creation, and Ad </w:t>
      </w:r>
      <w:proofErr w:type="spellStart"/>
      <w:r w:rsidR="00CE3A7E">
        <w:rPr>
          <w:sz w:val="24"/>
          <w:szCs w:val="24"/>
        </w:rPr>
        <w:t>Optimisation</w:t>
      </w:r>
      <w:proofErr w:type="spellEnd"/>
      <w:r w:rsidRPr="00860442">
        <w:rPr>
          <w:sz w:val="24"/>
          <w:szCs w:val="24"/>
        </w:rPr>
        <w:t>. SAGE Open, 13(4). doi:10.1177/21582440231210759</w:t>
      </w:r>
      <w:r w:rsidRPr="00860442">
        <w:rPr>
          <w:sz w:val="24"/>
          <w:szCs w:val="24"/>
        </w:rPr>
        <w:t>.</w:t>
      </w:r>
    </w:p>
    <w:p w14:paraId="2AC68BEC" w14:textId="77777777" w:rsidR="00C728A1" w:rsidRPr="00860442" w:rsidRDefault="00EE0F76" w:rsidP="00F83C9F">
      <w:pPr>
        <w:spacing w:line="360" w:lineRule="auto"/>
        <w:jc w:val="both"/>
        <w:rPr>
          <w:sz w:val="24"/>
          <w:szCs w:val="24"/>
        </w:rPr>
      </w:pPr>
      <w:r w:rsidRPr="00860442">
        <w:rPr>
          <w:sz w:val="24"/>
          <w:szCs w:val="24"/>
        </w:rPr>
        <w:t xml:space="preserve">Hofstede, G., Hofstede, G.J. and Minkov, M. (2010). Cultures and </w:t>
      </w:r>
      <w:proofErr w:type="spellStart"/>
      <w:r w:rsidRPr="00860442">
        <w:rPr>
          <w:sz w:val="24"/>
          <w:szCs w:val="24"/>
        </w:rPr>
        <w:t>Organisations</w:t>
      </w:r>
      <w:proofErr w:type="spellEnd"/>
      <w:r w:rsidRPr="00860442">
        <w:rPr>
          <w:sz w:val="24"/>
          <w:szCs w:val="24"/>
        </w:rPr>
        <w:t xml:space="preserve">: Software of the Mind. 3rd </w:t>
      </w:r>
      <w:proofErr w:type="spellStart"/>
      <w:r w:rsidRPr="00860442">
        <w:rPr>
          <w:sz w:val="24"/>
          <w:szCs w:val="24"/>
        </w:rPr>
        <w:t>edn</w:t>
      </w:r>
      <w:proofErr w:type="spellEnd"/>
      <w:r w:rsidRPr="00860442">
        <w:rPr>
          <w:sz w:val="24"/>
          <w:szCs w:val="24"/>
        </w:rPr>
        <w:t>. New York: McGraw-Hill.</w:t>
      </w:r>
    </w:p>
    <w:p w14:paraId="1DF2A617" w14:textId="77777777" w:rsidR="00C728A1" w:rsidRPr="00860442" w:rsidRDefault="00EE0F76" w:rsidP="00F83C9F">
      <w:pPr>
        <w:spacing w:line="360" w:lineRule="auto"/>
        <w:jc w:val="both"/>
        <w:rPr>
          <w:sz w:val="24"/>
          <w:szCs w:val="24"/>
        </w:rPr>
      </w:pPr>
      <w:r w:rsidRPr="00860442">
        <w:rPr>
          <w:sz w:val="24"/>
          <w:szCs w:val="24"/>
        </w:rPr>
        <w:t xml:space="preserve">Huynh, M.-T. and </w:t>
      </w:r>
      <w:proofErr w:type="spellStart"/>
      <w:r w:rsidRPr="00860442">
        <w:rPr>
          <w:sz w:val="24"/>
          <w:szCs w:val="24"/>
        </w:rPr>
        <w:t>Aichner</w:t>
      </w:r>
      <w:proofErr w:type="spellEnd"/>
      <w:r w:rsidRPr="00860442">
        <w:rPr>
          <w:sz w:val="24"/>
          <w:szCs w:val="24"/>
        </w:rPr>
        <w:t>, T. (2025). In generative artificial intelligence we trust: unpacking determinants and outcomes</w:t>
      </w:r>
      <w:r w:rsidRPr="00860442">
        <w:rPr>
          <w:sz w:val="24"/>
          <w:szCs w:val="24"/>
        </w:rPr>
        <w:t xml:space="preserve"> for cognitive trust. AI &amp; Society. doi:10.1007/s00146-025-02378-8.</w:t>
      </w:r>
    </w:p>
    <w:p w14:paraId="00DA9388" w14:textId="1BF7CE4C" w:rsidR="00C728A1" w:rsidRPr="00860442" w:rsidRDefault="00EE0F76" w:rsidP="00F83C9F">
      <w:pPr>
        <w:spacing w:line="360" w:lineRule="auto"/>
        <w:jc w:val="both"/>
        <w:rPr>
          <w:sz w:val="24"/>
          <w:szCs w:val="24"/>
        </w:rPr>
      </w:pPr>
      <w:r w:rsidRPr="00860442">
        <w:rPr>
          <w:sz w:val="24"/>
          <w:szCs w:val="24"/>
        </w:rPr>
        <w:lastRenderedPageBreak/>
        <w:t>ISO (2018). ISO 31000:2018 Risk Management</w:t>
      </w:r>
      <w:r w:rsidR="000952FD" w:rsidRPr="00860442">
        <w:rPr>
          <w:sz w:val="24"/>
          <w:szCs w:val="24"/>
        </w:rPr>
        <w:t xml:space="preserve"> </w:t>
      </w:r>
      <w:r w:rsidRPr="00860442">
        <w:rPr>
          <w:sz w:val="24"/>
          <w:szCs w:val="24"/>
        </w:rPr>
        <w:t xml:space="preserve">Guidelines. Geneva: International </w:t>
      </w:r>
      <w:proofErr w:type="spellStart"/>
      <w:r w:rsidRPr="00860442">
        <w:rPr>
          <w:sz w:val="24"/>
          <w:szCs w:val="24"/>
        </w:rPr>
        <w:t>Organisation</w:t>
      </w:r>
      <w:proofErr w:type="spellEnd"/>
      <w:r w:rsidRPr="00860442">
        <w:rPr>
          <w:sz w:val="24"/>
          <w:szCs w:val="24"/>
        </w:rPr>
        <w:t xml:space="preserve"> for </w:t>
      </w:r>
      <w:proofErr w:type="spellStart"/>
      <w:r w:rsidRPr="00860442">
        <w:rPr>
          <w:sz w:val="24"/>
          <w:szCs w:val="24"/>
        </w:rPr>
        <w:t>Standardisation</w:t>
      </w:r>
      <w:proofErr w:type="spellEnd"/>
      <w:r w:rsidRPr="00860442">
        <w:rPr>
          <w:sz w:val="24"/>
          <w:szCs w:val="24"/>
        </w:rPr>
        <w:t xml:space="preserve">. Available at: </w:t>
      </w:r>
      <w:hyperlink r:id="rId12" w:history="1">
        <w:r w:rsidR="00860442" w:rsidRPr="00860442">
          <w:rPr>
            <w:rStyle w:val="Hyperlink"/>
            <w:sz w:val="24"/>
            <w:szCs w:val="24"/>
          </w:rPr>
          <w:t>https://www.iso.org/standard/65694.html</w:t>
        </w:r>
      </w:hyperlink>
      <w:r w:rsidRPr="00860442">
        <w:rPr>
          <w:sz w:val="24"/>
          <w:szCs w:val="24"/>
        </w:rPr>
        <w:t>.</w:t>
      </w:r>
    </w:p>
    <w:p w14:paraId="2E704117" w14:textId="5371F653" w:rsidR="00860442" w:rsidRPr="00860442" w:rsidRDefault="00860442" w:rsidP="00F83C9F">
      <w:pPr>
        <w:spacing w:line="360" w:lineRule="auto"/>
        <w:jc w:val="both"/>
        <w:rPr>
          <w:sz w:val="24"/>
          <w:szCs w:val="24"/>
        </w:rPr>
      </w:pPr>
      <w:r w:rsidRPr="00860442">
        <w:rPr>
          <w:sz w:val="24"/>
          <w:szCs w:val="24"/>
        </w:rPr>
        <w:t>Ketels, C.H.M. (2006). Michael Porter’s competitiveness framework. Journal of Industry, Competition and Trade. https://doi.org/10.1007/s10842-006-9474-7</w:t>
      </w:r>
    </w:p>
    <w:p w14:paraId="5C5A6D58" w14:textId="77777777" w:rsidR="00C728A1" w:rsidRPr="00860442" w:rsidRDefault="00EE0F76" w:rsidP="00F83C9F">
      <w:pPr>
        <w:spacing w:line="360" w:lineRule="auto"/>
        <w:jc w:val="both"/>
        <w:rPr>
          <w:sz w:val="24"/>
          <w:szCs w:val="24"/>
        </w:rPr>
      </w:pPr>
      <w:r w:rsidRPr="00860442">
        <w:rPr>
          <w:sz w:val="24"/>
          <w:szCs w:val="24"/>
        </w:rPr>
        <w:t xml:space="preserve">Kim, D. and </w:t>
      </w:r>
      <w:proofErr w:type="spellStart"/>
      <w:r w:rsidRPr="00860442">
        <w:rPr>
          <w:sz w:val="24"/>
          <w:szCs w:val="24"/>
        </w:rPr>
        <w:t>Benbasat</w:t>
      </w:r>
      <w:proofErr w:type="spellEnd"/>
      <w:r w:rsidRPr="00860442">
        <w:rPr>
          <w:sz w:val="24"/>
          <w:szCs w:val="24"/>
        </w:rPr>
        <w:t xml:space="preserve">, I. (2006). The Effects of </w:t>
      </w:r>
      <w:r w:rsidRPr="00860442">
        <w:rPr>
          <w:sz w:val="24"/>
          <w:szCs w:val="24"/>
        </w:rPr>
        <w:t>Trust-Assuring Arguments on Consumer Trust in Internet Stores: Application of Toulmin's Model of Argumentation. Information Systems Research, 17(3), pp.286–300. doi:10.1287/isre.1060.0093.</w:t>
      </w:r>
    </w:p>
    <w:p w14:paraId="1421B7DE" w14:textId="77777777" w:rsidR="00C728A1" w:rsidRPr="00860442" w:rsidRDefault="00EE0F76" w:rsidP="00F83C9F">
      <w:pPr>
        <w:spacing w:line="360" w:lineRule="auto"/>
        <w:jc w:val="both"/>
        <w:rPr>
          <w:sz w:val="24"/>
          <w:szCs w:val="24"/>
        </w:rPr>
      </w:pPr>
      <w:proofErr w:type="spellStart"/>
      <w:r w:rsidRPr="00860442">
        <w:rPr>
          <w:sz w:val="24"/>
          <w:szCs w:val="24"/>
        </w:rPr>
        <w:t>Kuebler-Wachendorff</w:t>
      </w:r>
      <w:proofErr w:type="spellEnd"/>
      <w:r w:rsidRPr="00860442">
        <w:rPr>
          <w:sz w:val="24"/>
          <w:szCs w:val="24"/>
        </w:rPr>
        <w:t xml:space="preserve">, S., Luzsa, R., Kranz, J., Mager, S., </w:t>
      </w:r>
      <w:proofErr w:type="spellStart"/>
      <w:r w:rsidRPr="00860442">
        <w:rPr>
          <w:sz w:val="24"/>
          <w:szCs w:val="24"/>
        </w:rPr>
        <w:t>Syrmoudis</w:t>
      </w:r>
      <w:proofErr w:type="spellEnd"/>
      <w:r w:rsidRPr="00860442">
        <w:rPr>
          <w:sz w:val="24"/>
          <w:szCs w:val="24"/>
        </w:rPr>
        <w:t xml:space="preserve">, E., Mayr, S. and </w:t>
      </w:r>
      <w:proofErr w:type="spellStart"/>
      <w:r w:rsidRPr="00860442">
        <w:rPr>
          <w:sz w:val="24"/>
          <w:szCs w:val="24"/>
        </w:rPr>
        <w:t>Grossklags</w:t>
      </w:r>
      <w:proofErr w:type="spellEnd"/>
      <w:r w:rsidRPr="00860442">
        <w:rPr>
          <w:sz w:val="24"/>
          <w:szCs w:val="24"/>
        </w:rPr>
        <w:t>, J. (2021). The Right to Data Portability: conception, status quo, and future directions. Informatik Spektrum, 44(4), pp.264–272. doi:10.1007/s00287-021-01372-w.</w:t>
      </w:r>
    </w:p>
    <w:p w14:paraId="09E33BE5" w14:textId="77777777" w:rsidR="00C728A1" w:rsidRPr="00860442" w:rsidRDefault="00EE0F76" w:rsidP="00F83C9F">
      <w:pPr>
        <w:spacing w:line="360" w:lineRule="auto"/>
        <w:jc w:val="both"/>
        <w:rPr>
          <w:sz w:val="24"/>
          <w:szCs w:val="24"/>
        </w:rPr>
      </w:pPr>
      <w:r w:rsidRPr="00860442">
        <w:rPr>
          <w:sz w:val="24"/>
          <w:szCs w:val="24"/>
        </w:rPr>
        <w:t>Lin, J., Wang, C., Zhou, L. and Jiang, X. (2022). Converting con</w:t>
      </w:r>
      <w:r w:rsidRPr="00860442">
        <w:rPr>
          <w:sz w:val="24"/>
          <w:szCs w:val="24"/>
        </w:rPr>
        <w:t>sumer-generated content into an innovation resource: A user ideas processing framework in online user innovation communities. Technological Forecasting and Social Change, 174, p.121266. doi:10.1016/j.techfore.2021.121266.</w:t>
      </w:r>
    </w:p>
    <w:p w14:paraId="6D7D73F7" w14:textId="0DD89E9F" w:rsidR="00C728A1" w:rsidRPr="00860442" w:rsidRDefault="00EE0F76" w:rsidP="00F83C9F">
      <w:pPr>
        <w:spacing w:line="360" w:lineRule="auto"/>
        <w:jc w:val="both"/>
        <w:rPr>
          <w:sz w:val="24"/>
          <w:szCs w:val="24"/>
        </w:rPr>
      </w:pPr>
      <w:r w:rsidRPr="00860442">
        <w:rPr>
          <w:sz w:val="24"/>
          <w:szCs w:val="24"/>
        </w:rPr>
        <w:t xml:space="preserve">M. </w:t>
      </w:r>
      <w:proofErr w:type="spellStart"/>
      <w:r w:rsidRPr="00860442">
        <w:rPr>
          <w:sz w:val="24"/>
          <w:szCs w:val="24"/>
        </w:rPr>
        <w:t>Leszczynska</w:t>
      </w:r>
      <w:proofErr w:type="spellEnd"/>
      <w:r w:rsidRPr="00860442">
        <w:rPr>
          <w:sz w:val="24"/>
          <w:szCs w:val="24"/>
        </w:rPr>
        <w:t xml:space="preserve"> and D. Baltag (2024</w:t>
      </w:r>
      <w:r w:rsidRPr="00860442">
        <w:rPr>
          <w:sz w:val="24"/>
          <w:szCs w:val="24"/>
        </w:rPr>
        <w:t>). 'Can I have it non-</w:t>
      </w:r>
      <w:proofErr w:type="spellStart"/>
      <w:r w:rsidRPr="00860442">
        <w:rPr>
          <w:sz w:val="24"/>
          <w:szCs w:val="24"/>
        </w:rPr>
        <w:t>personalised</w:t>
      </w:r>
      <w:proofErr w:type="spellEnd"/>
      <w:r w:rsidRPr="00860442">
        <w:rPr>
          <w:sz w:val="24"/>
          <w:szCs w:val="24"/>
        </w:rPr>
        <w:t xml:space="preserve">?' An Empirical Investigation of Consumer Willingness to Share Data for </w:t>
      </w:r>
      <w:proofErr w:type="spellStart"/>
      <w:r w:rsidR="00CE3A7E">
        <w:rPr>
          <w:sz w:val="24"/>
          <w:szCs w:val="24"/>
        </w:rPr>
        <w:t>Personalised</w:t>
      </w:r>
      <w:proofErr w:type="spellEnd"/>
      <w:r w:rsidRPr="00860442">
        <w:rPr>
          <w:sz w:val="24"/>
          <w:szCs w:val="24"/>
        </w:rPr>
        <w:t xml:space="preserve"> Services and Ads. Journal of Consumer Policy. doi:10.1007/s10603-024-09568-9.</w:t>
      </w:r>
    </w:p>
    <w:p w14:paraId="00D6B848" w14:textId="77777777" w:rsidR="00C728A1" w:rsidRPr="00860442" w:rsidRDefault="00EE0F76" w:rsidP="00F83C9F">
      <w:pPr>
        <w:spacing w:line="360" w:lineRule="auto"/>
        <w:jc w:val="both"/>
        <w:rPr>
          <w:sz w:val="24"/>
          <w:szCs w:val="24"/>
        </w:rPr>
      </w:pPr>
      <w:r w:rsidRPr="00860442">
        <w:rPr>
          <w:sz w:val="24"/>
          <w:szCs w:val="24"/>
        </w:rPr>
        <w:t xml:space="preserve">Martin, K. (2019). Ethical Implications and Accountability </w:t>
      </w:r>
      <w:r w:rsidRPr="00860442">
        <w:rPr>
          <w:sz w:val="24"/>
          <w:szCs w:val="24"/>
        </w:rPr>
        <w:t>of Algorithms. Journal of Business Ethics, 160, pp.835–850. doi:10.1007/s10551-018-3921-3.</w:t>
      </w:r>
    </w:p>
    <w:p w14:paraId="486844D9" w14:textId="77777777" w:rsidR="00C728A1" w:rsidRPr="00860442" w:rsidRDefault="00EE0F76" w:rsidP="00F83C9F">
      <w:pPr>
        <w:spacing w:line="360" w:lineRule="auto"/>
        <w:jc w:val="both"/>
        <w:rPr>
          <w:sz w:val="24"/>
          <w:szCs w:val="24"/>
        </w:rPr>
      </w:pPr>
      <w:r w:rsidRPr="00860442">
        <w:rPr>
          <w:sz w:val="24"/>
          <w:szCs w:val="24"/>
        </w:rPr>
        <w:t>Mejia, S. and Aguilar, J. (2024). A demand forecasting system of product categories defined by their time series using a hybrid approach of ensemble learning with fe</w:t>
      </w:r>
      <w:r w:rsidRPr="00860442">
        <w:rPr>
          <w:sz w:val="24"/>
          <w:szCs w:val="24"/>
        </w:rPr>
        <w:t>ature engineering. Computing. doi:10.1007/s00607-024-01320-y.</w:t>
      </w:r>
    </w:p>
    <w:p w14:paraId="6326167E" w14:textId="77777777" w:rsidR="00C728A1" w:rsidRPr="00860442" w:rsidRDefault="00EE0F76" w:rsidP="00F83C9F">
      <w:pPr>
        <w:spacing w:line="360" w:lineRule="auto"/>
        <w:jc w:val="both"/>
        <w:rPr>
          <w:sz w:val="24"/>
          <w:szCs w:val="24"/>
        </w:rPr>
      </w:pPr>
      <w:proofErr w:type="spellStart"/>
      <w:r w:rsidRPr="00860442">
        <w:rPr>
          <w:sz w:val="24"/>
          <w:szCs w:val="24"/>
        </w:rPr>
        <w:t>Mittelstadt</w:t>
      </w:r>
      <w:proofErr w:type="spellEnd"/>
      <w:r w:rsidRPr="00860442">
        <w:rPr>
          <w:sz w:val="24"/>
          <w:szCs w:val="24"/>
        </w:rPr>
        <w:t xml:space="preserve">, B.D., </w:t>
      </w:r>
      <w:proofErr w:type="spellStart"/>
      <w:r w:rsidRPr="00860442">
        <w:rPr>
          <w:sz w:val="24"/>
          <w:szCs w:val="24"/>
        </w:rPr>
        <w:t>Allo</w:t>
      </w:r>
      <w:proofErr w:type="spellEnd"/>
      <w:r w:rsidRPr="00860442">
        <w:rPr>
          <w:sz w:val="24"/>
          <w:szCs w:val="24"/>
        </w:rPr>
        <w:t xml:space="preserve">, P., Taddeo, M., Wachter, S. and </w:t>
      </w:r>
      <w:proofErr w:type="spellStart"/>
      <w:r w:rsidRPr="00860442">
        <w:rPr>
          <w:sz w:val="24"/>
          <w:szCs w:val="24"/>
        </w:rPr>
        <w:t>Floridi</w:t>
      </w:r>
      <w:proofErr w:type="spellEnd"/>
      <w:r w:rsidRPr="00860442">
        <w:rPr>
          <w:sz w:val="24"/>
          <w:szCs w:val="24"/>
        </w:rPr>
        <w:t>, L. (2016). The ethics of algorithms: Mapping the debate. Big Data &amp; Society, 3(2). doi:10.1177/2053951716679679.</w:t>
      </w:r>
    </w:p>
    <w:p w14:paraId="4739C706" w14:textId="77777777" w:rsidR="00C728A1" w:rsidRPr="00860442" w:rsidRDefault="00EE0F76" w:rsidP="00F83C9F">
      <w:pPr>
        <w:spacing w:line="360" w:lineRule="auto"/>
        <w:jc w:val="both"/>
        <w:rPr>
          <w:sz w:val="24"/>
          <w:szCs w:val="24"/>
        </w:rPr>
      </w:pPr>
      <w:r w:rsidRPr="00860442">
        <w:rPr>
          <w:sz w:val="24"/>
          <w:szCs w:val="24"/>
        </w:rPr>
        <w:t>Moriarty, J. (2</w:t>
      </w:r>
      <w:r w:rsidRPr="00860442">
        <w:rPr>
          <w:sz w:val="24"/>
          <w:szCs w:val="24"/>
        </w:rPr>
        <w:t>021). Why online personalized pricing is unfair. Ethics and Information Technology. doi:10.1007/s10676-021-09592-0.</w:t>
      </w:r>
    </w:p>
    <w:p w14:paraId="0E951690" w14:textId="349CCBF5" w:rsidR="00C728A1" w:rsidRPr="00860442" w:rsidRDefault="00EE0F76" w:rsidP="00F83C9F">
      <w:pPr>
        <w:spacing w:line="360" w:lineRule="auto"/>
        <w:jc w:val="both"/>
        <w:rPr>
          <w:sz w:val="24"/>
          <w:szCs w:val="24"/>
        </w:rPr>
      </w:pPr>
      <w:r w:rsidRPr="00860442">
        <w:rPr>
          <w:sz w:val="24"/>
          <w:szCs w:val="24"/>
        </w:rPr>
        <w:t xml:space="preserve">Muhammad </w:t>
      </w:r>
      <w:proofErr w:type="spellStart"/>
      <w:r w:rsidRPr="00860442">
        <w:rPr>
          <w:sz w:val="24"/>
          <w:szCs w:val="24"/>
        </w:rPr>
        <w:t>Zulhusni</w:t>
      </w:r>
      <w:proofErr w:type="spellEnd"/>
      <w:r w:rsidRPr="00860442">
        <w:rPr>
          <w:sz w:val="24"/>
          <w:szCs w:val="24"/>
        </w:rPr>
        <w:t xml:space="preserve"> (2026). Unilever expands </w:t>
      </w:r>
      <w:r w:rsidR="00CE3A7E">
        <w:rPr>
          <w:sz w:val="24"/>
          <w:szCs w:val="24"/>
        </w:rPr>
        <w:t>its use of Google Cloud AI across</w:t>
      </w:r>
      <w:r w:rsidRPr="00860442">
        <w:rPr>
          <w:sz w:val="24"/>
          <w:szCs w:val="24"/>
        </w:rPr>
        <w:t xml:space="preserve"> marketing and commerce. Marketing Tech News. Available at: http</w:t>
      </w:r>
      <w:r w:rsidRPr="00860442">
        <w:rPr>
          <w:sz w:val="24"/>
          <w:szCs w:val="24"/>
        </w:rPr>
        <w:t>s://www.marketingtechnews.net/news/unilever-expands-google-cloud-ai-use-in-marketing-and-commerce/.</w:t>
      </w:r>
    </w:p>
    <w:p w14:paraId="088F3C93" w14:textId="77777777" w:rsidR="00C728A1" w:rsidRPr="00860442" w:rsidRDefault="00EE0F76" w:rsidP="00F83C9F">
      <w:pPr>
        <w:spacing w:line="360" w:lineRule="auto"/>
        <w:jc w:val="both"/>
        <w:rPr>
          <w:sz w:val="24"/>
          <w:szCs w:val="24"/>
        </w:rPr>
      </w:pPr>
      <w:r w:rsidRPr="00860442">
        <w:rPr>
          <w:sz w:val="24"/>
          <w:szCs w:val="24"/>
        </w:rPr>
        <w:t>Muth, M., Lingenfelder, M. and Nufer, G. (2024). The application of machine learning for demand prediction under macroeconomic volatility: a systematic lite</w:t>
      </w:r>
      <w:r w:rsidRPr="00860442">
        <w:rPr>
          <w:sz w:val="24"/>
          <w:szCs w:val="24"/>
        </w:rPr>
        <w:t>rature review. Management Review Quarterly. doi:10.1007/s11301-024-00447-8.</w:t>
      </w:r>
    </w:p>
    <w:p w14:paraId="7A1397F5" w14:textId="2D083D08" w:rsidR="00C728A1" w:rsidRPr="00860442" w:rsidRDefault="00EE0F76" w:rsidP="00F83C9F">
      <w:pPr>
        <w:spacing w:line="360" w:lineRule="auto"/>
        <w:jc w:val="both"/>
        <w:rPr>
          <w:sz w:val="24"/>
          <w:szCs w:val="24"/>
        </w:rPr>
      </w:pPr>
      <w:r w:rsidRPr="00860442">
        <w:rPr>
          <w:sz w:val="24"/>
          <w:szCs w:val="24"/>
        </w:rPr>
        <w:lastRenderedPageBreak/>
        <w:t xml:space="preserve">Nasseri, M., </w:t>
      </w:r>
      <w:proofErr w:type="spellStart"/>
      <w:r w:rsidRPr="00860442">
        <w:rPr>
          <w:sz w:val="24"/>
          <w:szCs w:val="24"/>
        </w:rPr>
        <w:t>Falatouri</w:t>
      </w:r>
      <w:proofErr w:type="spellEnd"/>
      <w:r w:rsidRPr="00860442">
        <w:rPr>
          <w:sz w:val="24"/>
          <w:szCs w:val="24"/>
        </w:rPr>
        <w:t xml:space="preserve">, T., Brandtner, P. and </w:t>
      </w:r>
      <w:proofErr w:type="spellStart"/>
      <w:r w:rsidRPr="00860442">
        <w:rPr>
          <w:sz w:val="24"/>
          <w:szCs w:val="24"/>
        </w:rPr>
        <w:t>Darbanian</w:t>
      </w:r>
      <w:proofErr w:type="spellEnd"/>
      <w:r w:rsidRPr="00860442">
        <w:rPr>
          <w:sz w:val="24"/>
          <w:szCs w:val="24"/>
        </w:rPr>
        <w:t>, F. (2023). Applying Machine Learning in Retail Demand Prediction</w:t>
      </w:r>
      <w:r w:rsidR="000952FD" w:rsidRPr="00860442">
        <w:rPr>
          <w:sz w:val="24"/>
          <w:szCs w:val="24"/>
        </w:rPr>
        <w:t xml:space="preserve"> </w:t>
      </w:r>
      <w:r w:rsidRPr="00860442">
        <w:rPr>
          <w:sz w:val="24"/>
          <w:szCs w:val="24"/>
        </w:rPr>
        <w:t>A Comparison of Tree-Based Ensembles and Long Short-Term M</w:t>
      </w:r>
      <w:r w:rsidRPr="00860442">
        <w:rPr>
          <w:sz w:val="24"/>
          <w:szCs w:val="24"/>
        </w:rPr>
        <w:t>emory-Based Deep Learning. Applied Sciences, 13(19), pp.11112–11112. doi:10.3390/app131911112.</w:t>
      </w:r>
    </w:p>
    <w:p w14:paraId="5CB999EC" w14:textId="77777777" w:rsidR="00C728A1" w:rsidRPr="00860442" w:rsidRDefault="00EE0F76" w:rsidP="00F83C9F">
      <w:pPr>
        <w:spacing w:line="360" w:lineRule="auto"/>
        <w:jc w:val="both"/>
        <w:rPr>
          <w:sz w:val="24"/>
          <w:szCs w:val="24"/>
        </w:rPr>
      </w:pPr>
      <w:proofErr w:type="spellStart"/>
      <w:r w:rsidRPr="00860442">
        <w:rPr>
          <w:sz w:val="24"/>
          <w:szCs w:val="24"/>
        </w:rPr>
        <w:t>Nikiforou</w:t>
      </w:r>
      <w:proofErr w:type="spellEnd"/>
      <w:r w:rsidRPr="00860442">
        <w:rPr>
          <w:sz w:val="24"/>
          <w:szCs w:val="24"/>
        </w:rPr>
        <w:t xml:space="preserve">, A., </w:t>
      </w:r>
      <w:proofErr w:type="spellStart"/>
      <w:r w:rsidRPr="00860442">
        <w:rPr>
          <w:sz w:val="24"/>
          <w:szCs w:val="24"/>
        </w:rPr>
        <w:t>Lioukas</w:t>
      </w:r>
      <w:proofErr w:type="spellEnd"/>
      <w:r w:rsidRPr="00860442">
        <w:rPr>
          <w:sz w:val="24"/>
          <w:szCs w:val="24"/>
        </w:rPr>
        <w:t>, S. and Voudouris, I. (2020). Network structure and firm-level entrepreneurial behavior: The role of market and technological knowledge ne</w:t>
      </w:r>
      <w:r w:rsidRPr="00860442">
        <w:rPr>
          <w:sz w:val="24"/>
          <w:szCs w:val="24"/>
        </w:rPr>
        <w:t>tworks. Journal of Business Research, 106, pp.129–138. doi:10.1016/j.jbusres.2019.09.008.</w:t>
      </w:r>
    </w:p>
    <w:p w14:paraId="5752DFC1" w14:textId="3E65407A" w:rsidR="00C728A1" w:rsidRPr="00860442" w:rsidRDefault="00860442" w:rsidP="00F83C9F">
      <w:pPr>
        <w:spacing w:line="360" w:lineRule="auto"/>
        <w:jc w:val="both"/>
        <w:rPr>
          <w:sz w:val="24"/>
          <w:szCs w:val="24"/>
        </w:rPr>
      </w:pPr>
      <w:r w:rsidRPr="00860442">
        <w:rPr>
          <w:sz w:val="24"/>
          <w:szCs w:val="24"/>
        </w:rPr>
        <w:t>Porter, M.E. (1990). The Competitive Advantage of Nations. https://doi.org/10.1007/978-1-349-11336-1</w:t>
      </w:r>
    </w:p>
    <w:p w14:paraId="215ED3F8" w14:textId="77777777" w:rsidR="00C728A1" w:rsidRPr="00860442" w:rsidRDefault="00EE0F76" w:rsidP="00F83C9F">
      <w:pPr>
        <w:spacing w:line="360" w:lineRule="auto"/>
        <w:jc w:val="both"/>
        <w:rPr>
          <w:sz w:val="24"/>
          <w:szCs w:val="24"/>
        </w:rPr>
      </w:pPr>
      <w:r w:rsidRPr="00860442">
        <w:rPr>
          <w:sz w:val="24"/>
          <w:szCs w:val="24"/>
        </w:rPr>
        <w:t>Rubinfeld, D. (2023). Data portability and interoperability: An E</w:t>
      </w:r>
      <w:r w:rsidRPr="00860442">
        <w:rPr>
          <w:sz w:val="24"/>
          <w:szCs w:val="24"/>
        </w:rPr>
        <w:t>.U.–U.S. comparison. European Journal of Law and Economics. doi:10.1007/s10657-023-09781-w.</w:t>
      </w:r>
    </w:p>
    <w:p w14:paraId="4DF6974D" w14:textId="77777777" w:rsidR="00C728A1" w:rsidRPr="00860442" w:rsidRDefault="00EE0F76" w:rsidP="00F83C9F">
      <w:pPr>
        <w:spacing w:line="360" w:lineRule="auto"/>
        <w:jc w:val="both"/>
        <w:rPr>
          <w:sz w:val="24"/>
          <w:szCs w:val="24"/>
        </w:rPr>
      </w:pPr>
      <w:r w:rsidRPr="00860442">
        <w:rPr>
          <w:sz w:val="24"/>
          <w:szCs w:val="24"/>
        </w:rPr>
        <w:t xml:space="preserve">Shams, S.M.R., </w:t>
      </w:r>
      <w:proofErr w:type="spellStart"/>
      <w:r w:rsidRPr="00860442">
        <w:rPr>
          <w:sz w:val="24"/>
          <w:szCs w:val="24"/>
        </w:rPr>
        <w:t>Vrontis</w:t>
      </w:r>
      <w:proofErr w:type="spellEnd"/>
      <w:r w:rsidRPr="00860442">
        <w:rPr>
          <w:sz w:val="24"/>
          <w:szCs w:val="24"/>
        </w:rPr>
        <w:t xml:space="preserve">, D., Chaudhuri, R., Chavan, G. and </w:t>
      </w:r>
      <w:proofErr w:type="spellStart"/>
      <w:r w:rsidRPr="00860442">
        <w:rPr>
          <w:sz w:val="24"/>
          <w:szCs w:val="24"/>
        </w:rPr>
        <w:t>Czinkota</w:t>
      </w:r>
      <w:proofErr w:type="spellEnd"/>
      <w:r w:rsidRPr="00860442">
        <w:rPr>
          <w:sz w:val="24"/>
          <w:szCs w:val="24"/>
        </w:rPr>
        <w:t>, M.R. (2020). Stakeholder engagement for innovation management and entrepreneurial development: A</w:t>
      </w:r>
      <w:r w:rsidRPr="00860442">
        <w:rPr>
          <w:sz w:val="24"/>
          <w:szCs w:val="24"/>
        </w:rPr>
        <w:t xml:space="preserve"> meta-analysis. Journal of Business Research, 119, pp.67–86. doi:10.1016/j.jbusres.2020.08.036.</w:t>
      </w:r>
    </w:p>
    <w:p w14:paraId="08174662" w14:textId="77777777" w:rsidR="00C728A1" w:rsidRPr="00860442" w:rsidRDefault="00EE0F76" w:rsidP="00F83C9F">
      <w:pPr>
        <w:spacing w:line="360" w:lineRule="auto"/>
        <w:jc w:val="both"/>
        <w:rPr>
          <w:sz w:val="24"/>
          <w:szCs w:val="24"/>
        </w:rPr>
      </w:pPr>
      <w:r w:rsidRPr="00860442">
        <w:rPr>
          <w:sz w:val="24"/>
          <w:szCs w:val="24"/>
        </w:rPr>
        <w:t>Sheehan, N.T. and Powers, R.C. (2018). Setting and vetting strategy: Bridging the chasm between CEOs and boards. Business Horizons, 61(5), pp.679–688. doi:10.10</w:t>
      </w:r>
      <w:r w:rsidRPr="00860442">
        <w:rPr>
          <w:sz w:val="24"/>
          <w:szCs w:val="24"/>
        </w:rPr>
        <w:t>16/j.bushor.2018.05.003.</w:t>
      </w:r>
    </w:p>
    <w:p w14:paraId="7FF3D62B" w14:textId="77777777" w:rsidR="00C728A1" w:rsidRPr="00860442" w:rsidRDefault="00EE0F76" w:rsidP="00F83C9F">
      <w:pPr>
        <w:spacing w:line="360" w:lineRule="auto"/>
        <w:jc w:val="both"/>
        <w:rPr>
          <w:sz w:val="24"/>
          <w:szCs w:val="24"/>
        </w:rPr>
      </w:pPr>
      <w:proofErr w:type="spellStart"/>
      <w:r w:rsidRPr="00860442">
        <w:rPr>
          <w:sz w:val="24"/>
          <w:szCs w:val="24"/>
        </w:rPr>
        <w:t>Suwannakit</w:t>
      </w:r>
      <w:proofErr w:type="spellEnd"/>
      <w:r w:rsidRPr="00860442">
        <w:rPr>
          <w:sz w:val="24"/>
          <w:szCs w:val="24"/>
        </w:rPr>
        <w:t>, M. (2019). Review of: Designing for Privacy and its Legal Framework: Data Protection by Design and Default for the Internet of Things. International Data Privacy Law. doi:10.1093/</w:t>
      </w:r>
      <w:proofErr w:type="spellStart"/>
      <w:r w:rsidRPr="00860442">
        <w:rPr>
          <w:sz w:val="24"/>
          <w:szCs w:val="24"/>
        </w:rPr>
        <w:t>idpl</w:t>
      </w:r>
      <w:proofErr w:type="spellEnd"/>
      <w:r w:rsidRPr="00860442">
        <w:rPr>
          <w:sz w:val="24"/>
          <w:szCs w:val="24"/>
        </w:rPr>
        <w:t>/ipz013.</w:t>
      </w:r>
    </w:p>
    <w:p w14:paraId="486C3525" w14:textId="77777777" w:rsidR="00C728A1" w:rsidRPr="00860442" w:rsidRDefault="00EE0F76" w:rsidP="00F83C9F">
      <w:pPr>
        <w:spacing w:line="360" w:lineRule="auto"/>
        <w:jc w:val="both"/>
        <w:rPr>
          <w:sz w:val="24"/>
          <w:szCs w:val="24"/>
        </w:rPr>
      </w:pPr>
      <w:r w:rsidRPr="00860442">
        <w:rPr>
          <w:sz w:val="24"/>
          <w:szCs w:val="24"/>
        </w:rPr>
        <w:t>Unilever.com (2025a). Desir</w:t>
      </w:r>
      <w:r w:rsidRPr="00860442">
        <w:rPr>
          <w:sz w:val="24"/>
          <w:szCs w:val="24"/>
        </w:rPr>
        <w:t>e at scale: Unilever Annual Report and Accounts 2025. Available at: https://www.unilever.com.</w:t>
      </w:r>
    </w:p>
    <w:p w14:paraId="7A3F9A4A" w14:textId="77777777" w:rsidR="00C728A1" w:rsidRPr="00860442" w:rsidRDefault="00EE0F76" w:rsidP="00F83C9F">
      <w:pPr>
        <w:spacing w:line="360" w:lineRule="auto"/>
        <w:jc w:val="both"/>
        <w:rPr>
          <w:sz w:val="24"/>
          <w:szCs w:val="24"/>
        </w:rPr>
      </w:pPr>
      <w:r w:rsidRPr="00860442">
        <w:rPr>
          <w:sz w:val="24"/>
          <w:szCs w:val="24"/>
        </w:rPr>
        <w:t>Unilever.com (2025b). Our Risk Appetite and Approach to Risk Management. Available at: https://www.unilever.com/files/esef-nl-2025.html.</w:t>
      </w:r>
    </w:p>
    <w:p w14:paraId="750EFE84" w14:textId="77777777" w:rsidR="00C728A1" w:rsidRPr="00860442" w:rsidRDefault="00EE0F76" w:rsidP="00F83C9F">
      <w:pPr>
        <w:spacing w:line="360" w:lineRule="auto"/>
        <w:jc w:val="both"/>
        <w:rPr>
          <w:sz w:val="24"/>
          <w:szCs w:val="24"/>
        </w:rPr>
      </w:pPr>
      <w:r w:rsidRPr="00860442">
        <w:rPr>
          <w:sz w:val="24"/>
          <w:szCs w:val="24"/>
        </w:rPr>
        <w:t>Verma, S., Sharma, R., De</w:t>
      </w:r>
      <w:r w:rsidRPr="00860442">
        <w:rPr>
          <w:sz w:val="24"/>
          <w:szCs w:val="24"/>
        </w:rPr>
        <w:t>b, S. and Maitra, D. (2021). Artificial Intelligence in marketing: Systematic Review and Future Research Direction. International Journal of Information Management Data Insights, 1(1), p.100002. doi:10.1016/j.jjimei.2020.100002.</w:t>
      </w:r>
    </w:p>
    <w:p w14:paraId="50FF5A61" w14:textId="77777777" w:rsidR="00C728A1" w:rsidRPr="00860442" w:rsidRDefault="00EE0F76" w:rsidP="00F83C9F">
      <w:pPr>
        <w:spacing w:line="360" w:lineRule="auto"/>
        <w:jc w:val="both"/>
        <w:rPr>
          <w:sz w:val="24"/>
          <w:szCs w:val="24"/>
        </w:rPr>
      </w:pPr>
      <w:r w:rsidRPr="00860442">
        <w:rPr>
          <w:sz w:val="24"/>
          <w:szCs w:val="24"/>
        </w:rPr>
        <w:t xml:space="preserve">Wang, Y., Zhu, J., Liu, R. </w:t>
      </w:r>
      <w:r w:rsidRPr="00860442">
        <w:rPr>
          <w:sz w:val="24"/>
          <w:szCs w:val="24"/>
        </w:rPr>
        <w:t xml:space="preserve">and Jiang, Y. (2024). Enhancing recommendation acceptance: Resolving the </w:t>
      </w:r>
      <w:proofErr w:type="spellStart"/>
      <w:r w:rsidRPr="00860442">
        <w:rPr>
          <w:sz w:val="24"/>
          <w:szCs w:val="24"/>
        </w:rPr>
        <w:t>personalisation</w:t>
      </w:r>
      <w:proofErr w:type="spellEnd"/>
      <w:r w:rsidRPr="00860442">
        <w:rPr>
          <w:sz w:val="24"/>
          <w:szCs w:val="24"/>
        </w:rPr>
        <w:t>–privacy paradox in recommender systems: A privacy calculus perspective. International Journal of Information Management, 76, pp.102755–102755. doi:10.1016/j.ijinfomgt.</w:t>
      </w:r>
      <w:r w:rsidRPr="00860442">
        <w:rPr>
          <w:sz w:val="24"/>
          <w:szCs w:val="24"/>
        </w:rPr>
        <w:t>2024.102755.</w:t>
      </w:r>
    </w:p>
    <w:p w14:paraId="6F3B2017" w14:textId="77777777" w:rsidR="00C728A1" w:rsidRPr="00860442" w:rsidRDefault="00EE0F76" w:rsidP="00F83C9F">
      <w:pPr>
        <w:spacing w:line="360" w:lineRule="auto"/>
        <w:jc w:val="both"/>
        <w:rPr>
          <w:sz w:val="24"/>
          <w:szCs w:val="24"/>
        </w:rPr>
      </w:pPr>
      <w:r w:rsidRPr="00860442">
        <w:rPr>
          <w:sz w:val="24"/>
          <w:szCs w:val="24"/>
        </w:rPr>
        <w:lastRenderedPageBreak/>
        <w:t>Wulf, A.J. and Seizov, O. (2022). 'Please understand we cannot provide further information': evaluating content and transparency of GDPR-mandated AI disclosures. AI &amp; Society, 39. doi:10.1007/s00146-022-01424-z.</w:t>
      </w:r>
    </w:p>
    <w:p w14:paraId="6D8017EB" w14:textId="39948513" w:rsidR="00F71438" w:rsidRPr="00860442" w:rsidRDefault="00EE0F76" w:rsidP="00F83C9F">
      <w:pPr>
        <w:spacing w:line="360" w:lineRule="auto"/>
        <w:jc w:val="both"/>
        <w:rPr>
          <w:sz w:val="24"/>
          <w:szCs w:val="24"/>
        </w:rPr>
      </w:pPr>
      <w:r w:rsidRPr="00860442">
        <w:rPr>
          <w:sz w:val="24"/>
          <w:szCs w:val="24"/>
        </w:rPr>
        <w:t>Zuboff, S. (2019). The Age of S</w:t>
      </w:r>
      <w:r w:rsidRPr="00860442">
        <w:rPr>
          <w:sz w:val="24"/>
          <w:szCs w:val="24"/>
        </w:rPr>
        <w:t>urveillance Capitalism: The Fight for a Human Future at the New Frontier of Power. New York: PublicAffairs.</w:t>
      </w:r>
    </w:p>
    <w:p w14:paraId="36C7F831" w14:textId="3E4D8728" w:rsidR="00F71438" w:rsidRPr="00860442" w:rsidRDefault="00F71438" w:rsidP="00F83C9F">
      <w:pPr>
        <w:spacing w:line="360" w:lineRule="auto"/>
        <w:ind w:left="720" w:hanging="720"/>
        <w:jc w:val="both"/>
        <w:rPr>
          <w:sz w:val="24"/>
          <w:szCs w:val="24"/>
        </w:rPr>
      </w:pPr>
    </w:p>
    <w:p w14:paraId="7FB06B8F" w14:textId="10CCC8C0" w:rsidR="00C728A1" w:rsidRPr="00860442" w:rsidRDefault="00C728A1" w:rsidP="00F83C9F">
      <w:pPr>
        <w:spacing w:line="360" w:lineRule="auto"/>
        <w:jc w:val="both"/>
        <w:rPr>
          <w:sz w:val="24"/>
          <w:szCs w:val="24"/>
        </w:rPr>
      </w:pPr>
    </w:p>
    <w:sectPr w:rsidR="00C728A1" w:rsidRPr="00860442" w:rsidSect="006261D9">
      <w:footerReference w:type="default" r:id="rId13"/>
      <w:pgSz w:w="11906" w:h="16838"/>
      <w:pgMar w:top="1440" w:right="1260" w:bottom="1440" w:left="126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422B2" w14:textId="77777777" w:rsidR="00EE0F76" w:rsidRDefault="00EE0F76" w:rsidP="00C02B21">
      <w:r>
        <w:separator/>
      </w:r>
    </w:p>
  </w:endnote>
  <w:endnote w:type="continuationSeparator" w:id="0">
    <w:p w14:paraId="4CD8A17E" w14:textId="77777777" w:rsidR="00EE0F76" w:rsidRDefault="00EE0F76" w:rsidP="00C02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040641"/>
      <w:docPartObj>
        <w:docPartGallery w:val="Page Numbers (Bottom of Page)"/>
        <w:docPartUnique/>
      </w:docPartObj>
    </w:sdtPr>
    <w:sdtEndPr>
      <w:rPr>
        <w:noProof/>
      </w:rPr>
    </w:sdtEndPr>
    <w:sdtContent>
      <w:p w14:paraId="2D85FEA1" w14:textId="6E6909E6" w:rsidR="006261D9" w:rsidRDefault="006261D9" w:rsidP="006261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9B654" w14:textId="77777777" w:rsidR="00EE0F76" w:rsidRDefault="00EE0F76" w:rsidP="00C02B21">
      <w:r>
        <w:separator/>
      </w:r>
    </w:p>
  </w:footnote>
  <w:footnote w:type="continuationSeparator" w:id="0">
    <w:p w14:paraId="68109BDB" w14:textId="77777777" w:rsidR="00EE0F76" w:rsidRDefault="00EE0F76" w:rsidP="00C02B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46E88"/>
    <w:multiLevelType w:val="hybridMultilevel"/>
    <w:tmpl w:val="0A2823A4"/>
    <w:lvl w:ilvl="0" w:tplc="DF4E63B0">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4E8489C"/>
    <w:multiLevelType w:val="hybridMultilevel"/>
    <w:tmpl w:val="A81E318A"/>
    <w:lvl w:ilvl="0" w:tplc="07EC3AE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3D58D2"/>
    <w:multiLevelType w:val="hybridMultilevel"/>
    <w:tmpl w:val="7994AD56"/>
    <w:lvl w:ilvl="0" w:tplc="6292F468">
      <w:start w:val="1"/>
      <w:numFmt w:val="bullet"/>
      <w:lvlText w:val="●"/>
      <w:lvlJc w:val="left"/>
      <w:pPr>
        <w:ind w:left="720" w:hanging="360"/>
      </w:pPr>
    </w:lvl>
    <w:lvl w:ilvl="1" w:tplc="C0946EE2">
      <w:start w:val="1"/>
      <w:numFmt w:val="bullet"/>
      <w:lvlText w:val="○"/>
      <w:lvlJc w:val="left"/>
      <w:pPr>
        <w:ind w:left="1440" w:hanging="360"/>
      </w:pPr>
    </w:lvl>
    <w:lvl w:ilvl="2" w:tplc="43602EDC">
      <w:start w:val="1"/>
      <w:numFmt w:val="bullet"/>
      <w:lvlText w:val="■"/>
      <w:lvlJc w:val="left"/>
      <w:pPr>
        <w:ind w:left="2160" w:hanging="360"/>
      </w:pPr>
    </w:lvl>
    <w:lvl w:ilvl="3" w:tplc="0994CDD0">
      <w:start w:val="1"/>
      <w:numFmt w:val="bullet"/>
      <w:lvlText w:val="●"/>
      <w:lvlJc w:val="left"/>
      <w:pPr>
        <w:ind w:left="2880" w:hanging="360"/>
      </w:pPr>
    </w:lvl>
    <w:lvl w:ilvl="4" w:tplc="64884DAC">
      <w:start w:val="1"/>
      <w:numFmt w:val="bullet"/>
      <w:lvlText w:val="○"/>
      <w:lvlJc w:val="left"/>
      <w:pPr>
        <w:ind w:left="3600" w:hanging="360"/>
      </w:pPr>
    </w:lvl>
    <w:lvl w:ilvl="5" w:tplc="13865C9A">
      <w:start w:val="1"/>
      <w:numFmt w:val="bullet"/>
      <w:lvlText w:val="■"/>
      <w:lvlJc w:val="left"/>
      <w:pPr>
        <w:ind w:left="4320" w:hanging="360"/>
      </w:pPr>
    </w:lvl>
    <w:lvl w:ilvl="6" w:tplc="03923C9C">
      <w:start w:val="1"/>
      <w:numFmt w:val="bullet"/>
      <w:lvlText w:val="●"/>
      <w:lvlJc w:val="left"/>
      <w:pPr>
        <w:ind w:left="5040" w:hanging="360"/>
      </w:pPr>
    </w:lvl>
    <w:lvl w:ilvl="7" w:tplc="7E7493B2">
      <w:start w:val="1"/>
      <w:numFmt w:val="bullet"/>
      <w:lvlText w:val="●"/>
      <w:lvlJc w:val="left"/>
      <w:pPr>
        <w:ind w:left="5760" w:hanging="360"/>
      </w:pPr>
    </w:lvl>
    <w:lvl w:ilvl="8" w:tplc="A3D0E1B6">
      <w:start w:val="1"/>
      <w:numFmt w:val="bullet"/>
      <w:lvlText w:val="●"/>
      <w:lvlJc w:val="left"/>
      <w:pPr>
        <w:ind w:left="6480" w:hanging="360"/>
      </w:pPr>
    </w:lvl>
  </w:abstractNum>
  <w:abstractNum w:abstractNumId="3" w15:restartNumberingAfterBreak="0">
    <w:nsid w:val="3BE74B0C"/>
    <w:multiLevelType w:val="multilevel"/>
    <w:tmpl w:val="2D98A05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46DD4EA0"/>
    <w:multiLevelType w:val="hybridMultilevel"/>
    <w:tmpl w:val="E206C57C"/>
    <w:lvl w:ilvl="0" w:tplc="CB2619B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CE295F"/>
    <w:multiLevelType w:val="hybridMultilevel"/>
    <w:tmpl w:val="9DA073AC"/>
    <w:lvl w:ilvl="0" w:tplc="02B8AAF6">
      <w:start w:val="1"/>
      <w:numFmt w:val="bullet"/>
      <w:lvlText w:val="•"/>
      <w:lvlJc w:val="left"/>
      <w:pPr>
        <w:ind w:left="720" w:hanging="360"/>
      </w:pPr>
    </w:lvl>
    <w:lvl w:ilvl="1" w:tplc="27844D0C">
      <w:numFmt w:val="decimal"/>
      <w:lvlText w:val=""/>
      <w:lvlJc w:val="left"/>
    </w:lvl>
    <w:lvl w:ilvl="2" w:tplc="1406755E">
      <w:numFmt w:val="decimal"/>
      <w:lvlText w:val=""/>
      <w:lvlJc w:val="left"/>
    </w:lvl>
    <w:lvl w:ilvl="3" w:tplc="FBFA6046">
      <w:numFmt w:val="decimal"/>
      <w:lvlText w:val=""/>
      <w:lvlJc w:val="left"/>
    </w:lvl>
    <w:lvl w:ilvl="4" w:tplc="F028F00E">
      <w:numFmt w:val="decimal"/>
      <w:lvlText w:val=""/>
      <w:lvlJc w:val="left"/>
    </w:lvl>
    <w:lvl w:ilvl="5" w:tplc="F814DF9E">
      <w:numFmt w:val="decimal"/>
      <w:lvlText w:val=""/>
      <w:lvlJc w:val="left"/>
    </w:lvl>
    <w:lvl w:ilvl="6" w:tplc="480E8D26">
      <w:numFmt w:val="decimal"/>
      <w:lvlText w:val=""/>
      <w:lvlJc w:val="left"/>
    </w:lvl>
    <w:lvl w:ilvl="7" w:tplc="502073C0">
      <w:numFmt w:val="decimal"/>
      <w:lvlText w:val=""/>
      <w:lvlJc w:val="left"/>
    </w:lvl>
    <w:lvl w:ilvl="8" w:tplc="F22E89E6">
      <w:numFmt w:val="decimal"/>
      <w:lvlText w:val=""/>
      <w:lvlJc w:val="left"/>
    </w:lvl>
  </w:abstractNum>
  <w:abstractNum w:abstractNumId="6" w15:restartNumberingAfterBreak="0">
    <w:nsid w:val="72684042"/>
    <w:multiLevelType w:val="hybridMultilevel"/>
    <w:tmpl w:val="3B42D1F0"/>
    <w:lvl w:ilvl="0" w:tplc="A1ACB7B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num>
  <w:num w:numId="2">
    <w:abstractNumId w:val="1"/>
  </w:num>
  <w:num w:numId="3">
    <w:abstractNumId w:val="6"/>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8A1"/>
    <w:rsid w:val="00011BC3"/>
    <w:rsid w:val="00034040"/>
    <w:rsid w:val="0004183B"/>
    <w:rsid w:val="000703CE"/>
    <w:rsid w:val="000952FD"/>
    <w:rsid w:val="000F30D3"/>
    <w:rsid w:val="00112958"/>
    <w:rsid w:val="00113A4C"/>
    <w:rsid w:val="00135EA5"/>
    <w:rsid w:val="001F3565"/>
    <w:rsid w:val="00254C50"/>
    <w:rsid w:val="0028031E"/>
    <w:rsid w:val="00281DF8"/>
    <w:rsid w:val="00284783"/>
    <w:rsid w:val="002A0E31"/>
    <w:rsid w:val="002C0D61"/>
    <w:rsid w:val="0035379B"/>
    <w:rsid w:val="00374A8B"/>
    <w:rsid w:val="003C0826"/>
    <w:rsid w:val="004857E9"/>
    <w:rsid w:val="004F2E63"/>
    <w:rsid w:val="0051158A"/>
    <w:rsid w:val="005629D7"/>
    <w:rsid w:val="00572048"/>
    <w:rsid w:val="005B5734"/>
    <w:rsid w:val="006213E6"/>
    <w:rsid w:val="00624C20"/>
    <w:rsid w:val="006261D9"/>
    <w:rsid w:val="00655366"/>
    <w:rsid w:val="00680EB6"/>
    <w:rsid w:val="00784764"/>
    <w:rsid w:val="007C271D"/>
    <w:rsid w:val="008308E2"/>
    <w:rsid w:val="00860442"/>
    <w:rsid w:val="0087724A"/>
    <w:rsid w:val="008B78B0"/>
    <w:rsid w:val="008C23C3"/>
    <w:rsid w:val="008D694F"/>
    <w:rsid w:val="009568BB"/>
    <w:rsid w:val="00967767"/>
    <w:rsid w:val="00975787"/>
    <w:rsid w:val="00A849D5"/>
    <w:rsid w:val="00A91629"/>
    <w:rsid w:val="00AC5337"/>
    <w:rsid w:val="00AD1FAF"/>
    <w:rsid w:val="00B40239"/>
    <w:rsid w:val="00C02B21"/>
    <w:rsid w:val="00C10C3C"/>
    <w:rsid w:val="00C41D1E"/>
    <w:rsid w:val="00C728A1"/>
    <w:rsid w:val="00CB481D"/>
    <w:rsid w:val="00CB54CD"/>
    <w:rsid w:val="00CC686B"/>
    <w:rsid w:val="00CD44FB"/>
    <w:rsid w:val="00CE3A7E"/>
    <w:rsid w:val="00D36FCE"/>
    <w:rsid w:val="00D95469"/>
    <w:rsid w:val="00E76A7F"/>
    <w:rsid w:val="00EB684C"/>
    <w:rsid w:val="00EE0F76"/>
    <w:rsid w:val="00F11048"/>
    <w:rsid w:val="00F20497"/>
    <w:rsid w:val="00F351F4"/>
    <w:rsid w:val="00F44BD8"/>
    <w:rsid w:val="00F71438"/>
    <w:rsid w:val="00F826C0"/>
    <w:rsid w:val="00F83565"/>
    <w:rsid w:val="00F83C9F"/>
    <w:rsid w:val="00FC74FB"/>
    <w:rsid w:val="00FC7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C18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00000"/>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utoRedefine/>
    <w:uiPriority w:val="9"/>
    <w:qFormat/>
    <w:rsid w:val="002A0E31"/>
    <w:pPr>
      <w:numPr>
        <w:numId w:val="6"/>
      </w:numPr>
      <w:spacing w:line="360" w:lineRule="auto"/>
      <w:jc w:val="both"/>
      <w:outlineLvl w:val="0"/>
    </w:pPr>
    <w:rPr>
      <w:b/>
      <w:bCs/>
      <w:color w:val="1F3864" w:themeColor="accent1" w:themeShade="80"/>
      <w:sz w:val="24"/>
      <w:szCs w:val="24"/>
    </w:rPr>
  </w:style>
  <w:style w:type="paragraph" w:styleId="Heading2">
    <w:name w:val="heading 2"/>
    <w:autoRedefine/>
    <w:uiPriority w:val="9"/>
    <w:unhideWhenUsed/>
    <w:qFormat/>
    <w:rsid w:val="000F30D3"/>
    <w:pPr>
      <w:numPr>
        <w:ilvl w:val="1"/>
        <w:numId w:val="6"/>
      </w:numPr>
      <w:spacing w:line="360" w:lineRule="auto"/>
      <w:jc w:val="both"/>
      <w:outlineLvl w:val="1"/>
    </w:pPr>
    <w:rPr>
      <w:b/>
      <w:bCs/>
      <w:color w:val="2E5DA8"/>
      <w:sz w:val="24"/>
      <w:szCs w:val="24"/>
    </w:rPr>
  </w:style>
  <w:style w:type="paragraph" w:styleId="Heading3">
    <w:name w:val="heading 3"/>
    <w:uiPriority w:val="9"/>
    <w:unhideWhenUsed/>
    <w:qFormat/>
    <w:pPr>
      <w:numPr>
        <w:ilvl w:val="2"/>
        <w:numId w:val="6"/>
      </w:numPr>
      <w:spacing w:before="200" w:after="60"/>
      <w:outlineLvl w:val="2"/>
    </w:pPr>
    <w:rPr>
      <w:b/>
      <w:bCs/>
      <w:color w:val="C00000"/>
    </w:rPr>
  </w:style>
  <w:style w:type="paragraph" w:styleId="Heading4">
    <w:name w:val="heading 4"/>
    <w:uiPriority w:val="9"/>
    <w:semiHidden/>
    <w:unhideWhenUsed/>
    <w:qFormat/>
    <w:pPr>
      <w:numPr>
        <w:ilvl w:val="3"/>
        <w:numId w:val="6"/>
      </w:numPr>
      <w:outlineLvl w:val="3"/>
    </w:pPr>
    <w:rPr>
      <w:i/>
      <w:iCs/>
      <w:color w:val="2E74B5"/>
    </w:rPr>
  </w:style>
  <w:style w:type="paragraph" w:styleId="Heading5">
    <w:name w:val="heading 5"/>
    <w:uiPriority w:val="9"/>
    <w:semiHidden/>
    <w:unhideWhenUsed/>
    <w:qFormat/>
    <w:pPr>
      <w:numPr>
        <w:ilvl w:val="4"/>
        <w:numId w:val="6"/>
      </w:numPr>
      <w:outlineLvl w:val="4"/>
    </w:pPr>
    <w:rPr>
      <w:color w:val="2E74B5"/>
    </w:rPr>
  </w:style>
  <w:style w:type="paragraph" w:styleId="Heading6">
    <w:name w:val="heading 6"/>
    <w:uiPriority w:val="9"/>
    <w:semiHidden/>
    <w:unhideWhenUsed/>
    <w:qFormat/>
    <w:pPr>
      <w:numPr>
        <w:ilvl w:val="5"/>
        <w:numId w:val="6"/>
      </w:numPr>
      <w:outlineLvl w:val="5"/>
    </w:pPr>
    <w:rPr>
      <w:color w:val="1F4D78"/>
    </w:rPr>
  </w:style>
  <w:style w:type="paragraph" w:styleId="Heading7">
    <w:name w:val="heading 7"/>
    <w:basedOn w:val="Normal"/>
    <w:next w:val="Normal"/>
    <w:link w:val="Heading7Char"/>
    <w:uiPriority w:val="9"/>
    <w:semiHidden/>
    <w:unhideWhenUsed/>
    <w:qFormat/>
    <w:rsid w:val="00D36FCE"/>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36FCE"/>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36FCE"/>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autoRedefine/>
    <w:uiPriority w:val="10"/>
    <w:qFormat/>
    <w:rsid w:val="00AC5337"/>
    <w:rPr>
      <w:sz w:val="3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F71438"/>
    <w:rPr>
      <w:color w:val="605E5C"/>
      <w:shd w:val="clear" w:color="auto" w:fill="E1DFDD"/>
    </w:rPr>
  </w:style>
  <w:style w:type="paragraph" w:styleId="Header">
    <w:name w:val="header"/>
    <w:basedOn w:val="Normal"/>
    <w:link w:val="HeaderChar"/>
    <w:uiPriority w:val="99"/>
    <w:unhideWhenUsed/>
    <w:rsid w:val="00C02B21"/>
    <w:pPr>
      <w:tabs>
        <w:tab w:val="center" w:pos="4680"/>
        <w:tab w:val="right" w:pos="9360"/>
      </w:tabs>
    </w:pPr>
  </w:style>
  <w:style w:type="character" w:customStyle="1" w:styleId="HeaderChar">
    <w:name w:val="Header Char"/>
    <w:basedOn w:val="DefaultParagraphFont"/>
    <w:link w:val="Header"/>
    <w:uiPriority w:val="99"/>
    <w:rsid w:val="00C02B21"/>
  </w:style>
  <w:style w:type="paragraph" w:styleId="Footer">
    <w:name w:val="footer"/>
    <w:basedOn w:val="Normal"/>
    <w:link w:val="FooterChar"/>
    <w:uiPriority w:val="99"/>
    <w:unhideWhenUsed/>
    <w:rsid w:val="00C02B21"/>
    <w:pPr>
      <w:tabs>
        <w:tab w:val="center" w:pos="4680"/>
        <w:tab w:val="right" w:pos="9360"/>
      </w:tabs>
    </w:pPr>
  </w:style>
  <w:style w:type="character" w:customStyle="1" w:styleId="FooterChar">
    <w:name w:val="Footer Char"/>
    <w:basedOn w:val="DefaultParagraphFont"/>
    <w:link w:val="Footer"/>
    <w:uiPriority w:val="99"/>
    <w:rsid w:val="00C02B21"/>
  </w:style>
  <w:style w:type="paragraph" w:styleId="Caption">
    <w:name w:val="caption"/>
    <w:basedOn w:val="Normal"/>
    <w:next w:val="Normal"/>
    <w:uiPriority w:val="35"/>
    <w:unhideWhenUsed/>
    <w:qFormat/>
    <w:rsid w:val="0035379B"/>
    <w:pPr>
      <w:spacing w:after="200"/>
    </w:pPr>
    <w:rPr>
      <w:i/>
      <w:iCs/>
      <w:color w:val="44546A" w:themeColor="text2"/>
      <w:sz w:val="18"/>
      <w:szCs w:val="18"/>
    </w:rPr>
  </w:style>
  <w:style w:type="character" w:customStyle="1" w:styleId="Heading7Char">
    <w:name w:val="Heading 7 Char"/>
    <w:basedOn w:val="DefaultParagraphFont"/>
    <w:link w:val="Heading7"/>
    <w:uiPriority w:val="9"/>
    <w:semiHidden/>
    <w:rsid w:val="00D36FC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36FC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36FCE"/>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572048"/>
    <w:pPr>
      <w:keepNext/>
      <w:keepLines/>
      <w:numPr>
        <w:numId w:val="0"/>
      </w:numPr>
      <w:spacing w:before="24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572048"/>
    <w:pPr>
      <w:spacing w:after="100"/>
    </w:pPr>
  </w:style>
  <w:style w:type="paragraph" w:styleId="TOC2">
    <w:name w:val="toc 2"/>
    <w:basedOn w:val="Normal"/>
    <w:next w:val="Normal"/>
    <w:autoRedefine/>
    <w:uiPriority w:val="39"/>
    <w:unhideWhenUsed/>
    <w:rsid w:val="00572048"/>
    <w:pPr>
      <w:spacing w:after="100"/>
      <w:ind w:left="220"/>
    </w:pPr>
  </w:style>
  <w:style w:type="table" w:styleId="TableGrid">
    <w:name w:val="Table Grid"/>
    <w:basedOn w:val="TableNormal"/>
    <w:uiPriority w:val="39"/>
    <w:rsid w:val="00B402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sor-pointer">
    <w:name w:val="cursor-pointer"/>
    <w:basedOn w:val="DefaultParagraphFont"/>
    <w:rsid w:val="00B40239"/>
  </w:style>
  <w:style w:type="character" w:customStyle="1" w:styleId="TitleChar">
    <w:name w:val="Title Char"/>
    <w:basedOn w:val="DefaultParagraphFont"/>
    <w:link w:val="Title"/>
    <w:uiPriority w:val="10"/>
    <w:rsid w:val="00A849D5"/>
    <w:rPr>
      <w:sz w:val="3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so.org/standard/65694.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0E9DF-A132-4E9F-B51A-CFE4E206C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7697</Words>
  <Characters>43877</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2026-04-27T09:30:00Z</dcterms:created>
  <dcterms:modified xsi:type="dcterms:W3CDTF">2026-04-27T09:33:00Z</dcterms:modified>
</cp:coreProperties>
</file>