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0F2" w:rsidRPr="00D008E4" w:rsidRDefault="003C20F2" w:rsidP="0000412A">
      <w:pPr>
        <w:spacing w:before="240"/>
        <w:rPr>
          <w:rFonts w:cs="Times New Roman"/>
          <w:szCs w:val="24"/>
        </w:rPr>
      </w:pPr>
      <w:r w:rsidRPr="00D008E4">
        <w:rPr>
          <w:rFonts w:cs="Times New Roman"/>
          <w:noProof/>
          <w:szCs w:val="24"/>
          <w:lang w:val="en-IN" w:eastAsia="en-IN"/>
        </w:rPr>
        <w:drawing>
          <wp:anchor distT="0" distB="0" distL="114300" distR="114300" simplePos="0" relativeHeight="251653632" behindDoc="0" locked="0" layoutInCell="1" allowOverlap="1">
            <wp:simplePos x="0" y="0"/>
            <wp:positionH relativeFrom="column">
              <wp:posOffset>1486958</wp:posOffset>
            </wp:positionH>
            <wp:positionV relativeFrom="paragraph">
              <wp:posOffset>115359</wp:posOffset>
            </wp:positionV>
            <wp:extent cx="2840438" cy="1132764"/>
            <wp:effectExtent l="0" t="0" r="0" b="0"/>
            <wp:wrapThrough wrapText="bothSides">
              <wp:wrapPolygon edited="0">
                <wp:start x="0" y="0"/>
                <wp:lineTo x="0" y="21079"/>
                <wp:lineTo x="21441" y="21079"/>
                <wp:lineTo x="21441" y="0"/>
                <wp:lineTo x="0" y="0"/>
              </wp:wrapPolygon>
            </wp:wrapThrough>
            <wp:docPr id="169330281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0438" cy="1132764"/>
                    </a:xfrm>
                    <a:prstGeom prst="rect">
                      <a:avLst/>
                    </a:prstGeom>
                    <a:noFill/>
                    <a:ln>
                      <a:noFill/>
                    </a:ln>
                  </pic:spPr>
                </pic:pic>
              </a:graphicData>
            </a:graphic>
          </wp:anchor>
        </w:drawing>
      </w:r>
    </w:p>
    <w:p w:rsidR="003C20F2" w:rsidRPr="00D008E4" w:rsidRDefault="003C20F2" w:rsidP="0000412A">
      <w:pPr>
        <w:jc w:val="left"/>
        <w:rPr>
          <w:rFonts w:cs="Times New Roman"/>
          <w:b/>
          <w:bCs/>
          <w:szCs w:val="24"/>
        </w:rPr>
      </w:pPr>
    </w:p>
    <w:p w:rsidR="003C20F2" w:rsidRPr="00D008E4" w:rsidRDefault="003C20F2" w:rsidP="0000412A">
      <w:pPr>
        <w:jc w:val="center"/>
        <w:rPr>
          <w:rFonts w:cs="Times New Roman"/>
          <w:b/>
          <w:bCs/>
          <w:szCs w:val="24"/>
        </w:rPr>
      </w:pPr>
    </w:p>
    <w:p w:rsidR="003C20F2" w:rsidRPr="00D008E4" w:rsidRDefault="003C20F2" w:rsidP="0000412A">
      <w:pPr>
        <w:jc w:val="center"/>
        <w:rPr>
          <w:rFonts w:cs="Times New Roman"/>
          <w:b/>
          <w:bCs/>
          <w:szCs w:val="24"/>
        </w:rPr>
      </w:pPr>
    </w:p>
    <w:p w:rsidR="003C20F2" w:rsidRPr="00D008E4" w:rsidRDefault="003C20F2" w:rsidP="0000412A">
      <w:pPr>
        <w:jc w:val="center"/>
        <w:rPr>
          <w:rFonts w:cs="Times New Roman"/>
          <w:b/>
          <w:bCs/>
          <w:szCs w:val="24"/>
        </w:rPr>
      </w:pPr>
    </w:p>
    <w:p w:rsidR="003C20F2" w:rsidRPr="00D008E4" w:rsidRDefault="003C20F2" w:rsidP="0000412A">
      <w:pPr>
        <w:jc w:val="center"/>
        <w:rPr>
          <w:rFonts w:cs="Times New Roman"/>
          <w:b/>
          <w:bCs/>
          <w:szCs w:val="24"/>
        </w:rPr>
      </w:pPr>
    </w:p>
    <w:p w:rsidR="003C20F2" w:rsidRPr="00D008E4" w:rsidRDefault="003C20F2" w:rsidP="0000412A">
      <w:pPr>
        <w:jc w:val="center"/>
        <w:rPr>
          <w:rFonts w:cs="Times New Roman"/>
          <w:b/>
          <w:bCs/>
          <w:szCs w:val="24"/>
        </w:rPr>
      </w:pPr>
      <w:proofErr w:type="spellStart"/>
      <w:r w:rsidRPr="00D008E4">
        <w:rPr>
          <w:rFonts w:cs="Times New Roman"/>
          <w:b/>
          <w:bCs/>
          <w:sz w:val="28"/>
          <w:szCs w:val="24"/>
        </w:rPr>
        <w:t>Programme</w:t>
      </w:r>
      <w:proofErr w:type="spellEnd"/>
      <w:r w:rsidRPr="00D008E4">
        <w:rPr>
          <w:rFonts w:cs="Times New Roman"/>
          <w:b/>
          <w:bCs/>
          <w:sz w:val="28"/>
          <w:szCs w:val="24"/>
        </w:rPr>
        <w:t xml:space="preserve">: </w:t>
      </w:r>
      <w:r w:rsidRPr="00D008E4">
        <w:rPr>
          <w:rFonts w:cs="Times New Roman"/>
          <w:szCs w:val="24"/>
        </w:rPr>
        <w:t>Master of Business Administration</w:t>
      </w:r>
    </w:p>
    <w:p w:rsidR="003C20F2" w:rsidRPr="00D008E4" w:rsidRDefault="003C20F2" w:rsidP="0000412A">
      <w:pPr>
        <w:jc w:val="center"/>
        <w:rPr>
          <w:rFonts w:cs="Times New Roman"/>
          <w:b/>
          <w:bCs/>
          <w:szCs w:val="24"/>
        </w:rPr>
      </w:pPr>
      <w:r w:rsidRPr="00D008E4">
        <w:rPr>
          <w:rFonts w:cs="Times New Roman"/>
          <w:b/>
          <w:bCs/>
          <w:sz w:val="28"/>
          <w:szCs w:val="24"/>
        </w:rPr>
        <w:t xml:space="preserve">Module: </w:t>
      </w:r>
      <w:r w:rsidRPr="00D008E4">
        <w:rPr>
          <w:rFonts w:cs="Times New Roman"/>
          <w:szCs w:val="24"/>
        </w:rPr>
        <w:t>Dissertation (LCMB7035)</w:t>
      </w:r>
    </w:p>
    <w:p w:rsidR="003C20F2" w:rsidRPr="00D008E4" w:rsidRDefault="003C20F2" w:rsidP="0000412A">
      <w:pPr>
        <w:spacing w:before="240"/>
        <w:jc w:val="center"/>
        <w:rPr>
          <w:rFonts w:cs="Times New Roman"/>
          <w:b/>
          <w:bCs/>
          <w:szCs w:val="24"/>
        </w:rPr>
      </w:pPr>
      <w:r w:rsidRPr="00D008E4">
        <w:rPr>
          <w:rFonts w:cs="Times New Roman"/>
          <w:b/>
          <w:bCs/>
          <w:sz w:val="28"/>
          <w:szCs w:val="24"/>
        </w:rPr>
        <w:t xml:space="preserve">Proposed Research Topic: </w:t>
      </w:r>
      <w:r w:rsidRPr="00D008E4">
        <w:rPr>
          <w:rFonts w:cs="Times New Roman"/>
          <w:bCs/>
          <w:szCs w:val="24"/>
        </w:rPr>
        <w:t>Consumer Purchase Intentions for Electric Vehicles in China: A Systematic Literature Review of Trust, Perceived Risk and Post-Subsidy Adoption Drivers</w:t>
      </w:r>
    </w:p>
    <w:p w:rsidR="003C20F2" w:rsidRPr="00D008E4" w:rsidRDefault="003C20F2" w:rsidP="0000412A">
      <w:pPr>
        <w:jc w:val="center"/>
        <w:rPr>
          <w:rFonts w:cs="Times New Roman"/>
          <w:b/>
          <w:bCs/>
          <w:szCs w:val="24"/>
        </w:rPr>
      </w:pPr>
      <w:r w:rsidRPr="00D008E4">
        <w:rPr>
          <w:rFonts w:cs="Times New Roman"/>
          <w:b/>
          <w:bCs/>
          <w:sz w:val="28"/>
          <w:szCs w:val="24"/>
        </w:rPr>
        <w:t>Student Name:</w:t>
      </w:r>
      <w:r w:rsidRPr="00D008E4">
        <w:rPr>
          <w:rFonts w:cs="Times New Roman"/>
          <w:sz w:val="28"/>
          <w:szCs w:val="24"/>
        </w:rPr>
        <w:t xml:space="preserve"> </w:t>
      </w:r>
      <w:r w:rsidRPr="00D008E4">
        <w:rPr>
          <w:rFonts w:cs="Times New Roman"/>
          <w:szCs w:val="24"/>
        </w:rPr>
        <w:t>Merlin Lawrence</w:t>
      </w:r>
    </w:p>
    <w:p w:rsidR="003C20F2" w:rsidRPr="00D008E4" w:rsidRDefault="003C20F2" w:rsidP="0000412A">
      <w:pPr>
        <w:jc w:val="center"/>
        <w:rPr>
          <w:rFonts w:cs="Times New Roman"/>
          <w:b/>
          <w:bCs/>
          <w:szCs w:val="24"/>
        </w:rPr>
      </w:pPr>
      <w:r w:rsidRPr="00D008E4">
        <w:rPr>
          <w:rFonts w:cs="Times New Roman"/>
          <w:b/>
          <w:bCs/>
          <w:sz w:val="28"/>
          <w:szCs w:val="24"/>
        </w:rPr>
        <w:t xml:space="preserve">Student Number: </w:t>
      </w:r>
      <w:r w:rsidRPr="00D008E4">
        <w:rPr>
          <w:rFonts w:cs="Times New Roman"/>
          <w:szCs w:val="24"/>
        </w:rPr>
        <w:t>2437597</w:t>
      </w:r>
    </w:p>
    <w:p w:rsidR="003C20F2" w:rsidRPr="00D008E4" w:rsidRDefault="003C20F2" w:rsidP="0000412A">
      <w:pPr>
        <w:jc w:val="center"/>
        <w:rPr>
          <w:rFonts w:cs="Times New Roman"/>
          <w:b/>
          <w:bCs/>
          <w:szCs w:val="24"/>
        </w:rPr>
      </w:pPr>
      <w:r w:rsidRPr="00D008E4">
        <w:rPr>
          <w:rFonts w:cs="Times New Roman"/>
          <w:b/>
          <w:bCs/>
          <w:sz w:val="28"/>
          <w:szCs w:val="24"/>
        </w:rPr>
        <w:t xml:space="preserve">Word Count: </w:t>
      </w:r>
      <w:r w:rsidRPr="00D008E4">
        <w:rPr>
          <w:rFonts w:cs="Times New Roman"/>
          <w:szCs w:val="24"/>
        </w:rPr>
        <w:t>15951</w:t>
      </w:r>
    </w:p>
    <w:p w:rsidR="003C20F2" w:rsidRPr="00D008E4" w:rsidRDefault="003C20F2" w:rsidP="0000412A">
      <w:pPr>
        <w:jc w:val="center"/>
        <w:rPr>
          <w:rFonts w:cs="Times New Roman"/>
          <w:szCs w:val="24"/>
        </w:rPr>
      </w:pPr>
      <w:r w:rsidRPr="00D008E4">
        <w:rPr>
          <w:rFonts w:cs="Times New Roman"/>
          <w:b/>
          <w:bCs/>
          <w:sz w:val="28"/>
          <w:szCs w:val="24"/>
        </w:rPr>
        <w:t xml:space="preserve">Submission Date: </w:t>
      </w:r>
      <w:r w:rsidRPr="00D008E4">
        <w:rPr>
          <w:rFonts w:cs="Times New Roman"/>
          <w:szCs w:val="24"/>
        </w:rPr>
        <w:t>28 August 2026</w:t>
      </w:r>
    </w:p>
    <w:p w:rsidR="003C20F2" w:rsidRPr="00D008E4" w:rsidRDefault="003C20F2" w:rsidP="0000412A">
      <w:pPr>
        <w:jc w:val="center"/>
        <w:rPr>
          <w:rFonts w:cs="Times New Roman"/>
          <w:b/>
          <w:bCs/>
          <w:szCs w:val="24"/>
        </w:rPr>
        <w:sectPr w:rsidR="003C20F2" w:rsidRPr="00D008E4" w:rsidSect="003C20F2">
          <w:pgSz w:w="11906" w:h="16838" w:code="9"/>
          <w:pgMar w:top="1365" w:right="1365" w:bottom="1365" w:left="1365" w:header="720" w:footer="720" w:gutter="0"/>
          <w:cols w:space="720"/>
          <w:docGrid w:linePitch="326"/>
        </w:sectPr>
      </w:pP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Declaration</w:t>
      </w:r>
    </w:p>
    <w:p w:rsidR="00EE72EF" w:rsidRPr="00D008E4" w:rsidRDefault="001A6DD9" w:rsidP="0000412A">
      <w:pPr>
        <w:rPr>
          <w:rFonts w:cs="Times New Roman"/>
          <w:szCs w:val="24"/>
        </w:rPr>
      </w:pPr>
      <w:r w:rsidRPr="00D008E4">
        <w:rPr>
          <w:rFonts w:cs="Times New Roman"/>
          <w:szCs w:val="24"/>
        </w:rPr>
        <w:t>I, Merlin Lawrence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rsidR="00EE72EF" w:rsidRPr="00D008E4" w:rsidRDefault="001A6DD9" w:rsidP="0000412A">
      <w:pPr>
        <w:rPr>
          <w:rFonts w:cs="Times New Roman"/>
          <w:szCs w:val="24"/>
        </w:rPr>
      </w:pPr>
      <w:r w:rsidRPr="00D008E4">
        <w:rPr>
          <w:rFonts w:cs="Times New Roman"/>
          <w:szCs w:val="24"/>
        </w:rPr>
        <w:t>Signature: ___</w:t>
      </w:r>
      <w:r w:rsidR="006311A8">
        <w:rPr>
          <w:rFonts w:cs="Times New Roman"/>
          <w:szCs w:val="24"/>
        </w:rPr>
        <w:t>Merlin Lawrence</w:t>
      </w:r>
      <w:r w:rsidRPr="00D008E4">
        <w:rPr>
          <w:rFonts w:cs="Times New Roman"/>
          <w:szCs w:val="24"/>
        </w:rPr>
        <w:t>_________________________________</w:t>
      </w:r>
    </w:p>
    <w:p w:rsidR="00EE72EF" w:rsidRPr="00D008E4" w:rsidRDefault="001A6DD9" w:rsidP="0000412A">
      <w:pPr>
        <w:rPr>
          <w:rFonts w:cs="Times New Roman"/>
          <w:szCs w:val="24"/>
        </w:rPr>
      </w:pPr>
      <w:r w:rsidRPr="00D008E4">
        <w:rPr>
          <w:rFonts w:cs="Times New Roman"/>
          <w:szCs w:val="24"/>
        </w:rPr>
        <w:t>Date: ___</w:t>
      </w:r>
      <w:r w:rsidR="006311A8">
        <w:rPr>
          <w:rFonts w:cs="Times New Roman"/>
          <w:szCs w:val="24"/>
        </w:rPr>
        <w:t>28/08/26</w:t>
      </w:r>
      <w:r w:rsidRPr="00D008E4">
        <w:rPr>
          <w:rFonts w:cs="Times New Roman"/>
          <w:szCs w:val="24"/>
        </w:rPr>
        <w:t>______________________________________</w:t>
      </w:r>
    </w:p>
    <w:p w:rsidR="003C20F2" w:rsidRPr="00D008E4" w:rsidRDefault="003C20F2" w:rsidP="0000412A">
      <w:pPr>
        <w:rPr>
          <w:rFonts w:cs="Times New Roman"/>
          <w:szCs w:val="24"/>
        </w:rPr>
      </w:pPr>
    </w:p>
    <w:p w:rsidR="003C20F2" w:rsidRPr="00D008E4" w:rsidRDefault="003C20F2" w:rsidP="0000412A">
      <w:pPr>
        <w:rPr>
          <w:rFonts w:cs="Times New Roman"/>
          <w:szCs w:val="24"/>
        </w:rPr>
      </w:pPr>
    </w:p>
    <w:p w:rsidR="00EE72EF" w:rsidRPr="00D008E4" w:rsidRDefault="001A6DD9" w:rsidP="0000412A">
      <w:pPr>
        <w:rPr>
          <w:rFonts w:cs="Times New Roman"/>
          <w:b/>
          <w:sz w:val="28"/>
          <w:szCs w:val="24"/>
        </w:rPr>
      </w:pPr>
      <w:r w:rsidRPr="00D008E4">
        <w:rPr>
          <w:rFonts w:cs="Times New Roman"/>
          <w:b/>
          <w:sz w:val="28"/>
          <w:szCs w:val="24"/>
        </w:rPr>
        <w:t>Acknowledgements</w:t>
      </w:r>
    </w:p>
    <w:p w:rsidR="00EE72EF" w:rsidRPr="00D008E4" w:rsidRDefault="001A6DD9" w:rsidP="0000412A">
      <w:pPr>
        <w:rPr>
          <w:rFonts w:cs="Times New Roman"/>
          <w:szCs w:val="24"/>
        </w:rPr>
      </w:pPr>
      <w:r w:rsidRPr="00D008E4">
        <w:rPr>
          <w:rFonts w:cs="Times New Roman"/>
          <w:szCs w:val="24"/>
        </w:rPr>
        <w:t>I would like to express my sincere gratitude to my supervisor for guidance and constructive feedback throughout this dissertation. I am also grateful to my family and friends for their patience, encouragement and support during my MBA studies. Finally, I acknowledge the researchers whose work forms the evidence base for this systematic literature review.</w:t>
      </w:r>
    </w:p>
    <w:p w:rsidR="00EE72EF" w:rsidRPr="00D008E4" w:rsidRDefault="001A6DD9" w:rsidP="0000412A">
      <w:pPr>
        <w:rPr>
          <w:rFonts w:cs="Times New Roman"/>
          <w:szCs w:val="24"/>
        </w:rPr>
      </w:pPr>
      <w:r w:rsidRPr="00D008E4">
        <w:rPr>
          <w:rFonts w:cs="Times New Roman"/>
          <w:szCs w:val="24"/>
        </w:rPr>
        <w:br w:type="page"/>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Abstract</w:t>
      </w:r>
    </w:p>
    <w:p w:rsidR="00EE72EF" w:rsidRPr="00D008E4" w:rsidRDefault="001A6DD9" w:rsidP="0000412A">
      <w:pPr>
        <w:rPr>
          <w:rFonts w:cs="Times New Roman"/>
          <w:szCs w:val="24"/>
        </w:rPr>
      </w:pPr>
      <w:r w:rsidRPr="00D008E4">
        <w:rPr>
          <w:rFonts w:cs="Times New Roman"/>
          <w:szCs w:val="24"/>
        </w:rPr>
        <w:t>This systematic literature review examines the factors shaping Chinese consumers' intentions to purchase electric vehicles (EVs), with particular attention to perceived risk, trust-related mechanisms and the shift from subsidy-led to more market-led adoption. A pragmatic, inductive review design was applied to a final 2014-2025 protocol, with PRISMA-informed reporting. Of 59 screened records, 40 were included in the core thematic synthesis, six were retained as supporting or provisional evidence</w:t>
      </w:r>
      <w:r w:rsidR="003C20F2" w:rsidRPr="00D008E4">
        <w:rPr>
          <w:rFonts w:cs="Times New Roman"/>
          <w:szCs w:val="24"/>
        </w:rPr>
        <w:t>,</w:t>
      </w:r>
      <w:r w:rsidRPr="00D008E4">
        <w:rPr>
          <w:rFonts w:cs="Times New Roman"/>
          <w:szCs w:val="24"/>
        </w:rPr>
        <w:t xml:space="preserve"> and 13 were excluded from the core evidence base. A CASP-informed cross-design appraisal and thematic synthesis identified seven overlapping domains: social influence; environmental and moral motivation; policy and incentives; knowledge, information and experience; charging and facilitating conditions; price and perceived value; and risk and uncertainty. Across the evidence, attitude, social influence, personal norms and perceived </w:t>
      </w:r>
      <w:proofErr w:type="spellStart"/>
      <w:r w:rsidRPr="00D008E4">
        <w:rPr>
          <w:rFonts w:cs="Times New Roman"/>
          <w:szCs w:val="24"/>
        </w:rPr>
        <w:t>behavioural</w:t>
      </w:r>
      <w:proofErr w:type="spellEnd"/>
      <w:r w:rsidRPr="00D008E4">
        <w:rPr>
          <w:rFonts w:cs="Times New Roman"/>
          <w:szCs w:val="24"/>
        </w:rPr>
        <w:t xml:space="preserve"> control emerge more consistently as proximal drivers of intention than any single market intervention. Financial support still matters, but its influence increasingly depends on convenience, value and confidence in the wider EV ecosystem. Trust is best understood as a mechanism for managing uncertainty - through brand credibility, experience, peers and institutions - rather than as a universally dominant direct predictor. The review develops a three-layer framework linking contextual conditions to psychological evaluation and purchase intention, with market maturity, geography and consumer experience shaping the strength of these relationships. The findings imply that manufacturers and policy makers should combine transparent ownership economics with credible product experience, dependable charging, peer evidence and targeted convenience measures.</w:t>
      </w:r>
    </w:p>
    <w:p w:rsidR="00EE72EF" w:rsidRPr="00D008E4" w:rsidRDefault="001A6DD9" w:rsidP="0000412A">
      <w:pPr>
        <w:rPr>
          <w:rFonts w:cs="Times New Roman"/>
          <w:szCs w:val="24"/>
        </w:rPr>
      </w:pPr>
      <w:r w:rsidRPr="00D008E4">
        <w:rPr>
          <w:rFonts w:cs="Times New Roman"/>
          <w:i/>
          <w:color w:val="000000"/>
          <w:szCs w:val="24"/>
        </w:rPr>
        <w:t>Keywords: electric vehicles; China; purchase intention; systematic literature review; trust; perceived risk; policy; consumer</w:t>
      </w:r>
      <w:r w:rsidRPr="00D008E4">
        <w:rPr>
          <w:rFonts w:cs="Times New Roman"/>
          <w:i/>
          <w:color w:val="000000"/>
          <w:szCs w:val="24"/>
          <w:lang w:val="en-GB"/>
        </w:rPr>
        <w:t xml:space="preserve"> behaviour</w:t>
      </w:r>
    </w:p>
    <w:p w:rsidR="00EE72EF" w:rsidRPr="00D008E4" w:rsidRDefault="001A6DD9" w:rsidP="0000412A">
      <w:pPr>
        <w:rPr>
          <w:rFonts w:cs="Times New Roman"/>
          <w:szCs w:val="24"/>
        </w:rPr>
      </w:pPr>
      <w:r w:rsidRPr="00D008E4">
        <w:rPr>
          <w:rFonts w:cs="Times New Roman"/>
          <w:szCs w:val="24"/>
        </w:rPr>
        <w:br w:type="page"/>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Table of Contents</w:t>
      </w:r>
    </w:p>
    <w:p w:rsidR="00EE72EF" w:rsidRPr="00D008E4" w:rsidRDefault="001A6DD9" w:rsidP="0000412A">
      <w:pPr>
        <w:tabs>
          <w:tab w:val="right" w:leader="dot" w:pos="8640"/>
        </w:tabs>
        <w:spacing w:after="40"/>
        <w:rPr>
          <w:rFonts w:cs="Times New Roman"/>
          <w:szCs w:val="24"/>
        </w:rPr>
      </w:pPr>
      <w:r w:rsidRPr="00D008E4">
        <w:rPr>
          <w:rFonts w:cs="Times New Roman"/>
          <w:szCs w:val="24"/>
        </w:rPr>
        <w:t>Chapter 1: Introduction</w:t>
      </w:r>
      <w:r w:rsidRPr="00D008E4">
        <w:rPr>
          <w:rFonts w:cs="Times New Roman"/>
          <w:szCs w:val="24"/>
        </w:rPr>
        <w:tab/>
        <w:t>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1.1 Background and problem statement</w:t>
      </w:r>
      <w:r w:rsidRPr="00D008E4">
        <w:rPr>
          <w:rFonts w:cs="Times New Roman"/>
          <w:szCs w:val="24"/>
        </w:rPr>
        <w:tab/>
        <w:t>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1.2 Research aim</w:t>
      </w:r>
      <w:r w:rsidRPr="00D008E4">
        <w:rPr>
          <w:rFonts w:cs="Times New Roman"/>
          <w:szCs w:val="24"/>
        </w:rPr>
        <w:tab/>
        <w:t>10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1.3 Research objectives</w:t>
      </w:r>
      <w:r w:rsidRPr="00D008E4">
        <w:rPr>
          <w:rFonts w:cs="Times New Roman"/>
          <w:szCs w:val="24"/>
        </w:rPr>
        <w:tab/>
        <w:t>10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1.4 Research questions</w:t>
      </w:r>
      <w:r w:rsidRPr="00D008E4">
        <w:rPr>
          <w:rFonts w:cs="Times New Roman"/>
          <w:szCs w:val="24"/>
        </w:rPr>
        <w:tab/>
        <w:t>10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1.5 Significance and relevance of the study</w:t>
      </w:r>
      <w:r w:rsidRPr="00D008E4">
        <w:rPr>
          <w:rFonts w:cs="Times New Roman"/>
          <w:szCs w:val="24"/>
        </w:rPr>
        <w:tab/>
        <w:t>11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1.6 Brief research methodology and review profile</w:t>
      </w:r>
      <w:r w:rsidRPr="00D008E4">
        <w:rPr>
          <w:rFonts w:cs="Times New Roman"/>
          <w:szCs w:val="24"/>
        </w:rPr>
        <w:tab/>
        <w:t>12</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1.7 Structure of the dissertation</w:t>
      </w:r>
      <w:r w:rsidRPr="00D008E4">
        <w:rPr>
          <w:rFonts w:cs="Times New Roman"/>
          <w:szCs w:val="24"/>
        </w:rPr>
        <w:tab/>
        <w:t>14</w:t>
      </w:r>
    </w:p>
    <w:p w:rsidR="00EE72EF" w:rsidRPr="00D008E4" w:rsidRDefault="001A6DD9" w:rsidP="0000412A">
      <w:pPr>
        <w:tabs>
          <w:tab w:val="right" w:leader="dot" w:pos="8640"/>
        </w:tabs>
        <w:spacing w:after="40"/>
        <w:rPr>
          <w:rFonts w:cs="Times New Roman"/>
          <w:szCs w:val="24"/>
        </w:rPr>
      </w:pPr>
      <w:r w:rsidRPr="00D008E4">
        <w:rPr>
          <w:rFonts w:cs="Times New Roman"/>
          <w:szCs w:val="24"/>
        </w:rPr>
        <w:t>Chapter 2: Literature Review</w:t>
      </w:r>
      <w:r w:rsidRPr="00D008E4">
        <w:rPr>
          <w:rFonts w:cs="Times New Roman"/>
          <w:szCs w:val="24"/>
        </w:rPr>
        <w:tab/>
        <w:t>15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2.1 Introduction</w:t>
      </w:r>
      <w:r w:rsidRPr="00D008E4">
        <w:rPr>
          <w:rFonts w:cs="Times New Roman"/>
          <w:szCs w:val="24"/>
        </w:rPr>
        <w:tab/>
        <w:t>15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2.2 Theoretical foundations of EV purchase intention</w:t>
      </w:r>
      <w:r w:rsidRPr="00D008E4">
        <w:rPr>
          <w:rFonts w:cs="Times New Roman"/>
          <w:szCs w:val="24"/>
        </w:rPr>
        <w:tab/>
        <w:t>15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2.3 Policy and the transition from subsidy-led adoption</w:t>
      </w:r>
      <w:r w:rsidRPr="00D008E4">
        <w:rPr>
          <w:rFonts w:cs="Times New Roman"/>
          <w:szCs w:val="24"/>
        </w:rPr>
        <w:tab/>
        <w:t>17</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2.4 Price, cost and perceived value</w:t>
      </w:r>
      <w:r w:rsidRPr="00D008E4">
        <w:rPr>
          <w:rFonts w:cs="Times New Roman"/>
          <w:szCs w:val="24"/>
        </w:rPr>
        <w:tab/>
        <w:t>17</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2.5 Perceived risk, trust and uncertainty reduction</w:t>
      </w:r>
      <w:r w:rsidRPr="00D008E4">
        <w:rPr>
          <w:rFonts w:cs="Times New Roman"/>
          <w:szCs w:val="24"/>
        </w:rPr>
        <w:tab/>
        <w:t>18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2.6 Environmental concern, moral norms and self-image</w:t>
      </w:r>
      <w:r w:rsidRPr="00D008E4">
        <w:rPr>
          <w:rFonts w:cs="Times New Roman"/>
          <w:szCs w:val="24"/>
        </w:rPr>
        <w:tab/>
        <w:t>18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2.7 Social influence, subjective norms and peer effects</w:t>
      </w:r>
      <w:r w:rsidRPr="00D008E4">
        <w:rPr>
          <w:rFonts w:cs="Times New Roman"/>
          <w:szCs w:val="24"/>
        </w:rPr>
        <w:tab/>
        <w:t>19</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2.8 Charging, range and facilitating conditions</w:t>
      </w:r>
      <w:r w:rsidRPr="00D008E4">
        <w:rPr>
          <w:rFonts w:cs="Times New Roman"/>
          <w:szCs w:val="24"/>
        </w:rPr>
        <w:tab/>
        <w:t>20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2.9 Knowledge, information and experience</w:t>
      </w:r>
      <w:r w:rsidRPr="00D008E4">
        <w:rPr>
          <w:rFonts w:cs="Times New Roman"/>
          <w:szCs w:val="24"/>
        </w:rPr>
        <w:tab/>
        <w:t>20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2.10 Preliminary conceptual framework</w:t>
      </w:r>
      <w:r w:rsidRPr="00D008E4">
        <w:rPr>
          <w:rFonts w:cs="Times New Roman"/>
          <w:szCs w:val="24"/>
        </w:rPr>
        <w:tab/>
        <w:t>21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2.11 Chapter conclusion</w:t>
      </w:r>
      <w:r w:rsidRPr="00D008E4">
        <w:rPr>
          <w:rFonts w:cs="Times New Roman"/>
          <w:szCs w:val="24"/>
        </w:rPr>
        <w:tab/>
        <w:t>22</w:t>
      </w:r>
    </w:p>
    <w:p w:rsidR="00EE72EF" w:rsidRPr="00D008E4" w:rsidRDefault="001A6DD9" w:rsidP="0000412A">
      <w:pPr>
        <w:tabs>
          <w:tab w:val="right" w:leader="dot" w:pos="8640"/>
        </w:tabs>
        <w:spacing w:after="40"/>
        <w:rPr>
          <w:rFonts w:cs="Times New Roman"/>
          <w:szCs w:val="24"/>
        </w:rPr>
      </w:pPr>
      <w:r w:rsidRPr="00D008E4">
        <w:rPr>
          <w:rFonts w:cs="Times New Roman"/>
          <w:szCs w:val="24"/>
        </w:rPr>
        <w:t>Chapter 3: Research Methodology</w:t>
      </w:r>
      <w:r w:rsidRPr="00D008E4">
        <w:rPr>
          <w:rFonts w:cs="Times New Roman"/>
          <w:szCs w:val="24"/>
        </w:rPr>
        <w:tab/>
        <w:t>23</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3.1 Introduction</w:t>
      </w:r>
      <w:r w:rsidRPr="00D008E4">
        <w:rPr>
          <w:rFonts w:cs="Times New Roman"/>
          <w:szCs w:val="24"/>
        </w:rPr>
        <w:tab/>
        <w:t>23</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3.2 Research philosophy</w:t>
      </w:r>
      <w:r w:rsidRPr="00D008E4">
        <w:rPr>
          <w:rFonts w:cs="Times New Roman"/>
          <w:szCs w:val="24"/>
        </w:rPr>
        <w:tab/>
        <w:t>23</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3.3 Research approach</w:t>
      </w:r>
      <w:r w:rsidRPr="00D008E4">
        <w:rPr>
          <w:rFonts w:cs="Times New Roman"/>
          <w:szCs w:val="24"/>
        </w:rPr>
        <w:tab/>
        <w:t>24</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3.4 Research design: systematic literature review</w:t>
      </w:r>
      <w:r w:rsidRPr="00D008E4">
        <w:rPr>
          <w:rFonts w:cs="Times New Roman"/>
          <w:szCs w:val="24"/>
        </w:rPr>
        <w:tab/>
        <w:t>24</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3.5 Search strategy and protocol development</w:t>
      </w:r>
      <w:r w:rsidRPr="00D008E4">
        <w:rPr>
          <w:rFonts w:cs="Times New Roman"/>
          <w:szCs w:val="24"/>
        </w:rPr>
        <w:tab/>
        <w:t>25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3.6 Inclusion and exclusion criteria</w:t>
      </w:r>
      <w:r w:rsidRPr="00D008E4">
        <w:rPr>
          <w:rFonts w:cs="Times New Roman"/>
          <w:szCs w:val="24"/>
        </w:rPr>
        <w:tab/>
        <w:t>25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3.7 Screening and PRISMA audit</w:t>
      </w:r>
      <w:r w:rsidRPr="00D008E4">
        <w:rPr>
          <w:rFonts w:cs="Times New Roman"/>
          <w:szCs w:val="24"/>
        </w:rPr>
        <w:tab/>
        <w:t>26</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3.8 Quality appraisal</w:t>
      </w:r>
      <w:r w:rsidRPr="00D008E4">
        <w:rPr>
          <w:rFonts w:cs="Times New Roman"/>
          <w:szCs w:val="24"/>
        </w:rPr>
        <w:tab/>
        <w:t>26</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3.9 Data extraction and thematic analysis</w:t>
      </w:r>
      <w:r w:rsidRPr="00D008E4">
        <w:rPr>
          <w:rFonts w:cs="Times New Roman"/>
          <w:szCs w:val="24"/>
        </w:rPr>
        <w:tab/>
        <w:t>27</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3.10</w:t>
      </w:r>
      <w:r w:rsidRPr="00D008E4">
        <w:rPr>
          <w:rFonts w:cs="Times New Roman"/>
          <w:szCs w:val="24"/>
          <w:lang w:val="en-GB"/>
        </w:rPr>
        <w:t xml:space="preserve"> Rigour</w:t>
      </w:r>
      <w:r w:rsidRPr="00D008E4">
        <w:rPr>
          <w:rFonts w:cs="Times New Roman"/>
          <w:szCs w:val="24"/>
        </w:rPr>
        <w:t>, reflexivity and synthesis logic</w:t>
      </w:r>
      <w:r w:rsidRPr="00D008E4">
        <w:rPr>
          <w:rFonts w:cs="Times New Roman"/>
          <w:szCs w:val="24"/>
        </w:rPr>
        <w:tab/>
        <w:t>28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lastRenderedPageBreak/>
        <w:t>3.11 Ethical considerations and methodological limitations</w:t>
      </w:r>
      <w:r w:rsidRPr="00D008E4">
        <w:rPr>
          <w:rFonts w:cs="Times New Roman"/>
          <w:szCs w:val="24"/>
        </w:rPr>
        <w:tab/>
        <w:t>29</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3.12 Chapter conclusion</w:t>
      </w:r>
      <w:r w:rsidRPr="00D008E4">
        <w:rPr>
          <w:rFonts w:cs="Times New Roman"/>
          <w:szCs w:val="24"/>
        </w:rPr>
        <w:tab/>
        <w:t>29</w:t>
      </w:r>
    </w:p>
    <w:p w:rsidR="00EE72EF" w:rsidRPr="00D008E4" w:rsidRDefault="001A6DD9" w:rsidP="0000412A">
      <w:pPr>
        <w:tabs>
          <w:tab w:val="right" w:leader="dot" w:pos="8640"/>
        </w:tabs>
        <w:spacing w:after="40"/>
        <w:rPr>
          <w:rFonts w:cs="Times New Roman"/>
          <w:szCs w:val="24"/>
        </w:rPr>
      </w:pPr>
      <w:r w:rsidRPr="00D008E4">
        <w:rPr>
          <w:rFonts w:cs="Times New Roman"/>
          <w:szCs w:val="24"/>
        </w:rPr>
        <w:t>Chapter 4: Findings, Analysis and Discussion</w:t>
      </w:r>
      <w:r w:rsidRPr="00D008E4">
        <w:rPr>
          <w:rFonts w:cs="Times New Roman"/>
          <w:szCs w:val="24"/>
        </w:rPr>
        <w:tab/>
        <w:t>30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 Introduction</w:t>
      </w:r>
      <w:r w:rsidRPr="00D008E4">
        <w:rPr>
          <w:rFonts w:cs="Times New Roman"/>
          <w:szCs w:val="24"/>
        </w:rPr>
        <w:tab/>
        <w:t>30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4.2 Profile of the core evidence base</w:t>
      </w:r>
      <w:r w:rsidRPr="00D008E4">
        <w:rPr>
          <w:rFonts w:cs="Times New Roman"/>
          <w:szCs w:val="24"/>
        </w:rPr>
        <w:tab/>
        <w:t>30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4.3 Theme 1: Social influence, subjective norms and social proof</w:t>
      </w:r>
      <w:r w:rsidRPr="00D008E4">
        <w:rPr>
          <w:rFonts w:cs="Times New Roman"/>
          <w:szCs w:val="24"/>
        </w:rPr>
        <w:tab/>
        <w:t>32</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4.4 Theme 2: Environmental concern, personal norms and moral value</w:t>
      </w:r>
      <w:r w:rsidRPr="00D008E4">
        <w:rPr>
          <w:rFonts w:cs="Times New Roman"/>
          <w:szCs w:val="24"/>
        </w:rPr>
        <w:tab/>
        <w:t>34</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4.5 Theme 3: Government policy, incentives and the post-subsidy transition</w:t>
      </w:r>
      <w:r w:rsidRPr="00D008E4">
        <w:rPr>
          <w:rFonts w:cs="Times New Roman"/>
          <w:szCs w:val="24"/>
        </w:rPr>
        <w:tab/>
        <w:t>36</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4.6 Theme 4: Knowledge, information and experience</w:t>
      </w:r>
      <w:r w:rsidRPr="00D008E4">
        <w:rPr>
          <w:rFonts w:cs="Times New Roman"/>
          <w:szCs w:val="24"/>
        </w:rPr>
        <w:tab/>
        <w:t>38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4.7 Theme 5: Charging, range and facilitating conditions</w:t>
      </w:r>
      <w:r w:rsidRPr="00D008E4">
        <w:rPr>
          <w:rFonts w:cs="Times New Roman"/>
          <w:szCs w:val="24"/>
        </w:rPr>
        <w:tab/>
        <w:t>40</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4.8 Theme 6: Price, economic value and benefit-sacrifice evaluation</w:t>
      </w:r>
      <w:r w:rsidRPr="00D008E4">
        <w:rPr>
          <w:rFonts w:cs="Times New Roman"/>
          <w:szCs w:val="24"/>
        </w:rPr>
        <w:tab/>
        <w:t>41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4.9 Theme 7: Perceived risk and uncertainty</w:t>
      </w:r>
      <w:r w:rsidRPr="00D008E4">
        <w:rPr>
          <w:rFonts w:cs="Times New Roman"/>
          <w:szCs w:val="24"/>
        </w:rPr>
        <w:tab/>
        <w:t>42</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4.10 Trust as an uncertainty-management mechanism</w:t>
      </w:r>
      <w:r w:rsidRPr="00D008E4">
        <w:rPr>
          <w:rFonts w:cs="Times New Roman"/>
          <w:szCs w:val="24"/>
        </w:rPr>
        <w:tab/>
        <w:t>43</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4.11 Temporal change: from early adoption to the post-subsidy majority</w:t>
      </w:r>
      <w:r w:rsidRPr="00D008E4">
        <w:rPr>
          <w:rFonts w:cs="Times New Roman"/>
          <w:szCs w:val="24"/>
        </w:rPr>
        <w:tab/>
        <w:t>44</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4.12 Geographic and consumer heterogeneity</w:t>
      </w:r>
      <w:r w:rsidRPr="00D008E4">
        <w:rPr>
          <w:rFonts w:cs="Times New Roman"/>
          <w:szCs w:val="24"/>
        </w:rPr>
        <w:tab/>
        <w:t>45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4.13 Integrated theoretical discussion</w:t>
      </w:r>
      <w:r w:rsidRPr="00D008E4">
        <w:rPr>
          <w:rFonts w:cs="Times New Roman"/>
          <w:szCs w:val="24"/>
        </w:rPr>
        <w:tab/>
        <w:t>46</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4.14 Answers to the research questions</w:t>
      </w:r>
      <w:r w:rsidRPr="00D008E4">
        <w:rPr>
          <w:rFonts w:cs="Times New Roman"/>
          <w:szCs w:val="24"/>
        </w:rPr>
        <w:tab/>
        <w:t>48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4.15 Revised conceptual framework</w:t>
      </w:r>
      <w:r w:rsidRPr="00D008E4">
        <w:rPr>
          <w:rFonts w:cs="Times New Roman"/>
          <w:szCs w:val="24"/>
        </w:rPr>
        <w:tab/>
        <w:t>48</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4.16 Chapter conclusion</w:t>
      </w:r>
      <w:r w:rsidRPr="00D008E4">
        <w:rPr>
          <w:rFonts w:cs="Times New Roman"/>
          <w:szCs w:val="24"/>
        </w:rPr>
        <w:tab/>
        <w:t>49</w:t>
      </w:r>
    </w:p>
    <w:p w:rsidR="00EE72EF" w:rsidRPr="00D008E4" w:rsidRDefault="001A6DD9" w:rsidP="0000412A">
      <w:pPr>
        <w:tabs>
          <w:tab w:val="right" w:leader="dot" w:pos="8640"/>
        </w:tabs>
        <w:spacing w:after="40"/>
        <w:rPr>
          <w:rFonts w:cs="Times New Roman"/>
          <w:szCs w:val="24"/>
        </w:rPr>
      </w:pPr>
      <w:r w:rsidRPr="00D008E4">
        <w:rPr>
          <w:rFonts w:cs="Times New Roman"/>
          <w:szCs w:val="24"/>
        </w:rPr>
        <w:t>Chapter 5: Conclusions and Recommendations</w:t>
      </w:r>
      <w:r w:rsidRPr="00D008E4">
        <w:rPr>
          <w:rFonts w:cs="Times New Roman"/>
          <w:szCs w:val="24"/>
        </w:rPr>
        <w:tab/>
        <w:t>51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5.1 Introduction</w:t>
      </w:r>
      <w:r w:rsidRPr="00D008E4">
        <w:rPr>
          <w:rFonts w:cs="Times New Roman"/>
          <w:szCs w:val="24"/>
        </w:rPr>
        <w:tab/>
        <w:t>51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5.2 Conclusions by research question</w:t>
      </w:r>
      <w:r w:rsidRPr="00D008E4">
        <w:rPr>
          <w:rFonts w:cs="Times New Roman"/>
          <w:szCs w:val="24"/>
        </w:rPr>
        <w:tab/>
        <w:t>51</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5.3 Theoretical contribution</w:t>
      </w:r>
      <w:r w:rsidRPr="00D008E4">
        <w:rPr>
          <w:rFonts w:cs="Times New Roman"/>
          <w:szCs w:val="24"/>
        </w:rPr>
        <w:tab/>
        <w:t>52</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5.4 Managerial recommendations</w:t>
      </w:r>
      <w:r w:rsidRPr="00D008E4">
        <w:rPr>
          <w:rFonts w:cs="Times New Roman"/>
          <w:szCs w:val="24"/>
        </w:rPr>
        <w:tab/>
        <w:t>53</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5.5 Policy recommendations</w:t>
      </w:r>
      <w:r w:rsidRPr="00D008E4">
        <w:rPr>
          <w:rFonts w:cs="Times New Roman"/>
          <w:szCs w:val="24"/>
        </w:rPr>
        <w:tab/>
        <w:t>54</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5.6 Limitations</w:t>
      </w:r>
      <w:r w:rsidRPr="00D008E4">
        <w:rPr>
          <w:rFonts w:cs="Times New Roman"/>
          <w:szCs w:val="24"/>
        </w:rPr>
        <w:tab/>
        <w:t>55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5.7 Recommendations for future research</w:t>
      </w:r>
      <w:r w:rsidRPr="00D008E4">
        <w:rPr>
          <w:rFonts w:cs="Times New Roman"/>
          <w:szCs w:val="24"/>
        </w:rPr>
        <w:tab/>
        <w:t>55</w:t>
      </w:r>
    </w:p>
    <w:p w:rsidR="00EE72EF" w:rsidRPr="00D008E4" w:rsidRDefault="001A6DD9" w:rsidP="0000412A">
      <w:pPr>
        <w:tabs>
          <w:tab w:val="right" w:leader="dot" w:pos="8640"/>
        </w:tabs>
        <w:spacing w:after="40"/>
        <w:ind w:left="346"/>
        <w:rPr>
          <w:rFonts w:cs="Times New Roman"/>
          <w:szCs w:val="24"/>
        </w:rPr>
      </w:pPr>
      <w:r w:rsidRPr="00D008E4">
        <w:rPr>
          <w:rFonts w:cs="Times New Roman"/>
          <w:szCs w:val="24"/>
        </w:rPr>
        <w:t>5.8 Final conclusion</w:t>
      </w:r>
      <w:r w:rsidRPr="00D008E4">
        <w:rPr>
          <w:rFonts w:cs="Times New Roman"/>
          <w:szCs w:val="24"/>
        </w:rPr>
        <w:tab/>
        <w:t>56</w:t>
      </w:r>
    </w:p>
    <w:p w:rsidR="00EE72EF" w:rsidRPr="00D008E4" w:rsidRDefault="001A6DD9" w:rsidP="0000412A">
      <w:pPr>
        <w:tabs>
          <w:tab w:val="right" w:leader="dot" w:pos="8640"/>
        </w:tabs>
        <w:spacing w:after="40"/>
        <w:rPr>
          <w:rFonts w:cs="Times New Roman"/>
          <w:szCs w:val="24"/>
        </w:rPr>
      </w:pPr>
      <w:r w:rsidRPr="00D008E4">
        <w:rPr>
          <w:rFonts w:cs="Times New Roman"/>
          <w:szCs w:val="24"/>
        </w:rPr>
        <w:t>References</w:t>
      </w:r>
      <w:r w:rsidRPr="00D008E4">
        <w:rPr>
          <w:rFonts w:cs="Times New Roman"/>
          <w:szCs w:val="24"/>
        </w:rPr>
        <w:tab/>
        <w:t>57</w:t>
      </w:r>
    </w:p>
    <w:p w:rsidR="00EE72EF" w:rsidRPr="00D008E4" w:rsidRDefault="001A6DD9" w:rsidP="0000412A">
      <w:pPr>
        <w:tabs>
          <w:tab w:val="right" w:leader="dot" w:pos="8640"/>
        </w:tabs>
        <w:spacing w:after="40"/>
        <w:rPr>
          <w:rFonts w:cs="Times New Roman"/>
          <w:szCs w:val="24"/>
        </w:rPr>
      </w:pPr>
      <w:r w:rsidRPr="00D008E4">
        <w:rPr>
          <w:rFonts w:cs="Times New Roman"/>
          <w:szCs w:val="24"/>
        </w:rPr>
        <w:t>Appendices</w:t>
      </w:r>
      <w:r w:rsidRPr="00D008E4">
        <w:rPr>
          <w:rFonts w:cs="Times New Roman"/>
          <w:szCs w:val="24"/>
        </w:rPr>
        <w:tab/>
        <w:t>61</w:t>
      </w:r>
    </w:p>
    <w:p w:rsidR="00461CB6" w:rsidRPr="00D008E4" w:rsidRDefault="00461CB6"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List of Figures</w:t>
      </w:r>
    </w:p>
    <w:p w:rsidR="00461CB6" w:rsidRPr="00D008E4" w:rsidRDefault="00461CB6" w:rsidP="0000412A">
      <w:pPr>
        <w:rPr>
          <w:rFonts w:cs="Times New Roman"/>
          <w:szCs w:val="24"/>
        </w:rPr>
      </w:pPr>
      <w:r w:rsidRPr="00D008E4">
        <w:rPr>
          <w:rFonts w:cs="Times New Roman"/>
          <w:szCs w:val="24"/>
        </w:rPr>
        <w:t>Figure 1.1. PRISMA-style review flow used in this dissertation</w:t>
      </w:r>
    </w:p>
    <w:p w:rsidR="00461CB6" w:rsidRPr="00D008E4" w:rsidRDefault="00461CB6" w:rsidP="0000412A">
      <w:pPr>
        <w:rPr>
          <w:rFonts w:cs="Times New Roman"/>
          <w:szCs w:val="24"/>
        </w:rPr>
      </w:pPr>
      <w:r w:rsidRPr="00D008E4">
        <w:rPr>
          <w:rFonts w:cs="Times New Roman"/>
          <w:szCs w:val="24"/>
        </w:rPr>
        <w:t>Figure 2.1. Preliminary integrated conceptual framework</w:t>
      </w:r>
    </w:p>
    <w:p w:rsidR="00461CB6" w:rsidRPr="00D008E4" w:rsidRDefault="00461CB6" w:rsidP="0000412A">
      <w:pPr>
        <w:rPr>
          <w:rFonts w:cs="Times New Roman"/>
          <w:szCs w:val="24"/>
        </w:rPr>
      </w:pPr>
      <w:r w:rsidRPr="00D008E4">
        <w:rPr>
          <w:rFonts w:cs="Times New Roman"/>
          <w:szCs w:val="24"/>
        </w:rPr>
        <w:t>Figure 4.1. Revised integrated framework for EV purchase intention in China</w:t>
      </w:r>
    </w:p>
    <w:p w:rsidR="00461CB6" w:rsidRPr="00D008E4" w:rsidRDefault="00461CB6" w:rsidP="0000412A">
      <w:pPr>
        <w:pStyle w:val="Heading1"/>
        <w:rPr>
          <w:rFonts w:ascii="Times New Roman" w:hAnsi="Times New Roman" w:cs="Times New Roman"/>
          <w:szCs w:val="24"/>
        </w:rPr>
      </w:pPr>
      <w:r w:rsidRPr="00D008E4">
        <w:rPr>
          <w:rFonts w:ascii="Times New Roman" w:hAnsi="Times New Roman" w:cs="Times New Roman"/>
          <w:szCs w:val="24"/>
        </w:rPr>
        <w:t>List of Tables</w:t>
      </w:r>
    </w:p>
    <w:p w:rsidR="00461CB6" w:rsidRPr="00D008E4" w:rsidRDefault="00461CB6" w:rsidP="0000412A">
      <w:pPr>
        <w:rPr>
          <w:rFonts w:cs="Times New Roman"/>
          <w:szCs w:val="24"/>
        </w:rPr>
      </w:pPr>
      <w:r w:rsidRPr="00D008E4">
        <w:rPr>
          <w:rFonts w:cs="Times New Roman"/>
          <w:szCs w:val="24"/>
        </w:rPr>
        <w:t>Table 4.1. Frequency and interpretation of core synthesis themes</w:t>
      </w:r>
    </w:p>
    <w:p w:rsidR="00461CB6" w:rsidRPr="00D008E4" w:rsidRDefault="00461CB6" w:rsidP="0000412A">
      <w:pPr>
        <w:rPr>
          <w:rFonts w:cs="Times New Roman"/>
          <w:szCs w:val="24"/>
        </w:rPr>
      </w:pPr>
      <w:r w:rsidRPr="00D008E4">
        <w:rPr>
          <w:rFonts w:cs="Times New Roman"/>
          <w:szCs w:val="24"/>
        </w:rPr>
        <w:t>Appendix Table A1. Core evidence matrix</w:t>
      </w:r>
    </w:p>
    <w:p w:rsidR="00461CB6" w:rsidRPr="00D008E4" w:rsidRDefault="00461CB6" w:rsidP="0000412A">
      <w:pPr>
        <w:rPr>
          <w:rFonts w:cs="Times New Roman"/>
          <w:szCs w:val="24"/>
        </w:rPr>
      </w:pPr>
      <w:r w:rsidRPr="00D008E4">
        <w:rPr>
          <w:rFonts w:cs="Times New Roman"/>
          <w:szCs w:val="24"/>
        </w:rPr>
        <w:t>Appendix Table B1. Supporting and excluded study audit</w:t>
      </w:r>
    </w:p>
    <w:p w:rsidR="00461CB6" w:rsidRPr="00D008E4" w:rsidRDefault="00461CB6" w:rsidP="0000412A">
      <w:pPr>
        <w:rPr>
          <w:rFonts w:cs="Times New Roman"/>
          <w:szCs w:val="24"/>
        </w:rPr>
      </w:pPr>
      <w:r w:rsidRPr="00D008E4">
        <w:rPr>
          <w:rFonts w:cs="Times New Roman"/>
          <w:szCs w:val="24"/>
        </w:rPr>
        <w:t>Appendix Table C1. CASP-informed cross-design quality appraisal of core studies</w:t>
      </w:r>
    </w:p>
    <w:p w:rsidR="00EE72EF" w:rsidRPr="00D008E4" w:rsidRDefault="001A6DD9" w:rsidP="0000412A">
      <w:pPr>
        <w:rPr>
          <w:rFonts w:cs="Times New Roman"/>
          <w:szCs w:val="24"/>
        </w:rPr>
      </w:pPr>
      <w:r w:rsidRPr="00D008E4">
        <w:rPr>
          <w:rFonts w:cs="Times New Roman"/>
          <w:szCs w:val="24"/>
        </w:rPr>
        <w:br w:type="page"/>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Chapter 1: Introduction</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1.1 Background and Problem S</w:t>
      </w:r>
      <w:r w:rsidR="001A6DD9" w:rsidRPr="00D008E4">
        <w:rPr>
          <w:rFonts w:ascii="Times New Roman" w:hAnsi="Times New Roman" w:cs="Times New Roman"/>
          <w:sz w:val="28"/>
          <w:szCs w:val="24"/>
        </w:rPr>
        <w:t>tatement</w:t>
      </w:r>
    </w:p>
    <w:p w:rsidR="00EE72EF" w:rsidRPr="00D008E4" w:rsidRDefault="001A6DD9" w:rsidP="0000412A">
      <w:pPr>
        <w:rPr>
          <w:rFonts w:cs="Times New Roman"/>
          <w:szCs w:val="24"/>
        </w:rPr>
      </w:pPr>
      <w:r w:rsidRPr="00D008E4">
        <w:rPr>
          <w:rFonts w:cs="Times New Roman"/>
          <w:szCs w:val="24"/>
        </w:rPr>
        <w:t>Electric mobility has moved from a niche transport technology to a central part of automotive strategy and environmental policy. The transition is especially important in China, where new energy vehicle (NEV) development has been shaped by industrial policy, purchase incentives,</w:t>
      </w:r>
      <w:r w:rsidRPr="00D008E4">
        <w:rPr>
          <w:rFonts w:cs="Times New Roman"/>
          <w:szCs w:val="24"/>
          <w:lang w:val="en-GB"/>
        </w:rPr>
        <w:t xml:space="preserve"> licence</w:t>
      </w:r>
      <w:r w:rsidRPr="00D008E4">
        <w:rPr>
          <w:rFonts w:cs="Times New Roman"/>
          <w:szCs w:val="24"/>
        </w:rPr>
        <w:t>-plate privileges, infrastructure investment and the rapid growth of domestic manufacturers. Yet strong market growth does not mean that the consumer decision has become simple. As EVs move from early adoption towards mass-market use, the basis of choice is likely to change. Consumers entering a mature market may be less attracted by novelty or policy generosity and more concerned with price, everyday convenience, reliability, brand reputation, social proof and the uncertainties attached to long-term ownership.</w:t>
      </w:r>
    </w:p>
    <w:p w:rsidR="00EE72EF" w:rsidRPr="00D008E4" w:rsidRDefault="001A6DD9" w:rsidP="0000412A">
      <w:pPr>
        <w:rPr>
          <w:rFonts w:cs="Times New Roman"/>
          <w:szCs w:val="24"/>
        </w:rPr>
      </w:pPr>
      <w:r w:rsidRPr="00D008E4">
        <w:rPr>
          <w:rFonts w:cs="Times New Roman"/>
          <w:szCs w:val="24"/>
        </w:rPr>
        <w:t>Against this background, the study examines consumer purchase intentions towards EVs in China through a systematic literature review (SLR). The focus is</w:t>
      </w:r>
      <w:r w:rsidRPr="00D008E4">
        <w:rPr>
          <w:rFonts w:cs="Times New Roman"/>
          <w:szCs w:val="24"/>
          <w:lang w:val="en-GB"/>
        </w:rPr>
        <w:t xml:space="preserve"> behavioural</w:t>
      </w:r>
      <w:r w:rsidRPr="00D008E4">
        <w:rPr>
          <w:rFonts w:cs="Times New Roman"/>
          <w:szCs w:val="24"/>
        </w:rPr>
        <w:t xml:space="preserve"> rather than technological: the question is why consumers intend to purchase, adopt or switch to an EV, not whether the technology performs well in engineering terms. The review therefore distinguishes direct evidence on purchase or adoption intention from adjacent outcomes such as willingness to pay, repurchase, satisfaction, battery recycling and fleet electrification. These outcomes sit at different points in the consumer journey; treating them as interchangeable would blur the review question and weaken the synthesis.</w:t>
      </w:r>
    </w:p>
    <w:p w:rsidR="00EE72EF" w:rsidRPr="00D008E4" w:rsidRDefault="001A6DD9" w:rsidP="0000412A">
      <w:pPr>
        <w:rPr>
          <w:rFonts w:cs="Times New Roman"/>
          <w:szCs w:val="24"/>
        </w:rPr>
      </w:pPr>
      <w:r w:rsidRPr="00D008E4">
        <w:rPr>
          <w:rFonts w:cs="Times New Roman"/>
          <w:szCs w:val="24"/>
        </w:rPr>
        <w:t>China is a particularly useful setting because policy conditions and consumer expectations have evolved at the same time. Earlier studies often examined adoption when subsidies and preferential policies reduced the private cost or inconvenience of EV ownership. More recent research reflects a market in which direct subsidy support has receded while product quality, charging access, brand confidence and peer influence have become more visible sources of competitive advantage. Shi and Lin (2024), comparing survey evidence from 2016 and 2022, found that network externalities became a strong positive influence even as perceptions of subsidy support weakened. Feng et al. (2025) likewise show that, among later-adopter consumers in post-subsidy Beijing, social influence, facilitating conditions and technological proficiency predict battery-electric-vehicle intention, whereas performance expectancy and environmental concern are no longer significant. Taken together, these findings make a purely policy-led account of Chinese EV adoption increasingly difficult to sustain.</w:t>
      </w:r>
    </w:p>
    <w:p w:rsidR="00EE72EF" w:rsidRPr="00D008E4" w:rsidRDefault="001A6DD9" w:rsidP="0000412A">
      <w:pPr>
        <w:rPr>
          <w:rFonts w:cs="Times New Roman"/>
          <w:szCs w:val="24"/>
        </w:rPr>
      </w:pPr>
      <w:r w:rsidRPr="00D008E4">
        <w:rPr>
          <w:rFonts w:cs="Times New Roman"/>
          <w:szCs w:val="24"/>
        </w:rPr>
        <w:t>The research base is also highly fragmented. Studies draw on the Theory of Planned</w:t>
      </w:r>
      <w:r w:rsidRPr="00D008E4">
        <w:rPr>
          <w:rFonts w:cs="Times New Roman"/>
          <w:szCs w:val="24"/>
          <w:lang w:val="en-GB"/>
        </w:rPr>
        <w:t xml:space="preserve"> Behaviour</w:t>
      </w:r>
      <w:r w:rsidRPr="00D008E4">
        <w:rPr>
          <w:rFonts w:cs="Times New Roman"/>
          <w:szCs w:val="24"/>
        </w:rPr>
        <w:t xml:space="preserve"> (TPB), Technology Acceptance Model (TAM), Norm Activation Model (NAM), Stimulus-Organism-Response (S-O-R), diffusion of innovation, consumption-value theories, institutional theory, push-pull-mooring models and bespoke brand or policy frameworks. They do not always measure the same outcome: </w:t>
      </w:r>
      <w:r w:rsidRPr="00D008E4">
        <w:rPr>
          <w:rFonts w:cs="Times New Roman"/>
          <w:szCs w:val="24"/>
        </w:rPr>
        <w:lastRenderedPageBreak/>
        <w:t>purchase intention, adoption intention, switching intention, willingness to pay, preference and, in some cases, actual or repeat purchase are used with varying degrees of equivalence. Methods are similarly diverse, ranging from SEM and PLS-SEM to discrete-choice models, best-worst scaling, regression, fsQCA and mixed methods. Without an explicit synthesis logic, this diversity can easily produce an article-by-article catalogue rather than a coherent explanation of consumer decision-making.</w:t>
      </w:r>
    </w:p>
    <w:p w:rsidR="00EE72EF" w:rsidRPr="00D008E4" w:rsidRDefault="001A6DD9" w:rsidP="0000412A">
      <w:pPr>
        <w:rPr>
          <w:rFonts w:cs="Times New Roman"/>
          <w:szCs w:val="24"/>
        </w:rPr>
      </w:pPr>
      <w:r w:rsidRPr="00D008E4">
        <w:rPr>
          <w:rFonts w:cs="Times New Roman"/>
          <w:szCs w:val="24"/>
        </w:rPr>
        <w:t>A further issue concerns the study's original emphasis on trust and perceived risk. The preliminary proposal expected technological, brand and institutional trust to reduce financial, functional, infrastructural and psychological risk and thereby increase purchase intention. The completed evidence base supports that logic only in qualified form. Yang, Tu and Jiang (2020) identify a strong pathway from brand trust through perceived benefit and attitude to purchase intention, while Jiang et al. (2021) show that brand identity and image interact with perceived risk in the NIO context. Knowledge and experience can also reduce uncertainty: Wang et al. (2018) find that knowledge lowers perceived risk, and Xu et al. (2020) report that driving experience reduces risk while improving relative advantage and ease of use. However, Zang, Qian and Jiang (2022) find no significant direct effects for perceived risk or range anxiety in their EV start-up setting. Trust and risk are therefore retained as important mechanisms, but not assumed to dominate the wider adoption process.</w:t>
      </w:r>
    </w:p>
    <w:p w:rsidR="00EE72EF" w:rsidRPr="00D008E4" w:rsidRDefault="001A6DD9" w:rsidP="0000412A">
      <w:pPr>
        <w:rPr>
          <w:rFonts w:cs="Times New Roman"/>
          <w:szCs w:val="24"/>
        </w:rPr>
      </w:pPr>
      <w:r w:rsidRPr="00D008E4">
        <w:rPr>
          <w:rFonts w:cs="Times New Roman"/>
          <w:szCs w:val="24"/>
        </w:rPr>
        <w:t>The central problem is one of integration. What does the China-specific evidence show when policy, economic value, perceived risk, social influence, environmental motivation, charging conditions, knowledge and trust-related mechanisms are considered together, while differences in period, place, sample and outcome are kept visible? The question matters theoretically because it tests whether familiar adoption models remain sufficient in a rapidly maturing market. It matters managerially because a strategy that appeals to an environmentally motivated early adopter may be poorly matched to a mainstream consumer concerned with charging convenience, resale uncertainty or brand credibility. It also matters for public policy, since an additional financial incentive may have less</w:t>
      </w:r>
      <w:r w:rsidRPr="00D008E4">
        <w:rPr>
          <w:rFonts w:cs="Times New Roman"/>
          <w:szCs w:val="24"/>
          <w:lang w:val="en-GB"/>
        </w:rPr>
        <w:t xml:space="preserve"> behavioural</w:t>
      </w:r>
      <w:r w:rsidRPr="00D008E4">
        <w:rPr>
          <w:rFonts w:cs="Times New Roman"/>
          <w:szCs w:val="24"/>
        </w:rPr>
        <w:t xml:space="preserve"> value than reliable infrastructure, credible information, stable standards or usage privileges when those are the constraints consumers actually face.</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1.2 Research A</w:t>
      </w:r>
      <w:r w:rsidR="001A6DD9" w:rsidRPr="00D008E4">
        <w:rPr>
          <w:rFonts w:ascii="Times New Roman" w:hAnsi="Times New Roman" w:cs="Times New Roman"/>
          <w:sz w:val="28"/>
          <w:szCs w:val="24"/>
        </w:rPr>
        <w:t>im</w:t>
      </w:r>
    </w:p>
    <w:p w:rsidR="00EE72EF" w:rsidRPr="00D008E4" w:rsidRDefault="001A6DD9" w:rsidP="0000412A">
      <w:pPr>
        <w:rPr>
          <w:rFonts w:cs="Times New Roman"/>
          <w:szCs w:val="24"/>
        </w:rPr>
      </w:pPr>
      <w:r w:rsidRPr="00D008E4">
        <w:rPr>
          <w:rFonts w:cs="Times New Roman"/>
          <w:szCs w:val="24"/>
        </w:rPr>
        <w:t>The aim of this dissertation is to critically</w:t>
      </w:r>
      <w:r w:rsidRPr="00D008E4">
        <w:rPr>
          <w:rFonts w:cs="Times New Roman"/>
          <w:szCs w:val="24"/>
          <w:lang w:val="en-GB"/>
        </w:rPr>
        <w:t xml:space="preserve"> synthesise</w:t>
      </w:r>
      <w:r w:rsidRPr="00D008E4">
        <w:rPr>
          <w:rFonts w:cs="Times New Roman"/>
          <w:szCs w:val="24"/>
        </w:rPr>
        <w:t xml:space="preserve"> empirical evidence on the determinants of consumer EV purchase intentions in China and to develop an integrated explanation of how psychological, social, economic, policy, infrastructural and trust/risk mechanisms interact as the market shifts from subsidy-led towards more market-led adoption.</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1.3 Research O</w:t>
      </w:r>
      <w:r w:rsidR="001A6DD9" w:rsidRPr="00D008E4">
        <w:rPr>
          <w:rFonts w:ascii="Times New Roman" w:hAnsi="Times New Roman" w:cs="Times New Roman"/>
          <w:sz w:val="28"/>
          <w:szCs w:val="24"/>
        </w:rPr>
        <w:t>bjectives</w:t>
      </w:r>
    </w:p>
    <w:p w:rsidR="00EE72EF" w:rsidRPr="00D008E4" w:rsidRDefault="001A6DD9" w:rsidP="0000412A">
      <w:pPr>
        <w:rPr>
          <w:rFonts w:cs="Times New Roman"/>
          <w:szCs w:val="24"/>
        </w:rPr>
      </w:pPr>
      <w:r w:rsidRPr="00D008E4">
        <w:rPr>
          <w:rFonts w:cs="Times New Roman"/>
          <w:color w:val="000000"/>
          <w:szCs w:val="24"/>
        </w:rPr>
        <w:t>The study pursues five objectives:</w:t>
      </w:r>
    </w:p>
    <w:p w:rsidR="00EE72EF" w:rsidRPr="00D008E4" w:rsidRDefault="001A6DD9" w:rsidP="0000412A">
      <w:pPr>
        <w:pStyle w:val="ListNumber"/>
        <w:rPr>
          <w:rFonts w:cs="Times New Roman"/>
          <w:szCs w:val="24"/>
        </w:rPr>
      </w:pPr>
      <w:r w:rsidRPr="00D008E4">
        <w:rPr>
          <w:rFonts w:cs="Times New Roman"/>
          <w:color w:val="000000"/>
          <w:szCs w:val="24"/>
        </w:rPr>
        <w:lastRenderedPageBreak/>
        <w:t>To identify and critically compare the principal determinants of EV purchase, adoption and closely related switching intentions among consumers in China.</w:t>
      </w:r>
    </w:p>
    <w:p w:rsidR="00EE72EF" w:rsidRPr="00D008E4" w:rsidRDefault="001A6DD9" w:rsidP="0000412A">
      <w:pPr>
        <w:pStyle w:val="ListNumber"/>
        <w:rPr>
          <w:rFonts w:cs="Times New Roman"/>
          <w:szCs w:val="24"/>
        </w:rPr>
      </w:pPr>
      <w:r w:rsidRPr="00D008E4">
        <w:rPr>
          <w:rFonts w:cs="Times New Roman"/>
          <w:color w:val="000000"/>
          <w:szCs w:val="24"/>
        </w:rPr>
        <w:t>To evaluate the role of perceived risk and trust-related mechanisms, including brand confidence, knowledge, experience, information quality and institutional or policy confidence.</w:t>
      </w:r>
    </w:p>
    <w:p w:rsidR="00EE72EF" w:rsidRPr="00D008E4" w:rsidRDefault="001A6DD9" w:rsidP="0000412A">
      <w:pPr>
        <w:pStyle w:val="ListNumber"/>
        <w:rPr>
          <w:rFonts w:cs="Times New Roman"/>
          <w:szCs w:val="24"/>
        </w:rPr>
      </w:pPr>
      <w:r w:rsidRPr="00D008E4">
        <w:rPr>
          <w:rFonts w:cs="Times New Roman"/>
          <w:color w:val="000000"/>
          <w:szCs w:val="24"/>
        </w:rPr>
        <w:t>To examine how policy incentives, price/value considerations, charging and facilitating conditions, social influence and environmental or moral motivations vary across time, place and adopter segment.</w:t>
      </w:r>
    </w:p>
    <w:p w:rsidR="00EE72EF" w:rsidRPr="00D008E4" w:rsidRDefault="001A6DD9" w:rsidP="0000412A">
      <w:pPr>
        <w:pStyle w:val="ListNumber"/>
        <w:rPr>
          <w:rFonts w:cs="Times New Roman"/>
          <w:szCs w:val="24"/>
        </w:rPr>
      </w:pPr>
      <w:r w:rsidRPr="00D008E4">
        <w:rPr>
          <w:rFonts w:cs="Times New Roman"/>
          <w:color w:val="000000"/>
          <w:szCs w:val="24"/>
        </w:rPr>
        <w:t>To assess the methodological and theoretical strengths and limitations of the China-focused evidence base using transparent systematic-review and quality-appraisal procedures.</w:t>
      </w:r>
    </w:p>
    <w:p w:rsidR="00EE72EF" w:rsidRPr="00D008E4" w:rsidRDefault="001A6DD9" w:rsidP="0000412A">
      <w:pPr>
        <w:pStyle w:val="ListNumber"/>
        <w:rPr>
          <w:rFonts w:cs="Times New Roman"/>
          <w:szCs w:val="24"/>
        </w:rPr>
      </w:pPr>
      <w:r w:rsidRPr="00D008E4">
        <w:rPr>
          <w:rFonts w:cs="Times New Roman"/>
          <w:color w:val="000000"/>
          <w:szCs w:val="24"/>
        </w:rPr>
        <w:t>To develop an integrated conceptual framework and practical recommendations for automotive managers and policy makers operating in China's post-subsidy EV market.</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1.4 Research Q</w:t>
      </w:r>
      <w:r w:rsidR="001A6DD9" w:rsidRPr="00D008E4">
        <w:rPr>
          <w:rFonts w:ascii="Times New Roman" w:hAnsi="Times New Roman" w:cs="Times New Roman"/>
          <w:sz w:val="28"/>
          <w:szCs w:val="24"/>
        </w:rPr>
        <w:t>uestions</w:t>
      </w:r>
    </w:p>
    <w:p w:rsidR="00EE72EF" w:rsidRPr="00D008E4" w:rsidRDefault="001A6DD9" w:rsidP="0000412A">
      <w:pPr>
        <w:rPr>
          <w:rFonts w:cs="Times New Roman"/>
          <w:szCs w:val="24"/>
        </w:rPr>
      </w:pPr>
      <w:r w:rsidRPr="00D008E4">
        <w:rPr>
          <w:rFonts w:cs="Times New Roman"/>
          <w:szCs w:val="24"/>
        </w:rPr>
        <w:t>Three research questions guide the final SLR. They are broader than those in the initial proposal because screening showed that trust and risk matter, but are neither measured frequently enough nor consistently enough to make every question conditional on them.</w:t>
      </w:r>
    </w:p>
    <w:p w:rsidR="00EE72EF" w:rsidRPr="00D008E4" w:rsidRDefault="001A6DD9" w:rsidP="0000412A">
      <w:pPr>
        <w:rPr>
          <w:rFonts w:cs="Times New Roman"/>
          <w:szCs w:val="24"/>
        </w:rPr>
      </w:pPr>
      <w:r w:rsidRPr="00D008E4">
        <w:rPr>
          <w:rFonts w:cs="Times New Roman"/>
          <w:b/>
          <w:color w:val="000000"/>
          <w:szCs w:val="24"/>
        </w:rPr>
        <w:t>RQ1:</w:t>
      </w:r>
      <w:r w:rsidRPr="00D008E4">
        <w:rPr>
          <w:rFonts w:cs="Times New Roman"/>
          <w:color w:val="000000"/>
          <w:szCs w:val="24"/>
        </w:rPr>
        <w:t xml:space="preserve"> What psychological, social, economic, policy, infrastructural and informational factors most consistently influence consumer EV purchase intentions in China?</w:t>
      </w:r>
    </w:p>
    <w:p w:rsidR="00EE72EF" w:rsidRPr="00D008E4" w:rsidRDefault="001A6DD9" w:rsidP="0000412A">
      <w:pPr>
        <w:rPr>
          <w:rFonts w:cs="Times New Roman"/>
          <w:szCs w:val="24"/>
        </w:rPr>
      </w:pPr>
      <w:r w:rsidRPr="00D008E4">
        <w:rPr>
          <w:rFonts w:cs="Times New Roman"/>
          <w:b/>
          <w:color w:val="000000"/>
          <w:szCs w:val="24"/>
        </w:rPr>
        <w:t>RQ2:</w:t>
      </w:r>
      <w:r w:rsidRPr="00D008E4">
        <w:rPr>
          <w:rFonts w:cs="Times New Roman"/>
          <w:color w:val="000000"/>
          <w:szCs w:val="24"/>
        </w:rPr>
        <w:t xml:space="preserve"> How do perceived risk and trust-related mechanisms shape EV purchase intentions, and what explains differences in their apparent importance across studies?</w:t>
      </w:r>
    </w:p>
    <w:p w:rsidR="00EE72EF" w:rsidRPr="00D008E4" w:rsidRDefault="001A6DD9" w:rsidP="0000412A">
      <w:pPr>
        <w:rPr>
          <w:rFonts w:cs="Times New Roman"/>
          <w:szCs w:val="24"/>
        </w:rPr>
      </w:pPr>
      <w:r w:rsidRPr="00D008E4">
        <w:rPr>
          <w:rFonts w:cs="Times New Roman"/>
          <w:b/>
          <w:color w:val="000000"/>
          <w:szCs w:val="24"/>
        </w:rPr>
        <w:t>RQ3:</w:t>
      </w:r>
      <w:r w:rsidRPr="00D008E4">
        <w:rPr>
          <w:rFonts w:cs="Times New Roman"/>
          <w:color w:val="000000"/>
          <w:szCs w:val="24"/>
        </w:rPr>
        <w:t xml:space="preserve"> How does the transition from subsidy-led early adoption towards a more market-led and mainstream EV market alter the relative importance of these determinants across consumer segments and geographic contexts in China?</w:t>
      </w:r>
    </w:p>
    <w:p w:rsidR="00EE72EF" w:rsidRPr="00D008E4" w:rsidRDefault="001A6DD9" w:rsidP="0000412A">
      <w:pPr>
        <w:rPr>
          <w:rFonts w:cs="Times New Roman"/>
          <w:szCs w:val="24"/>
        </w:rPr>
      </w:pPr>
      <w:r w:rsidRPr="00D008E4">
        <w:rPr>
          <w:rFonts w:cs="Times New Roman"/>
          <w:szCs w:val="24"/>
        </w:rPr>
        <w:t>This broader formulation allows contradictory and null findings to shape the argument rather than forcing heterogeneous studies into a framework fixed before screening. That is important for an SLR whose purpose is to test and refine, rather than simply confirm, the assumptions set out in the proposal.</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w:t>
      </w:r>
      <w:r w:rsidR="009B4DF6" w:rsidRPr="00D008E4">
        <w:rPr>
          <w:rFonts w:ascii="Times New Roman" w:hAnsi="Times New Roman" w:cs="Times New Roman"/>
          <w:sz w:val="28"/>
          <w:szCs w:val="24"/>
        </w:rPr>
        <w:t>5 Significance and Relevance of the S</w:t>
      </w:r>
      <w:r w:rsidRPr="00D008E4">
        <w:rPr>
          <w:rFonts w:ascii="Times New Roman" w:hAnsi="Times New Roman" w:cs="Times New Roman"/>
          <w:sz w:val="28"/>
          <w:szCs w:val="24"/>
        </w:rPr>
        <w:t>tudy</w:t>
      </w:r>
    </w:p>
    <w:p w:rsidR="00EE72EF" w:rsidRPr="00D008E4" w:rsidRDefault="001A6DD9" w:rsidP="0000412A">
      <w:pPr>
        <w:rPr>
          <w:rFonts w:cs="Times New Roman"/>
          <w:szCs w:val="24"/>
        </w:rPr>
      </w:pPr>
      <w:r w:rsidRPr="00D008E4">
        <w:rPr>
          <w:rFonts w:cs="Times New Roman"/>
          <w:szCs w:val="24"/>
        </w:rPr>
        <w:t>Academically, the review contributes first by bringing together China-specific evidence that is often separated by theoretical tradition. TPB studies</w:t>
      </w:r>
      <w:r w:rsidRPr="00D008E4">
        <w:rPr>
          <w:rFonts w:cs="Times New Roman"/>
          <w:szCs w:val="24"/>
          <w:lang w:val="en-GB"/>
        </w:rPr>
        <w:t xml:space="preserve"> emphasise</w:t>
      </w:r>
      <w:r w:rsidRPr="00D008E4">
        <w:rPr>
          <w:rFonts w:cs="Times New Roman"/>
          <w:szCs w:val="24"/>
        </w:rPr>
        <w:t xml:space="preserve"> attitude, subjective norm and perceived</w:t>
      </w:r>
      <w:r w:rsidRPr="00D008E4">
        <w:rPr>
          <w:rFonts w:cs="Times New Roman"/>
          <w:szCs w:val="24"/>
          <w:lang w:val="en-GB"/>
        </w:rPr>
        <w:t xml:space="preserve"> behavioural</w:t>
      </w:r>
      <w:r w:rsidRPr="00D008E4">
        <w:rPr>
          <w:rFonts w:cs="Times New Roman"/>
          <w:szCs w:val="24"/>
        </w:rPr>
        <w:t xml:space="preserve"> control (PBC); TAM research focuses on usefulness, ease of use and knowledge; policy studies examine incentives and privileges; and value-based work considers functional, emotional, social and green value. Treating these perspectives as competing explanations hides the extent to which they overlap. An integrated account can instead show, for example, how knowledge alters usefulness and </w:t>
      </w:r>
      <w:r w:rsidRPr="00D008E4">
        <w:rPr>
          <w:rFonts w:cs="Times New Roman"/>
          <w:szCs w:val="24"/>
        </w:rPr>
        <w:lastRenderedPageBreak/>
        <w:t>risk, how infrastructure changes perceived control, and how social influence affects both attitude and legitimacy.</w:t>
      </w:r>
    </w:p>
    <w:p w:rsidR="00EE72EF" w:rsidRPr="00D008E4" w:rsidRDefault="001A6DD9" w:rsidP="0000412A">
      <w:pPr>
        <w:rPr>
          <w:rFonts w:cs="Times New Roman"/>
          <w:szCs w:val="24"/>
        </w:rPr>
      </w:pPr>
      <w:r w:rsidRPr="00D008E4">
        <w:rPr>
          <w:rFonts w:cs="Times New Roman"/>
          <w:szCs w:val="24"/>
        </w:rPr>
        <w:t>Second, the review adds a temporal interpretation. Earlier evidence demonstrates that subsidies and policy acceptance can influence adoption, while newer studies increasingly separate financial incentives from convenience and information measures. Xue et al. (2023) find convenience policy stronger than financial policy, with psychosocial value mediating policy effects; Ehsan et al. (2024) report a stronger association for preferential than financial policies in Shanghai. The point is not that policy has ceased to matter. Rather, the behavioural route through which policy works appears to be changing as the market matures.</w:t>
      </w:r>
    </w:p>
    <w:p w:rsidR="00EE72EF" w:rsidRPr="00D008E4" w:rsidRDefault="001A6DD9" w:rsidP="0000412A">
      <w:pPr>
        <w:rPr>
          <w:rFonts w:cs="Times New Roman"/>
          <w:szCs w:val="24"/>
        </w:rPr>
      </w:pPr>
      <w:r w:rsidRPr="00D008E4">
        <w:rPr>
          <w:rFonts w:cs="Times New Roman"/>
          <w:szCs w:val="24"/>
        </w:rPr>
        <w:t>Third, the review tests the proposed trust-risk relationship against a broader body of evidence. The resulting picture is more nuanced: trust, experience and credible information can reduce uncertainty, but their effects are often transmitted through perceived benefit, attitude, usefulness or behavioural control. Risk is neither a universal direct barrier nor a construct that can be separated cleanly from consumers' wider assessment of value.</w:t>
      </w:r>
    </w:p>
    <w:p w:rsidR="00EE72EF" w:rsidRPr="00D008E4" w:rsidRDefault="001A6DD9" w:rsidP="0000412A">
      <w:pPr>
        <w:rPr>
          <w:rFonts w:cs="Times New Roman"/>
          <w:szCs w:val="24"/>
        </w:rPr>
      </w:pPr>
      <w:r w:rsidRPr="00D008E4">
        <w:rPr>
          <w:rFonts w:cs="Times New Roman"/>
          <w:szCs w:val="24"/>
        </w:rPr>
        <w:t>Fourth, the review gives greater weight to heterogeneity than a single national model would allow. City-level infrastructure, income, ownership experience, adopter stage and social context can change the importance of otherwise familiar variables. Yang and Chen (2021) report differences between Hangzhou and Linyi; Zhao et al. (2022) distinguish the concerns of potential buyers from owners in Shanghai; and He et al. (2022) identify different emotional mechanisms across income groups. It is therefore analytically unsafe to treat the 'Chinese consumer' as one homogeneous decision-maker.</w:t>
      </w:r>
    </w:p>
    <w:p w:rsidR="00EE72EF" w:rsidRPr="00D008E4" w:rsidRDefault="001A6DD9" w:rsidP="0000412A">
      <w:pPr>
        <w:rPr>
          <w:rFonts w:cs="Times New Roman"/>
          <w:szCs w:val="24"/>
        </w:rPr>
      </w:pPr>
      <w:r w:rsidRPr="00D008E4">
        <w:rPr>
          <w:rFonts w:cs="Times New Roman"/>
          <w:szCs w:val="24"/>
        </w:rPr>
        <w:t>The practical value of the synthesis follows from the same argument. Repeated evidence on social influence, brand reputation, trial experience, knowledge and perceived value suggests that acquisition strategy should extend beyond price discounting. For policy makers, the findings point towards interventions that make EV ownership easier to evaluate and use - dependable charging, credible information, policy stability and carefully targeted privileges - rather than relying on undifferentiated purchase subsidies alone.</w:t>
      </w:r>
    </w:p>
    <w:p w:rsidR="00EE72EF" w:rsidRPr="00D008E4" w:rsidRDefault="001E7A1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1.6 Brief Research methodology and Review p</w:t>
      </w:r>
      <w:r w:rsidR="001A6DD9" w:rsidRPr="00D008E4">
        <w:rPr>
          <w:rFonts w:ascii="Times New Roman" w:hAnsi="Times New Roman" w:cs="Times New Roman"/>
          <w:sz w:val="28"/>
          <w:szCs w:val="24"/>
        </w:rPr>
        <w:t>rofile</w:t>
      </w:r>
    </w:p>
    <w:p w:rsidR="00EE72EF" w:rsidRPr="00D008E4" w:rsidRDefault="001A6DD9" w:rsidP="0000412A">
      <w:pPr>
        <w:rPr>
          <w:rFonts w:cs="Times New Roman"/>
          <w:szCs w:val="24"/>
        </w:rPr>
      </w:pPr>
      <w:r w:rsidRPr="00D008E4">
        <w:rPr>
          <w:rFonts w:cs="Times New Roman"/>
          <w:szCs w:val="24"/>
        </w:rPr>
        <w:t>The review adopts a pragmatic research philosophy and an inductive SLR design. Pragmatism is appropriate because the evidence combines observable market conditions, such as price, policy and charging, with subjective consumer judgements about risk, value, reputation and responsibility. An inductive approach allows patterns to be compared across heterogeneous theories without treating any one adoption model as the unquestioned starting point.</w:t>
      </w:r>
    </w:p>
    <w:p w:rsidR="00EE72EF" w:rsidRPr="00D008E4" w:rsidRDefault="001A6DD9" w:rsidP="0000412A">
      <w:pPr>
        <w:rPr>
          <w:rFonts w:cs="Times New Roman"/>
          <w:szCs w:val="24"/>
        </w:rPr>
      </w:pPr>
      <w:r w:rsidRPr="00D008E4">
        <w:rPr>
          <w:rFonts w:cs="Times New Roman"/>
          <w:szCs w:val="24"/>
        </w:rPr>
        <w:lastRenderedPageBreak/>
        <w:t>The final protocol covers peer-reviewed empirical research published from 2014 to 2025 and relevant to consumer EV/NEV purchase, adoption or closely related switching intention in China. This window is wider than the one proposed at the outset. It was expanded before the final synthesis so that the review could capture the movement from subsidy-intensive adoption towards the post-subsidy period, after which the 2025 endpoint was fixed. A relevant 2026 study on design aesthetics was consequently excluded rather than added after the protocol had been settled. Source collection drew on the multidisciplinary databases identified in the proposal, including Scopus, Web of Science, ScienceDirect, Emerald Insight, IEEE Xplore and Google Scholar. Screening considered geographic relevance, behavioural outcome, empirical status and peer-review suitability.</w:t>
      </w:r>
    </w:p>
    <w:p w:rsidR="00EE72EF" w:rsidRPr="00D008E4" w:rsidRDefault="00A72592" w:rsidP="0000412A">
      <w:pPr>
        <w:rPr>
          <w:rFonts w:cs="Times New Roman"/>
          <w:szCs w:val="24"/>
        </w:rPr>
      </w:pPr>
      <w:r w:rsidRPr="00D008E4">
        <w:rPr>
          <w:rFonts w:cs="Times New Roman"/>
          <w:noProof/>
          <w:szCs w:val="24"/>
          <w:lang w:val="en-IN" w:eastAsia="en-IN"/>
        </w:rPr>
        <w:drawing>
          <wp:anchor distT="0" distB="0" distL="114300" distR="114300" simplePos="0" relativeHeight="251661824" behindDoc="1" locked="0" layoutInCell="1" allowOverlap="1">
            <wp:simplePos x="0" y="0"/>
            <wp:positionH relativeFrom="column">
              <wp:posOffset>0</wp:posOffset>
            </wp:positionH>
            <wp:positionV relativeFrom="paragraph">
              <wp:posOffset>2752725</wp:posOffset>
            </wp:positionV>
            <wp:extent cx="6372860" cy="4022090"/>
            <wp:effectExtent l="0" t="0" r="8890" b="0"/>
            <wp:wrapTight wrapText="bothSides">
              <wp:wrapPolygon edited="0">
                <wp:start x="0" y="0"/>
                <wp:lineTo x="0" y="21484"/>
                <wp:lineTo x="21566" y="21484"/>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SMA_50_Verified.png"/>
                    <pic:cNvPicPr/>
                  </pic:nvPicPr>
                  <pic:blipFill>
                    <a:blip r:embed="rId9">
                      <a:extLst>
                        <a:ext uri="{28A0092B-C50C-407E-A947-70E740481C1C}">
                          <a14:useLocalDpi xmlns:a14="http://schemas.microsoft.com/office/drawing/2010/main" val="0"/>
                        </a:ext>
                      </a:extLst>
                    </a:blip>
                    <a:stretch>
                      <a:fillRect/>
                    </a:stretch>
                  </pic:blipFill>
                  <pic:spPr>
                    <a:xfrm>
                      <a:off x="0" y="0"/>
                      <a:ext cx="6372860" cy="4022090"/>
                    </a:xfrm>
                    <a:prstGeom prst="rect">
                      <a:avLst/>
                    </a:prstGeom>
                  </pic:spPr>
                </pic:pic>
              </a:graphicData>
            </a:graphic>
            <wp14:sizeRelH relativeFrom="margin">
              <wp14:pctWidth>0</wp14:pctWidth>
            </wp14:sizeRelH>
          </wp:anchor>
        </w:drawing>
      </w:r>
      <w:r w:rsidR="001A6DD9" w:rsidRPr="00D008E4">
        <w:rPr>
          <w:rFonts w:cs="Times New Roman"/>
          <w:szCs w:val="24"/>
        </w:rPr>
        <w:t xml:space="preserve">Fifty-nine numbered journal records were screened. Forty were retained for </w:t>
      </w:r>
      <w:r w:rsidR="0071332D">
        <w:rPr>
          <w:rFonts w:cs="Times New Roman"/>
          <w:szCs w:val="24"/>
        </w:rPr>
        <w:t>the core thematic synthesis, ten</w:t>
      </w:r>
      <w:r w:rsidR="001A6DD9" w:rsidRPr="00D008E4">
        <w:rPr>
          <w:rFonts w:cs="Times New Roman"/>
          <w:szCs w:val="24"/>
        </w:rPr>
        <w:t xml:space="preserve"> as supporting or provisional evidence </w:t>
      </w:r>
      <w:r w:rsidR="00CA3987">
        <w:t>and nin</w:t>
      </w:r>
      <w:r w:rsidR="00CA3987">
        <w:t xml:space="preserve">e were fully excluded </w:t>
      </w:r>
      <w:r w:rsidR="0071332D">
        <w:rPr>
          <w:rFonts w:cs="Times New Roman"/>
          <w:szCs w:val="24"/>
        </w:rPr>
        <w:t xml:space="preserve">from the dissertation evidence based. </w:t>
      </w:r>
      <w:r w:rsidR="0071332D">
        <w:t>The supporting/contextual evidence was used to inform interpretation but was not treated as equivalent to the forty core studies.</w:t>
      </w:r>
      <w:r w:rsidR="0071332D">
        <w:rPr>
          <w:rFonts w:cs="Times New Roman"/>
          <w:szCs w:val="24"/>
        </w:rPr>
        <w:t xml:space="preserve"> </w:t>
      </w:r>
      <w:r w:rsidR="001A6DD9" w:rsidRPr="00D008E4">
        <w:rPr>
          <w:rFonts w:cs="Times New Roman"/>
          <w:szCs w:val="24"/>
        </w:rPr>
        <w:t>Methodological quality was assessed with a CASP-informed checklist adapted to heterogeneous quantitative and mixed-method designs, and the findings were synthesised using the logic of Braun and Clarke's thematic analysis. Seven recurring domains emerged from the evidence matrix: policy and incentives; price and economic value; perceived risk and uncertainty; environmental concern and moral norms; social influence and subjective norms; charging, range and facilitating conditions; and knowledge, information and experience.</w:t>
      </w:r>
    </w:p>
    <w:p w:rsidR="00EE72EF" w:rsidRPr="00D008E4" w:rsidRDefault="001A6DD9" w:rsidP="0000412A">
      <w:pPr>
        <w:pStyle w:val="Caption"/>
        <w:spacing w:line="360" w:lineRule="auto"/>
        <w:rPr>
          <w:rFonts w:cs="Times New Roman"/>
          <w:sz w:val="24"/>
          <w:szCs w:val="24"/>
        </w:rPr>
      </w:pPr>
      <w:r w:rsidRPr="00D008E4">
        <w:rPr>
          <w:rFonts w:cs="Times New Roman"/>
          <w:sz w:val="24"/>
          <w:szCs w:val="24"/>
        </w:rPr>
        <w:t>Figure 1.1. PRISMA-style review flow used in this dissertation</w:t>
      </w:r>
    </w:p>
    <w:p w:rsidR="00EE72EF" w:rsidRPr="00D008E4" w:rsidRDefault="00EE72EF" w:rsidP="0000412A">
      <w:pPr>
        <w:pStyle w:val="Title"/>
        <w:spacing w:line="360" w:lineRule="auto"/>
        <w:rPr>
          <w:rFonts w:ascii="Times New Roman" w:hAnsi="Times New Roman" w:cs="Times New Roman"/>
          <w:sz w:val="24"/>
          <w:szCs w:val="24"/>
        </w:rPr>
      </w:pPr>
    </w:p>
    <w:p w:rsidR="000A1924" w:rsidRDefault="001A6DD9" w:rsidP="000A1924">
      <w:r w:rsidRPr="00D008E4">
        <w:rPr>
          <w:rFonts w:cs="Times New Roman"/>
          <w:szCs w:val="24"/>
        </w:rPr>
        <w:t xml:space="preserve">The PRISMA-style summary appears in Chapter 1 because the project brief requires early visibility of the evidence base. </w:t>
      </w:r>
      <w:r w:rsidR="000A1924">
        <w:t>Chapter 3 then explains the screening process in more detail and distinguishes the nine fully excluded studies from the ten studies retained for supporting or contextual use.”</w:t>
      </w:r>
    </w:p>
    <w:p w:rsidR="00EE72EF" w:rsidRPr="000A1924" w:rsidRDefault="009B4DF6" w:rsidP="000A1924">
      <w:pPr>
        <w:rPr>
          <w:rFonts w:cs="Times New Roman"/>
          <w:b/>
          <w:sz w:val="28"/>
          <w:szCs w:val="24"/>
        </w:rPr>
      </w:pPr>
      <w:r w:rsidRPr="000A1924">
        <w:rPr>
          <w:rFonts w:cs="Times New Roman"/>
          <w:b/>
          <w:sz w:val="28"/>
          <w:szCs w:val="24"/>
        </w:rPr>
        <w:t>1.7 Structure of the D</w:t>
      </w:r>
      <w:r w:rsidR="001A6DD9" w:rsidRPr="000A1924">
        <w:rPr>
          <w:rFonts w:cs="Times New Roman"/>
          <w:b/>
          <w:sz w:val="28"/>
          <w:szCs w:val="24"/>
        </w:rPr>
        <w:t>issertation</w:t>
      </w:r>
    </w:p>
    <w:p w:rsidR="00EE72EF" w:rsidRPr="00D008E4" w:rsidRDefault="001A6DD9" w:rsidP="0000412A">
      <w:pPr>
        <w:rPr>
          <w:rFonts w:cs="Times New Roman"/>
          <w:szCs w:val="24"/>
        </w:rPr>
      </w:pPr>
      <w:r w:rsidRPr="00D008E4">
        <w:rPr>
          <w:rFonts w:cs="Times New Roman"/>
          <w:szCs w:val="24"/>
        </w:rPr>
        <w:t xml:space="preserve">Chapter 2 establishes the conceptual foundations used to interpret EV adoption. </w:t>
      </w:r>
      <w:r w:rsidRPr="00D008E4">
        <w:rPr>
          <w:rFonts w:cs="Times New Roman"/>
          <w:szCs w:val="24"/>
          <w:lang w:val="en-GB"/>
        </w:rPr>
        <w:t>It brings to</w:t>
      </w:r>
      <w:r w:rsidR="0091635A" w:rsidRPr="00D008E4">
        <w:rPr>
          <w:rFonts w:cs="Times New Roman"/>
          <w:szCs w:val="24"/>
          <w:lang w:val="en-GB"/>
        </w:rPr>
        <w:t xml:space="preserve">gether TPB, TAM, NAM, diffusion </w:t>
      </w:r>
      <w:r w:rsidRPr="00D008E4">
        <w:rPr>
          <w:rFonts w:cs="Times New Roman"/>
          <w:szCs w:val="24"/>
          <w:lang w:val="en-GB"/>
        </w:rPr>
        <w:t xml:space="preserve">and value perspectives before considering policy, price/value, risk/trust, </w:t>
      </w:r>
      <w:r w:rsidR="0091635A" w:rsidRPr="00D008E4">
        <w:rPr>
          <w:rFonts w:cs="Times New Roman"/>
          <w:szCs w:val="24"/>
          <w:lang w:val="en-GB"/>
        </w:rPr>
        <w:t>and environmental</w:t>
      </w:r>
      <w:r w:rsidRPr="00D008E4">
        <w:rPr>
          <w:rFonts w:cs="Times New Roman"/>
          <w:szCs w:val="24"/>
          <w:lang w:val="en-GB"/>
        </w:rPr>
        <w:t xml:space="preserve">, social, infrastructure and information mechanisms. </w:t>
      </w:r>
      <w:r w:rsidRPr="00D008E4">
        <w:rPr>
          <w:rFonts w:cs="Times New Roman"/>
          <w:szCs w:val="24"/>
        </w:rPr>
        <w:t>The emphasis is on the conceptual relationships and tensions that frame the later synthesis rather than on reproducing Chapter 4's findings in advance.</w:t>
      </w:r>
    </w:p>
    <w:p w:rsidR="00EE72EF" w:rsidRPr="00D008E4" w:rsidRDefault="001A6DD9" w:rsidP="0000412A">
      <w:pPr>
        <w:rPr>
          <w:rFonts w:cs="Times New Roman"/>
          <w:szCs w:val="24"/>
        </w:rPr>
      </w:pPr>
      <w:r w:rsidRPr="00D008E4">
        <w:rPr>
          <w:rFonts w:cs="Times New Roman"/>
          <w:szCs w:val="24"/>
        </w:rPr>
        <w:t>Chapter 3 justifies the pragmatic, inductive SLR design and explains the search protocol, eligibility criteria, screening decisions, quality appraisal, data extraction and thematic synthesis. It also addresses ethics,</w:t>
      </w:r>
      <w:r w:rsidRPr="00D008E4">
        <w:rPr>
          <w:rFonts w:cs="Times New Roman"/>
          <w:szCs w:val="24"/>
          <w:lang w:val="en-GB"/>
        </w:rPr>
        <w:t xml:space="preserve"> rigour</w:t>
      </w:r>
      <w:r w:rsidRPr="00D008E4">
        <w:rPr>
          <w:rFonts w:cs="Times New Roman"/>
          <w:szCs w:val="24"/>
        </w:rPr>
        <w:t>, limitations and the refinement of the protocol from the preliminary proposal to the final review.</w:t>
      </w:r>
    </w:p>
    <w:p w:rsidR="00EE72EF" w:rsidRPr="00D008E4" w:rsidRDefault="001A6DD9" w:rsidP="0000412A">
      <w:pPr>
        <w:rPr>
          <w:rFonts w:cs="Times New Roman"/>
          <w:szCs w:val="24"/>
        </w:rPr>
      </w:pPr>
      <w:r w:rsidRPr="00D008E4">
        <w:rPr>
          <w:rFonts w:cs="Times New Roman"/>
          <w:szCs w:val="24"/>
        </w:rPr>
        <w:t>Chapter 4 contains the main analytical contribution. It profiles the forty-study core evidence base,</w:t>
      </w:r>
      <w:r w:rsidRPr="00D008E4">
        <w:rPr>
          <w:rFonts w:cs="Times New Roman"/>
          <w:szCs w:val="24"/>
          <w:lang w:val="en-GB"/>
        </w:rPr>
        <w:t xml:space="preserve"> synthesises</w:t>
      </w:r>
      <w:r w:rsidRPr="00D008E4">
        <w:rPr>
          <w:rFonts w:cs="Times New Roman"/>
          <w:szCs w:val="24"/>
        </w:rPr>
        <w:t xml:space="preserve"> the seven themes and examines where findings converge, conflict or depend on time, geography and consumer segment. The chapter then answers the research questions and develops a revised conceptual framework from the evidence.</w:t>
      </w:r>
    </w:p>
    <w:p w:rsidR="00EE72EF" w:rsidRPr="00D008E4" w:rsidRDefault="001A6DD9" w:rsidP="0000412A">
      <w:pPr>
        <w:rPr>
          <w:rFonts w:cs="Times New Roman"/>
          <w:szCs w:val="24"/>
        </w:rPr>
      </w:pPr>
      <w:r w:rsidRPr="00D008E4">
        <w:rPr>
          <w:rFonts w:cs="Times New Roman"/>
          <w:szCs w:val="24"/>
        </w:rPr>
        <w:t>Chapter 5 draws the argument together by setting out the conclusions, theoretical contribution, managerial and policy implications, limitations and priorities for further research. References follow the UWTSD Harvard convention, while the appendices provide the evidence matrix, the supporting/excluded-study audit and the quality-appraisal summary.</w:t>
      </w:r>
    </w:p>
    <w:p w:rsidR="009B4DF6" w:rsidRPr="00D008E4" w:rsidRDefault="009B4DF6" w:rsidP="0000412A">
      <w:pPr>
        <w:rPr>
          <w:rFonts w:cs="Times New Roman"/>
          <w:noProof/>
          <w:szCs w:val="24"/>
          <w:lang w:val="en-IN" w:eastAsia="en-IN"/>
        </w:rPr>
      </w:pPr>
    </w:p>
    <w:p w:rsidR="00A72592" w:rsidRPr="00D008E4" w:rsidRDefault="00A72592" w:rsidP="00A72592">
      <w:pPr>
        <w:rPr>
          <w:rFonts w:cs="Times New Roman"/>
          <w:szCs w:val="24"/>
        </w:rPr>
      </w:pPr>
      <w:r w:rsidRPr="00D008E4">
        <w:rPr>
          <w:rFonts w:cs="Times New Roman"/>
          <w:noProof/>
          <w:szCs w:val="24"/>
          <w:lang w:val="en-IN" w:eastAsia="en-IN"/>
        </w:rPr>
        <w:lastRenderedPageBreak/>
        <w:drawing>
          <wp:anchor distT="0" distB="0" distL="114300" distR="114300" simplePos="0" relativeHeight="251654656" behindDoc="1" locked="0" layoutInCell="1" allowOverlap="1">
            <wp:simplePos x="0" y="0"/>
            <wp:positionH relativeFrom="column">
              <wp:posOffset>53975</wp:posOffset>
            </wp:positionH>
            <wp:positionV relativeFrom="paragraph">
              <wp:posOffset>400685</wp:posOffset>
            </wp:positionV>
            <wp:extent cx="6319520" cy="5648325"/>
            <wp:effectExtent l="0" t="0" r="5080" b="9525"/>
            <wp:wrapTight wrapText="bothSides">
              <wp:wrapPolygon edited="0">
                <wp:start x="0" y="0"/>
                <wp:lineTo x="0" y="21564"/>
                <wp:lineTo x="21552" y="21564"/>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tract.png"/>
                    <pic:cNvPicPr/>
                  </pic:nvPicPr>
                  <pic:blipFill rotWithShape="1">
                    <a:blip r:embed="rId10">
                      <a:extLst>
                        <a:ext uri="{28A0092B-C50C-407E-A947-70E740481C1C}">
                          <a14:useLocalDpi xmlns:a14="http://schemas.microsoft.com/office/drawing/2010/main" val="0"/>
                        </a:ext>
                      </a:extLst>
                    </a:blip>
                    <a:srcRect t="5063"/>
                    <a:stretch/>
                  </pic:blipFill>
                  <pic:spPr bwMode="auto">
                    <a:xfrm>
                      <a:off x="0" y="0"/>
                      <a:ext cx="6319520" cy="5648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E72EF" w:rsidRPr="00D008E4" w:rsidRDefault="001A6DD9" w:rsidP="00A72592">
      <w:pPr>
        <w:rPr>
          <w:rFonts w:cs="Times New Roman"/>
          <w:b/>
          <w:sz w:val="28"/>
          <w:szCs w:val="24"/>
        </w:rPr>
      </w:pPr>
      <w:r w:rsidRPr="00D008E4">
        <w:rPr>
          <w:rFonts w:cs="Times New Roman"/>
          <w:b/>
          <w:sz w:val="28"/>
          <w:szCs w:val="24"/>
        </w:rPr>
        <w:t>Chapter 2: Literature Review</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2.1 Introduction</w:t>
      </w:r>
      <w:bookmarkStart w:id="0" w:name="_GoBack"/>
      <w:bookmarkEnd w:id="0"/>
    </w:p>
    <w:p w:rsidR="00EE72EF" w:rsidRPr="00D008E4" w:rsidRDefault="001A6DD9" w:rsidP="0000412A">
      <w:pPr>
        <w:rPr>
          <w:rFonts w:cs="Times New Roman"/>
          <w:szCs w:val="24"/>
        </w:rPr>
      </w:pPr>
      <w:r w:rsidRPr="00D008E4">
        <w:rPr>
          <w:rFonts w:cs="Times New Roman"/>
          <w:szCs w:val="24"/>
        </w:rPr>
        <w:t>This chapter establishes the conceptual ground needed to interpret the systematic findings. EV purchase is simultaneously a high-involvement consumer choice, a technology-adoption decision and a policy-shaped mobility decision, which is why no single theoretical lens is likely to capture the whole process. A consumer may regard an EV as environmentally desirable but impractical, technologically useful but financially risky, socially approved but difficult to charge, or strongly branded yet exposed to uncertainty about long-term ownership. The literature review therefore focuses on how value is created, how uncertainty is managed and how those judgements are translated into intention.</w:t>
      </w:r>
    </w:p>
    <w:p w:rsidR="00EE72EF" w:rsidRPr="00D008E4" w:rsidRDefault="001A6DD9" w:rsidP="0000412A">
      <w:pPr>
        <w:rPr>
          <w:rFonts w:cs="Times New Roman"/>
          <w:szCs w:val="24"/>
        </w:rPr>
      </w:pPr>
      <w:r w:rsidRPr="00D008E4">
        <w:rPr>
          <w:rFonts w:cs="Times New Roman"/>
          <w:szCs w:val="24"/>
        </w:rPr>
        <w:t xml:space="preserve">The discussion first considers the main theoretical approaches represented in the China-focused literature, then examines seven connected domains: policy, economic value, risk and trust, </w:t>
      </w:r>
      <w:r w:rsidRPr="00D008E4">
        <w:rPr>
          <w:rFonts w:cs="Times New Roman"/>
          <w:szCs w:val="24"/>
        </w:rPr>
        <w:lastRenderedPageBreak/>
        <w:t>environmental and moral motives, social influence, infrastructure, and knowledge/experience. The purpose is deliberately selective. Detailed comparison of study findings is reserved for Chapter 4, while this chapter develops the conceptual relationships against which those findings can be judged.</w:t>
      </w:r>
    </w:p>
    <w:p w:rsidR="00EE72EF" w:rsidRPr="00D008E4" w:rsidRDefault="001E7A1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2.2 Theoretical foundations of EV Purchase i</w:t>
      </w:r>
      <w:r w:rsidR="001A6DD9" w:rsidRPr="00D008E4">
        <w:rPr>
          <w:rFonts w:ascii="Times New Roman" w:hAnsi="Times New Roman" w:cs="Times New Roman"/>
          <w:sz w:val="28"/>
          <w:szCs w:val="24"/>
        </w:rPr>
        <w:t>ntention</w:t>
      </w:r>
    </w:p>
    <w:p w:rsidR="00EE72EF" w:rsidRPr="00D008E4" w:rsidRDefault="001A6DD9" w:rsidP="0000412A">
      <w:pPr>
        <w:pStyle w:val="Heading3"/>
        <w:rPr>
          <w:rFonts w:ascii="Times New Roman" w:hAnsi="Times New Roman" w:cs="Times New Roman"/>
          <w:sz w:val="28"/>
          <w:szCs w:val="24"/>
        </w:rPr>
      </w:pPr>
      <w:r w:rsidRPr="00D008E4">
        <w:rPr>
          <w:rFonts w:ascii="Times New Roman" w:hAnsi="Times New Roman" w:cs="Times New Roman"/>
          <w:sz w:val="28"/>
          <w:szCs w:val="24"/>
        </w:rPr>
        <w:t>2.2.1 Theory of Planned</w:t>
      </w:r>
      <w:r w:rsidRPr="00D008E4">
        <w:rPr>
          <w:rFonts w:ascii="Times New Roman" w:hAnsi="Times New Roman" w:cs="Times New Roman"/>
          <w:sz w:val="28"/>
          <w:szCs w:val="24"/>
          <w:lang w:val="en-GB"/>
        </w:rPr>
        <w:t xml:space="preserve"> Behaviour</w:t>
      </w:r>
    </w:p>
    <w:p w:rsidR="00EE72EF" w:rsidRPr="00D008E4" w:rsidRDefault="001A6DD9" w:rsidP="0000412A">
      <w:pPr>
        <w:rPr>
          <w:rFonts w:cs="Times New Roman"/>
          <w:szCs w:val="24"/>
        </w:rPr>
      </w:pPr>
      <w:r w:rsidRPr="00D008E4">
        <w:rPr>
          <w:rFonts w:cs="Times New Roman"/>
          <w:szCs w:val="24"/>
        </w:rPr>
        <w:t>The Theory of Planned Behaviour (TPB) proposes that intention is shaped by attitude, subjective norm and perceived behavioural control (PBC) (Ajzen, 1991). In an EV setting, these constructs capture whether ownership is evaluated</w:t>
      </w:r>
      <w:r w:rsidRPr="00D008E4">
        <w:rPr>
          <w:rFonts w:cs="Times New Roman"/>
          <w:szCs w:val="24"/>
          <w:lang w:val="en-GB"/>
        </w:rPr>
        <w:t xml:space="preserve"> favourably</w:t>
      </w:r>
      <w:r w:rsidRPr="00D008E4">
        <w:rPr>
          <w:rFonts w:cs="Times New Roman"/>
          <w:szCs w:val="24"/>
        </w:rPr>
        <w:t>, socially supported and practically achievable. China-focused studies use this structure repeatedly, although the strength and directness of the three components vary. TPB is therefore most useful here as a proximal framework rather than a complete theory of EV adoption: price, charging, knowledge, brands and policy can shape attitude or PBC, while peer influence can operate through subjective norm or indirectly through evaluation and confidence. The empirical synthesis in Chapter 4 uses these relationships to interpret variation rather than assuming that every TPB path must be significant in every context.</w:t>
      </w:r>
    </w:p>
    <w:p w:rsidR="00EE72EF" w:rsidRPr="00D008E4" w:rsidRDefault="001A6DD9" w:rsidP="0000412A">
      <w:pPr>
        <w:pStyle w:val="Heading3"/>
        <w:rPr>
          <w:rFonts w:ascii="Times New Roman" w:hAnsi="Times New Roman" w:cs="Times New Roman"/>
          <w:sz w:val="28"/>
          <w:szCs w:val="24"/>
        </w:rPr>
      </w:pPr>
      <w:r w:rsidRPr="00D008E4">
        <w:rPr>
          <w:rFonts w:ascii="Times New Roman" w:hAnsi="Times New Roman" w:cs="Times New Roman"/>
          <w:sz w:val="28"/>
          <w:szCs w:val="24"/>
        </w:rPr>
        <w:t>2.2.2 T</w:t>
      </w:r>
      <w:r w:rsidR="009B4DF6" w:rsidRPr="00D008E4">
        <w:rPr>
          <w:rFonts w:ascii="Times New Roman" w:hAnsi="Times New Roman" w:cs="Times New Roman"/>
          <w:sz w:val="28"/>
          <w:szCs w:val="24"/>
        </w:rPr>
        <w:t>echnology Acceptance Model and Perceived Innovation A</w:t>
      </w:r>
      <w:r w:rsidRPr="00D008E4">
        <w:rPr>
          <w:rFonts w:ascii="Times New Roman" w:hAnsi="Times New Roman" w:cs="Times New Roman"/>
          <w:sz w:val="28"/>
          <w:szCs w:val="24"/>
        </w:rPr>
        <w:t>ttributes</w:t>
      </w:r>
    </w:p>
    <w:p w:rsidR="00EE72EF" w:rsidRPr="00D008E4" w:rsidRDefault="001A6DD9" w:rsidP="0000412A">
      <w:pPr>
        <w:rPr>
          <w:rFonts w:cs="Times New Roman"/>
          <w:szCs w:val="24"/>
        </w:rPr>
      </w:pPr>
      <w:r w:rsidRPr="00D008E4">
        <w:rPr>
          <w:rFonts w:cs="Times New Roman"/>
          <w:szCs w:val="24"/>
        </w:rPr>
        <w:t>The Technology Acceptance Model (TAM)</w:t>
      </w:r>
      <w:r w:rsidRPr="00D008E4">
        <w:rPr>
          <w:rFonts w:cs="Times New Roman"/>
          <w:szCs w:val="24"/>
          <w:lang w:val="en-GB"/>
        </w:rPr>
        <w:t xml:space="preserve"> centres</w:t>
      </w:r>
      <w:r w:rsidRPr="00D008E4">
        <w:rPr>
          <w:rFonts w:cs="Times New Roman"/>
          <w:szCs w:val="24"/>
        </w:rPr>
        <w:t xml:space="preserve"> on perceived usefulness and perceived ease of use (Davis, 1989). Applied to EVs, usefulness extends beyond technical performance to mobility and operating-cost benefits, while ease of use includes charging, driving and maintenance. Knowledge and first-hand experience can strengthen these judgements by reducing unfamiliarity. TAM is nevertheless incomplete for a high-value durable purchase: a consumer may accept the technology's usefulness yet still be constrained by price, infrastructure, social acceptance or uncertainty. Its explanatory value may also change with diffusion if acceptable performance becomes a basic expectation rather than a point of differentiation.</w:t>
      </w:r>
    </w:p>
    <w:p w:rsidR="00EE72EF" w:rsidRPr="00D008E4" w:rsidRDefault="001E7A16" w:rsidP="0000412A">
      <w:pPr>
        <w:pStyle w:val="Heading3"/>
        <w:rPr>
          <w:rFonts w:ascii="Times New Roman" w:hAnsi="Times New Roman" w:cs="Times New Roman"/>
          <w:sz w:val="28"/>
          <w:szCs w:val="24"/>
        </w:rPr>
      </w:pPr>
      <w:r w:rsidRPr="00D008E4">
        <w:rPr>
          <w:rFonts w:ascii="Times New Roman" w:hAnsi="Times New Roman" w:cs="Times New Roman"/>
          <w:sz w:val="28"/>
          <w:szCs w:val="24"/>
        </w:rPr>
        <w:t>2.2.3 Norm a</w:t>
      </w:r>
      <w:r w:rsidR="009B4DF6" w:rsidRPr="00D008E4">
        <w:rPr>
          <w:rFonts w:ascii="Times New Roman" w:hAnsi="Times New Roman" w:cs="Times New Roman"/>
          <w:sz w:val="28"/>
          <w:szCs w:val="24"/>
        </w:rPr>
        <w:t>ctivation, E</w:t>
      </w:r>
      <w:r w:rsidR="001A6DD9" w:rsidRPr="00D008E4">
        <w:rPr>
          <w:rFonts w:ascii="Times New Roman" w:hAnsi="Times New Roman" w:cs="Times New Roman"/>
          <w:sz w:val="28"/>
          <w:szCs w:val="24"/>
        </w:rPr>
        <w:t>nvi</w:t>
      </w:r>
      <w:r w:rsidRPr="00D008E4">
        <w:rPr>
          <w:rFonts w:ascii="Times New Roman" w:hAnsi="Times New Roman" w:cs="Times New Roman"/>
          <w:sz w:val="28"/>
          <w:szCs w:val="24"/>
        </w:rPr>
        <w:t>ronmental m</w:t>
      </w:r>
      <w:r w:rsidR="009B4DF6" w:rsidRPr="00D008E4">
        <w:rPr>
          <w:rFonts w:ascii="Times New Roman" w:hAnsi="Times New Roman" w:cs="Times New Roman"/>
          <w:sz w:val="28"/>
          <w:szCs w:val="24"/>
        </w:rPr>
        <w:t>otivation and M</w:t>
      </w:r>
      <w:r w:rsidRPr="00D008E4">
        <w:rPr>
          <w:rFonts w:ascii="Times New Roman" w:hAnsi="Times New Roman" w:cs="Times New Roman"/>
          <w:sz w:val="28"/>
          <w:szCs w:val="24"/>
        </w:rPr>
        <w:t>oral s</w:t>
      </w:r>
      <w:r w:rsidR="001A6DD9" w:rsidRPr="00D008E4">
        <w:rPr>
          <w:rFonts w:ascii="Times New Roman" w:hAnsi="Times New Roman" w:cs="Times New Roman"/>
          <w:sz w:val="28"/>
          <w:szCs w:val="24"/>
        </w:rPr>
        <w:t>elf-regulation</w:t>
      </w:r>
    </w:p>
    <w:p w:rsidR="00EE72EF" w:rsidRPr="00D008E4" w:rsidRDefault="001A6DD9" w:rsidP="0000412A">
      <w:pPr>
        <w:rPr>
          <w:rFonts w:cs="Times New Roman"/>
          <w:szCs w:val="24"/>
        </w:rPr>
      </w:pPr>
      <w:r w:rsidRPr="00D008E4">
        <w:rPr>
          <w:rFonts w:cs="Times New Roman"/>
          <w:szCs w:val="24"/>
        </w:rPr>
        <w:t>The Norm Activation Model (NAM) helps explain why general environmental concern does not automatically produce EV purchase intention. Awareness of consequences and ascription of responsibility can activate personal moral norms, which in turn motivate action. China-focused research suggests that concern is often relatively distal, while personal norm, responsibility, efficacy and attitude sit closer to the decision (He and Zhan, 2018; Wang et al., 2016). NAM therefore complements TPB by explaining how an environmental value becomes a personally relevant obligation: concern matters more when consumers also believe they are responsible and able to make an effective choice.</w:t>
      </w:r>
    </w:p>
    <w:p w:rsidR="00EE72EF" w:rsidRPr="00D008E4" w:rsidRDefault="009B4DF6" w:rsidP="0000412A">
      <w:pPr>
        <w:pStyle w:val="Heading3"/>
        <w:rPr>
          <w:rFonts w:ascii="Times New Roman" w:hAnsi="Times New Roman" w:cs="Times New Roman"/>
          <w:sz w:val="28"/>
          <w:szCs w:val="24"/>
        </w:rPr>
      </w:pPr>
      <w:r w:rsidRPr="00D008E4">
        <w:rPr>
          <w:rFonts w:ascii="Times New Roman" w:hAnsi="Times New Roman" w:cs="Times New Roman"/>
          <w:sz w:val="28"/>
          <w:szCs w:val="24"/>
        </w:rPr>
        <w:lastRenderedPageBreak/>
        <w:t>2.2.4 Diffusi</w:t>
      </w:r>
      <w:r w:rsidR="001E7A16" w:rsidRPr="00D008E4">
        <w:rPr>
          <w:rFonts w:ascii="Times New Roman" w:hAnsi="Times New Roman" w:cs="Times New Roman"/>
          <w:sz w:val="28"/>
          <w:szCs w:val="24"/>
        </w:rPr>
        <w:t>on, Values and Configurational p</w:t>
      </w:r>
      <w:r w:rsidR="001A6DD9" w:rsidRPr="00D008E4">
        <w:rPr>
          <w:rFonts w:ascii="Times New Roman" w:hAnsi="Times New Roman" w:cs="Times New Roman"/>
          <w:sz w:val="28"/>
          <w:szCs w:val="24"/>
        </w:rPr>
        <w:t>erspectives</w:t>
      </w:r>
    </w:p>
    <w:p w:rsidR="00EE72EF" w:rsidRPr="00D008E4" w:rsidRDefault="001A6DD9" w:rsidP="0000412A">
      <w:pPr>
        <w:rPr>
          <w:rFonts w:cs="Times New Roman"/>
          <w:szCs w:val="24"/>
        </w:rPr>
      </w:pPr>
      <w:r w:rsidRPr="00D008E4">
        <w:rPr>
          <w:rFonts w:cs="Times New Roman"/>
          <w:szCs w:val="24"/>
        </w:rPr>
        <w:t>Diffusion, consumption-value and configurational perspectives add different boundary conditions. Diffusion theory suggests that early adopters may tolerate inconvenience in exchange for novelty, whereas later adopters are more likely to demand compatibility, proven reliability and an established ecosystem. Consumption-value approaches treat adoption as a bundle of functional, economic, emotional, social and symbolic benefits weighed against monetary and psychological sacrifice (Han et al., 2017). Configurational work adds that different combinations of conditions can produce the same high-intention outcome (Ye et al., 2021). Together, these perspectives shift attention away from the search for one universal predictor and towards adopter stage, market maturity and combinations of value and constraint.</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2.3 Policy and t</w:t>
      </w:r>
      <w:r w:rsidR="001E7A16" w:rsidRPr="00D008E4">
        <w:rPr>
          <w:rFonts w:ascii="Times New Roman" w:hAnsi="Times New Roman" w:cs="Times New Roman"/>
          <w:sz w:val="28"/>
          <w:szCs w:val="24"/>
        </w:rPr>
        <w:t>he t</w:t>
      </w:r>
      <w:r w:rsidR="009B4DF6" w:rsidRPr="00D008E4">
        <w:rPr>
          <w:rFonts w:ascii="Times New Roman" w:hAnsi="Times New Roman" w:cs="Times New Roman"/>
          <w:sz w:val="28"/>
          <w:szCs w:val="24"/>
        </w:rPr>
        <w:t>ransition from Subsidy-led A</w:t>
      </w:r>
      <w:r w:rsidRPr="00D008E4">
        <w:rPr>
          <w:rFonts w:ascii="Times New Roman" w:hAnsi="Times New Roman" w:cs="Times New Roman"/>
          <w:sz w:val="28"/>
          <w:szCs w:val="24"/>
        </w:rPr>
        <w:t>doption</w:t>
      </w:r>
    </w:p>
    <w:p w:rsidR="00EE72EF" w:rsidRPr="00D008E4" w:rsidRDefault="001A6DD9" w:rsidP="0000412A">
      <w:pPr>
        <w:rPr>
          <w:rFonts w:cs="Times New Roman"/>
          <w:szCs w:val="24"/>
        </w:rPr>
      </w:pPr>
      <w:r w:rsidRPr="00D008E4">
        <w:rPr>
          <w:rFonts w:cs="Times New Roman"/>
          <w:szCs w:val="24"/>
        </w:rPr>
        <w:t>China provides an unusually policy-rich setting for EV research. Consumers have encountered direct purchase subsidies, tax treatment,</w:t>
      </w:r>
      <w:r w:rsidRPr="00D008E4">
        <w:rPr>
          <w:rFonts w:cs="Times New Roman"/>
          <w:szCs w:val="24"/>
          <w:lang w:val="en-GB"/>
        </w:rPr>
        <w:t xml:space="preserve"> licence</w:t>
      </w:r>
      <w:r w:rsidRPr="00D008E4">
        <w:rPr>
          <w:rFonts w:cs="Times New Roman"/>
          <w:szCs w:val="24"/>
        </w:rPr>
        <w:t xml:space="preserve"> and usage privileges, charging investment and information measures, each of which addresses a different part of the decision. Collapsing them into a single 'government support' variable risks hiding those mechanisms.</w:t>
      </w:r>
    </w:p>
    <w:p w:rsidR="00EE72EF" w:rsidRPr="00D008E4" w:rsidRDefault="001A6DD9" w:rsidP="0000412A">
      <w:pPr>
        <w:rPr>
          <w:rFonts w:cs="Times New Roman"/>
          <w:szCs w:val="24"/>
        </w:rPr>
      </w:pPr>
      <w:r w:rsidRPr="00D008E4">
        <w:rPr>
          <w:rFonts w:cs="Times New Roman"/>
          <w:szCs w:val="24"/>
        </w:rPr>
        <w:t xml:space="preserve">Conceptually, financial support reduces acquisition sacrifice, convenience privileges alter the day-to-day usefulness of ownership, </w:t>
      </w:r>
      <w:r w:rsidR="0091635A" w:rsidRPr="00D008E4">
        <w:rPr>
          <w:rFonts w:cs="Times New Roman"/>
          <w:szCs w:val="24"/>
        </w:rPr>
        <w:t>and information</w:t>
      </w:r>
      <w:r w:rsidRPr="00D008E4">
        <w:rPr>
          <w:rFonts w:cs="Times New Roman"/>
          <w:szCs w:val="24"/>
        </w:rPr>
        <w:t xml:space="preserve"> can reduce uncertainty and infrastructure increases feasibility. Recent studies increasingly separate these routes (Xue et al., 2023; Ehsan et al., 2024). The relevant question is therefore not simply whether government support works, but which form of support addresses the constraint facing a given consumer.</w:t>
      </w:r>
    </w:p>
    <w:p w:rsidR="00EE72EF" w:rsidRPr="00D008E4" w:rsidRDefault="001A6DD9" w:rsidP="0000412A">
      <w:pPr>
        <w:rPr>
          <w:rFonts w:cs="Times New Roman"/>
          <w:szCs w:val="24"/>
        </w:rPr>
      </w:pPr>
      <w:r w:rsidRPr="00D008E4">
        <w:rPr>
          <w:rFonts w:cs="Times New Roman"/>
          <w:szCs w:val="24"/>
        </w:rPr>
        <w:t>This distinction becomes more important as the market matures. Shi and Lin (2024) observe stronger purchase willingness alongside weaker perceptions of subsidy support and stronger network and charging conditions. That pattern motivates the temporal analysis developed in Chapter 4 without requiring the literature review to reproduce the detailed study-by-study comparison here.</w:t>
      </w:r>
    </w:p>
    <w:p w:rsidR="00EE72EF" w:rsidRPr="00D008E4" w:rsidRDefault="001E7A16" w:rsidP="0000412A">
      <w:pPr>
        <w:pStyle w:val="Heading2"/>
        <w:rPr>
          <w:rFonts w:ascii="Times New Roman" w:hAnsi="Times New Roman" w:cs="Times New Roman"/>
          <w:szCs w:val="24"/>
        </w:rPr>
      </w:pPr>
      <w:r w:rsidRPr="00D008E4">
        <w:rPr>
          <w:rFonts w:ascii="Times New Roman" w:hAnsi="Times New Roman" w:cs="Times New Roman"/>
          <w:sz w:val="28"/>
          <w:szCs w:val="24"/>
        </w:rPr>
        <w:t>2.4 Price, Cost and Perceived v</w:t>
      </w:r>
      <w:r w:rsidR="001A6DD9" w:rsidRPr="00D008E4">
        <w:rPr>
          <w:rFonts w:ascii="Times New Roman" w:hAnsi="Times New Roman" w:cs="Times New Roman"/>
          <w:sz w:val="28"/>
          <w:szCs w:val="24"/>
        </w:rPr>
        <w:t>alue</w:t>
      </w:r>
    </w:p>
    <w:p w:rsidR="00EE72EF" w:rsidRPr="00D008E4" w:rsidRDefault="001A6DD9" w:rsidP="0000412A">
      <w:pPr>
        <w:rPr>
          <w:rFonts w:cs="Times New Roman"/>
          <w:szCs w:val="24"/>
        </w:rPr>
      </w:pPr>
      <w:r w:rsidRPr="00D008E4">
        <w:rPr>
          <w:rFonts w:cs="Times New Roman"/>
          <w:szCs w:val="24"/>
        </w:rPr>
        <w:t>An EV's upfront price is highly visible, but purchase decisions also involve expected operating costs, maintenance, charging, residual value and non-monetary benefits. Price consciousness and perceived value should therefore be kept separate. A relatively expensive EV can still be attractive if quality, technology, convenience and status justify the sacrifice; a</w:t>
      </w:r>
      <w:r w:rsidRPr="00D008E4">
        <w:rPr>
          <w:rFonts w:cs="Times New Roman"/>
          <w:szCs w:val="24"/>
          <w:lang w:val="en-GB"/>
        </w:rPr>
        <w:t xml:space="preserve"> subsidised</w:t>
      </w:r>
      <w:r w:rsidRPr="00D008E4">
        <w:rPr>
          <w:rFonts w:cs="Times New Roman"/>
          <w:szCs w:val="24"/>
        </w:rPr>
        <w:t xml:space="preserve"> vehicle can still offer poor value if the buyer doubts battery durability or charging access.</w:t>
      </w:r>
    </w:p>
    <w:p w:rsidR="00EE72EF" w:rsidRPr="00D008E4" w:rsidRDefault="001A6DD9" w:rsidP="0000412A">
      <w:pPr>
        <w:rPr>
          <w:rFonts w:cs="Times New Roman"/>
          <w:szCs w:val="24"/>
        </w:rPr>
      </w:pPr>
      <w:r w:rsidRPr="00D008E4">
        <w:rPr>
          <w:rFonts w:cs="Times New Roman"/>
          <w:szCs w:val="24"/>
        </w:rPr>
        <w:t xml:space="preserve">The literature points to a useful distinction between underlying affordability, the marginal effect of a financial incentive and the consumer's overall value judgement. A household may remain constrained </w:t>
      </w:r>
      <w:r w:rsidRPr="00D008E4">
        <w:rPr>
          <w:rFonts w:cs="Times New Roman"/>
          <w:szCs w:val="24"/>
        </w:rPr>
        <w:lastRenderedPageBreak/>
        <w:t>by price even when an additional subsidy has little incremental effect, while functional, psychosocial or convenience benefits can partly offset perceived sacrifice. The detailed empirical comparisons are developed in Chapter 4; at this stage, the key point is that consumers evaluate net value under uncertainty rather than responding mechanically to sticker price or subsidy size.</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2.5 Perceived risk, Trust and U</w:t>
      </w:r>
      <w:r w:rsidR="001A6DD9" w:rsidRPr="00D008E4">
        <w:rPr>
          <w:rFonts w:ascii="Times New Roman" w:hAnsi="Times New Roman" w:cs="Times New Roman"/>
          <w:sz w:val="28"/>
          <w:szCs w:val="24"/>
        </w:rPr>
        <w:t>ncertainty reduction</w:t>
      </w:r>
    </w:p>
    <w:p w:rsidR="00EE72EF" w:rsidRPr="00D008E4" w:rsidRDefault="001A6DD9" w:rsidP="0000412A">
      <w:pPr>
        <w:rPr>
          <w:rFonts w:cs="Times New Roman"/>
          <w:szCs w:val="24"/>
        </w:rPr>
      </w:pPr>
      <w:r w:rsidRPr="00D008E4">
        <w:rPr>
          <w:rFonts w:cs="Times New Roman"/>
          <w:szCs w:val="24"/>
        </w:rPr>
        <w:t>Perceived risk was central to the original proposal and remains conceptually important. In the EV context it can include financial loss, battery degradation, uncertain resale value, charging inconvenience, range limitations, safety or reliability concerns, manufacturer viability and the psychological cost of making a poor high-value decision. The literature also indicates, however, that risk is often shaped by knowledge, experience, brand signals and expected benefit rather than operating as an independent barrier.</w:t>
      </w:r>
    </w:p>
    <w:p w:rsidR="00EE72EF" w:rsidRPr="00D008E4" w:rsidRDefault="001A6DD9" w:rsidP="0000412A">
      <w:pPr>
        <w:rPr>
          <w:rFonts w:cs="Times New Roman"/>
          <w:szCs w:val="24"/>
        </w:rPr>
      </w:pPr>
      <w:r w:rsidRPr="00D008E4">
        <w:rPr>
          <w:rFonts w:cs="Times New Roman"/>
          <w:szCs w:val="24"/>
        </w:rPr>
        <w:t>Knowledge and driving experience can reduce perceived risk, while brand credibility can increase confidence in expected benefits (Wang et al., 2018; Xu et al., 2020; Yang, Tu and Jiang, 2020). Trust is therefore broader than a variable explicitly labelled 'trust': reputation, perceived quality, information credibility, social endorsement and first-hand experience can all make future outcomes easier to judge. At the same time, some studies report non-significant direct risk effects, suggesting that uncertainty may be mediated, absorbed into other evaluations or vary by consumer and product context.</w:t>
      </w:r>
    </w:p>
    <w:p w:rsidR="00EE72EF" w:rsidRPr="00D008E4" w:rsidRDefault="001A6DD9" w:rsidP="0000412A">
      <w:pPr>
        <w:rPr>
          <w:rFonts w:cs="Times New Roman"/>
          <w:szCs w:val="24"/>
        </w:rPr>
      </w:pPr>
      <w:r w:rsidRPr="00D008E4">
        <w:rPr>
          <w:rFonts w:cs="Times New Roman"/>
          <w:szCs w:val="24"/>
        </w:rPr>
        <w:t>For this review, the trust-risk relationship is therefore treated as an uncertainty-management process rather than a simple linear chain. Credible brands, first-hand experience, social proof, reliable infrastructure and stable institutions can make future ownership outcomes more predictable. Reduced uncertainty may lower perceived risk, but it may also increase perceived benefit, attitude, usefulness or behavioural control. This broader formulation is better able to accommodate the range of mediating pathways reported in the literature.</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2.6 Environmental concern, moral norms and self-image</w:t>
      </w:r>
    </w:p>
    <w:p w:rsidR="00EE72EF" w:rsidRPr="00D008E4" w:rsidRDefault="001A6DD9" w:rsidP="0000412A">
      <w:pPr>
        <w:rPr>
          <w:rFonts w:cs="Times New Roman"/>
          <w:szCs w:val="24"/>
        </w:rPr>
      </w:pPr>
      <w:r w:rsidRPr="00D008E4">
        <w:rPr>
          <w:rFonts w:cs="Times New Roman"/>
          <w:szCs w:val="24"/>
        </w:rPr>
        <w:t>Environmental concern is one of the most frequently examined EV motives, but its direct effect is inconsistent. China-focused studies suggest that concern often operates through attitude, personal norm, responsibility, self-efficacy or perceived green value rather than functioning as a sufficient purchase trigger on its own (Wang et al., 2016; Zhao et al., 2024). Later-adopter evidence also indicates that broad environmental concern may become less discriminating as EVs become more</w:t>
      </w:r>
      <w:r w:rsidRPr="00D008E4">
        <w:rPr>
          <w:rFonts w:cs="Times New Roman"/>
          <w:szCs w:val="24"/>
          <w:lang w:val="en-GB"/>
        </w:rPr>
        <w:t xml:space="preserve"> normalised</w:t>
      </w:r>
      <w:r w:rsidRPr="00D008E4">
        <w:rPr>
          <w:rFonts w:cs="Times New Roman"/>
          <w:szCs w:val="24"/>
        </w:rPr>
        <w:t xml:space="preserve"> (Feng et al., 2025).</w:t>
      </w:r>
    </w:p>
    <w:p w:rsidR="00EE72EF" w:rsidRPr="00D008E4" w:rsidRDefault="001A6DD9" w:rsidP="0000412A">
      <w:pPr>
        <w:rPr>
          <w:rFonts w:cs="Times New Roman"/>
          <w:szCs w:val="24"/>
        </w:rPr>
      </w:pPr>
      <w:r w:rsidRPr="00D008E4">
        <w:rPr>
          <w:rFonts w:cs="Times New Roman"/>
          <w:szCs w:val="24"/>
        </w:rPr>
        <w:t xml:space="preserve">The more persuasive interpretation is to place environmental concern upstream of the purchase decision. It can shape attitudes, activate responsibility, support self-image and increase perceived green </w:t>
      </w:r>
      <w:r w:rsidRPr="00D008E4">
        <w:rPr>
          <w:rFonts w:cs="Times New Roman"/>
          <w:szCs w:val="24"/>
        </w:rPr>
        <w:lastRenderedPageBreak/>
        <w:t>value, but practical and social conditions still determine whether that motivation becomes intention. Li et al. (2022) reinforce this point by showing that pro-environmental, innovative and normative self-image motives work configurationally and that environmental self-image alone can coexist with an intention-behaviour gap.</w:t>
      </w:r>
    </w:p>
    <w:p w:rsidR="00EE72EF" w:rsidRPr="00D008E4" w:rsidRDefault="001A6DD9" w:rsidP="0000412A">
      <w:pPr>
        <w:rPr>
          <w:rFonts w:cs="Times New Roman"/>
          <w:szCs w:val="24"/>
        </w:rPr>
      </w:pPr>
      <w:r w:rsidRPr="00D008E4">
        <w:rPr>
          <w:rFonts w:cs="Times New Roman"/>
          <w:szCs w:val="24"/>
        </w:rPr>
        <w:t>Environmental motivation is therefore retained as an important value source whose effect depends on personal responsibility, efficacy and feasibility. The more detailed comparison of direct, mediated and null effects is left to Chapter 4, where differences in sample and market stage can be examined explicitly.</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2.7 Social influence, S</w:t>
      </w:r>
      <w:r w:rsidR="001A6DD9" w:rsidRPr="00D008E4">
        <w:rPr>
          <w:rFonts w:ascii="Times New Roman" w:hAnsi="Times New Roman" w:cs="Times New Roman"/>
          <w:sz w:val="28"/>
          <w:szCs w:val="24"/>
        </w:rPr>
        <w:t>ubjective norm</w:t>
      </w:r>
      <w:r w:rsidRPr="00D008E4">
        <w:rPr>
          <w:rFonts w:ascii="Times New Roman" w:hAnsi="Times New Roman" w:cs="Times New Roman"/>
          <w:sz w:val="28"/>
          <w:szCs w:val="24"/>
        </w:rPr>
        <w:t>s and P</w:t>
      </w:r>
      <w:r w:rsidR="001A6DD9" w:rsidRPr="00D008E4">
        <w:rPr>
          <w:rFonts w:ascii="Times New Roman" w:hAnsi="Times New Roman" w:cs="Times New Roman"/>
          <w:sz w:val="28"/>
          <w:szCs w:val="24"/>
        </w:rPr>
        <w:t>eer effects</w:t>
      </w:r>
    </w:p>
    <w:p w:rsidR="00EE72EF" w:rsidRPr="00D008E4" w:rsidRDefault="001A6DD9" w:rsidP="0000412A">
      <w:pPr>
        <w:rPr>
          <w:rFonts w:cs="Times New Roman"/>
          <w:szCs w:val="24"/>
        </w:rPr>
      </w:pPr>
      <w:r w:rsidRPr="00D008E4">
        <w:rPr>
          <w:rFonts w:cs="Times New Roman"/>
          <w:szCs w:val="24"/>
        </w:rPr>
        <w:t xml:space="preserve">Social mechanisms recur across the China-focused literature under several labels: subjective norm, peer effect, face consciousness, social network, interpersonal information, status symbolism, </w:t>
      </w:r>
      <w:r w:rsidR="0091635A" w:rsidRPr="00D008E4">
        <w:rPr>
          <w:rFonts w:cs="Times New Roman"/>
          <w:szCs w:val="24"/>
        </w:rPr>
        <w:t>and ethnocentrism</w:t>
      </w:r>
      <w:r w:rsidRPr="00D008E4">
        <w:rPr>
          <w:rFonts w:cs="Times New Roman"/>
          <w:szCs w:val="24"/>
        </w:rPr>
        <w:t xml:space="preserve"> and brand-community interaction. Their recurrence across different models suggests that social influence is not a residual cultural variable. It can provide both information and legitimacy in a high-involvement purchase where many future outcomes remain uncertain.</w:t>
      </w:r>
    </w:p>
    <w:p w:rsidR="00EE72EF" w:rsidRPr="00D008E4" w:rsidRDefault="001A6DD9" w:rsidP="0000412A">
      <w:pPr>
        <w:rPr>
          <w:rFonts w:cs="Times New Roman"/>
          <w:szCs w:val="24"/>
        </w:rPr>
      </w:pPr>
      <w:r w:rsidRPr="00D008E4">
        <w:rPr>
          <w:rFonts w:cs="Times New Roman"/>
          <w:szCs w:val="24"/>
        </w:rPr>
        <w:t>The evidence spans several forms of social influence. Du et al. (2018) identify subjective norm as the strongest predictor in Tianjin; Habich-Sobiegalla, Kostka and Anzinger (2019), using respondents across 165 Chinese cities, find that wide social networks and knowing an EV owner increase purchase intention; Zhao et al. (2022) report significant peer effects for buyers and non-buyers in Shanghai; Wang, Cao and Zhang (2021) find social norms and face consciousness more influential than policy perceptions; and Wang et al. (2024) link virtual brand-community interactivity to perceived value and attitude.</w:t>
      </w:r>
    </w:p>
    <w:p w:rsidR="00EE72EF" w:rsidRPr="00D008E4" w:rsidRDefault="001A6DD9" w:rsidP="0000412A">
      <w:pPr>
        <w:rPr>
          <w:rFonts w:cs="Times New Roman"/>
          <w:szCs w:val="24"/>
        </w:rPr>
      </w:pPr>
      <w:r w:rsidRPr="00D008E4">
        <w:rPr>
          <w:rFonts w:cs="Times New Roman"/>
          <w:szCs w:val="24"/>
        </w:rPr>
        <w:t>These findings also suggest that the mechanism is not purely normative. An EV-owning peer can provide practical evidence about charging, range, reliability and operating cost, while an interactive brand community can reduce search costs and make otherwise private ownership experience observable. Social influence may therefore raise intention by changing value, attitude or perceived control as well as by creating pressure to conform. This helps explain why a direct subjective-norm path can weaken once those mediators are included in a model.</w:t>
      </w:r>
    </w:p>
    <w:p w:rsidR="00EE72EF" w:rsidRPr="00D008E4" w:rsidRDefault="001A6DD9" w:rsidP="0000412A">
      <w:pPr>
        <w:rPr>
          <w:rFonts w:cs="Times New Roman"/>
          <w:szCs w:val="24"/>
        </w:rPr>
      </w:pPr>
      <w:r w:rsidRPr="00D008E4">
        <w:rPr>
          <w:rFonts w:cs="Times New Roman"/>
          <w:szCs w:val="24"/>
        </w:rPr>
        <w:t>Status and identity add a further dimension. Rehman et al. (2024) identify status symbolism as relevant to adoption intention, while Wang et al. (2024) connect domestic EV purchase with ethnocentrism and brand-community engagement. These effects should not be reduced to a broad claim about 'Chinese collectivism'. They are more plausibly interpreted as context-dependent interactions between product positioning, peer groups, domestic-brand identity and consumer segment.</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2.8 Charging, range and facilitating conditions</w:t>
      </w:r>
    </w:p>
    <w:p w:rsidR="00EE72EF" w:rsidRPr="00D008E4" w:rsidRDefault="001A6DD9" w:rsidP="0000412A">
      <w:pPr>
        <w:rPr>
          <w:rFonts w:cs="Times New Roman"/>
          <w:szCs w:val="24"/>
        </w:rPr>
      </w:pPr>
      <w:r w:rsidRPr="00D008E4">
        <w:rPr>
          <w:rFonts w:cs="Times New Roman"/>
          <w:szCs w:val="24"/>
        </w:rPr>
        <w:t>Charging and range are unusual because they are both objective conditions and subjective experiences. A city can have a large public charging network while a particular household still lacks convenient access at home, work or along routine journeys. Conversely, a dense and reliable network can create confidence before a consumer has personally used it.</w:t>
      </w:r>
    </w:p>
    <w:p w:rsidR="00EE72EF" w:rsidRPr="00D008E4" w:rsidRDefault="001A6DD9" w:rsidP="0000412A">
      <w:pPr>
        <w:rPr>
          <w:rFonts w:cs="Times New Roman"/>
          <w:szCs w:val="24"/>
        </w:rPr>
      </w:pPr>
      <w:r w:rsidRPr="00D008E4">
        <w:rPr>
          <w:rFonts w:cs="Times New Roman"/>
          <w:szCs w:val="24"/>
        </w:rPr>
        <w:t>The literature repeatedly links this practical feasibility to adoption. Dong et al. (2020) find cruising range and charging availability more important than cost under subsidy conditions; Feng et al. (2025) identify facilitating conditions as significant among later adopters; Rehman et al. (2024) show that range confidence contributes to satisfaction; and Shi and Lin (2024) report improved perceptions of charging adequacy over time while still identifying infrastructure as a policy weakness. Charging is therefore part of the consumer value proposition, not merely an engineering capacity issue.</w:t>
      </w:r>
    </w:p>
    <w:p w:rsidR="00EE72EF" w:rsidRPr="00D008E4" w:rsidRDefault="001A6DD9" w:rsidP="0000412A">
      <w:pPr>
        <w:rPr>
          <w:rFonts w:cs="Times New Roman"/>
          <w:szCs w:val="24"/>
        </w:rPr>
      </w:pPr>
      <w:r w:rsidRPr="00D008E4">
        <w:rPr>
          <w:rFonts w:cs="Times New Roman"/>
          <w:szCs w:val="24"/>
        </w:rPr>
        <w:t>The results are not entirely uniform. Habich-Sobiegalla, Kostka and Anzinger (2019) find that macro-level charging infrastructure does not significantly predict individual intention in their nationwide model. Rather than dismissing this as contradiction, the difference points to a measurement problem: regional charger density may be too coarse to represent the access experienced by a specific household. Residential parking, commuting patterns and local network reliability may matter more than city-level counts, so studies that mix macro and individual measures should not assume they capture the same construct.</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2.9 Knowledge, Information and E</w:t>
      </w:r>
      <w:r w:rsidR="001A6DD9" w:rsidRPr="00D008E4">
        <w:rPr>
          <w:rFonts w:ascii="Times New Roman" w:hAnsi="Times New Roman" w:cs="Times New Roman"/>
          <w:sz w:val="28"/>
          <w:szCs w:val="24"/>
        </w:rPr>
        <w:t>xperience</w:t>
      </w:r>
    </w:p>
    <w:p w:rsidR="00EE72EF" w:rsidRPr="00D008E4" w:rsidRDefault="001A6DD9" w:rsidP="0000412A">
      <w:pPr>
        <w:rPr>
          <w:rFonts w:cs="Times New Roman"/>
          <w:szCs w:val="24"/>
        </w:rPr>
      </w:pPr>
      <w:r w:rsidRPr="00D008E4">
        <w:rPr>
          <w:rFonts w:cs="Times New Roman"/>
          <w:szCs w:val="24"/>
        </w:rPr>
        <w:t>Knowledge and experience connect almost every other theme. Huang et al. (2021) show technological knowledge improving usefulness, ease of use and intention; Wang et al. (2018) show knowledge reducing perceived risk; Xu et al. (2020) find driving experience lowers risk while improving relative advantage and ease of use; Ling, Cherry and Wen (2021) associate previous EV driving or passenger experience with a higher likelihood of BEV purchase in Beijing; and Jiang et al. (2025) find that past driving experience raises intention partly through attitude, personal norm, subjective norm and PBC.</w:t>
      </w:r>
    </w:p>
    <w:p w:rsidR="00EE72EF" w:rsidRPr="00D008E4" w:rsidRDefault="001A6DD9" w:rsidP="0000412A">
      <w:pPr>
        <w:rPr>
          <w:rFonts w:cs="Times New Roman"/>
          <w:szCs w:val="24"/>
        </w:rPr>
      </w:pPr>
      <w:r w:rsidRPr="00D008E4">
        <w:rPr>
          <w:rFonts w:cs="Times New Roman"/>
          <w:szCs w:val="24"/>
        </w:rPr>
        <w:t>The finding is more nuanced than the claim that 'more information is better'. Information can be excessive, confusing or unconvincing if its source lacks credibility. The supporting study by Xiong et al. (2024) reports the strongest positive association for interpersonal information, followed by official and commercial sources, with perceived risk mediating those relationships. This is consistent with the wider evidence that credible, experience-rich information is more useful for reducing uncertainty than message volume alone.</w:t>
      </w:r>
    </w:p>
    <w:p w:rsidR="00EE72EF" w:rsidRPr="00D008E4" w:rsidRDefault="001A6DD9" w:rsidP="0000412A">
      <w:pPr>
        <w:rPr>
          <w:rFonts w:cs="Times New Roman"/>
          <w:szCs w:val="24"/>
        </w:rPr>
      </w:pPr>
      <w:r w:rsidRPr="00D008E4">
        <w:rPr>
          <w:rFonts w:cs="Times New Roman"/>
          <w:szCs w:val="24"/>
        </w:rPr>
        <w:t>Experience also creates an important causal caveat. Consumers who choose a test drive may already be more interested in EVs, so cross-sectional studies cannot fully separate the effect of exposure from self-</w:t>
      </w:r>
      <w:r w:rsidRPr="00D008E4">
        <w:rPr>
          <w:rFonts w:cs="Times New Roman"/>
          <w:szCs w:val="24"/>
        </w:rPr>
        <w:lastRenderedPageBreak/>
        <w:t>selection. Even so, the recurrence of experience pathways across different methods makes trial a plausible intervention, while the size of its causal effect remains uncertain.</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2.10 Preliminary Conceptual F</w:t>
      </w:r>
      <w:r w:rsidR="001A6DD9" w:rsidRPr="00D008E4">
        <w:rPr>
          <w:rFonts w:ascii="Times New Roman" w:hAnsi="Times New Roman" w:cs="Times New Roman"/>
          <w:sz w:val="28"/>
          <w:szCs w:val="24"/>
        </w:rPr>
        <w:t>ramework</w:t>
      </w:r>
    </w:p>
    <w:p w:rsidR="00EE72EF" w:rsidRPr="00D008E4" w:rsidRDefault="00253D3A" w:rsidP="0000412A">
      <w:pPr>
        <w:rPr>
          <w:rFonts w:cs="Times New Roman"/>
          <w:szCs w:val="24"/>
        </w:rPr>
      </w:pPr>
      <w:r w:rsidRPr="00D008E4">
        <w:rPr>
          <w:rFonts w:cs="Times New Roman"/>
          <w:noProof/>
          <w:szCs w:val="24"/>
          <w:lang w:val="en-IN" w:eastAsia="en-IN"/>
        </w:rPr>
        <w:drawing>
          <wp:anchor distT="0" distB="0" distL="114300" distR="114300" simplePos="0" relativeHeight="251657728" behindDoc="1" locked="0" layoutInCell="1" allowOverlap="1">
            <wp:simplePos x="0" y="0"/>
            <wp:positionH relativeFrom="column">
              <wp:posOffset>0</wp:posOffset>
            </wp:positionH>
            <wp:positionV relativeFrom="paragraph">
              <wp:posOffset>2101850</wp:posOffset>
            </wp:positionV>
            <wp:extent cx="5731510" cy="3820795"/>
            <wp:effectExtent l="0" t="0" r="2540" b="8255"/>
            <wp:wrapTight wrapText="bothSides">
              <wp:wrapPolygon edited="0">
                <wp:start x="0" y="0"/>
                <wp:lineTo x="0" y="21539"/>
                <wp:lineTo x="21538" y="21539"/>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aa.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1A6DD9" w:rsidRPr="00D008E4">
        <w:rPr>
          <w:rFonts w:cs="Times New Roman"/>
          <w:szCs w:val="24"/>
        </w:rPr>
        <w:t>The literature reviewed above can be organised more coherently as a three-layer process than as a long list of independent predictors. The first layer contains contextual and experiential inputs: policy design, price and ownership economics, infrastructure, product and brand signals, social information, and consumer knowledge or experience. The second contains the consumer's psychological evaluation: perceived value or benefit, perceived risk or uncertainty, attitude, moral or personal norm and perceived behavioural control. The third is purchase or adoption intention.</w:t>
      </w:r>
    </w:p>
    <w:p w:rsidR="00EE72EF" w:rsidRPr="00D008E4" w:rsidRDefault="00EE72EF" w:rsidP="0000412A">
      <w:pPr>
        <w:rPr>
          <w:rFonts w:cs="Times New Roman"/>
          <w:szCs w:val="24"/>
        </w:rPr>
      </w:pPr>
    </w:p>
    <w:p w:rsidR="00EE72EF" w:rsidRPr="00D008E4" w:rsidRDefault="001A6DD9" w:rsidP="0000412A">
      <w:pPr>
        <w:pStyle w:val="Caption"/>
        <w:spacing w:line="360" w:lineRule="auto"/>
        <w:rPr>
          <w:rFonts w:cs="Times New Roman"/>
          <w:sz w:val="24"/>
          <w:szCs w:val="24"/>
        </w:rPr>
      </w:pPr>
      <w:r w:rsidRPr="00D008E4">
        <w:rPr>
          <w:rFonts w:cs="Times New Roman"/>
          <w:sz w:val="24"/>
          <w:szCs w:val="24"/>
        </w:rPr>
        <w:t>Figure 2.1. Preliminary integrated conceptual framework</w:t>
      </w:r>
    </w:p>
    <w:p w:rsidR="00EE72EF" w:rsidRPr="00D008E4" w:rsidRDefault="001A6DD9" w:rsidP="0000412A">
      <w:pPr>
        <w:rPr>
          <w:rFonts w:cs="Times New Roman"/>
          <w:szCs w:val="24"/>
        </w:rPr>
      </w:pPr>
      <w:r w:rsidRPr="00D008E4">
        <w:rPr>
          <w:rFonts w:cs="Times New Roman"/>
          <w:szCs w:val="24"/>
        </w:rPr>
        <w:t>Trust-related signals mainly connect the contextual and evaluative layers. Brand reputation, credible institutions, peers and first-hand experience can lower uncertainty and strengthen expected benefits. Policy may work through price, convenience, social confidence or infrastructure rather than only through a direct incentive path. Environmental concern sits upstream of attitude, moral norm, green value and efficacy, while social influence can act directly or reshape value, attitude and perceived control.</w:t>
      </w:r>
    </w:p>
    <w:p w:rsidR="00EE72EF" w:rsidRPr="00D008E4" w:rsidRDefault="001A6DD9" w:rsidP="0000412A">
      <w:pPr>
        <w:rPr>
          <w:rFonts w:cs="Times New Roman"/>
          <w:szCs w:val="24"/>
        </w:rPr>
      </w:pPr>
      <w:r w:rsidRPr="00D008E4">
        <w:rPr>
          <w:rFonts w:cs="Times New Roman"/>
          <w:szCs w:val="24"/>
        </w:rPr>
        <w:lastRenderedPageBreak/>
        <w:t>Three propositions follow from this framework and are examined in Chapter 4. First, proximal psychological evaluations should be more consistently associated with intention than distal contextual inputs. Second, as the market matures, policy effectiveness should depend increasingly on convenience, confidence and ecosystem quality rather than on financial generosity alone. Third, trust and risk should be understood within a wider system of uncertainty management whose measured importance varies with sample, brand context, knowledge and experience.</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2.11 Chapter C</w:t>
      </w:r>
      <w:r w:rsidR="001A6DD9" w:rsidRPr="00D008E4">
        <w:rPr>
          <w:rFonts w:ascii="Times New Roman" w:hAnsi="Times New Roman" w:cs="Times New Roman"/>
          <w:sz w:val="28"/>
          <w:szCs w:val="24"/>
        </w:rPr>
        <w:t>onclusion</w:t>
      </w:r>
    </w:p>
    <w:p w:rsidR="00EE72EF" w:rsidRPr="00D008E4" w:rsidRDefault="001A6DD9" w:rsidP="0000412A">
      <w:pPr>
        <w:rPr>
          <w:rFonts w:cs="Times New Roman"/>
          <w:szCs w:val="24"/>
        </w:rPr>
      </w:pPr>
      <w:r w:rsidRPr="00D008E4">
        <w:rPr>
          <w:rFonts w:cs="Times New Roman"/>
          <w:szCs w:val="24"/>
        </w:rPr>
        <w:t>No single adoption model provides a complete explanation of consumer EV purchase intention in China. TPB offers a durable proximal structure through attitude, norms and PBC, but it requires antecedents such as knowledge, value, moral motivation, policy, infrastructure and brand signals to explain how those evaluations are formed. TAM clarifies the role of usefulness, ease and learning but says less about social and policy conditions. Norm-activation and value perspectives explain why environmental concern is more likely to matter when it becomes personal responsibility, efficacy, identity or practical value.</w:t>
      </w:r>
    </w:p>
    <w:p w:rsidR="00EE72EF" w:rsidRPr="00D008E4" w:rsidRDefault="001A6DD9" w:rsidP="0000412A">
      <w:pPr>
        <w:rPr>
          <w:rFonts w:cs="Times New Roman"/>
          <w:szCs w:val="24"/>
        </w:rPr>
      </w:pPr>
      <w:r w:rsidRPr="00D008E4">
        <w:rPr>
          <w:rFonts w:cs="Times New Roman"/>
          <w:szCs w:val="24"/>
        </w:rPr>
        <w:t>Two simple accounts are therefore difficult to defend: that subsidy is the decisive lever and that trust is a universally dominant risk-reduction variable. Both matter, but their effects depend on context and on the other evaluations already present in the decision. Chapter 3 sets out how the evidence was identified, screened, appraised and coded before Chapter 4 tests this preliminary framework against</w:t>
      </w:r>
      <w:r w:rsidR="00520DF1">
        <w:rPr>
          <w:rFonts w:cs="Times New Roman"/>
          <w:szCs w:val="24"/>
        </w:rPr>
        <w:t xml:space="preserve"> the forty core studies and ten </w:t>
      </w:r>
      <w:r w:rsidRPr="00D008E4">
        <w:rPr>
          <w:rFonts w:cs="Times New Roman"/>
          <w:szCs w:val="24"/>
        </w:rPr>
        <w:t>supporting studies.</w:t>
      </w:r>
    </w:p>
    <w:p w:rsidR="00EE72EF" w:rsidRPr="00D008E4" w:rsidRDefault="001A6DD9" w:rsidP="0000412A">
      <w:pPr>
        <w:rPr>
          <w:rFonts w:cs="Times New Roman"/>
          <w:szCs w:val="24"/>
        </w:rPr>
      </w:pPr>
      <w:r w:rsidRPr="00D008E4">
        <w:rPr>
          <w:rFonts w:cs="Times New Roman"/>
          <w:szCs w:val="24"/>
        </w:rPr>
        <w:br w:type="page"/>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Chapter 3: Research Methodology</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3.1 Introduction</w:t>
      </w:r>
    </w:p>
    <w:p w:rsidR="00EE72EF" w:rsidRPr="00D008E4" w:rsidRDefault="001A6DD9" w:rsidP="0000412A">
      <w:pPr>
        <w:rPr>
          <w:rFonts w:cs="Times New Roman"/>
          <w:szCs w:val="24"/>
        </w:rPr>
      </w:pPr>
      <w:r w:rsidRPr="00D008E4">
        <w:rPr>
          <w:rFonts w:cs="Times New Roman"/>
          <w:szCs w:val="24"/>
        </w:rPr>
        <w:t>This chapter explains how the broad question of EV purchase intention was converted into a transparent and reproducible evidence synthesis. The purpose is interpretive and integrative rather than predictive: the review asks what the China-focused literature collectively shows, why apparently similar studies reach different conclusions and what those differences mean for theory and practice. An SLR is appropriate because the research problem is not a lack of individual studies, but fragmentation across an already substantial empirical literature.</w:t>
      </w:r>
    </w:p>
    <w:p w:rsidR="00EE72EF" w:rsidRPr="00D008E4" w:rsidRDefault="001A6DD9" w:rsidP="0000412A">
      <w:pPr>
        <w:rPr>
          <w:rFonts w:cs="Times New Roman"/>
          <w:szCs w:val="24"/>
        </w:rPr>
      </w:pPr>
      <w:r w:rsidRPr="00D008E4">
        <w:rPr>
          <w:rFonts w:cs="Times New Roman"/>
          <w:szCs w:val="24"/>
        </w:rPr>
        <w:t>Four principles shaped the method. Eligibility rules had to distinguish direct purchase-intention evidence from adjacent outcomes; quality appraisal had to accommodate different quantitative and mixed-method designs without pretending they offered the same level of inference; contradictory findings had to remain visible rather than being reduced to simple vote counting; and changes from the preliminary proposal, particularly the publication window, had to be reported openly. These principles were intended to make the synthesis auditable and to reduce the risk of selecting evidence that merely confirmed the original trust-risk framing.</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3.2 Research P</w:t>
      </w:r>
      <w:r w:rsidR="001A6DD9" w:rsidRPr="00D008E4">
        <w:rPr>
          <w:rFonts w:ascii="Times New Roman" w:hAnsi="Times New Roman" w:cs="Times New Roman"/>
          <w:sz w:val="28"/>
          <w:szCs w:val="24"/>
        </w:rPr>
        <w:t>hilosophy</w:t>
      </w:r>
    </w:p>
    <w:p w:rsidR="00EE72EF" w:rsidRPr="00D008E4" w:rsidRDefault="001A6DD9" w:rsidP="0000412A">
      <w:pPr>
        <w:rPr>
          <w:rFonts w:cs="Times New Roman"/>
          <w:szCs w:val="24"/>
        </w:rPr>
      </w:pPr>
      <w:r w:rsidRPr="00D008E4">
        <w:rPr>
          <w:rFonts w:cs="Times New Roman"/>
          <w:szCs w:val="24"/>
        </w:rPr>
        <w:t>The review adopts a pragmatic philosophy. Research philosophy concerns the assumptions that shape what is accepted as useful knowledge and how it can be generated (Saunders, Lewis and Thornhill, 2023). A strictly positivist position would fit a study testing predefined causal hypotheses with one measurement system, while</w:t>
      </w:r>
      <w:r w:rsidRPr="00D008E4">
        <w:rPr>
          <w:rFonts w:cs="Times New Roman"/>
          <w:szCs w:val="24"/>
          <w:lang w:val="en-GB"/>
        </w:rPr>
        <w:t xml:space="preserve"> interpretivism</w:t>
      </w:r>
      <w:r w:rsidRPr="00D008E4">
        <w:rPr>
          <w:rFonts w:cs="Times New Roman"/>
          <w:szCs w:val="24"/>
        </w:rPr>
        <w:t xml:space="preserve"> would be more appropriate for research</w:t>
      </w:r>
      <w:r w:rsidRPr="00D008E4">
        <w:rPr>
          <w:rFonts w:cs="Times New Roman"/>
          <w:szCs w:val="24"/>
          <w:lang w:val="en-GB"/>
        </w:rPr>
        <w:t xml:space="preserve"> centred</w:t>
      </w:r>
      <w:r w:rsidRPr="00D008E4">
        <w:rPr>
          <w:rFonts w:cs="Times New Roman"/>
          <w:szCs w:val="24"/>
        </w:rPr>
        <w:t xml:space="preserve"> on participants' lived meanings. Neither position alone matches this SLR. The included studies combine survey measures, latent constructs, choice models, configurational analysis and limited mixed-method evidence, while the review is interested both in measured associations and in the contexts through which consumers interpret value and uncertainty.</w:t>
      </w:r>
    </w:p>
    <w:p w:rsidR="00EE72EF" w:rsidRPr="00D008E4" w:rsidRDefault="001A6DD9" w:rsidP="0000412A">
      <w:pPr>
        <w:rPr>
          <w:rFonts w:cs="Times New Roman"/>
          <w:szCs w:val="24"/>
        </w:rPr>
      </w:pPr>
      <w:r w:rsidRPr="00D008E4">
        <w:rPr>
          <w:rFonts w:cs="Times New Roman"/>
          <w:szCs w:val="24"/>
        </w:rPr>
        <w:t>Pragmatism allows the research problem, rather than allegiance to a single epistemological position, to determine how evidence is compared. EV adoption is shaped by observable conditions such as price, charging and policy, but also by perceptions of risk, reputation, environmental responsibility and status. A pragmatic stance therefore permits comparison across methods while remaining clear about what each can and cannot establish. It also fits the applied purpose of the dissertation: a useful synthesis should identify not only which factors matter, but which levers managers and policy makers can plausibly influence and under what conditions.</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3.3 Research approach</w:t>
      </w:r>
    </w:p>
    <w:p w:rsidR="00EE72EF" w:rsidRPr="00D008E4" w:rsidRDefault="001A6DD9" w:rsidP="0000412A">
      <w:pPr>
        <w:rPr>
          <w:rFonts w:cs="Times New Roman"/>
          <w:szCs w:val="24"/>
        </w:rPr>
      </w:pPr>
      <w:r w:rsidRPr="00D008E4">
        <w:rPr>
          <w:rFonts w:cs="Times New Roman"/>
          <w:szCs w:val="24"/>
        </w:rPr>
        <w:t>The review is primarily inductive. A deductive design would begin with a fixed causal model and judge the evidence against predefined hypotheses. The preliminary proposal did contain a strong expectation that trust would reduce perceived risk and thereby increase purchase intention. Treating that expectation as a fixed model after screening, however, would create confirmation risk because trust and risk are not measured in every study and are not consistently significant when they are measured.</w:t>
      </w:r>
    </w:p>
    <w:p w:rsidR="00EE72EF" w:rsidRPr="00D008E4" w:rsidRDefault="001A6DD9" w:rsidP="0000412A">
      <w:pPr>
        <w:rPr>
          <w:rFonts w:cs="Times New Roman"/>
          <w:szCs w:val="24"/>
        </w:rPr>
      </w:pPr>
      <w:r w:rsidRPr="00D008E4">
        <w:rPr>
          <w:rFonts w:cs="Times New Roman"/>
          <w:szCs w:val="24"/>
        </w:rPr>
        <w:t>Induction allows the structure of the explanation to change as studies are compared. TPB, TAM, NAM, diffusion theory and trust research still provide useful</w:t>
      </w:r>
      <w:r w:rsidRPr="00D008E4">
        <w:rPr>
          <w:rFonts w:cs="Times New Roman"/>
          <w:szCs w:val="24"/>
          <w:lang w:val="en-GB"/>
        </w:rPr>
        <w:t xml:space="preserve"> sensitising</w:t>
      </w:r>
      <w:r w:rsidRPr="00D008E4">
        <w:rPr>
          <w:rFonts w:cs="Times New Roman"/>
          <w:szCs w:val="24"/>
        </w:rPr>
        <w:t xml:space="preserve"> concepts, but they organise interpretation rather than determine the result in advance. This is also why the final research questions were broadened: the review can conclude that the original trust-risk proposition is supported, supported only under certain conditions or not supported in a particular context without treating any of those outcomes as a failure of the method.</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3.4 Research Design: S</w:t>
      </w:r>
      <w:r w:rsidR="001A6DD9" w:rsidRPr="00D008E4">
        <w:rPr>
          <w:rFonts w:ascii="Times New Roman" w:hAnsi="Times New Roman" w:cs="Times New Roman"/>
          <w:sz w:val="28"/>
          <w:szCs w:val="24"/>
        </w:rPr>
        <w:t>ystematic literature review</w:t>
      </w:r>
    </w:p>
    <w:p w:rsidR="00EE72EF" w:rsidRPr="00D008E4" w:rsidRDefault="001A6DD9" w:rsidP="0000412A">
      <w:pPr>
        <w:rPr>
          <w:rFonts w:cs="Times New Roman"/>
          <w:szCs w:val="24"/>
        </w:rPr>
      </w:pPr>
      <w:r w:rsidRPr="00D008E4">
        <w:rPr>
          <w:rFonts w:cs="Times New Roman"/>
          <w:szCs w:val="24"/>
        </w:rPr>
        <w:t>A systematic literature review uses explicit procedures to identify, screen, appraise and synthesise research. It suits this topic for three reasons. The literature spans marketing, transportation, sustainability, psychology and technology management; studies that appear to examine the same decision often operationalise both predictors and purchase intention differently; and China's EV market has changed quickly enough that the timing of evidence matters. A structured review is therefore needed to compare like with like while still preserving methodological and temporal differences.</w:t>
      </w:r>
    </w:p>
    <w:p w:rsidR="00EE72EF" w:rsidRPr="00D008E4" w:rsidRDefault="001A6DD9" w:rsidP="0000412A">
      <w:pPr>
        <w:rPr>
          <w:rFonts w:cs="Times New Roman"/>
          <w:szCs w:val="24"/>
        </w:rPr>
      </w:pPr>
      <w:r w:rsidRPr="00D008E4">
        <w:rPr>
          <w:rFonts w:cs="Times New Roman"/>
          <w:szCs w:val="24"/>
        </w:rPr>
        <w:t>PRISMA 2020 principles (Page et al., 2021) guide reporting of the selection process. The flow figure is described as 'PRISMA-style' because the archived source collection begins with 59 numbered records available for screening rather than a preserved database-by-database export of every record initially retrieved. Rather than reconstructing counts retrospectively, the dissertation reports the audit trail that can actually be verified. The resulting limitation is acknowledged in Section 3.11.</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3.5 Search Strategy and Protocol D</w:t>
      </w:r>
      <w:r w:rsidR="001A6DD9" w:rsidRPr="00D008E4">
        <w:rPr>
          <w:rFonts w:ascii="Times New Roman" w:hAnsi="Times New Roman" w:cs="Times New Roman"/>
          <w:sz w:val="28"/>
          <w:szCs w:val="24"/>
        </w:rPr>
        <w:t>evelopment</w:t>
      </w:r>
    </w:p>
    <w:p w:rsidR="00EE72EF" w:rsidRPr="00D008E4" w:rsidRDefault="001A6DD9" w:rsidP="0000412A">
      <w:pPr>
        <w:rPr>
          <w:rFonts w:cs="Times New Roman"/>
          <w:szCs w:val="24"/>
        </w:rPr>
      </w:pPr>
      <w:r w:rsidRPr="00D008E4">
        <w:rPr>
          <w:rFonts w:cs="Times New Roman"/>
          <w:szCs w:val="24"/>
        </w:rPr>
        <w:t>The preliminary proposal identified Scopus, Web of Science, ScienceDirect, Emerald Insight, IEEE Xplore and Google Scholar as relevant multidisciplinary sources. Search concepts were organised into four blocks: the technology (electric vehicle, EV, battery electric vehicle, BEV, new energy vehicle, NEV); the behaviour (purchase intention, adoption intention, acceptance, switching intention, willingness); consumer-level determinants (trust, risk, attitude, perceived value, social influence, policy, charging, knowledge); and geography (China, Chinese consumer and named Chinese cities where appropriate). Boolean combinations were adapted to the syntax of each database.</w:t>
      </w:r>
    </w:p>
    <w:p w:rsidR="00EE72EF" w:rsidRPr="00D008E4" w:rsidRDefault="001A6DD9" w:rsidP="0000412A">
      <w:pPr>
        <w:rPr>
          <w:rFonts w:cs="Times New Roman"/>
          <w:szCs w:val="24"/>
        </w:rPr>
      </w:pPr>
      <w:r w:rsidRPr="00D008E4">
        <w:rPr>
          <w:rFonts w:cs="Times New Roman"/>
          <w:szCs w:val="24"/>
        </w:rPr>
        <w:lastRenderedPageBreak/>
        <w:t>The final protocol covers 2014-2025, which is wider than the contemporary window stated in the initial proposal. The change was made before final synthesis because a post-2020-only review would provide too little basis for examining how determinants changed as subsidies declined and the market moved beyond early adoption. Once that rationale had been adopted, the end date was fixed at 2025. A relevant 2026 design-aesthetics paper was therefore excluded rather than added opportunistically. Reporting the change as a protocol refinement is methodologically preferable to rewriting the history of the review as though the wider window had been planned from the start.</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3.6 Inclusion and Exclusion C</w:t>
      </w:r>
      <w:r w:rsidR="001A6DD9" w:rsidRPr="00D008E4">
        <w:rPr>
          <w:rFonts w:ascii="Times New Roman" w:hAnsi="Times New Roman" w:cs="Times New Roman"/>
          <w:sz w:val="28"/>
          <w:szCs w:val="24"/>
        </w:rPr>
        <w:t>riteria</w:t>
      </w:r>
    </w:p>
    <w:p w:rsidR="00EE72EF" w:rsidRPr="00D008E4" w:rsidRDefault="001A6DD9" w:rsidP="0000412A">
      <w:pPr>
        <w:rPr>
          <w:rFonts w:cs="Times New Roman"/>
          <w:szCs w:val="24"/>
        </w:rPr>
      </w:pPr>
      <w:r w:rsidRPr="00D008E4">
        <w:rPr>
          <w:rFonts w:cs="Times New Roman"/>
          <w:szCs w:val="24"/>
        </w:rPr>
        <w:t>Core studies had to be peer-reviewed empirical research published in English between 2014 and 2025, examine consumers in mainland China or a clearly identified Chinese city or region, and address EV/BEV/NEV purchase, adoption or a closely aligned switching intention. Preference or willingness outcomes were included only where they represented a credible pre-purchase behavioural outcome and the link to purchase was explicit.</w:t>
      </w:r>
    </w:p>
    <w:p w:rsidR="00EE72EF" w:rsidRPr="00D008E4" w:rsidRDefault="001A6DD9" w:rsidP="0000412A">
      <w:pPr>
        <w:rPr>
          <w:rFonts w:cs="Times New Roman"/>
          <w:szCs w:val="24"/>
        </w:rPr>
      </w:pPr>
      <w:r w:rsidRPr="00D008E4">
        <w:rPr>
          <w:rFonts w:cs="Times New Roman"/>
          <w:szCs w:val="24"/>
        </w:rPr>
        <w:t>Studies were excluded from the core synthesis when they examined non-Chinese consumers only; focused on engineering, battery or charging technology without a consumer purchase outcome; addressed battery recycling, remanufactured-battery purchase or commercial fleet electrification; consisted only of review evidence; focused on owner satisfaction without prospective adoption relevance; or fell outside the fixed publication window. Cross-national studies were also excluded when China-specific results could not answer the review question independently.</w:t>
      </w:r>
    </w:p>
    <w:p w:rsidR="00EE72EF" w:rsidRPr="00D008E4" w:rsidRDefault="001A6DD9" w:rsidP="0000412A">
      <w:pPr>
        <w:rPr>
          <w:rFonts w:cs="Times New Roman"/>
          <w:szCs w:val="24"/>
        </w:rPr>
      </w:pPr>
      <w:r w:rsidRPr="00D008E4">
        <w:rPr>
          <w:rFonts w:cs="Times New Roman"/>
          <w:szCs w:val="24"/>
        </w:rPr>
        <w:t>A separate supporting category was retained for borderline but potentially informative evidence rather than forcing every record into a bina</w:t>
      </w:r>
      <w:r w:rsidR="00520DF1">
        <w:rPr>
          <w:rFonts w:cs="Times New Roman"/>
          <w:szCs w:val="24"/>
        </w:rPr>
        <w:t xml:space="preserve">ry include/exclude decision. </w:t>
      </w:r>
      <w:r w:rsidR="00520DF1">
        <w:t xml:space="preserve">Ten studies were used in this capacity. Six were classified as supporting or provisional evidence because their outcomes or evidence form did not fully align with the primary review question, while four additional records were retained only for supporting </w:t>
      </w:r>
      <w:r w:rsidR="00520DF1">
        <w:t>or background discussion</w:t>
      </w:r>
      <w:r w:rsidR="00520DF1">
        <w:rPr>
          <w:rFonts w:cs="Times New Roman"/>
          <w:szCs w:val="24"/>
        </w:rPr>
        <w:t>. None of these ten</w:t>
      </w:r>
      <w:r w:rsidRPr="00D008E4">
        <w:rPr>
          <w:rFonts w:cs="Times New Roman"/>
          <w:szCs w:val="24"/>
        </w:rPr>
        <w:t xml:space="preserve"> studies contributes to the forty-study core theme denominator.</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3.7 Screening and PRISMA A</w:t>
      </w:r>
      <w:r w:rsidR="001A6DD9" w:rsidRPr="00D008E4">
        <w:rPr>
          <w:rFonts w:ascii="Times New Roman" w:hAnsi="Times New Roman" w:cs="Times New Roman"/>
          <w:sz w:val="28"/>
          <w:szCs w:val="24"/>
        </w:rPr>
        <w:t>udit</w:t>
      </w:r>
    </w:p>
    <w:p w:rsidR="00EE72EF" w:rsidRPr="00D008E4" w:rsidRDefault="005E4744" w:rsidP="0000412A">
      <w:pPr>
        <w:rPr>
          <w:rFonts w:cs="Times New Roman"/>
          <w:szCs w:val="24"/>
        </w:rPr>
      </w:pPr>
      <w:r>
        <w:t>The screened evidence database contains 59 numbered records. Forty studies were retained for the core thematic synthesis and ten additional studies were retained for supporting or contextual use, giving a total dissertation evidence set of 50 papers. Nine records were fully excluded. The ten supporting/contextual studies sit outside the forty-study core synthesis and therefore do not contribute to the thematic frequency denominator.</w:t>
      </w:r>
      <w:r>
        <w:t xml:space="preserve"> </w:t>
      </w:r>
      <w:r w:rsidR="001A6DD9" w:rsidRPr="00D008E4">
        <w:rPr>
          <w:rFonts w:cs="Times New Roman"/>
          <w:szCs w:val="24"/>
        </w:rPr>
        <w:t xml:space="preserve">Later re-uploads created duplicate copies within the working archive. File-hash checking confirmed that these were storage duplicates of existing numbered articles rather than additional search records, so they do not affect the review denominator. One excluded record </w:t>
      </w:r>
      <w:r w:rsidR="001A6DD9" w:rsidRPr="00D008E4">
        <w:rPr>
          <w:rFonts w:cs="Times New Roman"/>
          <w:szCs w:val="24"/>
        </w:rPr>
        <w:lastRenderedPageBreak/>
        <w:t>(data21, on remanufactured EV batteries) remains in the screening database although its PDF is no longer present in the retained working set. Because that paper was excluded for the wrong product and outcome, its absence does not affect the evidence used in the synthesis. Recording this distinction prevents the current archive state from rewriting the earlier screening decision.</w:t>
      </w: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3.8 Quality A</w:t>
      </w:r>
      <w:r w:rsidR="001A6DD9" w:rsidRPr="00D008E4">
        <w:rPr>
          <w:rFonts w:ascii="Times New Roman" w:hAnsi="Times New Roman" w:cs="Times New Roman"/>
          <w:sz w:val="28"/>
          <w:szCs w:val="24"/>
        </w:rPr>
        <w:t>ppraisal</w:t>
      </w:r>
    </w:p>
    <w:p w:rsidR="00EE72EF" w:rsidRPr="00D008E4" w:rsidRDefault="001A6DD9" w:rsidP="0000412A">
      <w:pPr>
        <w:rPr>
          <w:rFonts w:cs="Times New Roman"/>
          <w:szCs w:val="24"/>
        </w:rPr>
      </w:pPr>
      <w:r w:rsidRPr="00D008E4">
        <w:rPr>
          <w:rFonts w:cs="Times New Roman"/>
          <w:szCs w:val="24"/>
        </w:rPr>
        <w:t>Quality appraisal used a CASP-informed framework adapted across study designs. Because the core evidence is dominated by quantitative surveys, the CASP Cross-Sectional Studies Checklist was the principal reference for survey and SEM research (Critical Appraisal Skills Programme, n.d.). No purely qualitative study entered the forty-study core synthesis. For mixed-method, stated-choice, repeated cross-sectional and configurational studies, relevant CASP principles were mapped to the same common domains instead of forcing those designs into a survey template that did not fit. This approach offered consistency without implying that all methods support the same kinds of inference.</w:t>
      </w:r>
    </w:p>
    <w:p w:rsidR="00EE72EF" w:rsidRPr="00D008E4" w:rsidRDefault="001A6DD9" w:rsidP="0000412A">
      <w:pPr>
        <w:rPr>
          <w:rFonts w:cs="Times New Roman"/>
          <w:szCs w:val="24"/>
        </w:rPr>
      </w:pPr>
      <w:r w:rsidRPr="00D008E4">
        <w:rPr>
          <w:rFonts w:cs="Times New Roman"/>
          <w:szCs w:val="24"/>
        </w:rPr>
        <w:t>Five domains were recorded for every core study: (1) clarity of the research aim; (2) appropriateness of the design; (3) adequacy of the sample or data-source description; (4) appropriateness of the analysis for the design and question; and (5) usefulness of the findings for this review. Each domain was coded Yes, Partial or No, with a key limitation recorded separately. No numerical CASP total was calculated. CASP is a critical-appraisal aid rather than a validated universal scoring scale, and a common point threshold would create false equivalence across SEM, choice experiments, fsQCA and mixed-method designs. Overall judgements were therefore qualitative: High where the aim, design, analysis and usefulness were adequate and remaining weaknesses did not make the evidence unusable; Medium where material uncertainty remained but cautious use was still justified; and Low where weaknesses substantially undermined confidence in the study's contribution.</w:t>
      </w:r>
    </w:p>
    <w:p w:rsidR="00EE72EF" w:rsidRPr="00D008E4" w:rsidRDefault="001A6DD9" w:rsidP="0000412A">
      <w:pPr>
        <w:rPr>
          <w:rFonts w:cs="Times New Roman"/>
          <w:szCs w:val="24"/>
        </w:rPr>
      </w:pPr>
      <w:r w:rsidRPr="00D008E4">
        <w:rPr>
          <w:rFonts w:cs="Times New Roman"/>
          <w:szCs w:val="24"/>
        </w:rPr>
        <w:t xml:space="preserve">Appraisal followed eligibility screening and was used to calibrate interpretation rather than to impose an automatic quality cut-off. No study was excluded solely because of its rating. </w:t>
      </w:r>
      <w:r w:rsidR="005E4744">
        <w:t xml:space="preserve">All forty core studies were judged </w:t>
      </w:r>
      <w:proofErr w:type="gramStart"/>
      <w:r w:rsidR="005E4744">
        <w:t>High</w:t>
      </w:r>
      <w:proofErr w:type="gramEnd"/>
      <w:r w:rsidR="005E4744">
        <w:t xml:space="preserve"> under the adapted criteria. Among the six supporting or provisional studies subjected to the same appraisal, three were High and three Medium. Four additional records were used only for supporting or background context and were not treated as part of the core appraisal set.</w:t>
      </w:r>
      <w:r w:rsidR="005E4744">
        <w:t xml:space="preserve"> </w:t>
      </w:r>
      <w:r w:rsidRPr="00D008E4">
        <w:rPr>
          <w:rFonts w:cs="Times New Roman"/>
          <w:szCs w:val="24"/>
        </w:rPr>
        <w:t xml:space="preserve">This </w:t>
      </w:r>
      <w:proofErr w:type="spellStart"/>
      <w:r w:rsidRPr="00D008E4">
        <w:rPr>
          <w:rFonts w:cs="Times New Roman"/>
          <w:szCs w:val="24"/>
        </w:rPr>
        <w:t>favourable</w:t>
      </w:r>
      <w:proofErr w:type="spellEnd"/>
      <w:r w:rsidRPr="00D008E4">
        <w:rPr>
          <w:rFonts w:cs="Times New Roman"/>
          <w:szCs w:val="24"/>
        </w:rPr>
        <w:t xml:space="preserve"> profile should not be read as evidence of low bias. Cross-sectional self-report surveys dominate the literature, leaving common-method, </w:t>
      </w:r>
      <w:r w:rsidR="0091635A" w:rsidRPr="00D008E4">
        <w:rPr>
          <w:rFonts w:cs="Times New Roman"/>
          <w:szCs w:val="24"/>
        </w:rPr>
        <w:t>and temporal</w:t>
      </w:r>
      <w:r w:rsidRPr="00D008E4">
        <w:rPr>
          <w:rFonts w:cs="Times New Roman"/>
          <w:szCs w:val="24"/>
        </w:rPr>
        <w:t>-order and intention-</w:t>
      </w:r>
      <w:proofErr w:type="spellStart"/>
      <w:r w:rsidRPr="00D008E4">
        <w:rPr>
          <w:rFonts w:cs="Times New Roman"/>
          <w:szCs w:val="24"/>
        </w:rPr>
        <w:t>behaviour</w:t>
      </w:r>
      <w:proofErr w:type="spellEnd"/>
      <w:r w:rsidRPr="00D008E4">
        <w:rPr>
          <w:rFonts w:cs="Times New Roman"/>
          <w:szCs w:val="24"/>
        </w:rPr>
        <w:t xml:space="preserve"> concerns. Geographic concentration is also important: Beijing and Shanghai operate under policy and infrastructure conditions that may not resemble lower-tier cities, and several studies rely on convenience, purposive or exhibition-based recruitment. These limitations are carried into the interpretation in Chapter 4 and reported at study level in Appendix C.</w:t>
      </w:r>
    </w:p>
    <w:p w:rsidR="00EE72EF" w:rsidRPr="00D008E4" w:rsidRDefault="001A6DD9" w:rsidP="0000412A">
      <w:pPr>
        <w:rPr>
          <w:rFonts w:cs="Times New Roman"/>
          <w:szCs w:val="24"/>
        </w:rPr>
      </w:pPr>
      <w:r w:rsidRPr="00D008E4">
        <w:rPr>
          <w:rFonts w:cs="Times New Roman"/>
          <w:szCs w:val="24"/>
        </w:rPr>
        <w:lastRenderedPageBreak/>
        <w:t>The appraisal also separates analytical sophistication from causal strength. SEM can test whether a hypothesised covariance structure is consistent with observed survey data, but it cannot establish temporal causality by itself. Neural networks can rank predictive importance without revealing a transparent causal mechanism, while fsQCA identifies sufficient configurations rather than average net effects. Findings are therefore interpreted according to the inferential limits of the method that produced them, not according to the apparent complexity of the analysis.</w:t>
      </w:r>
    </w:p>
    <w:p w:rsidR="00463217" w:rsidRPr="00D008E4" w:rsidRDefault="00463217" w:rsidP="0000412A">
      <w:pPr>
        <w:rPr>
          <w:rFonts w:cs="Times New Roman"/>
          <w:szCs w:val="24"/>
        </w:rPr>
      </w:pPr>
    </w:p>
    <w:p w:rsidR="00EE72EF" w:rsidRPr="00D008E4" w:rsidRDefault="009B4DF6"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3.9 Data Extraction and T</w:t>
      </w:r>
      <w:r w:rsidR="00BD1281" w:rsidRPr="00D008E4">
        <w:rPr>
          <w:rFonts w:ascii="Times New Roman" w:hAnsi="Times New Roman" w:cs="Times New Roman"/>
          <w:sz w:val="28"/>
          <w:szCs w:val="24"/>
        </w:rPr>
        <w:t>hematic A</w:t>
      </w:r>
      <w:r w:rsidR="001A6DD9" w:rsidRPr="00D008E4">
        <w:rPr>
          <w:rFonts w:ascii="Times New Roman" w:hAnsi="Times New Roman" w:cs="Times New Roman"/>
          <w:sz w:val="28"/>
          <w:szCs w:val="24"/>
        </w:rPr>
        <w:t>nalysis</w:t>
      </w:r>
    </w:p>
    <w:p w:rsidR="00EE72EF" w:rsidRPr="00D008E4" w:rsidRDefault="001A6DD9" w:rsidP="0000412A">
      <w:pPr>
        <w:rPr>
          <w:rFonts w:cs="Times New Roman"/>
          <w:szCs w:val="24"/>
        </w:rPr>
      </w:pPr>
      <w:r w:rsidRPr="00D008E4">
        <w:rPr>
          <w:rFonts w:cs="Times New Roman"/>
          <w:szCs w:val="24"/>
        </w:rPr>
        <w:t>Data were extracted into a master evidence matrix containing paper ID, study, year, geography, research focus, theory or framework, sample or data source, method, key findings, coded themes, screening decision, role, quality judgement, main limitation, source file and publication identifier. Keeping extraction separate from prose drafting created an audit trail and made contradictory or null findings visible before the narrative synthesis was written.</w:t>
      </w:r>
    </w:p>
    <w:p w:rsidR="00EE72EF" w:rsidRPr="00D008E4" w:rsidRDefault="001A6DD9" w:rsidP="0000412A">
      <w:pPr>
        <w:rPr>
          <w:rFonts w:cs="Times New Roman"/>
          <w:szCs w:val="24"/>
        </w:rPr>
      </w:pPr>
      <w:r w:rsidRPr="00D008E4">
        <w:rPr>
          <w:rFonts w:cs="Times New Roman"/>
          <w:szCs w:val="24"/>
        </w:rPr>
        <w:t>Thematic synthesis followed the logic of Braun and Clarke (2006): familiarisation with the evidence, initial coding, grouping related codes, reviewing theme boundaries, defining themes and integrating them into an explanatory account. Seven recurring domains were retained: government policy and incentives; price and economic value; perceived risk and uncertainty; environmental concern and moral norms; social influence and subjective norms; charging, range and facilitating conditions; and knowledge, information and experience.</w:t>
      </w:r>
    </w:p>
    <w:p w:rsidR="00EE72EF" w:rsidRPr="00D008E4" w:rsidRDefault="001A6DD9" w:rsidP="0000412A">
      <w:pPr>
        <w:rPr>
          <w:rFonts w:cs="Times New Roman"/>
          <w:szCs w:val="24"/>
        </w:rPr>
      </w:pPr>
      <w:r w:rsidRPr="00D008E4">
        <w:rPr>
          <w:rFonts w:cs="Times New Roman"/>
          <w:szCs w:val="24"/>
        </w:rPr>
        <w:t>These themes are intentionally non-exclusive. A single study can contribute to policy and risk if subsidies alter uncertainty, or to social influence and knowledge if peers provide credible information. Theme frequency is therefore descriptive rather than a proxy for causal importance. Greater weight is placed on consistency across contexts, contradiction, plausible mechanism, temporal pattern and boundary conditions than on simple counts of significant coefficients.</w:t>
      </w:r>
    </w:p>
    <w:p w:rsidR="00EE72EF" w:rsidRPr="00D008E4" w:rsidRDefault="00BD1281"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3.10 Rigour, Reflexivity and S</w:t>
      </w:r>
      <w:r w:rsidR="001A6DD9" w:rsidRPr="00D008E4">
        <w:rPr>
          <w:rFonts w:ascii="Times New Roman" w:hAnsi="Times New Roman" w:cs="Times New Roman"/>
          <w:sz w:val="28"/>
          <w:szCs w:val="24"/>
        </w:rPr>
        <w:t>ynthesis logic</w:t>
      </w:r>
    </w:p>
    <w:p w:rsidR="00EE72EF" w:rsidRPr="00D008E4" w:rsidRDefault="001A6DD9" w:rsidP="0000412A">
      <w:pPr>
        <w:rPr>
          <w:rFonts w:cs="Times New Roman"/>
          <w:szCs w:val="24"/>
        </w:rPr>
      </w:pPr>
      <w:r w:rsidRPr="00D008E4">
        <w:rPr>
          <w:rFonts w:cs="Times New Roman"/>
          <w:szCs w:val="24"/>
        </w:rPr>
        <w:t>Rigour was strengthened through an auditable evidence matrix, explicit reasons for screening decisions, separate supporting and excluded categories, a recorded limitation for every core paper and traceable source-file identifiers. The synthesis also uses negative-case logic. When a relationship is significant in one study but non-significant in another, the null finding is retained and examined for differences in model specification, sample, measurement or context rather than treated as inconvenient noise.</w:t>
      </w:r>
    </w:p>
    <w:p w:rsidR="00EE72EF" w:rsidRPr="00D008E4" w:rsidRDefault="001A6DD9" w:rsidP="0000412A">
      <w:pPr>
        <w:rPr>
          <w:rFonts w:cs="Times New Roman"/>
          <w:szCs w:val="24"/>
        </w:rPr>
      </w:pPr>
      <w:r w:rsidRPr="00D008E4">
        <w:rPr>
          <w:rFonts w:cs="Times New Roman"/>
          <w:szCs w:val="24"/>
        </w:rPr>
        <w:t xml:space="preserve">Reflexivity was especially important because the project began with a strong trust-risk framing. The final analysis was therefore organised to test that framing rather than to privilege studies that happened </w:t>
      </w:r>
      <w:r w:rsidRPr="00D008E4">
        <w:rPr>
          <w:rFonts w:cs="Times New Roman"/>
          <w:szCs w:val="24"/>
        </w:rPr>
        <w:lastRenderedPageBreak/>
        <w:t xml:space="preserve">to mention trust. As the evidence accumulated, the conceptual model changed: trust became one route through which uncertainty may be reduced, alongside brand reputation, credible information, </w:t>
      </w:r>
      <w:r w:rsidR="0091635A" w:rsidRPr="00D008E4">
        <w:rPr>
          <w:rFonts w:cs="Times New Roman"/>
          <w:szCs w:val="24"/>
        </w:rPr>
        <w:t>and experience</w:t>
      </w:r>
      <w:r w:rsidRPr="00D008E4">
        <w:rPr>
          <w:rFonts w:cs="Times New Roman"/>
          <w:szCs w:val="24"/>
        </w:rPr>
        <w:t>, social proof and institutional stability. The willingness to revise the starting proposition is part of the review's analytical discipline rather than a departure from it.</w:t>
      </w:r>
    </w:p>
    <w:p w:rsidR="00EE72EF" w:rsidRPr="00D008E4" w:rsidRDefault="00BD1281" w:rsidP="0000412A">
      <w:pPr>
        <w:pStyle w:val="Heading2"/>
        <w:rPr>
          <w:rFonts w:ascii="Times New Roman" w:hAnsi="Times New Roman" w:cs="Times New Roman"/>
          <w:sz w:val="28"/>
          <w:szCs w:val="24"/>
        </w:rPr>
      </w:pPr>
      <w:r w:rsidRPr="00D008E4">
        <w:rPr>
          <w:rFonts w:ascii="Times New Roman" w:hAnsi="Times New Roman" w:cs="Times New Roman"/>
          <w:sz w:val="28"/>
          <w:szCs w:val="24"/>
        </w:rPr>
        <w:t>3.11 Ethical Considerations and Methodological L</w:t>
      </w:r>
      <w:r w:rsidR="001A6DD9" w:rsidRPr="00D008E4">
        <w:rPr>
          <w:rFonts w:ascii="Times New Roman" w:hAnsi="Times New Roman" w:cs="Times New Roman"/>
          <w:sz w:val="28"/>
          <w:szCs w:val="24"/>
        </w:rPr>
        <w:t>imitations</w:t>
      </w:r>
    </w:p>
    <w:p w:rsidR="00EE72EF" w:rsidRPr="00D008E4" w:rsidRDefault="001A6DD9" w:rsidP="0000412A">
      <w:pPr>
        <w:rPr>
          <w:rFonts w:cs="Times New Roman"/>
          <w:szCs w:val="24"/>
        </w:rPr>
      </w:pPr>
      <w:r w:rsidRPr="00D008E4">
        <w:rPr>
          <w:rFonts w:cs="Times New Roman"/>
          <w:szCs w:val="24"/>
        </w:rPr>
        <w:t>The dissertation analyses published secondary research and does not recruit participants or collect personal data, so direct ethical risk is limited. Academic integrity remains central, however. Findings are attributed to their source studies, excluded papers are not represented as core evidence, and contradictory evidence is retained. UWTSD Harvard referencing is used throughout.</w:t>
      </w:r>
    </w:p>
    <w:p w:rsidR="00EE72EF" w:rsidRPr="00D008E4" w:rsidRDefault="001A6DD9" w:rsidP="0000412A">
      <w:pPr>
        <w:rPr>
          <w:rFonts w:cs="Times New Roman"/>
          <w:szCs w:val="24"/>
        </w:rPr>
      </w:pPr>
      <w:r w:rsidRPr="00D008E4">
        <w:rPr>
          <w:rFonts w:cs="Times New Roman"/>
          <w:szCs w:val="24"/>
        </w:rPr>
        <w:t>Several methodological limitations remain. Restricting the review to English-language peer-reviewed publications may under-represent relevant Chinese-language research, while publication bias may favour statistically significant results. Database-level identification counts were not preserved, so the PRISMA identification stage cannot be reconstructed fully. Most included studies rely on cross-sectional surveys and stated intention rather than observed purchase, limiting causal and behavioural inference. Finally, the 2014-2025 window spans materially different policy and technology regimes. That breadth is useful for temporal interpretation, but it also means the evidence cannot be treated as if it came from one stable market.</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 xml:space="preserve">3.12 Chapter </w:t>
      </w:r>
      <w:r w:rsidR="00BD1281" w:rsidRPr="00D008E4">
        <w:rPr>
          <w:rFonts w:ascii="Times New Roman" w:hAnsi="Times New Roman" w:cs="Times New Roman"/>
          <w:sz w:val="28"/>
          <w:szCs w:val="24"/>
        </w:rPr>
        <w:t>C</w:t>
      </w:r>
      <w:r w:rsidRPr="00D008E4">
        <w:rPr>
          <w:rFonts w:ascii="Times New Roman" w:hAnsi="Times New Roman" w:cs="Times New Roman"/>
          <w:sz w:val="28"/>
          <w:szCs w:val="24"/>
        </w:rPr>
        <w:t>onclusion</w:t>
      </w:r>
    </w:p>
    <w:p w:rsidR="00EE72EF" w:rsidRPr="00D008E4" w:rsidRDefault="006414A3" w:rsidP="0000412A">
      <w:pPr>
        <w:rPr>
          <w:rFonts w:cs="Times New Roman"/>
          <w:szCs w:val="24"/>
        </w:rPr>
      </w:pPr>
      <w:r>
        <w:t>The final methodology is therefore a pragmatic, inductive SLR using a fixed 2014–2025 protocol. Fifty-nine records were screened, with 40 retained for the core synthesis, 10 retained for supporting or contextual use and nine fully excluded, producing a total dissertation evidence base of 50 papers.</w:t>
      </w:r>
      <w:r>
        <w:t xml:space="preserve"> </w:t>
      </w:r>
      <w:r w:rsidR="001A6DD9" w:rsidRPr="00D008E4">
        <w:rPr>
          <w:rFonts w:cs="Times New Roman"/>
          <w:szCs w:val="24"/>
        </w:rPr>
        <w:t>Quality appraisal and thematic synthesis were designed to preserve methodological differences, contextual variation and negative evidence. This provides an appropriate basis for the main analytical task in Chapter 4: explaining how adoption mechanisms interact and why their apparent importance changes as China's EV market matures.</w:t>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t>Chapter 4: Findings, Analysis and Discussion</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 Introduction</w:t>
      </w:r>
    </w:p>
    <w:p w:rsidR="00EE72EF" w:rsidRPr="00D008E4" w:rsidRDefault="001A6DD9" w:rsidP="0000412A">
      <w:pPr>
        <w:rPr>
          <w:rFonts w:cs="Times New Roman"/>
          <w:szCs w:val="24"/>
        </w:rPr>
      </w:pPr>
      <w:r w:rsidRPr="00D008E4">
        <w:rPr>
          <w:rFonts w:cs="Times New Roman"/>
          <w:szCs w:val="24"/>
        </w:rPr>
        <w:t xml:space="preserve">Chapter 4 presents the central synthesis from the forty core studies. The analysis does not treat the literature as a scoreboard of significant coefficients. Instead, it asks why findings converge or diverge once differences in theory, model specification, sample, geography, method and market period are taken seriously. Seven non-exclusive themes structure the chapter: social influence and subjective norms; </w:t>
      </w:r>
      <w:r w:rsidRPr="00D008E4">
        <w:rPr>
          <w:rFonts w:cs="Times New Roman"/>
          <w:szCs w:val="24"/>
        </w:rPr>
        <w:lastRenderedPageBreak/>
        <w:t>environmental concern and moral norms; government policy and incentives; knowledge, information and experience; charging, range and facilitating conditions; price and economic value; and perceived risk and uncertainty. Trust is examined across these themes because it appears more often as a credibility or uncertainty-management mechanism than as a stand-alone construct.</w:t>
      </w:r>
    </w:p>
    <w:p w:rsidR="00EE72EF" w:rsidRPr="00D008E4" w:rsidRDefault="001A6DD9" w:rsidP="0000412A">
      <w:pPr>
        <w:rPr>
          <w:rFonts w:cs="Times New Roman"/>
          <w:szCs w:val="24"/>
        </w:rPr>
      </w:pPr>
      <w:r w:rsidRPr="00D008E4">
        <w:rPr>
          <w:rFonts w:cs="Times New Roman"/>
          <w:szCs w:val="24"/>
        </w:rPr>
        <w:t>The chapter first profiles the evidence base and then moves through the seven themes, retaining both positive and null findings. The later sections examine temporal change, geographic and consumer heterogeneity, and sensitivity to study design before integrating the findings into a revised framework and answering the research questions. This structure keeps the evidence close to the interpretation while avoiding an article-by-article summary.</w:t>
      </w:r>
    </w:p>
    <w:p w:rsidR="00EE72EF" w:rsidRPr="00D008E4" w:rsidRDefault="00BD1281"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4.2 Profile of the Core Evidence B</w:t>
      </w:r>
      <w:r w:rsidR="001A6DD9" w:rsidRPr="00D008E4">
        <w:rPr>
          <w:rFonts w:ascii="Times New Roman" w:hAnsi="Times New Roman" w:cs="Times New Roman"/>
          <w:sz w:val="28"/>
          <w:szCs w:val="24"/>
        </w:rPr>
        <w:t>ase</w:t>
      </w:r>
    </w:p>
    <w:p w:rsidR="00EE72EF" w:rsidRPr="00D008E4" w:rsidRDefault="001A6DD9" w:rsidP="0000412A">
      <w:pPr>
        <w:rPr>
          <w:rFonts w:cs="Times New Roman"/>
          <w:szCs w:val="24"/>
        </w:rPr>
      </w:pPr>
      <w:r w:rsidRPr="00D008E4">
        <w:rPr>
          <w:rFonts w:cs="Times New Roman"/>
          <w:szCs w:val="24"/>
        </w:rPr>
        <w:t>The core synthesis contains forty empirical studies published between 2016 and 2025. The distribution is weighted towards recent research: one study appeared in 2016, one in 2017, four in 2018, four in 2019, three in 2020, six in 2021, six in 2022, one in 2023, eight in 2024 and six in 2025. Twenty-one of the forty papers were therefore published from 2022 onwards. This recency is useful in a rapidly changing market, although publication year is an imperfect marker of market conditions because data collection may have occurred one or more years earlier.</w:t>
      </w:r>
    </w:p>
    <w:p w:rsidR="00EE72EF" w:rsidRPr="00D008E4" w:rsidRDefault="001A6DD9" w:rsidP="0000412A">
      <w:pPr>
        <w:rPr>
          <w:rFonts w:cs="Times New Roman"/>
          <w:szCs w:val="24"/>
        </w:rPr>
      </w:pPr>
      <w:r w:rsidRPr="00D008E4">
        <w:rPr>
          <w:rFonts w:cs="Times New Roman"/>
          <w:szCs w:val="24"/>
        </w:rPr>
        <w:t>Geographic coverage is uneven but not confined to tier-1 cities. Twenty-four studies are coded as China-level samples; three focus on Beijing and two on Shanghai; others examine Xuzhou, Hefei, Tianjin, Zhejiang, six major cities, six pilot cities, 165 cities, thirty provinces/eight economic regions or all Chinese provinces. Yang and Chen (2021) explicitly compare Hangzhou and Linyi. This spread enables some regional interpretation, but the label 'China' often refers to online or convenience samples rather than a nationally representative design, so breadth of label should not be confused with breadth of inference.</w:t>
      </w:r>
    </w:p>
    <w:p w:rsidR="00EE72EF" w:rsidRPr="00D008E4" w:rsidRDefault="001A6DD9" w:rsidP="0000412A">
      <w:pPr>
        <w:rPr>
          <w:rFonts w:cs="Times New Roman"/>
          <w:szCs w:val="24"/>
        </w:rPr>
      </w:pPr>
      <w:r w:rsidRPr="00D008E4">
        <w:rPr>
          <w:rFonts w:cs="Times New Roman"/>
          <w:szCs w:val="24"/>
        </w:rPr>
        <w:t>Survey-based structural modelling remains the dominant method. SEM, PLS-SEM, CFA/SEM and related latent-variable approaches appear repeatedly, alongside regression, stated-preference choice models, best-worst scaling, ordered logit, neural networks, fsQCA and a small number of mixed or multi-source designs. Sample sizes range from 213 respondents in Yang et al. (2019) to 4,177 observations across two survey waves in Shi and Lin (2024); Li et al. (2022) provide an example of multi-source research combining online reviews, market reports and survey data. The evidence base is analytically sophisticated, but its centre of gravity remains cross-sectional self-reported intention.</w:t>
      </w:r>
    </w:p>
    <w:p w:rsidR="00EE72EF" w:rsidRPr="00D008E4" w:rsidRDefault="001A6DD9" w:rsidP="0000412A">
      <w:pPr>
        <w:rPr>
          <w:rFonts w:cs="Times New Roman"/>
          <w:szCs w:val="24"/>
        </w:rPr>
      </w:pPr>
      <w:r w:rsidRPr="00D008E4">
        <w:rPr>
          <w:rFonts w:cs="Times New Roman"/>
          <w:szCs w:val="24"/>
        </w:rPr>
        <w:t xml:space="preserve">All forty core papers received a High judgement under the adapted appraisal. That indicates clear aims, appropriate analyses and findings usable for this review; it does not establish causal validity. Common weaknesses recur even in otherwise strong studies, including convenience or purposive sampling, </w:t>
      </w:r>
      <w:r w:rsidRPr="00D008E4">
        <w:rPr>
          <w:rFonts w:cs="Times New Roman"/>
          <w:szCs w:val="24"/>
        </w:rPr>
        <w:lastRenderedPageBreak/>
        <w:t>single-city settings, simultaneous measurement of predictors and outcomes, and reliance on intention rather than purchase. For that reason, interpretive weight is placed on mechanisms that recur across different contexts and methods rather than on statistical significance in any one model.</w:t>
      </w:r>
    </w:p>
    <w:p w:rsidR="00EE72EF" w:rsidRPr="00D008E4" w:rsidRDefault="001A6DD9" w:rsidP="0000412A">
      <w:pPr>
        <w:rPr>
          <w:rFonts w:cs="Times New Roman"/>
          <w:szCs w:val="24"/>
        </w:rPr>
      </w:pPr>
      <w:r w:rsidRPr="00D008E4">
        <w:rPr>
          <w:rFonts w:cs="Times New Roman"/>
          <w:szCs w:val="24"/>
        </w:rPr>
        <w:t>Theme frequencies provide a map of what the literature studies, not a ranking of causal importance. Social influence and subjective norms appear in 20 of 40 core studies (50%); environmental concern and moral norms in 19 (47.5%); government policy and incentives in 18 (45%); knowledge, information and experience in 13 (32.5%); charging/range/facilitating conditions in 12 (30%); price and economic value in 12 (30%); and perceived risk and uncertainty in seven (17.5%). Because categories overlap, the percentages cannot be summed. Risk's lower frequency, for example, partly reflects theoretical choices about what was measured rather than proof that risk is behaviourally unimportant.</w:t>
      </w:r>
    </w:p>
    <w:p w:rsidR="00EE72EF" w:rsidRPr="00D008E4" w:rsidRDefault="001A6DD9" w:rsidP="0000412A">
      <w:pPr>
        <w:pStyle w:val="Caption"/>
        <w:spacing w:line="360" w:lineRule="auto"/>
        <w:rPr>
          <w:rFonts w:cs="Times New Roman"/>
          <w:sz w:val="24"/>
          <w:szCs w:val="24"/>
        </w:rPr>
      </w:pPr>
      <w:r w:rsidRPr="00D008E4">
        <w:rPr>
          <w:rFonts w:cs="Times New Roman"/>
          <w:sz w:val="24"/>
          <w:szCs w:val="24"/>
        </w:rPr>
        <w:t>Table 4.1. Frequency and interpretation of core synthesis themes</w:t>
      </w:r>
    </w:p>
    <w:tbl>
      <w:tblPr>
        <w:tblStyle w:val="TableGrid"/>
        <w:tblW w:w="0" w:type="auto"/>
        <w:jc w:val="center"/>
        <w:tblLayout w:type="fixed"/>
        <w:tblLook w:val="04A0" w:firstRow="1" w:lastRow="0" w:firstColumn="1" w:lastColumn="0" w:noHBand="0" w:noVBand="1"/>
      </w:tblPr>
      <w:tblGrid>
        <w:gridCol w:w="2880"/>
        <w:gridCol w:w="1152"/>
        <w:gridCol w:w="1152"/>
        <w:gridCol w:w="3816"/>
      </w:tblGrid>
      <w:tr w:rsidR="00EE72EF" w:rsidRPr="00D008E4" w:rsidTr="0040239B">
        <w:trPr>
          <w:tblHeader/>
          <w:jc w:val="center"/>
        </w:trPr>
        <w:tc>
          <w:tcPr>
            <w:tcW w:w="2880" w:type="dxa"/>
            <w:shd w:val="clear" w:color="auto" w:fill="FFFF00"/>
            <w:vAlign w:val="center"/>
          </w:tcPr>
          <w:p w:rsidR="00EE72EF" w:rsidRPr="00D008E4" w:rsidRDefault="001A6DD9" w:rsidP="0000412A">
            <w:pPr>
              <w:rPr>
                <w:rFonts w:cs="Times New Roman"/>
                <w:szCs w:val="24"/>
              </w:rPr>
            </w:pPr>
            <w:r w:rsidRPr="00D008E4">
              <w:rPr>
                <w:rFonts w:cs="Times New Roman"/>
                <w:b/>
                <w:color w:val="000000"/>
                <w:szCs w:val="24"/>
              </w:rPr>
              <w:t>Theme</w:t>
            </w:r>
          </w:p>
        </w:tc>
        <w:tc>
          <w:tcPr>
            <w:tcW w:w="1152" w:type="dxa"/>
            <w:shd w:val="clear" w:color="auto" w:fill="FFFF00"/>
            <w:vAlign w:val="center"/>
          </w:tcPr>
          <w:p w:rsidR="00EE72EF" w:rsidRPr="00D008E4" w:rsidRDefault="001A6DD9" w:rsidP="0000412A">
            <w:pPr>
              <w:rPr>
                <w:rFonts w:cs="Times New Roman"/>
                <w:szCs w:val="24"/>
              </w:rPr>
            </w:pPr>
            <w:r w:rsidRPr="00D008E4">
              <w:rPr>
                <w:rFonts w:cs="Times New Roman"/>
                <w:b/>
                <w:color w:val="000000"/>
                <w:szCs w:val="24"/>
              </w:rPr>
              <w:t>Core studies</w:t>
            </w:r>
          </w:p>
        </w:tc>
        <w:tc>
          <w:tcPr>
            <w:tcW w:w="1152" w:type="dxa"/>
            <w:shd w:val="clear" w:color="auto" w:fill="FFFF00"/>
            <w:vAlign w:val="center"/>
          </w:tcPr>
          <w:p w:rsidR="00EE72EF" w:rsidRPr="00D008E4" w:rsidRDefault="001A6DD9" w:rsidP="0000412A">
            <w:pPr>
              <w:rPr>
                <w:rFonts w:cs="Times New Roman"/>
                <w:szCs w:val="24"/>
              </w:rPr>
            </w:pPr>
            <w:r w:rsidRPr="00D008E4">
              <w:rPr>
                <w:rFonts w:cs="Times New Roman"/>
                <w:b/>
                <w:color w:val="000000"/>
                <w:szCs w:val="24"/>
              </w:rPr>
              <w:t>% of core</w:t>
            </w:r>
          </w:p>
        </w:tc>
        <w:tc>
          <w:tcPr>
            <w:tcW w:w="3816" w:type="dxa"/>
            <w:shd w:val="clear" w:color="auto" w:fill="FFFF00"/>
            <w:vAlign w:val="center"/>
          </w:tcPr>
          <w:p w:rsidR="00EE72EF" w:rsidRPr="00D008E4" w:rsidRDefault="001A6DD9" w:rsidP="0000412A">
            <w:pPr>
              <w:rPr>
                <w:rFonts w:cs="Times New Roman"/>
                <w:szCs w:val="24"/>
              </w:rPr>
            </w:pPr>
            <w:r w:rsidRPr="00D008E4">
              <w:rPr>
                <w:rFonts w:cs="Times New Roman"/>
                <w:b/>
                <w:color w:val="000000"/>
                <w:szCs w:val="24"/>
              </w:rPr>
              <w:t>Synthesis implication</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Government policy and incentives</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18</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45.0%</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Policy remains important, but recent studies show stronger effects through convenience, psychosocial value, confidence and facilitating conditions than through subsidies alone.</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Price and economic value</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12</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30.0%</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Price is a barrier, but total value, ownership economics and practical benefits frequently matter more than initial cost in mature or subsidised contexts.</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Perceived risk and uncertainty</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7</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17.5%</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Risk consistently suppresses intention directly or weakens positive value and policy effects; trust, knowledge and experience reduce this barrier.</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Environmental concern and moral norms</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19</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47.5%</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 xml:space="preserve">Environmental motivation is important but usually operates through attitude, personal norms, </w:t>
            </w:r>
            <w:r w:rsidRPr="00D008E4">
              <w:rPr>
                <w:rFonts w:cs="Times New Roman"/>
                <w:color w:val="000000"/>
                <w:szCs w:val="24"/>
              </w:rPr>
              <w:lastRenderedPageBreak/>
              <w:t>responsibility or perceived value rather than independently.</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lastRenderedPageBreak/>
              <w:t>Social influence and subjective norms</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20</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50.0%</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Peer effects and subjective norms are among the most stable determinants across regions, adopter groups and theoretical models.</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Charging, range and facilitating conditions</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12</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30.0%</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Infrastructure and range confidence strengthen perceived behavioural control and become increasingly important beyond the early-adopter stage.</w:t>
            </w:r>
          </w:p>
        </w:tc>
      </w:tr>
      <w:tr w:rsidR="00EE72EF" w:rsidRPr="00D008E4">
        <w:trPr>
          <w:jc w:val="center"/>
        </w:trPr>
        <w:tc>
          <w:tcPr>
            <w:tcW w:w="2880"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Knowledge, information and experience</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13</w:t>
            </w:r>
          </w:p>
        </w:tc>
        <w:tc>
          <w:tcPr>
            <w:tcW w:w="1152"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32.5%</w:t>
            </w:r>
          </w:p>
        </w:tc>
        <w:tc>
          <w:tcPr>
            <w:tcW w:w="3816" w:type="dxa"/>
            <w:tcMar>
              <w:top w:w="80" w:type="dxa"/>
              <w:left w:w="100" w:type="dxa"/>
              <w:bottom w:w="80" w:type="dxa"/>
              <w:right w:w="100" w:type="dxa"/>
            </w:tcMar>
            <w:vAlign w:val="center"/>
          </w:tcPr>
          <w:p w:rsidR="00EE72EF" w:rsidRPr="00D008E4" w:rsidRDefault="001A6DD9" w:rsidP="0000412A">
            <w:pPr>
              <w:spacing w:after="40"/>
              <w:rPr>
                <w:rFonts w:cs="Times New Roman"/>
                <w:szCs w:val="24"/>
              </w:rPr>
            </w:pPr>
            <w:r w:rsidRPr="00D008E4">
              <w:rPr>
                <w:rFonts w:cs="Times New Roman"/>
                <w:color w:val="000000"/>
                <w:szCs w:val="24"/>
              </w:rPr>
              <w:t>Knowledge and first-hand experience improve usefulness and ease-of-use perceptions and reduce risk; information quality matters more than volume.</w:t>
            </w:r>
          </w:p>
        </w:tc>
      </w:tr>
    </w:tbl>
    <w:p w:rsidR="00EE72EF" w:rsidRPr="00D008E4" w:rsidRDefault="001A6DD9" w:rsidP="0000412A">
      <w:pPr>
        <w:pStyle w:val="Caption"/>
        <w:spacing w:line="360" w:lineRule="auto"/>
        <w:rPr>
          <w:rFonts w:cs="Times New Roman"/>
          <w:sz w:val="24"/>
          <w:szCs w:val="24"/>
        </w:rPr>
      </w:pPr>
      <w:r w:rsidRPr="00D008E4">
        <w:rPr>
          <w:rFonts w:cs="Times New Roman"/>
          <w:sz w:val="24"/>
          <w:szCs w:val="24"/>
        </w:rPr>
        <w:t>Note: Themes are non-exclusive; frequencies indicate recurrence, not pooled effect size.</w:t>
      </w:r>
    </w:p>
    <w:p w:rsidR="0040239B" w:rsidRPr="00D008E4" w:rsidRDefault="0040239B" w:rsidP="0040239B">
      <w:pPr>
        <w:rPr>
          <w:rFonts w:cs="Times New Roman"/>
        </w:rPr>
      </w:pPr>
      <w:r w:rsidRPr="00D008E4">
        <w:rPr>
          <w:rFonts w:cs="Times New Roman"/>
          <w:noProof/>
          <w:lang w:val="en-IN" w:eastAsia="en-IN"/>
        </w:rPr>
        <w:drawing>
          <wp:inline distT="0" distB="0" distL="0" distR="0">
            <wp:extent cx="5731510" cy="34836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re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483610"/>
                    </a:xfrm>
                    <a:prstGeom prst="rect">
                      <a:avLst/>
                    </a:prstGeom>
                  </pic:spPr>
                </pic:pic>
              </a:graphicData>
            </a:graphic>
          </wp:inline>
        </w:drawing>
      </w:r>
    </w:p>
    <w:p w:rsidR="00EE72EF" w:rsidRPr="00D008E4" w:rsidRDefault="00BD1281"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4.3 Theme 1: Social influence, S</w:t>
      </w:r>
      <w:r w:rsidR="001A6DD9" w:rsidRPr="00D008E4">
        <w:rPr>
          <w:rFonts w:ascii="Times New Roman" w:hAnsi="Times New Roman" w:cs="Times New Roman"/>
          <w:sz w:val="28"/>
          <w:szCs w:val="24"/>
        </w:rPr>
        <w:t>ubjective norms an</w:t>
      </w:r>
      <w:r w:rsidRPr="00D008E4">
        <w:rPr>
          <w:rFonts w:ascii="Times New Roman" w:hAnsi="Times New Roman" w:cs="Times New Roman"/>
          <w:sz w:val="28"/>
          <w:szCs w:val="24"/>
        </w:rPr>
        <w:t>d S</w:t>
      </w:r>
      <w:r w:rsidR="001A6DD9" w:rsidRPr="00D008E4">
        <w:rPr>
          <w:rFonts w:ascii="Times New Roman" w:hAnsi="Times New Roman" w:cs="Times New Roman"/>
          <w:sz w:val="28"/>
          <w:szCs w:val="24"/>
        </w:rPr>
        <w:t>ocial proof</w:t>
      </w:r>
    </w:p>
    <w:p w:rsidR="00EE72EF" w:rsidRPr="00D008E4" w:rsidRDefault="001A6DD9" w:rsidP="0000412A">
      <w:pPr>
        <w:rPr>
          <w:rFonts w:cs="Times New Roman"/>
          <w:szCs w:val="24"/>
        </w:rPr>
      </w:pPr>
      <w:r w:rsidRPr="00D008E4">
        <w:rPr>
          <w:rFonts w:cs="Times New Roman"/>
          <w:szCs w:val="24"/>
        </w:rPr>
        <w:t>Social influence is the most frequently coded theme and one of the few mechanisms that recurs across markedly different theoretical traditions. TPB studies measure subjective norm; regional studies capture social networks or peer effects; cultural work examines face consciousness or ethnocentrism; brand studies focus on community interactivity; and later-adopter research uses social influence within UTAUT-type models. The convergence is analytically important because it points to a broader social mechanism rather than dependence on one particular scale.</w:t>
      </w:r>
    </w:p>
    <w:p w:rsidR="00EE72EF" w:rsidRPr="00D008E4" w:rsidRDefault="001A6DD9" w:rsidP="0000412A">
      <w:pPr>
        <w:rPr>
          <w:rFonts w:cs="Times New Roman"/>
          <w:szCs w:val="24"/>
        </w:rPr>
      </w:pPr>
      <w:r w:rsidRPr="00D008E4">
        <w:rPr>
          <w:rFonts w:cs="Times New Roman"/>
          <w:szCs w:val="24"/>
        </w:rPr>
        <w:t>Several studies report strong direct relationships. Du et al. (2018), using 811 valid questionnaires in Tianjin, identify subjective norms as the strongest influence on NEV purchase intention. Habich-Sobiegalla, Kostka and Anzinger (2019), with 1,080 respondents across 165 Chinese cities, find that wide social networks and knowing an EV owner substantially increase intention, while age and education are less influential. Zhao et al. (2022), based on 1,705 valid Shanghai questionnaires, identify significant peer effects for both buyers and non-buyers. Wang, Cao and Zhang (2021) likewise find social norms and face consciousness more influential than perceptions of incentive policy. The recurrence of this pattern across different periods and scales makes social influence difficult to dismiss as a model-specific artefact.</w:t>
      </w:r>
    </w:p>
    <w:p w:rsidR="00EE72EF" w:rsidRPr="00D008E4" w:rsidRDefault="001A6DD9" w:rsidP="0000412A">
      <w:pPr>
        <w:rPr>
          <w:rFonts w:cs="Times New Roman"/>
          <w:szCs w:val="24"/>
        </w:rPr>
      </w:pPr>
      <w:r w:rsidRPr="00D008E4">
        <w:rPr>
          <w:rFonts w:cs="Times New Roman"/>
          <w:szCs w:val="24"/>
        </w:rPr>
        <w:t>Yet the literature does not support a universal direct subjective-norm effect. Zheng et al. (2025) report no significant direct path in a model combining customer-based brand equity with TPB, and Hu, Yusof and Mansor (2025) likewise find no direct subjective-norm relationship even though social mechanisms remain relevant indirectly. Wang et al. (2024) help explain the apparent contradiction: in their study of virtual brand communities and domestic EVs, attitude and PBC fully mediate the subjective-norm-to-intention relationship. The difference is therefore less stark than a simple significant/non-significant comparison suggests; some models capture the social mechanism after it has already changed evaluation or perceived control.</w:t>
      </w:r>
    </w:p>
    <w:p w:rsidR="00EE72EF" w:rsidRPr="00D008E4" w:rsidRDefault="001A6DD9" w:rsidP="0000412A">
      <w:pPr>
        <w:rPr>
          <w:rFonts w:cs="Times New Roman"/>
          <w:szCs w:val="24"/>
        </w:rPr>
      </w:pPr>
      <w:r w:rsidRPr="00D008E4">
        <w:rPr>
          <w:rFonts w:cs="Times New Roman"/>
          <w:szCs w:val="24"/>
        </w:rPr>
        <w:t>Model specification and sample composition provide a plausible explanation for the variation. Du et al. (2018) estimate a relatively direct TPB relationship in Tianjin, whereas Zheng et al. (2025) place subjective norm alongside brand-equity variables in a six-city PLS-SEM model, and Wang et al. (2024) explicitly model mediation in a brand-community setting. Once attitude, PBC and brand evaluation are included, social influence has additional routes through which to operate, leaving a smaller residual direct coefficient. The wider geographic mix in Zheng et al. may also combine consumers exposed to different peer and policy environments. On balance, the studies differ more in where they locate the social effect than in whether a social mechanism exists.</w:t>
      </w:r>
    </w:p>
    <w:p w:rsidR="00EE72EF" w:rsidRPr="00D008E4" w:rsidRDefault="001A6DD9" w:rsidP="0000412A">
      <w:pPr>
        <w:rPr>
          <w:rFonts w:cs="Times New Roman"/>
          <w:szCs w:val="24"/>
        </w:rPr>
      </w:pPr>
      <w:r w:rsidRPr="00D008E4">
        <w:rPr>
          <w:rFonts w:cs="Times New Roman"/>
          <w:szCs w:val="24"/>
        </w:rPr>
        <w:t xml:space="preserve">Three mechanisms can be distinguished. Normative influence makes EV adoption socially approved or desirable. Informational influence allows owners, friends and communities to provide evidence about </w:t>
      </w:r>
      <w:r w:rsidRPr="00D008E4">
        <w:rPr>
          <w:rFonts w:cs="Times New Roman"/>
          <w:szCs w:val="24"/>
        </w:rPr>
        <w:lastRenderedPageBreak/>
        <w:t>charging, range, reliability, service and real-world cost. Identity-based influence uses vehicle choice to signal status, environmental responsibility, innovativeness or affiliation with domestic brands. Rehman et al. (2024) identify status symbolism as relevant to adoption intention, while Wang et al. (2024) connect consumer ethnocentrism and interactive domestic-brand communities to perceived value and attitude. These mechanisms may coexist, but they are not interchangeable.</w:t>
      </w:r>
    </w:p>
    <w:p w:rsidR="00EE72EF" w:rsidRPr="00D008E4" w:rsidRDefault="001A6DD9" w:rsidP="0000412A">
      <w:pPr>
        <w:rPr>
          <w:rFonts w:cs="Times New Roman"/>
          <w:szCs w:val="24"/>
        </w:rPr>
      </w:pPr>
      <w:r w:rsidRPr="00D008E4">
        <w:rPr>
          <w:rFonts w:cs="Times New Roman"/>
          <w:szCs w:val="24"/>
        </w:rPr>
        <w:t>The distinction also clarifies why direct coefficients vary. If peers mainly provide information, their effect may be absorbed by perceived value, attitude or PBC once those variables enter the structural model. A non-significant residual subjective-norm coefficient does not therefore imply that social influence has vanished; it may indicate that the effect has already been transmitted through the consumer's evaluation and sense of control.</w:t>
      </w:r>
    </w:p>
    <w:p w:rsidR="00EE72EF" w:rsidRPr="00D008E4" w:rsidRDefault="001A6DD9" w:rsidP="0000412A">
      <w:pPr>
        <w:rPr>
          <w:rFonts w:cs="Times New Roman"/>
          <w:szCs w:val="24"/>
        </w:rPr>
      </w:pPr>
      <w:r w:rsidRPr="00D008E4">
        <w:rPr>
          <w:rFonts w:cs="Times New Roman"/>
          <w:szCs w:val="24"/>
        </w:rPr>
        <w:t>Peer evidence becomes especially interesting when market maturity is considered. Early in diffusion, few consumers can observe real EV ownership, so government and manufacturer communication carries much of the burden of legitimising the technology. As ownership becomes visible, interpersonal networks begin to function as a decentralised information infrastructure. Shi and Lin's (2024) finding of a large cumulative positive effect from network externalities is consistent with this shift. For manufacturers, owner advocacy and community quality are therefore relevant to acquisition as well as retention.</w:t>
      </w:r>
    </w:p>
    <w:p w:rsidR="00EE72EF" w:rsidRPr="00D008E4" w:rsidRDefault="001A6DD9" w:rsidP="0000412A">
      <w:pPr>
        <w:rPr>
          <w:rFonts w:cs="Times New Roman"/>
          <w:szCs w:val="24"/>
        </w:rPr>
      </w:pPr>
      <w:r w:rsidRPr="00D008E4">
        <w:rPr>
          <w:rFonts w:cs="Times New Roman"/>
          <w:szCs w:val="24"/>
        </w:rPr>
        <w:t>The finding should not, however, be converted into an essentialist claim about Chinese collectivism. Most of the reviewed studies do not include cross-country designs capable of showing that social effects are uniquely Chinese, and peer information is likely to matter in any uncertain, high-value technology purchase. The more defensible China-specific interpretation concerns the interaction of social mechanisms with domestic-brand identity, face, dense digital communities and the rapid visibility of EV ownership.</w:t>
      </w:r>
    </w:p>
    <w:p w:rsidR="00EE72EF" w:rsidRPr="00D008E4" w:rsidRDefault="001A6DD9" w:rsidP="0000412A">
      <w:pPr>
        <w:rPr>
          <w:rFonts w:cs="Times New Roman"/>
          <w:szCs w:val="24"/>
        </w:rPr>
      </w:pPr>
      <w:r w:rsidRPr="00D008E4">
        <w:rPr>
          <w:rFonts w:cs="Times New Roman"/>
          <w:szCs w:val="24"/>
        </w:rPr>
        <w:t>Theoretically, the theme supports TPB while also showing the limits of treating subjective norm as a single direct path. Normative approval maps closely onto subjective norm, whereas informational peer effects can first alter attitude, perceived value or PBC. Diffusion theory adds a temporal explanation by showing why observability and peer evidence should strengthen as ownership becomes more common. Combining the two perspectives explains both the persistence of social influence and variation in its estimated direct effect.</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4.4 T</w:t>
      </w:r>
      <w:r w:rsidR="00BD1281" w:rsidRPr="00D008E4">
        <w:rPr>
          <w:rFonts w:ascii="Times New Roman" w:hAnsi="Times New Roman" w:cs="Times New Roman"/>
          <w:sz w:val="28"/>
          <w:szCs w:val="24"/>
        </w:rPr>
        <w:t>heme 2: Environmental concern, Personal norms and M</w:t>
      </w:r>
      <w:r w:rsidRPr="00D008E4">
        <w:rPr>
          <w:rFonts w:ascii="Times New Roman" w:hAnsi="Times New Roman" w:cs="Times New Roman"/>
          <w:sz w:val="28"/>
          <w:szCs w:val="24"/>
        </w:rPr>
        <w:t>oral value</w:t>
      </w:r>
    </w:p>
    <w:p w:rsidR="00EE72EF" w:rsidRPr="00D008E4" w:rsidRDefault="001A6DD9" w:rsidP="0000412A">
      <w:pPr>
        <w:rPr>
          <w:rFonts w:cs="Times New Roman"/>
          <w:szCs w:val="24"/>
        </w:rPr>
      </w:pPr>
      <w:r w:rsidRPr="00D008E4">
        <w:rPr>
          <w:rFonts w:cs="Times New Roman"/>
          <w:szCs w:val="24"/>
        </w:rPr>
        <w:t xml:space="preserve">Environmental concern and moral norms appear in 19 core studies, making them the second most frequently coded theme. The important pattern is not a uniformly strong direct effect of environmental </w:t>
      </w:r>
      <w:r w:rsidRPr="00D008E4">
        <w:rPr>
          <w:rFonts w:cs="Times New Roman"/>
          <w:szCs w:val="24"/>
        </w:rPr>
        <w:lastRenderedPageBreak/>
        <w:t>concern, but a repeated distinction between broad environmental values and the more proximal moral, attitudinal or efficacy mechanisms through which those values are converted into intention.</w:t>
      </w:r>
    </w:p>
    <w:p w:rsidR="00EE72EF" w:rsidRPr="00D008E4" w:rsidRDefault="001A6DD9" w:rsidP="0000412A">
      <w:pPr>
        <w:rPr>
          <w:rFonts w:cs="Times New Roman"/>
          <w:szCs w:val="24"/>
        </w:rPr>
      </w:pPr>
      <w:r w:rsidRPr="00D008E4">
        <w:rPr>
          <w:rFonts w:cs="Times New Roman"/>
          <w:szCs w:val="24"/>
        </w:rPr>
        <w:t xml:space="preserve">Wang et al. (2016) show </w:t>
      </w:r>
      <w:r w:rsidR="003A4B89" w:rsidRPr="00D008E4">
        <w:rPr>
          <w:rFonts w:cs="Times New Roman"/>
          <w:szCs w:val="24"/>
        </w:rPr>
        <w:t xml:space="preserve">that </w:t>
      </w:r>
      <w:r w:rsidRPr="00D008E4">
        <w:rPr>
          <w:rFonts w:cs="Times New Roman"/>
          <w:szCs w:val="24"/>
        </w:rPr>
        <w:t xml:space="preserve">environmental concern </w:t>
      </w:r>
      <w:r w:rsidR="003A4B89" w:rsidRPr="00D008E4">
        <w:rPr>
          <w:rFonts w:cs="Times New Roman"/>
          <w:szCs w:val="24"/>
        </w:rPr>
        <w:t>influences</w:t>
      </w:r>
      <w:r w:rsidRPr="00D008E4">
        <w:rPr>
          <w:rFonts w:cs="Times New Roman"/>
          <w:szCs w:val="24"/>
        </w:rPr>
        <w:t xml:space="preserve"> hybrid-EV adoption largely through attitude, subjective norm, PBC and personal moral norm. He and Zhan (2018) find personal norms positively associated with EV adoption intention; awareness of consequences, responsibility and perceived consumer effectiveness strengthen the norm-activation process, while price weakens its translation into intention. Ji, Jiang and Zhu (2024), integrating TPB and NAM for 867 participants, again identify personal norms as particularly influential. Zhao et al. (2024) similarly report a chain in which perceived green value affects purchase intention through environmental responsibility and self-efficacy. Across these studies, environmental motivation becomes more </w:t>
      </w:r>
      <w:r w:rsidR="00BD1281" w:rsidRPr="00D008E4">
        <w:rPr>
          <w:rFonts w:cs="Times New Roman"/>
          <w:szCs w:val="24"/>
        </w:rPr>
        <w:t>behaviorally</w:t>
      </w:r>
      <w:r w:rsidRPr="00D008E4">
        <w:rPr>
          <w:rFonts w:cs="Times New Roman"/>
          <w:szCs w:val="24"/>
        </w:rPr>
        <w:t xml:space="preserve"> relevant when it is made personal and actionable.</w:t>
      </w:r>
    </w:p>
    <w:p w:rsidR="00EE72EF" w:rsidRPr="00D008E4" w:rsidRDefault="001A6DD9" w:rsidP="0000412A">
      <w:pPr>
        <w:rPr>
          <w:rFonts w:cs="Times New Roman"/>
          <w:szCs w:val="24"/>
        </w:rPr>
      </w:pPr>
      <w:r w:rsidRPr="00D008E4">
        <w:rPr>
          <w:rFonts w:cs="Times New Roman"/>
          <w:szCs w:val="24"/>
        </w:rPr>
        <w:t>Null findings reinforce that interpretation rather than undermine it. Du et al. (2018) find only limited moderation from low-carbon awareness, Feng et al. (2025) find environmental concern non-significant among early-to-late-majority consumers in post-subsidy Beijing, and Shi and Lin (2024) report that concern about smog became non-significant over time. Broad concern may therefore lose discriminating power as EVs become normalised, even when more proximal moral or practical evaluations continue to matter.</w:t>
      </w:r>
    </w:p>
    <w:p w:rsidR="00EE72EF" w:rsidRPr="00D008E4" w:rsidRDefault="001A6DD9" w:rsidP="0000412A">
      <w:pPr>
        <w:rPr>
          <w:rFonts w:cs="Times New Roman"/>
          <w:szCs w:val="24"/>
        </w:rPr>
      </w:pPr>
      <w:r w:rsidRPr="00D008E4">
        <w:rPr>
          <w:rFonts w:cs="Times New Roman"/>
          <w:szCs w:val="24"/>
        </w:rPr>
        <w:t>The studies also differ in what they actually measure. Wang et al. (2016), He and Zhan (2018) and Ji, Jiang and Zhu (2024) model personal or moral norms close to the decision, whereas Feng et al. (2025) tests general environmental concern in a deliberately later-adopter Beijing sample. Shi and Lin (2024) examine change in smog concern across repeated cross-sections rather than a stable personal norm within one structural model. The common conclusion is therefore not that environmental concern always has a direct effect, but that environmental values are more predictive when translated into responsibility, efficacy, personal norm or favourable attitude.</w:t>
      </w:r>
    </w:p>
    <w:p w:rsidR="00EE72EF" w:rsidRPr="00D008E4" w:rsidRDefault="001A6DD9" w:rsidP="0000412A">
      <w:pPr>
        <w:rPr>
          <w:rFonts w:cs="Times New Roman"/>
          <w:szCs w:val="24"/>
        </w:rPr>
      </w:pPr>
      <w:r w:rsidRPr="00D008E4">
        <w:rPr>
          <w:rFonts w:cs="Times New Roman"/>
          <w:szCs w:val="24"/>
        </w:rPr>
        <w:t>Li et al. (2022) add a further complication through self-image. Their multi-source design shows that pro-environmental, innovative and normative motives explain adoption more convincingly in combination than environmental motives alone, while environmental self-image by itself can coexist with an intention-behaviour gap. Green identity may therefore support what consumers say they intend to do without being sufficient to overcome practical constraints on purchase.</w:t>
      </w:r>
    </w:p>
    <w:p w:rsidR="00EE72EF" w:rsidRPr="00D008E4" w:rsidRDefault="001A6DD9" w:rsidP="0000412A">
      <w:pPr>
        <w:rPr>
          <w:rFonts w:cs="Times New Roman"/>
          <w:szCs w:val="24"/>
        </w:rPr>
      </w:pPr>
      <w:r w:rsidRPr="00D008E4">
        <w:rPr>
          <w:rFonts w:cs="Times New Roman"/>
          <w:szCs w:val="24"/>
        </w:rPr>
        <w:t xml:space="preserve">Income and emotion introduce another boundary condition. He et al. (2022) identify positive anticipated emotion as the strongest overall predictor in their model, followed by attitude, negative anticipated emotion and PBC. High-income consumers respond more strongly to negative anticipated emotion, while low-income consumers respond more to positive anticipated emotion. Environmental and moral </w:t>
      </w:r>
      <w:r w:rsidRPr="00D008E4">
        <w:rPr>
          <w:rFonts w:cs="Times New Roman"/>
          <w:szCs w:val="24"/>
        </w:rPr>
        <w:lastRenderedPageBreak/>
        <w:t>decision-making is therefore not only cognitive; affective responses can change how the same value is translated into intention across segments.</w:t>
      </w:r>
    </w:p>
    <w:p w:rsidR="00EE72EF" w:rsidRPr="00D008E4" w:rsidRDefault="001A6DD9" w:rsidP="0000412A">
      <w:pPr>
        <w:rPr>
          <w:rFonts w:cs="Times New Roman"/>
          <w:szCs w:val="24"/>
        </w:rPr>
      </w:pPr>
      <w:r w:rsidRPr="00D008E4">
        <w:rPr>
          <w:rFonts w:cs="Times New Roman"/>
          <w:szCs w:val="24"/>
        </w:rPr>
        <w:t>Taken together, the findings do not justify abandoning environmental positioning, but they do argue against treating concern alone as a reliable sales trigger. Environmental communication is more likely to matter when connected to efficacy, personal responsibility, practical advantage and social validation. Placing environmental concern upstream of attitude and personal norm also reconciles later-adopter studies in which general concern is non-significant with other research showing that moral mechanisms remain relevant.</w:t>
      </w:r>
    </w:p>
    <w:p w:rsidR="00EE72EF" w:rsidRPr="00D008E4" w:rsidRDefault="001A6DD9" w:rsidP="0000412A">
      <w:pPr>
        <w:rPr>
          <w:rFonts w:cs="Times New Roman"/>
          <w:szCs w:val="24"/>
        </w:rPr>
      </w:pPr>
      <w:r w:rsidRPr="00D008E4">
        <w:rPr>
          <w:rFonts w:cs="Times New Roman"/>
          <w:szCs w:val="24"/>
        </w:rPr>
        <w:t>NAM offers the clearest explanation for this pattern because it distinguishes broad awareness from activated personal obligation. TPB then helps explain how moral evaluation is translated into attitude and perceived control. The two perspectives are complementary: environmental concern supplies a value orientation, while responsibility, efficacy, personal norm and feasibility determine whether that orientation becomes purchase intention.</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w:t>
      </w:r>
      <w:r w:rsidR="00BD1281" w:rsidRPr="00D008E4">
        <w:rPr>
          <w:rFonts w:ascii="Times New Roman" w:hAnsi="Times New Roman" w:cs="Times New Roman"/>
          <w:sz w:val="28"/>
          <w:szCs w:val="24"/>
        </w:rPr>
        <w:t>.5 Theme 3: Government policy, Incentives and the Post-subsidy T</w:t>
      </w:r>
      <w:r w:rsidRPr="00D008E4">
        <w:rPr>
          <w:rFonts w:ascii="Times New Roman" w:hAnsi="Times New Roman" w:cs="Times New Roman"/>
          <w:sz w:val="28"/>
          <w:szCs w:val="24"/>
        </w:rPr>
        <w:t>ransition</w:t>
      </w:r>
    </w:p>
    <w:p w:rsidR="00EE72EF" w:rsidRPr="00D008E4" w:rsidRDefault="001A6DD9" w:rsidP="0000412A">
      <w:pPr>
        <w:rPr>
          <w:rFonts w:cs="Times New Roman"/>
          <w:szCs w:val="24"/>
        </w:rPr>
      </w:pPr>
      <w:r w:rsidRPr="00D008E4">
        <w:rPr>
          <w:rFonts w:cs="Times New Roman"/>
          <w:szCs w:val="24"/>
        </w:rPr>
        <w:t>Government policy and incentives appear in 18 core studies (45%). Policy clearly shaped the development of China's EV market, but the synthesis points to a change in mechanism rather than a simple decline in relevance. Purchase subsidies, information measures, charging investment and preferential usage policies address different constraints; combining them under a single measure of 'support' can conceal more than it explains.</w:t>
      </w:r>
    </w:p>
    <w:p w:rsidR="00EE72EF" w:rsidRPr="00D008E4" w:rsidRDefault="001A6DD9" w:rsidP="0000412A">
      <w:pPr>
        <w:rPr>
          <w:rFonts w:cs="Times New Roman"/>
          <w:szCs w:val="24"/>
        </w:rPr>
      </w:pPr>
      <w:r w:rsidRPr="00D008E4">
        <w:rPr>
          <w:rFonts w:cs="Times New Roman"/>
          <w:szCs w:val="24"/>
        </w:rPr>
        <w:t>Yang et al. (2019) find that perceptions of incentive policies and product cognition influence adoption intention, with effects varying by gender, age and income. Dong et al. (2020), analysing households across thirty provinces and eight economic regions under subsidy conditions, find cost factors non-significant while cruising range and charging availability matter more, alongside subjective norms, emotions, personal norms and PBC. Ye et al. (2021) reach a related conclusion using fsQCA: subsidies appear in configurations associated with high intention, but they cannot compensate for the joint absence of favourable attitude, subjective norms and PBC. Policy can lower barriers, but it does not create acceptance independently of consumer evaluation.</w:t>
      </w:r>
    </w:p>
    <w:p w:rsidR="00EE72EF" w:rsidRPr="00D008E4" w:rsidRDefault="001A6DD9" w:rsidP="0000412A">
      <w:pPr>
        <w:rPr>
          <w:rFonts w:cs="Times New Roman"/>
          <w:szCs w:val="24"/>
        </w:rPr>
      </w:pPr>
      <w:r w:rsidRPr="00D008E4">
        <w:rPr>
          <w:rFonts w:cs="Times New Roman"/>
          <w:szCs w:val="24"/>
        </w:rPr>
        <w:t xml:space="preserve">Recent studies separate policy types more explicitly. Xue et al. (2023) find that financial, information and convenience policies all increase purchase intention, with psychosocial value mediating these effects; convenience policy is strongest and financial policy weakest, and the relationships are stronger among households without an EV. Ehsan et al. (2024) find both financial and preferential policies improve attitudes and adoption intention in Shanghai, with preferential policy showing the stronger association with purchase intention. Li, Cui and Shen (2024) identify another indirect route: subsidies </w:t>
      </w:r>
      <w:r w:rsidRPr="00D008E4">
        <w:rPr>
          <w:rFonts w:cs="Times New Roman"/>
          <w:szCs w:val="24"/>
        </w:rPr>
        <w:lastRenderedPageBreak/>
        <w:t>affect intention by reducing perceived cost and risk and increasing social confidence, with social confidence the strongest mediator and supporting facilities moderating the process.</w:t>
      </w:r>
    </w:p>
    <w:p w:rsidR="00EE72EF" w:rsidRPr="00D008E4" w:rsidRDefault="001A6DD9" w:rsidP="0000412A">
      <w:pPr>
        <w:rPr>
          <w:rFonts w:cs="Times New Roman"/>
          <w:szCs w:val="24"/>
        </w:rPr>
      </w:pPr>
      <w:r w:rsidRPr="00D008E4">
        <w:rPr>
          <w:rFonts w:cs="Times New Roman"/>
          <w:szCs w:val="24"/>
        </w:rPr>
        <w:t>The weaker results for financial policy become more intelligible once operationalisation and context are considered. Wang et al. (2018) report no significant direct financial-incentive effect; Dong et al. (2020) find cost factors non-significant within subsidy scenarios; and Xue et al. (2023) find financial policy weaker than convenience policy. These studies are not estimating exactly the same quantity. Some test the marginal direct effect of an incentive, some compare household choices within an existing subsidy environment and others separate policy categories and mediators. Shanghai's licence privileges in Ehsan et al. (2024) create an additional local benefit that cannot be assumed elsewhere. The disagreement is therefore mainly about which policy mechanism is binding in a given setting, not about whether public policy matters at all.</w:t>
      </w:r>
    </w:p>
    <w:p w:rsidR="00EE72EF" w:rsidRPr="00D008E4" w:rsidRDefault="001A6DD9" w:rsidP="0000412A">
      <w:pPr>
        <w:rPr>
          <w:rFonts w:cs="Times New Roman"/>
          <w:szCs w:val="24"/>
        </w:rPr>
      </w:pPr>
      <w:r w:rsidRPr="00D008E4">
        <w:rPr>
          <w:rFonts w:cs="Times New Roman"/>
          <w:szCs w:val="24"/>
        </w:rPr>
        <w:t>Two extreme interpretations can therefore be rejected. Generous subsidies do not generate demand regardless of consumer evaluation, but subsidy withdrawal does not make the state irrelevant either. A more plausible reading is functional substitution: as products, charging networks and peer visibility improve, some of the behavioural work once performed by purchase subsidies is taken over by convenience and ecosystem confidence. Public policy remains important because it can help create those conditions.</w:t>
      </w:r>
    </w:p>
    <w:p w:rsidR="00EE72EF" w:rsidRPr="00D008E4" w:rsidRDefault="001A6DD9" w:rsidP="0000412A">
      <w:pPr>
        <w:rPr>
          <w:rFonts w:cs="Times New Roman"/>
          <w:szCs w:val="24"/>
        </w:rPr>
      </w:pPr>
      <w:r w:rsidRPr="00D008E4">
        <w:rPr>
          <w:rFonts w:cs="Times New Roman"/>
          <w:szCs w:val="24"/>
        </w:rPr>
        <w:t>Shi and Lin (2024) provide the clearest temporal evidence. Across 4,177 observations from 2016 and 2022, willingness to purchase EVs increases while perceptions of subsidy sufficiency decline. Network externalities strengthen substantially and charging perceptions improve, although infrastructure remains a weakness. The decline in subsidy intensity has only a weak negative effect compared with the positive cumulative effect of network externalities. The pattern is consistent with a shift from state-supported novelty towards a more socially and infrastructurally embedded market.</w:t>
      </w:r>
    </w:p>
    <w:p w:rsidR="00EE72EF" w:rsidRPr="00D008E4" w:rsidRDefault="001A6DD9" w:rsidP="0000412A">
      <w:pPr>
        <w:rPr>
          <w:rFonts w:cs="Times New Roman"/>
          <w:szCs w:val="24"/>
        </w:rPr>
      </w:pPr>
      <w:r w:rsidRPr="00D008E4">
        <w:rPr>
          <w:rFonts w:cs="Times New Roman"/>
          <w:szCs w:val="24"/>
        </w:rPr>
        <w:t>Wang, Cao and Zhang (2021) provide an important counterweight by finding environmental concern, social norms and face consciousness more influential than policy perceptions, with heterogeneous effects across policy types. Policy again appears to work through the consumer decision system rather than above it. In a post-subsidy context, an additional unit of financial support may therefore have less value than an intervention that removes a practical barrier or increases confidence in ownership.</w:t>
      </w:r>
    </w:p>
    <w:p w:rsidR="00EE72EF" w:rsidRPr="00D008E4" w:rsidRDefault="001A6DD9" w:rsidP="0000412A">
      <w:pPr>
        <w:rPr>
          <w:rFonts w:cs="Times New Roman"/>
          <w:szCs w:val="24"/>
        </w:rPr>
      </w:pPr>
      <w:r w:rsidRPr="00D008E4">
        <w:rPr>
          <w:rFonts w:cs="Times New Roman"/>
          <w:szCs w:val="24"/>
        </w:rPr>
        <w:t>Geography limits the extent to which any policy coefficient can be generalised. Shanghai's licence and usage privileges create a benefit structure unlike cities where conventional vehicle licensing is less restrictive, while Beijing's infrastructure and income profile also differ from many lower-tier markets. A strong policy effect in a tier-1 city may therefore reflect a local institutional package rather than a stable national relationship.</w:t>
      </w:r>
    </w:p>
    <w:p w:rsidR="00EE72EF" w:rsidRPr="00D008E4" w:rsidRDefault="001A6DD9" w:rsidP="0000412A">
      <w:pPr>
        <w:rPr>
          <w:rFonts w:cs="Times New Roman"/>
          <w:szCs w:val="24"/>
        </w:rPr>
      </w:pPr>
      <w:r w:rsidRPr="00D008E4">
        <w:rPr>
          <w:rFonts w:cs="Times New Roman"/>
          <w:szCs w:val="24"/>
        </w:rPr>
        <w:lastRenderedPageBreak/>
        <w:t>Theoretically, policy is best positioned as a contextual input into TPB and perceived-value processes rather than as a self-contained motivational theory. Financial support can improve value, convenience policy can strengthen PBC, and infrastructure or information can reduce uncertainty. Diffusion theory then explains why the relative importance of these pathways may change as the market matures. This interpretation accommodates both significant and non-significant direct policy effects without requiring government influence to operate through one universal channel.</w:t>
      </w:r>
    </w:p>
    <w:p w:rsidR="00EE72EF" w:rsidRPr="00D008E4" w:rsidRDefault="00BD1281"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4.6 Theme 4: Knowledge, Information and E</w:t>
      </w:r>
      <w:r w:rsidR="001A6DD9" w:rsidRPr="00D008E4">
        <w:rPr>
          <w:rFonts w:ascii="Times New Roman" w:hAnsi="Times New Roman" w:cs="Times New Roman"/>
          <w:sz w:val="28"/>
          <w:szCs w:val="24"/>
        </w:rPr>
        <w:t>xperience</w:t>
      </w:r>
    </w:p>
    <w:p w:rsidR="00EE72EF" w:rsidRPr="00D008E4" w:rsidRDefault="001A6DD9" w:rsidP="0000412A">
      <w:pPr>
        <w:rPr>
          <w:rFonts w:cs="Times New Roman"/>
          <w:szCs w:val="24"/>
        </w:rPr>
      </w:pPr>
      <w:r w:rsidRPr="00D008E4">
        <w:rPr>
          <w:rFonts w:cs="Times New Roman"/>
          <w:szCs w:val="24"/>
        </w:rPr>
        <w:t>Knowledge, information and experience appear in 13 core studies (32.5%) and form one of the clearest cross-theme mechanisms. They sometimes predict intention directly, but their more important role is to change how consumers judge usefulness, ease of use, value, perceived risk and behavioural control.</w:t>
      </w:r>
    </w:p>
    <w:p w:rsidR="00EE72EF" w:rsidRPr="00D008E4" w:rsidRDefault="001A6DD9" w:rsidP="0000412A">
      <w:pPr>
        <w:rPr>
          <w:rFonts w:cs="Times New Roman"/>
          <w:szCs w:val="24"/>
        </w:rPr>
      </w:pPr>
      <w:r w:rsidRPr="00D008E4">
        <w:rPr>
          <w:rFonts w:cs="Times New Roman"/>
          <w:szCs w:val="24"/>
        </w:rPr>
        <w:t>Huang et al. (2021) find technological knowledge positively related to perceived usefulness, perceived ease of use and adoption intention. Wang et al. (2018) show knowledge increasing usefulness, attitude and intention while lowering perceived risk. Wang et al. (2022) find consumer ethnocentrism increasing perceived value and knowledge for domestic energy-saving vehicles, after which knowledge and value raise usefulness and ease of use. Across these models, knowledge functions as a cognitive resource that helps consumers interpret technical claims rather than simply as another attitude measure.</w:t>
      </w:r>
    </w:p>
    <w:p w:rsidR="00EE72EF" w:rsidRPr="00D008E4" w:rsidRDefault="001A6DD9" w:rsidP="0000412A">
      <w:pPr>
        <w:rPr>
          <w:rFonts w:cs="Times New Roman"/>
          <w:szCs w:val="24"/>
        </w:rPr>
      </w:pPr>
      <w:r w:rsidRPr="00D008E4">
        <w:rPr>
          <w:rFonts w:cs="Times New Roman"/>
          <w:szCs w:val="24"/>
        </w:rPr>
        <w:t>Experience is especially valuable because it converts abstract claims into observable performance. Xu et al. (2020) find that driving experience increases relative advantage and ease of use, reduces perceived risk and also has a direct positive relationship with intention. Ling, Cherry and Wen (2021), using stated-preference data from 1,216 Beijing respondents, find prior EV driving or passenger experience increases the likelihood of BEV purchase. Jiang et al. (2025) report a similar positive relationship between past driving experience and intention, partly mediated through attitude, personal norms, subjective norms and PBC.</w:t>
      </w:r>
    </w:p>
    <w:p w:rsidR="00EE72EF" w:rsidRPr="00D008E4" w:rsidRDefault="001A6DD9" w:rsidP="0000412A">
      <w:pPr>
        <w:rPr>
          <w:rFonts w:cs="Times New Roman"/>
          <w:szCs w:val="24"/>
        </w:rPr>
      </w:pPr>
      <w:r w:rsidRPr="00D008E4">
        <w:rPr>
          <w:rFonts w:cs="Times New Roman"/>
          <w:szCs w:val="24"/>
        </w:rPr>
        <w:t>The agreement is notable because the studies use different analytical designs. Xu et al. and Jiang et al. use structural models that expose mediating psychological pathways, while Ling, Cherry and Wen use stated-preference choice data in which respondents make more explicit product trade-offs. Convergence across these approaches strengthens confidence that experience is associated with more favourable adoption evaluation. It does not, however, eliminate the limitations created by the Beijing setting of the choice study or the non-random acquisition of experience in survey samples.</w:t>
      </w:r>
    </w:p>
    <w:p w:rsidR="00EE72EF" w:rsidRPr="00D008E4" w:rsidRDefault="001A6DD9" w:rsidP="0000412A">
      <w:pPr>
        <w:rPr>
          <w:rFonts w:cs="Times New Roman"/>
          <w:szCs w:val="24"/>
        </w:rPr>
      </w:pPr>
      <w:r w:rsidRPr="00D008E4">
        <w:rPr>
          <w:rFonts w:cs="Times New Roman"/>
          <w:szCs w:val="24"/>
        </w:rPr>
        <w:t xml:space="preserve">Causal interpretation therefore remains cautious. Consumers who seek out test drives or other EV experience may already be more innovative, knowledgeable or positively disposed, and cross-sectional models cannot separate learning from selection completely. A field experiment that randomly offered </w:t>
      </w:r>
      <w:r w:rsidRPr="00D008E4">
        <w:rPr>
          <w:rFonts w:cs="Times New Roman"/>
          <w:szCs w:val="24"/>
        </w:rPr>
        <w:lastRenderedPageBreak/>
        <w:t>extended trials would provide stronger evidence. Even with this caveat, the repeated pathway across frameworks makes consumer trial a credible practical intervention to test.</w:t>
      </w:r>
    </w:p>
    <w:p w:rsidR="00EE72EF" w:rsidRPr="00D008E4" w:rsidRDefault="001A6DD9" w:rsidP="0000412A">
      <w:pPr>
        <w:rPr>
          <w:rFonts w:cs="Times New Roman"/>
          <w:szCs w:val="24"/>
        </w:rPr>
      </w:pPr>
      <w:r w:rsidRPr="00D008E4">
        <w:rPr>
          <w:rFonts w:cs="Times New Roman"/>
          <w:szCs w:val="24"/>
        </w:rPr>
        <w:t>The source of information also matters. The supporting study by Xiong et al. (2024) reports a stronger association between interpersonal information and purchase intention than for official or commercial sources, with perceived risk mediating the source effects. Because the archived record for this paper was incomplete, it is not included in the forty-study denominator. Its mechanism nevertheless aligns with the core peer-effect and knowledge evidence: information appears more persuasive when it is credible, experience-rich and capable of reducing uncertainty.</w:t>
      </w:r>
    </w:p>
    <w:p w:rsidR="00EE72EF" w:rsidRPr="00D008E4" w:rsidRDefault="001A6DD9" w:rsidP="0000412A">
      <w:pPr>
        <w:rPr>
          <w:rFonts w:cs="Times New Roman"/>
          <w:szCs w:val="24"/>
        </w:rPr>
      </w:pPr>
      <w:r w:rsidRPr="00D008E4">
        <w:rPr>
          <w:rFonts w:cs="Times New Roman"/>
          <w:szCs w:val="24"/>
        </w:rPr>
        <w:t>This theme also changes how trust should be interpreted. Consumers do not need to express abstract 'trust in EVs' if credible experience allows them to replace uncertainty with knowledge. Test drives, transparent battery-health information, owner testimony and reliable service records can all perform a trust-building function without being measured using a trust scale. For that reason, the synthesis uses the broader concept of uncertainty management.</w:t>
      </w:r>
    </w:p>
    <w:p w:rsidR="00EE72EF" w:rsidRPr="00D008E4" w:rsidRDefault="001A6DD9" w:rsidP="0000412A">
      <w:pPr>
        <w:rPr>
          <w:rFonts w:cs="Times New Roman"/>
          <w:szCs w:val="24"/>
        </w:rPr>
      </w:pPr>
      <w:r w:rsidRPr="00D008E4">
        <w:rPr>
          <w:rFonts w:cs="Times New Roman"/>
          <w:szCs w:val="24"/>
        </w:rPr>
        <w:t>TAM provides the clearest account of the learning pathway: knowledge and experience can increase perceived usefulness and ease while reducing ambiguity. TPB adds a control pathway when familiarity makes charging and daily operation feel manageable, and diffusion theory explains why trial and observability matter as a market moves from early to mainstream adoption. These theories are therefore complementary descriptions of different stages in the same learning process.</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4.7 Theme 5: Charging, Range and F</w:t>
      </w:r>
      <w:r w:rsidR="001A6DD9" w:rsidRPr="00D008E4">
        <w:rPr>
          <w:rFonts w:ascii="Times New Roman" w:hAnsi="Times New Roman" w:cs="Times New Roman"/>
          <w:sz w:val="28"/>
          <w:szCs w:val="24"/>
        </w:rPr>
        <w:t>acilitating conditions</w:t>
      </w:r>
    </w:p>
    <w:p w:rsidR="00EE72EF" w:rsidRPr="00D008E4" w:rsidRDefault="001A6DD9" w:rsidP="0000412A">
      <w:pPr>
        <w:rPr>
          <w:rFonts w:cs="Times New Roman"/>
          <w:szCs w:val="24"/>
        </w:rPr>
      </w:pPr>
      <w:r w:rsidRPr="00D008E4">
        <w:rPr>
          <w:rFonts w:cs="Times New Roman"/>
          <w:szCs w:val="24"/>
        </w:rPr>
        <w:t>Charging, range and facilitating conditions are coded in 12 core studies (30%). They show particularly clearly how objective infrastructure and subjective feasibility interact. Public charging density, home-charging access, reliability, waiting time and vehicle range all influence whether an EV fits everyday life, yet aggregate infrastructure measures may not capture the accessibility experienced by a particular household.</w:t>
      </w:r>
    </w:p>
    <w:p w:rsidR="00EE72EF" w:rsidRPr="00D008E4" w:rsidRDefault="001A6DD9" w:rsidP="0000412A">
      <w:pPr>
        <w:rPr>
          <w:rFonts w:cs="Times New Roman"/>
          <w:szCs w:val="24"/>
        </w:rPr>
      </w:pPr>
      <w:r w:rsidRPr="00D008E4">
        <w:rPr>
          <w:rFonts w:cs="Times New Roman"/>
          <w:szCs w:val="24"/>
        </w:rPr>
        <w:t>Several studies link these conditions to adoption. Dong et al. (2020) find cruising range and charging availability more important than cost under subsidy conditions. Feng et al. (2025) identify facilitating conditions as significant among later adopters. Rehman et al. (2024) show range confidence increasing satisfaction, which in turn is associated with adoption intention, while Shi and Lin (2024) report improved perceptions of charging adequacy between 2016 and 2022 but still describe infrastructure as a policy weakness. These findings are consistent with the idea that mainstream adoption increasingly depends on routine compatibility rather than technology novelty alone.</w:t>
      </w:r>
    </w:p>
    <w:p w:rsidR="00EE72EF" w:rsidRPr="00D008E4" w:rsidRDefault="001A6DD9" w:rsidP="0000412A">
      <w:pPr>
        <w:rPr>
          <w:rFonts w:cs="Times New Roman"/>
          <w:szCs w:val="24"/>
        </w:rPr>
      </w:pPr>
      <w:r w:rsidRPr="00D008E4">
        <w:rPr>
          <w:rFonts w:cs="Times New Roman"/>
          <w:szCs w:val="24"/>
        </w:rPr>
        <w:t xml:space="preserve">Habich-Sobiegalla, Kostka and Anzinger (2019), however, find that macro-level charging infrastructure does not significantly predict individual purchase intention across 165 cities. The null result is useful </w:t>
      </w:r>
      <w:r w:rsidRPr="00D008E4">
        <w:rPr>
          <w:rFonts w:cs="Times New Roman"/>
          <w:szCs w:val="24"/>
        </w:rPr>
        <w:lastRenderedPageBreak/>
        <w:t>because it exposes a measurement-level distinction. A city can contain many chargers while a household still lacks convenient access, and consumers may perceive adequate access even where official density is lower. Macro supply and micro accessibility are related, but they are not the same construct.</w:t>
      </w:r>
    </w:p>
    <w:p w:rsidR="00EE72EF" w:rsidRPr="00D008E4" w:rsidRDefault="001A6DD9" w:rsidP="0000412A">
      <w:pPr>
        <w:rPr>
          <w:rFonts w:cs="Times New Roman"/>
          <w:szCs w:val="24"/>
        </w:rPr>
      </w:pPr>
      <w:r w:rsidRPr="00D008E4">
        <w:rPr>
          <w:rFonts w:cs="Times New Roman"/>
          <w:szCs w:val="24"/>
        </w:rPr>
        <w:t>This distinction explains why infrastructure is better modelled through perceived control, risk and convenience than through a direct macro effect alone. In TPB terms, reliable charging close to home or work can increase PBC; from a risk perspective, predictable access reduces uncertainty about range and disruption. City-wide counts may capture neither experience well. Dong et al. (2020) and Feng et al. (2025) are closer to the consumer's experienced feasibility, while Habich-Sobiegalla, Kostka and Anzinger (2019) rely on a more aggregated exposure measure. The apparent contradiction is therefore at least partly a consequence of scale.</w:t>
      </w:r>
    </w:p>
    <w:p w:rsidR="00EE72EF" w:rsidRPr="00D008E4" w:rsidRDefault="001A6DD9" w:rsidP="0000412A">
      <w:pPr>
        <w:rPr>
          <w:rFonts w:cs="Times New Roman"/>
          <w:szCs w:val="24"/>
        </w:rPr>
      </w:pPr>
      <w:r w:rsidRPr="00D008E4">
        <w:rPr>
          <w:rFonts w:cs="Times New Roman"/>
          <w:szCs w:val="24"/>
        </w:rPr>
        <w:t>Charging also links directly back to policy. Infrastructure investment is a public or quasi-public intervention, and usage privileges can reduce the practical sacrifice of ownership. A post-subsidy shift towards charging and facilitating conditions is therefore not a retreat from policy; it is a change from price intervention towards capability building.</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4.8 Theme 6: Price, economic value and benefit-sacrifice evaluation</w:t>
      </w:r>
    </w:p>
    <w:p w:rsidR="00EE72EF" w:rsidRPr="00D008E4" w:rsidRDefault="001A6DD9" w:rsidP="0000412A">
      <w:pPr>
        <w:rPr>
          <w:rFonts w:cs="Times New Roman"/>
          <w:szCs w:val="24"/>
        </w:rPr>
      </w:pPr>
      <w:r w:rsidRPr="00D008E4">
        <w:rPr>
          <w:rFonts w:cs="Times New Roman"/>
          <w:szCs w:val="24"/>
        </w:rPr>
        <w:t>Price and economic value appear in 12 core studies (30%). At first sight the findings conflict: perceived price can weaken intention, yet financial incentives are sometimes weak or non-significant and cost factors can disappear under subsidy conditions. Much of the inconsistency disappears once three questions are separated - underlying affordability, overall perceived value and the marginal effect of a specific financial incentive.</w:t>
      </w:r>
    </w:p>
    <w:p w:rsidR="00EE72EF" w:rsidRPr="00D008E4" w:rsidRDefault="001A6DD9" w:rsidP="0000412A">
      <w:pPr>
        <w:rPr>
          <w:rFonts w:cs="Times New Roman"/>
          <w:szCs w:val="24"/>
        </w:rPr>
      </w:pPr>
      <w:r w:rsidRPr="00D008E4">
        <w:rPr>
          <w:rFonts w:cs="Times New Roman"/>
          <w:szCs w:val="24"/>
        </w:rPr>
        <w:t>He and Zhan (2018) show perceived price weakening the positive personal-norm pathway. Zheng et al. (2025) find that perceived price weakens the attitude-intention relationship even while brand association, perceived quality, loyalty, attitude and PBC predict intention. Rehman et al. (2024) report that price and battery cost reduce satisfaction. These studies indicate that economic sacrifice remains part of the decision even in a market where other benefits are increasingly salient.</w:t>
      </w:r>
    </w:p>
    <w:p w:rsidR="00EE72EF" w:rsidRPr="00D008E4" w:rsidRDefault="001A6DD9" w:rsidP="0000412A">
      <w:pPr>
        <w:rPr>
          <w:rFonts w:cs="Times New Roman"/>
          <w:szCs w:val="24"/>
        </w:rPr>
      </w:pPr>
      <w:r w:rsidRPr="00D008E4">
        <w:rPr>
          <w:rFonts w:cs="Times New Roman"/>
          <w:szCs w:val="24"/>
        </w:rPr>
        <w:t>By contrast, Wang et al. (2018) find no significant direct effect for financial incentive policy, Dong et al. (2020) report non-significant cost factors under subsidy scenarios, and Xue et al. (2023) find financial policy weaker than convenience policy. These are not convincing evidence that consumers ignore money. They indicate that the incremental effect of an incentive can be small when price is already embedded in product evaluation or when a different constraint - such as charging or convenience - is more binding.</w:t>
      </w:r>
    </w:p>
    <w:p w:rsidR="00EE72EF" w:rsidRPr="00D008E4" w:rsidRDefault="001A6DD9" w:rsidP="0000412A">
      <w:pPr>
        <w:rPr>
          <w:rFonts w:cs="Times New Roman"/>
          <w:szCs w:val="24"/>
        </w:rPr>
      </w:pPr>
      <w:r w:rsidRPr="00D008E4">
        <w:rPr>
          <w:rFonts w:cs="Times New Roman"/>
          <w:szCs w:val="24"/>
        </w:rPr>
        <w:lastRenderedPageBreak/>
        <w:t>The studies are therefore answering different economic questions. Perceived price in He and Zhan (2018) and Zheng et al. (2025) captures the sacrifice experienced by the consumer and can weaken otherwise favourable psychological pathways. A financial-policy coefficient estimates the additional effect of a particular intervention against the prevailing market baseline. Dong et al.'s scenario-based household analysis also allows attributes such as range and charging to compete directly with cost for explanatory importance. Once these distinctions are maintained, the apparent contradiction between price sensitivity and weak subsidy effects is substantially reduced.</w:t>
      </w:r>
    </w:p>
    <w:p w:rsidR="00EE72EF" w:rsidRPr="00D008E4" w:rsidRDefault="001A6DD9" w:rsidP="0000412A">
      <w:pPr>
        <w:rPr>
          <w:rFonts w:cs="Times New Roman"/>
          <w:szCs w:val="24"/>
        </w:rPr>
      </w:pPr>
      <w:r w:rsidRPr="00D008E4">
        <w:rPr>
          <w:rFonts w:cs="Times New Roman"/>
          <w:szCs w:val="24"/>
        </w:rPr>
        <w:t>Value-focused research reaches a similar conclusion. Han et al. (2017) find functional value affecting intention directly and through attitude, while non-functional value operates through attitude. He, Zhan and Hu (2018) show positive and negative utility perceptions mediating innovativeness and environmental concern. Hu et al. (2024) find perceived benefit and convenience pulling consumers towards EV switching while perceived risk and inertia push in the opposite direction. Consumers are therefore evaluating a portfolio of benefits and sacrifices, not merely responding to sticker price.</w:t>
      </w:r>
    </w:p>
    <w:p w:rsidR="00EE72EF" w:rsidRPr="00D008E4" w:rsidRDefault="001A6DD9" w:rsidP="0000412A">
      <w:pPr>
        <w:rPr>
          <w:rFonts w:cs="Times New Roman"/>
          <w:szCs w:val="24"/>
        </w:rPr>
      </w:pPr>
      <w:r w:rsidRPr="00D008E4">
        <w:rPr>
          <w:rFonts w:cs="Times New Roman"/>
          <w:szCs w:val="24"/>
        </w:rPr>
        <w:t>That distinction becomes more important after subsidy withdrawal. Manufacturers can partly offset lower purchase support through operating-cost advantages, performance, warranty protection, residual-value confidence, charging services or status and identity value. The relevant bundle will differ by segment: price-sensitive households may need transparent total-cost evidence, while technologically proficient later adopters may be more concerned with convenience and ecosystem quality.</w:t>
      </w:r>
    </w:p>
    <w:p w:rsidR="00EE72EF" w:rsidRPr="00D008E4" w:rsidRDefault="001A6DD9" w:rsidP="0000412A">
      <w:pPr>
        <w:rPr>
          <w:rFonts w:cs="Times New Roman"/>
          <w:szCs w:val="24"/>
        </w:rPr>
      </w:pPr>
      <w:r w:rsidRPr="00D008E4">
        <w:rPr>
          <w:rFonts w:cs="Times New Roman"/>
          <w:szCs w:val="24"/>
        </w:rPr>
        <w:t>Consumption-value theory captures this theme well because it treats purchase as a benefit-sacrifice judgement rather than a direct response to price. TPB remains relevant where value changes attitude, but the value perspective explains how an expensive EV can still generate purchase intention when functional, emotional or social benefits compensate for economic sacrifice. It also helps explain why the marginal effect of financial incentives can weaken in a more mature market even though affordability itself still matters.</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w:t>
      </w:r>
      <w:r w:rsidR="007D3608" w:rsidRPr="00D008E4">
        <w:rPr>
          <w:rFonts w:ascii="Times New Roman" w:hAnsi="Times New Roman" w:cs="Times New Roman"/>
          <w:sz w:val="28"/>
          <w:szCs w:val="24"/>
        </w:rPr>
        <w:t>.9 Theme 7: Perceived risk and U</w:t>
      </w:r>
      <w:r w:rsidRPr="00D008E4">
        <w:rPr>
          <w:rFonts w:ascii="Times New Roman" w:hAnsi="Times New Roman" w:cs="Times New Roman"/>
          <w:sz w:val="28"/>
          <w:szCs w:val="24"/>
        </w:rPr>
        <w:t>ncertainty</w:t>
      </w:r>
    </w:p>
    <w:p w:rsidR="00EE72EF" w:rsidRPr="00D008E4" w:rsidRDefault="001A6DD9" w:rsidP="0000412A">
      <w:pPr>
        <w:rPr>
          <w:rFonts w:cs="Times New Roman"/>
          <w:szCs w:val="24"/>
        </w:rPr>
      </w:pPr>
      <w:r w:rsidRPr="00D008E4">
        <w:rPr>
          <w:rFonts w:cs="Times New Roman"/>
          <w:szCs w:val="24"/>
        </w:rPr>
        <w:t>Perceived risk and uncertainty are explicitly coded in seven core studies (17.5%). That relatively low frequency is itself important because risk was central to the preliminary proposal. The review does not show that risk is unimportant; rather, it shows that the original framing overstated how consistently risk appears as an explicitly measured determinant across the China-focused literature.</w:t>
      </w:r>
    </w:p>
    <w:p w:rsidR="00EE72EF" w:rsidRPr="00D008E4" w:rsidRDefault="001A6DD9" w:rsidP="0000412A">
      <w:pPr>
        <w:rPr>
          <w:rFonts w:cs="Times New Roman"/>
          <w:szCs w:val="24"/>
        </w:rPr>
      </w:pPr>
      <w:r w:rsidRPr="00D008E4">
        <w:rPr>
          <w:rFonts w:cs="Times New Roman"/>
          <w:szCs w:val="24"/>
        </w:rPr>
        <w:t xml:space="preserve">Where risk is included, several studies support a negative pathway. Wang et al. (2018) find perceived risk reducing usefulness, attitude and intention, while knowledge lowers risk. Xu et al. (2020) similarly find driving experience reducing perceived risk and risk reducing adoption intention. In a NIO case study, Jiang et al. (2021) identify perceived risk alongside brand identity and image as directly related </w:t>
      </w:r>
      <w:r w:rsidRPr="00D008E4">
        <w:rPr>
          <w:rFonts w:cs="Times New Roman"/>
          <w:szCs w:val="24"/>
        </w:rPr>
        <w:lastRenderedPageBreak/>
        <w:t>to purchase intention, with awareness operating through image and risk. Hu et al. (2024) also find perceived risk reducing switching intention and weakening positive push and pull effects. Across these studies, unresolved uncertainty acts as part of the sacrifice side of the purchase decision.</w:t>
      </w:r>
    </w:p>
    <w:p w:rsidR="00EE72EF" w:rsidRPr="00D008E4" w:rsidRDefault="001A6DD9" w:rsidP="0000412A">
      <w:pPr>
        <w:rPr>
          <w:rFonts w:cs="Times New Roman"/>
          <w:szCs w:val="24"/>
        </w:rPr>
      </w:pPr>
      <w:r w:rsidRPr="00D008E4">
        <w:rPr>
          <w:rFonts w:cs="Times New Roman"/>
          <w:szCs w:val="24"/>
        </w:rPr>
        <w:t>The pattern is not universal. Zang, Qian and Jiang (2022) report no significant direct effect for perceived risk or range anxiety in their EV start-up model. Instead, perceived endorsement increases perceived benefit and attitude, which then raise purchase intention. Retaining this null finding is important because it tests the boundaries of the original trust-risk proposition rather than allowing the synthesis to be built only from supportive results.</w:t>
      </w:r>
    </w:p>
    <w:p w:rsidR="00EE72EF" w:rsidRPr="00D008E4" w:rsidRDefault="001A6DD9" w:rsidP="0000412A">
      <w:pPr>
        <w:rPr>
          <w:rFonts w:cs="Times New Roman"/>
          <w:szCs w:val="24"/>
        </w:rPr>
      </w:pPr>
      <w:r w:rsidRPr="00D008E4">
        <w:rPr>
          <w:rFonts w:cs="Times New Roman"/>
          <w:szCs w:val="24"/>
        </w:rPr>
        <w:t>Several explanations are plausible. Consumers considering an EV start-up may be more innovative or risk tolerant than the wider market; endorsement may already have reduced uncertainty before a direct risk path is estimated; broad risk scales may combine financial, functional and psychological concerns that behave differently; and market maturation may reduce some technology risks while leaving newer concerns, such as resale value or manufacturer survival, more salient. The null result therefore points to boundary conditions rather than proving that risk has disappeared.</w:t>
      </w:r>
    </w:p>
    <w:p w:rsidR="00EE72EF" w:rsidRPr="00D008E4" w:rsidRDefault="001A6DD9" w:rsidP="0000412A">
      <w:pPr>
        <w:rPr>
          <w:rFonts w:cs="Times New Roman"/>
          <w:szCs w:val="24"/>
        </w:rPr>
      </w:pPr>
      <w:r w:rsidRPr="00D008E4">
        <w:rPr>
          <w:rFonts w:cs="Times New Roman"/>
          <w:szCs w:val="24"/>
        </w:rPr>
        <w:t>The disagreement is also consistent with the way different theories locate risk. Perceived-value models treat risk as part of sacrifice, while TAM-related research shows knowledge and experience changing usefulness and uncertainty before intention is formed. A direct risk coefficient is most likely to remain visible when uncertainty is salient and has not already been represented through benefit, attitude, endorsement or experience. On this reading, Zang, Qian and Jiang's (2022) result can coexist with the negative pathways reported elsewhere without assuming that one set of studies is simply wrong.</w:t>
      </w:r>
    </w:p>
    <w:p w:rsidR="00EE72EF" w:rsidRPr="00D008E4" w:rsidRDefault="001A6DD9" w:rsidP="0000412A">
      <w:pPr>
        <w:rPr>
          <w:rFonts w:cs="Times New Roman"/>
          <w:szCs w:val="24"/>
        </w:rPr>
      </w:pPr>
      <w:r w:rsidRPr="00D008E4">
        <w:rPr>
          <w:rFonts w:cs="Times New Roman"/>
          <w:szCs w:val="24"/>
        </w:rPr>
        <w:t>The synthesis therefore treats risk as conditional rather than universal. It tends to suppress intention when consumers experience uncertainty as a meaningful sacrifice, but its direct coefficient may disappear when uncertainty has been reduced, selected out of the sample or absorbed into other evaluations. The revised framework accordingly places risk within a broader benefit-sacrifice and uncertainty-management process.</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4.10 Trust as an Uncertainty-management M</w:t>
      </w:r>
      <w:r w:rsidR="001A6DD9" w:rsidRPr="00D008E4">
        <w:rPr>
          <w:rFonts w:ascii="Times New Roman" w:hAnsi="Times New Roman" w:cs="Times New Roman"/>
          <w:sz w:val="28"/>
          <w:szCs w:val="24"/>
        </w:rPr>
        <w:t>echanism</w:t>
      </w:r>
    </w:p>
    <w:p w:rsidR="00EE72EF" w:rsidRPr="00D008E4" w:rsidRDefault="001A6DD9" w:rsidP="0000412A">
      <w:pPr>
        <w:rPr>
          <w:rFonts w:cs="Times New Roman"/>
          <w:szCs w:val="24"/>
        </w:rPr>
      </w:pPr>
      <w:r w:rsidRPr="00D008E4">
        <w:rPr>
          <w:rFonts w:cs="Times New Roman"/>
          <w:szCs w:val="24"/>
        </w:rPr>
        <w:t>Trust is not among the most frequently labelled variables in the evidence base, yet trust-like processes appear repeatedly in research on brands, information, policy and peers. The preliminary proposal distinguished technological, brand and institutional trust. The review retains those distinctions conceptually, but the empirical literature often captures their effects through adjacent constructs rather than through explicit trust scales.</w:t>
      </w:r>
    </w:p>
    <w:p w:rsidR="00EE72EF" w:rsidRPr="00D008E4" w:rsidRDefault="001A6DD9" w:rsidP="0000412A">
      <w:pPr>
        <w:rPr>
          <w:rFonts w:cs="Times New Roman"/>
          <w:szCs w:val="24"/>
        </w:rPr>
      </w:pPr>
      <w:r w:rsidRPr="00D008E4">
        <w:rPr>
          <w:rFonts w:cs="Times New Roman"/>
          <w:szCs w:val="24"/>
        </w:rPr>
        <w:t xml:space="preserve">Brand trust provides the clearest direct evidence. Yang, Tu and Jiang (2020) identify a pathway from brand trust to perceived benefit, attitude and purchase intention; Jiang et al. (2021) show brand identity </w:t>
      </w:r>
      <w:r w:rsidRPr="00D008E4">
        <w:rPr>
          <w:rFonts w:cs="Times New Roman"/>
          <w:szCs w:val="24"/>
        </w:rPr>
        <w:lastRenderedPageBreak/>
        <w:t>and image operating alongside risk; and Zhou, Jin and Liu (2025) find brand reputation strengthening the effect of green information disclosure. Technological and institutional confidence are measured more indirectly: knowledge, experience and range confidence improve technology evaluation, while Li, Cui and Shen (2024) show policy support reducing cost and risk and increasing social confidence. Peer evidence provides another credibility source because owners and communities make product experience observable. Across these different measures, the common mechanism is confidence in the signals used to judge future EV ownership rather than one universal trust coefficient.</w:t>
      </w:r>
    </w:p>
    <w:p w:rsidR="00EE72EF" w:rsidRPr="00D008E4" w:rsidRDefault="001A6DD9" w:rsidP="0000412A">
      <w:pPr>
        <w:rPr>
          <w:rFonts w:cs="Times New Roman"/>
          <w:szCs w:val="24"/>
        </w:rPr>
      </w:pPr>
      <w:r w:rsidRPr="00D008E4">
        <w:rPr>
          <w:rFonts w:cs="Times New Roman"/>
          <w:szCs w:val="24"/>
        </w:rPr>
        <w:t>This leads to a material revision of the original model. Trust should not be treated as a single antecedent that always lowers perceived risk directly. Credible signals and experience reduce ambiguity and increase the expected reliability of benefits; they may lower risk, but they can also strengthen attitude, usefulness, perceived value or PBC without a separately measured risk mediator. Framing trust in this way explains more of the forty-study evidence while avoiding the temptation to relabel every positive predictor as a form of trust.</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4.11 Temporal change: from early adoption to the post-subsidy majority</w:t>
      </w:r>
    </w:p>
    <w:p w:rsidR="00EE72EF" w:rsidRPr="00D008E4" w:rsidRDefault="001A6DD9" w:rsidP="0000412A">
      <w:pPr>
        <w:rPr>
          <w:rFonts w:cs="Times New Roman"/>
          <w:szCs w:val="24"/>
        </w:rPr>
      </w:pPr>
      <w:r w:rsidRPr="00D008E4">
        <w:rPr>
          <w:rFonts w:cs="Times New Roman"/>
          <w:szCs w:val="24"/>
        </w:rPr>
        <w:t>The evidence from 2016 to 2025 spans a substantial change in Chinese EV market conditions. This permits a cautious temporal interpretation, although most studies are not longitudinal. Earlier research more often focuses on policy acceptance, environmental concern, innovativeness and subjective norms, whereas later work increasingly examines convenience policy, network effects, facilitating conditions, technological proficiency and brand equity. The shift in research emphasis is not proof of behavioural change by itself, but it is consistent with a market moving beyond early adoption.</w:t>
      </w:r>
    </w:p>
    <w:p w:rsidR="00EE72EF" w:rsidRPr="00D008E4" w:rsidRDefault="001A6DD9" w:rsidP="0000412A">
      <w:pPr>
        <w:rPr>
          <w:rFonts w:cs="Times New Roman"/>
          <w:szCs w:val="24"/>
        </w:rPr>
      </w:pPr>
      <w:r w:rsidRPr="00D008E4">
        <w:rPr>
          <w:rFonts w:cs="Times New Roman"/>
          <w:szCs w:val="24"/>
        </w:rPr>
        <w:t>Shi and Lin (2024) provide the strongest within-study temporal evidence because their repeated cross-sections compare 2016 with 2022. Purchase enthusiasm increases while perceived subsidy adequacy declines; network externalities and charging perceptions improve. The pattern is consistent with market maturation, but causal attribution should remain restrained. Economic growth, product improvement, model availability and the wider visibility of EV ownership changed over the same period, so subsidy withdrawal cannot be isolated as the sole cause of the other changes.</w:t>
      </w:r>
    </w:p>
    <w:p w:rsidR="00EE72EF" w:rsidRPr="00D008E4" w:rsidRDefault="001A6DD9" w:rsidP="0000412A">
      <w:pPr>
        <w:rPr>
          <w:rFonts w:cs="Times New Roman"/>
          <w:szCs w:val="24"/>
        </w:rPr>
      </w:pPr>
      <w:r w:rsidRPr="00D008E4">
        <w:rPr>
          <w:rFonts w:cs="Times New Roman"/>
          <w:szCs w:val="24"/>
        </w:rPr>
        <w:t>Feng et al. (2025) offer a complementary post-subsidy result at segment level. Among early-to-late-majority consumers, social influence, effort expectancy, facilitating conditions and technological proficiency predict intention, while performance expectancy and environmental concern do not. A plausible interpretation is a threshold effect: once acceptable performance is assumed and environmental awareness is widespread, those variables no longer differentiate consumers as strongly, leaving convenience and competence to carry more explanatory weight.</w:t>
      </w:r>
    </w:p>
    <w:p w:rsidR="00EE72EF" w:rsidRPr="00D008E4" w:rsidRDefault="001A6DD9" w:rsidP="0000412A">
      <w:pPr>
        <w:rPr>
          <w:rFonts w:cs="Times New Roman"/>
          <w:szCs w:val="24"/>
        </w:rPr>
      </w:pPr>
      <w:r w:rsidRPr="00D008E4">
        <w:rPr>
          <w:rFonts w:cs="Times New Roman"/>
          <w:szCs w:val="24"/>
        </w:rPr>
        <w:lastRenderedPageBreak/>
        <w:t>Rong, Zhao and Xu (2025), however, show that self-transcendent values continue to matter under subsidy withdrawal. This prevents a simple narrative in which 'green values disappear' as the market matures. The better interpretation is a change in relative salience. Mainstream adoption appears to require a broader portfolio of value, confidence and convenience rather than dependence on one dominant incentive or motivation.</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4.12 Geographic and C</w:t>
      </w:r>
      <w:r w:rsidR="001A6DD9" w:rsidRPr="00D008E4">
        <w:rPr>
          <w:rFonts w:ascii="Times New Roman" w:hAnsi="Times New Roman" w:cs="Times New Roman"/>
          <w:sz w:val="28"/>
          <w:szCs w:val="24"/>
        </w:rPr>
        <w:t>onsumer heterogeneity</w:t>
      </w:r>
    </w:p>
    <w:p w:rsidR="00EE72EF" w:rsidRPr="00D008E4" w:rsidRDefault="001A6DD9" w:rsidP="0000412A">
      <w:pPr>
        <w:rPr>
          <w:rFonts w:cs="Times New Roman"/>
          <w:szCs w:val="24"/>
        </w:rPr>
      </w:pPr>
      <w:r w:rsidRPr="00D008E4">
        <w:rPr>
          <w:rFonts w:cs="Times New Roman"/>
          <w:szCs w:val="24"/>
        </w:rPr>
        <w:t>The evidence does not support a single national consumer profile. Yang and Chen (2021) find that social-psychological effects differ between Hangzhou and Linyi. Shanghai-based studies operate within a distinctive licence and infrastructure regime; Ehsan et al. (2024) find preferential policy more important than financial policy there, while Beijing studies are similarly embedded in a policy-intensive context. City-level institutions therefore shape the meaning of otherwise familiar predictors.</w:t>
      </w:r>
    </w:p>
    <w:p w:rsidR="00EE72EF" w:rsidRPr="00D008E4" w:rsidRDefault="001A6DD9" w:rsidP="0000412A">
      <w:pPr>
        <w:rPr>
          <w:rFonts w:cs="Times New Roman"/>
          <w:szCs w:val="24"/>
        </w:rPr>
      </w:pPr>
      <w:r w:rsidRPr="00D008E4">
        <w:rPr>
          <w:rFonts w:cs="Times New Roman"/>
          <w:szCs w:val="24"/>
        </w:rPr>
        <w:t>Differences in measurement scale add a further source of heterogeneity. Habich-Sobiegalla, Kostka and Anzinger (2019) find macro-level charging infrastructure non-significant across 165 cities even though household- and individual-level studies identify charging and range as important. The results need not be substantively inconsistent: regional charger density and a household's usable charging access are different exposures, and a macro measure may be too distant from the decision to capture perceived feasibility.</w:t>
      </w:r>
    </w:p>
    <w:p w:rsidR="00EE72EF" w:rsidRPr="00D008E4" w:rsidRDefault="001A6DD9" w:rsidP="0000412A">
      <w:pPr>
        <w:rPr>
          <w:rFonts w:cs="Times New Roman"/>
          <w:szCs w:val="24"/>
        </w:rPr>
      </w:pPr>
      <w:r w:rsidRPr="00D008E4">
        <w:rPr>
          <w:rFonts w:cs="Times New Roman"/>
          <w:szCs w:val="24"/>
        </w:rPr>
        <w:t>Demographic findings are similarly unstable. Ling, Cherry and Wen (2021) associate male and higher-income respondents with stronger EV intention in Beijing, whereas Yang et al. (2019) report greater policy acceptance and interest among women, older consumers and lower-income groups in their sample. Rather than treating age, gender or income as fixed national predictors, these variables are better regarded as potential moderators of different mechanisms whose effects depend on context and model specification.</w:t>
      </w:r>
    </w:p>
    <w:p w:rsidR="00EE72EF" w:rsidRPr="00D008E4" w:rsidRDefault="001A6DD9" w:rsidP="0000412A">
      <w:pPr>
        <w:rPr>
          <w:rFonts w:cs="Times New Roman"/>
          <w:szCs w:val="24"/>
        </w:rPr>
      </w:pPr>
      <w:r w:rsidRPr="00D008E4">
        <w:rPr>
          <w:rFonts w:cs="Times New Roman"/>
          <w:szCs w:val="24"/>
        </w:rPr>
        <w:t>Experience appears to offer a more behaviourally meaningful basis for segmentation. Zhao et al. (2022) report that potential buyers focus more on performance while owners place greater emphasis on charging and government policy. Xue et al. (2023) find policy effects stronger in households without an EV, and Jiang et al. (2025) show past driving experience increasing intention through several psychological mediators. These findings suggest that decision stage and prior experience may be more useful for targeting and theory building than demographic categories alone.</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4.13 Integrated Theoretical D</w:t>
      </w:r>
      <w:r w:rsidR="001A6DD9" w:rsidRPr="00D008E4">
        <w:rPr>
          <w:rFonts w:ascii="Times New Roman" w:hAnsi="Times New Roman" w:cs="Times New Roman"/>
          <w:sz w:val="28"/>
          <w:szCs w:val="24"/>
        </w:rPr>
        <w:t>iscussion</w:t>
      </w:r>
    </w:p>
    <w:p w:rsidR="00EE72EF" w:rsidRPr="00D008E4" w:rsidRDefault="001A6DD9" w:rsidP="0000412A">
      <w:pPr>
        <w:rPr>
          <w:rFonts w:cs="Times New Roman"/>
          <w:szCs w:val="24"/>
        </w:rPr>
      </w:pPr>
      <w:r w:rsidRPr="00D008E4">
        <w:rPr>
          <w:rFonts w:cs="Times New Roman"/>
          <w:szCs w:val="24"/>
        </w:rPr>
        <w:t xml:space="preserve">The theme-level findings point to a common process: distal conditions are converted into intention through more proximal evaluations. Policy changes cost, confidence or convenience; infrastructure </w:t>
      </w:r>
      <w:r w:rsidRPr="00D008E4">
        <w:rPr>
          <w:rFonts w:cs="Times New Roman"/>
          <w:szCs w:val="24"/>
        </w:rPr>
        <w:lastRenderedPageBreak/>
        <w:t>changes perceived control and uncertainty; knowledge alters usefulness and risk; environmental concern influences personal norm and attitude; and peers and brands change both information credibility and perceived value. This helps explain why direct coefficients for contextual variables vary across studies while attitude, norms, value and control recur more consistently.</w:t>
      </w:r>
    </w:p>
    <w:p w:rsidR="00EE72EF" w:rsidRPr="00D008E4" w:rsidRDefault="001A6DD9" w:rsidP="0000412A">
      <w:pPr>
        <w:rPr>
          <w:rFonts w:cs="Times New Roman"/>
          <w:szCs w:val="24"/>
        </w:rPr>
      </w:pPr>
      <w:r w:rsidRPr="00D008E4">
        <w:rPr>
          <w:rFonts w:cs="Times New Roman"/>
          <w:szCs w:val="24"/>
        </w:rPr>
        <w:t>TPB is therefore a useful organising backbone, but not a complete theory of EV purchase intention. Attitude, subjective norm and PBC sit close to intention, while perceived benefit, knowledge, brand credibility, environmental identity and policy experience help explain where those evaluations come from. The contribution of the synthesis is to connect these antecedents to the proximal TPB structure rather than to keep adding isolated predictors to it.</w:t>
      </w:r>
    </w:p>
    <w:p w:rsidR="00EE72EF" w:rsidRPr="00D008E4" w:rsidRDefault="001A6DD9" w:rsidP="0000412A">
      <w:pPr>
        <w:rPr>
          <w:rFonts w:cs="Times New Roman"/>
          <w:szCs w:val="24"/>
        </w:rPr>
      </w:pPr>
      <w:r w:rsidRPr="00D008E4">
        <w:rPr>
          <w:rFonts w:cs="Times New Roman"/>
          <w:szCs w:val="24"/>
        </w:rPr>
        <w:t>The other theoretical perspectives fill different gaps. TAM explains learning, usefulness and ease of use; NAM explains why environmental concern often works indirectly through moral obligation; diffusion theory helps account for changing priorities across adopter stages; and consumption-value approaches capture the broader judgement in which price, function, identity and risk are weighed together. Their explanatory roles are therefore complementary rather than mutually exclusive.</w:t>
      </w:r>
    </w:p>
    <w:p w:rsidR="00EE72EF" w:rsidRPr="00D008E4" w:rsidRDefault="001A6DD9" w:rsidP="0000412A">
      <w:pPr>
        <w:rPr>
          <w:rFonts w:cs="Times New Roman"/>
          <w:szCs w:val="24"/>
        </w:rPr>
      </w:pPr>
      <w:r w:rsidRPr="00D008E4">
        <w:rPr>
          <w:rFonts w:cs="Times New Roman"/>
          <w:szCs w:val="24"/>
        </w:rPr>
        <w:t>The revised framework has three levels. Level 1 contains contextual and experiential inputs: policy, economic conditions, infrastructure, product and brand signals, social information, and personal knowledge or experience. Level 2 contains proximal evaluation: perceived benefit or value, perceived risk or uncertainty, attitude, personal norm and PBC. Level 3 is purchase or adoption intention. Market maturity, geography, income or ownership status, and adopter stage operate as boundary conditions that can alter the strength of the pathways between levels.</w:t>
      </w:r>
    </w:p>
    <w:p w:rsidR="00EE72EF" w:rsidRPr="00D008E4" w:rsidRDefault="001A6DD9" w:rsidP="0000412A">
      <w:pPr>
        <w:rPr>
          <w:rFonts w:cs="Times New Roman"/>
          <w:szCs w:val="24"/>
        </w:rPr>
      </w:pPr>
      <w:r w:rsidRPr="00D008E4">
        <w:rPr>
          <w:rFonts w:cs="Times New Roman"/>
          <w:szCs w:val="24"/>
        </w:rPr>
        <w:t>Trust is positioned across these levels as a credibility mechanism. Reliable brands, institutions, peers, infrastructure and first-hand experience increase confidence in the signals available at Level 1; this can reduce uncertainty or strengthen perceived benefit at Level 2. The framework therefore retains the original interest in trust while avoiding an unsupported claim that trust is always a separately measured master variable.</w:t>
      </w:r>
    </w:p>
    <w:p w:rsidR="00EE72EF" w:rsidRPr="00D008E4" w:rsidRDefault="007D3608" w:rsidP="0000412A">
      <w:pPr>
        <w:pStyle w:val="Heading3"/>
        <w:rPr>
          <w:rFonts w:ascii="Times New Roman" w:hAnsi="Times New Roman" w:cs="Times New Roman"/>
          <w:sz w:val="28"/>
          <w:szCs w:val="24"/>
        </w:rPr>
      </w:pPr>
      <w:r w:rsidRPr="00D008E4">
        <w:rPr>
          <w:rFonts w:ascii="Times New Roman" w:hAnsi="Times New Roman" w:cs="Times New Roman"/>
          <w:sz w:val="28"/>
          <w:szCs w:val="24"/>
        </w:rPr>
        <w:t>4.13.1 Sensitivity to Study Design and the I</w:t>
      </w:r>
      <w:r w:rsidR="001A6DD9" w:rsidRPr="00D008E4">
        <w:rPr>
          <w:rFonts w:ascii="Times New Roman" w:hAnsi="Times New Roman" w:cs="Times New Roman"/>
          <w:sz w:val="28"/>
          <w:szCs w:val="24"/>
        </w:rPr>
        <w:t>ntention-behaviour gap</w:t>
      </w:r>
    </w:p>
    <w:p w:rsidR="00EE72EF" w:rsidRPr="00D008E4" w:rsidRDefault="001A6DD9" w:rsidP="0000412A">
      <w:pPr>
        <w:rPr>
          <w:rFonts w:cs="Times New Roman"/>
          <w:szCs w:val="24"/>
        </w:rPr>
      </w:pPr>
      <w:r w:rsidRPr="00D008E4">
        <w:rPr>
          <w:rFonts w:cs="Times New Roman"/>
          <w:szCs w:val="24"/>
        </w:rPr>
        <w:t>The synthesis also needs to distinguish the robustness of an association from the robustness of actual behaviour. Most studies ask respondents what they intend, prefer or expect to do and estimate relationships among variables measured at the same time. Repeated associations across studies increase confidence that attitude, norms, value and control are psychologically relevant, but they cannot show how often stated intention becomes a transaction. This limitation is particularly important for EVs because purchase is infrequent, expensive and can still be constrained by credit, product availability, parking or charging after intention has formed.</w:t>
      </w:r>
    </w:p>
    <w:p w:rsidR="00EE72EF" w:rsidRPr="00D008E4" w:rsidRDefault="001A6DD9" w:rsidP="0000412A">
      <w:pPr>
        <w:rPr>
          <w:rFonts w:cs="Times New Roman"/>
          <w:szCs w:val="24"/>
        </w:rPr>
      </w:pPr>
      <w:r w:rsidRPr="00D008E4">
        <w:rPr>
          <w:rFonts w:cs="Times New Roman"/>
          <w:szCs w:val="24"/>
        </w:rPr>
        <w:lastRenderedPageBreak/>
        <w:t>A smaller group of alternative designs helps test the edges of the dominant survey evidence. Yang and Chen's (2021) best-worst/hybrid-choice approach forces trade-offs rather than relying only on agreement scales. Ling, Cherry and Wen (2021) use stated-preference choice models that represent product-attribute trade-offs more directly. Ye et al. (2021) use fsQCA to show that several configurations can produce high intention, challenging the additive logic of conventional SEM. Li et al. (2022) combine online reviews, market reports and survey evidence and identify an environmental self-image intention-behaviour gap that a single questionnaire might miss. Shi and Lin (2024) use repeated cross-sections, allowing change over time to be observed even though the same individuals are not followed.</w:t>
      </w:r>
    </w:p>
    <w:p w:rsidR="00EE72EF" w:rsidRPr="00D008E4" w:rsidRDefault="001A6DD9" w:rsidP="0000412A">
      <w:pPr>
        <w:rPr>
          <w:rFonts w:cs="Times New Roman"/>
          <w:szCs w:val="24"/>
        </w:rPr>
      </w:pPr>
      <w:r w:rsidRPr="00D008E4">
        <w:rPr>
          <w:rFonts w:cs="Times New Roman"/>
          <w:szCs w:val="24"/>
        </w:rPr>
        <w:t>The recurrence of social, value and feasibility mechanisms across these different designs strengthens the overall interpretation. At the same time, the dominance of cross-sectional intention measures means the revised framework should be treated as a set of well-supported behavioural pathways requiring longitudinal or experimental confirmation, not as a causal model already established by pooled evidence.</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4.14 Answers to the Research Q</w:t>
      </w:r>
      <w:r w:rsidR="001A6DD9" w:rsidRPr="00D008E4">
        <w:rPr>
          <w:rFonts w:ascii="Times New Roman" w:hAnsi="Times New Roman" w:cs="Times New Roman"/>
          <w:sz w:val="28"/>
          <w:szCs w:val="24"/>
        </w:rPr>
        <w:t>uestions</w:t>
      </w:r>
    </w:p>
    <w:p w:rsidR="00EE72EF" w:rsidRPr="00D008E4" w:rsidRDefault="001A6DD9" w:rsidP="0000412A">
      <w:pPr>
        <w:rPr>
          <w:rFonts w:cs="Times New Roman"/>
          <w:szCs w:val="24"/>
        </w:rPr>
      </w:pPr>
      <w:r w:rsidRPr="00D008E4">
        <w:rPr>
          <w:rFonts w:cs="Times New Roman"/>
          <w:szCs w:val="24"/>
        </w:rPr>
        <w:t>RQ1 asked which factors most consistently influence purchase intention. Across the reviewed studies, the most stable proximal mechanisms are attitude, social influence or subjective norms, personal or moral norms, and PBC or facilitating conditions. Policy, price, infrastructure, environmental concern, knowledge and brand variables remain important, but they frequently operate by changing those nearer-term evaluations. Social influence is the most frequently coded theme, although recurrence should not be confused with causal rank.</w:t>
      </w:r>
    </w:p>
    <w:p w:rsidR="00EE72EF" w:rsidRPr="00D008E4" w:rsidRDefault="001A6DD9" w:rsidP="0000412A">
      <w:pPr>
        <w:rPr>
          <w:rFonts w:cs="Times New Roman"/>
          <w:szCs w:val="24"/>
        </w:rPr>
      </w:pPr>
      <w:r w:rsidRPr="00D008E4">
        <w:rPr>
          <w:rFonts w:cs="Times New Roman"/>
          <w:szCs w:val="24"/>
        </w:rPr>
        <w:t>RQ2 asked how perceived risk and trust-related mechanisms shape intention. Salient risk generally weakens favourable evaluation, but it is not universally significant and is often intertwined with benefit, experience and knowledge. Brand credibility, peer evidence, institutional signals and first-hand experience can reduce uncertainty or increase expected value. The evidence therefore supports an uncertainty-management account rather than a simple trust-risk-intention chain that is assumed to apply in every setting.</w:t>
      </w:r>
    </w:p>
    <w:p w:rsidR="00EE72EF" w:rsidRPr="00D008E4" w:rsidRDefault="001A6DD9" w:rsidP="0000412A">
      <w:pPr>
        <w:rPr>
          <w:rFonts w:cs="Times New Roman"/>
          <w:szCs w:val="24"/>
        </w:rPr>
      </w:pPr>
      <w:r w:rsidRPr="00D008E4">
        <w:rPr>
          <w:rFonts w:cs="Times New Roman"/>
          <w:szCs w:val="24"/>
        </w:rPr>
        <w:t>RQ3 asked how market maturation alters the relative importance of determinants. The evidence points towards lower relative dependence on direct financial incentives and greater importance for convenience, network externalities, facilitating conditions, technological proficiency, peer evidence and differentiated value. General environmental concern and basic performance may become weaker discriminators among later adopters without becoming irrelevant. Because this transition is geographically uneven, any post-subsidy interpretation has to remain segment- and place-sensitive.</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4.15 Revised Conceptual F</w:t>
      </w:r>
      <w:r w:rsidR="001A6DD9" w:rsidRPr="00D008E4">
        <w:rPr>
          <w:rFonts w:ascii="Times New Roman" w:hAnsi="Times New Roman" w:cs="Times New Roman"/>
          <w:sz w:val="28"/>
          <w:szCs w:val="24"/>
        </w:rPr>
        <w:t>ramework</w:t>
      </w:r>
    </w:p>
    <w:p w:rsidR="00EE72EF" w:rsidRPr="00D008E4" w:rsidRDefault="001A6DD9" w:rsidP="0000412A">
      <w:pPr>
        <w:rPr>
          <w:rFonts w:cs="Times New Roman"/>
          <w:szCs w:val="24"/>
        </w:rPr>
      </w:pPr>
      <w:r w:rsidRPr="00D008E4">
        <w:rPr>
          <w:rFonts w:cs="Times New Roman"/>
          <w:szCs w:val="24"/>
        </w:rPr>
        <w:t>The final framework differs from the preliminary model in three substantive ways. Social influence is no longer treated only as one predictor; it is recognised as a source of norm, information and legitimacy. Trust is widened into a credibility and uncertainty-management mechanism because explicit trust constructs are less common than the proposal anticipated. Finally, market maturity and geographic or consumer heterogeneity are made explicit boundary conditions rather than left as background context.</w:t>
      </w:r>
    </w:p>
    <w:p w:rsidR="00C54C59" w:rsidRPr="00D008E4" w:rsidRDefault="00C54C59" w:rsidP="0000412A">
      <w:pPr>
        <w:rPr>
          <w:rFonts w:cs="Times New Roman"/>
          <w:szCs w:val="24"/>
        </w:rPr>
      </w:pPr>
      <w:r w:rsidRPr="00D008E4">
        <w:rPr>
          <w:rFonts w:cs="Times New Roman"/>
          <w:noProof/>
          <w:szCs w:val="24"/>
          <w:lang w:val="en-IN" w:eastAsia="en-IN"/>
        </w:rPr>
        <w:drawing>
          <wp:inline distT="0" distB="0" distL="0" distR="0">
            <wp:extent cx="6371590" cy="443189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m.png"/>
                    <pic:cNvPicPr/>
                  </pic:nvPicPr>
                  <pic:blipFill>
                    <a:blip r:embed="rId13">
                      <a:extLst>
                        <a:ext uri="{28A0092B-C50C-407E-A947-70E740481C1C}">
                          <a14:useLocalDpi xmlns:a14="http://schemas.microsoft.com/office/drawing/2010/main" val="0"/>
                        </a:ext>
                      </a:extLst>
                    </a:blip>
                    <a:stretch>
                      <a:fillRect/>
                    </a:stretch>
                  </pic:blipFill>
                  <pic:spPr>
                    <a:xfrm>
                      <a:off x="0" y="0"/>
                      <a:ext cx="6387358" cy="4442858"/>
                    </a:xfrm>
                    <a:prstGeom prst="rect">
                      <a:avLst/>
                    </a:prstGeom>
                  </pic:spPr>
                </pic:pic>
              </a:graphicData>
            </a:graphic>
          </wp:inline>
        </w:drawing>
      </w:r>
    </w:p>
    <w:p w:rsidR="00EE72EF" w:rsidRPr="00D008E4" w:rsidRDefault="001A6DD9" w:rsidP="0000412A">
      <w:pPr>
        <w:pStyle w:val="Caption"/>
        <w:spacing w:line="360" w:lineRule="auto"/>
        <w:rPr>
          <w:rFonts w:cs="Times New Roman"/>
          <w:sz w:val="24"/>
          <w:szCs w:val="24"/>
        </w:rPr>
      </w:pPr>
      <w:r w:rsidRPr="00D008E4">
        <w:rPr>
          <w:rFonts w:cs="Times New Roman"/>
          <w:sz w:val="24"/>
          <w:szCs w:val="24"/>
        </w:rPr>
        <w:t>Figure 4.1. Revised integrated framework for EV purchase intention in China</w:t>
      </w:r>
    </w:p>
    <w:p w:rsidR="00EE72EF" w:rsidRPr="00D008E4" w:rsidRDefault="001A6DD9" w:rsidP="0000412A">
      <w:pPr>
        <w:rPr>
          <w:rFonts w:cs="Times New Roman"/>
          <w:szCs w:val="24"/>
        </w:rPr>
      </w:pPr>
      <w:r w:rsidRPr="00D008E4">
        <w:rPr>
          <w:rFonts w:cs="Times New Roman"/>
          <w:szCs w:val="24"/>
        </w:rPr>
        <w:t>The framework is an explanatory synthesis rather than a statistically estimated causal model. The arrows represent mechanisms that recur across heterogeneous studies, not pooled effect sizes. Its practical value is to show where an intervention can enter the consumer decision process and why the same intervention may work differently across cities, segments and stages of market development.</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4.16 Chapter C</w:t>
      </w:r>
      <w:r w:rsidR="001A6DD9" w:rsidRPr="00D008E4">
        <w:rPr>
          <w:rFonts w:ascii="Times New Roman" w:hAnsi="Times New Roman" w:cs="Times New Roman"/>
          <w:sz w:val="28"/>
          <w:szCs w:val="24"/>
        </w:rPr>
        <w:t>onclusion</w:t>
      </w:r>
    </w:p>
    <w:p w:rsidR="00EE72EF" w:rsidRPr="00D008E4" w:rsidRDefault="001A6DD9" w:rsidP="0000412A">
      <w:pPr>
        <w:rPr>
          <w:rFonts w:cs="Times New Roman"/>
          <w:szCs w:val="24"/>
        </w:rPr>
      </w:pPr>
      <w:r w:rsidRPr="00D008E4">
        <w:rPr>
          <w:rFonts w:cs="Times New Roman"/>
          <w:szCs w:val="24"/>
        </w:rPr>
        <w:t xml:space="preserve">The findings indicate that EV purchase intention in China is best understood as a layered process. Consumers encounter a market context of policy, price, infrastructure, brands, information and peer </w:t>
      </w:r>
      <w:r w:rsidR="00C54C59" w:rsidRPr="00D008E4">
        <w:rPr>
          <w:rFonts w:cs="Times New Roman"/>
          <w:szCs w:val="24"/>
        </w:rPr>
        <w:pgNum/>
      </w:r>
      <w:proofErr w:type="spellStart"/>
      <w:r w:rsidR="00C54C59" w:rsidRPr="00D008E4">
        <w:rPr>
          <w:rFonts w:cs="Times New Roman"/>
          <w:szCs w:val="24"/>
        </w:rPr>
        <w:t>ehaviou</w:t>
      </w:r>
      <w:proofErr w:type="spellEnd"/>
      <w:r w:rsidRPr="00D008E4">
        <w:rPr>
          <w:rFonts w:cs="Times New Roman"/>
          <w:szCs w:val="24"/>
        </w:rPr>
        <w:t xml:space="preserve">; they translate that context into judgements about value, uncertainty, attitude, moral fit and </w:t>
      </w:r>
      <w:r w:rsidRPr="00D008E4">
        <w:rPr>
          <w:rFonts w:cs="Times New Roman"/>
          <w:szCs w:val="24"/>
        </w:rPr>
        <w:lastRenderedPageBreak/>
        <w:t>practical control; and those judgements shape intention. The most consistent mechanisms are therefore social and psychological rather than purely financial.</w:t>
      </w:r>
    </w:p>
    <w:p w:rsidR="00EE72EF" w:rsidRPr="00D008E4" w:rsidRDefault="001A6DD9" w:rsidP="0000412A">
      <w:pPr>
        <w:rPr>
          <w:rFonts w:cs="Times New Roman"/>
          <w:szCs w:val="24"/>
        </w:rPr>
      </w:pPr>
      <w:r w:rsidRPr="00D008E4">
        <w:rPr>
          <w:rFonts w:cs="Times New Roman"/>
          <w:szCs w:val="24"/>
        </w:rPr>
        <w:t>The original trust-risk proposition remains useful, but only after revision. Trust-like signals matter because they help consumers make sense of uncertain future outcomes, yet perceived risk is not always directly significant and trust is not always measured explicitly. Experience, peers, reputation and institutions can increase expected benefit as well as reduce risk. An uncertainty-management account therefore fits the evidence more closely than a single direct trust-risk pathway.</w:t>
      </w:r>
    </w:p>
    <w:p w:rsidR="0040239B" w:rsidRPr="00D008E4" w:rsidRDefault="001A6DD9" w:rsidP="0040239B">
      <w:pPr>
        <w:rPr>
          <w:rFonts w:cs="Times New Roman"/>
          <w:szCs w:val="24"/>
        </w:rPr>
      </w:pPr>
      <w:r w:rsidRPr="00D008E4">
        <w:rPr>
          <w:rFonts w:cs="Times New Roman"/>
          <w:szCs w:val="24"/>
        </w:rPr>
        <w:t>Market maturity provides the final boundary condition. The literature is consistent with a shift in which direct subsidy becomes less decisive relative to ecosystem confidence, convenience, social proof and differentiated value. This does not imply that government has become unimportant or that a uniform post-subsidy consumer has emerged. It means that both commercial strategy and public policy need to address the specific constraints that remain once basic acceptance of the technology is no longer the main problem.</w:t>
      </w:r>
    </w:p>
    <w:p w:rsidR="00EE72EF" w:rsidRPr="00D008E4" w:rsidRDefault="001A6DD9" w:rsidP="0040239B">
      <w:pPr>
        <w:rPr>
          <w:rFonts w:cs="Times New Roman"/>
          <w:b/>
          <w:szCs w:val="24"/>
        </w:rPr>
      </w:pPr>
      <w:r w:rsidRPr="00D008E4">
        <w:rPr>
          <w:rFonts w:cs="Times New Roman"/>
          <w:b/>
          <w:sz w:val="28"/>
          <w:szCs w:val="24"/>
        </w:rPr>
        <w:t>Chapter 5: Conclusions and Recommendations</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5.1 Introduction</w:t>
      </w:r>
    </w:p>
    <w:p w:rsidR="00EE72EF" w:rsidRPr="00D008E4" w:rsidRDefault="001A6DD9" w:rsidP="0000412A">
      <w:pPr>
        <w:rPr>
          <w:rFonts w:cs="Times New Roman"/>
          <w:szCs w:val="24"/>
        </w:rPr>
      </w:pPr>
      <w:r w:rsidRPr="00D008E4">
        <w:rPr>
          <w:rFonts w:cs="Times New Roman"/>
          <w:szCs w:val="24"/>
        </w:rPr>
        <w:t>This dissertation set out to synthesise the determinants of consumer EV purchase intention in China and to test an initial argument that trust reduces perceived risk in a post-subsidy market. The completed review shows that the proposition captures an important part of the decision, but not the whole of it. Across forty core studies, purchase intention emerges from an interdependent system of psychological evaluation, social proof, perceived value, policy, infrastructure, knowledge and uncertainty management. The central conclusion is therefore relational: market conditions matter because of how consumers interpret them, not because any single contextual factor acts independently of evaluation.</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5.2 Conclusions by Research Q</w:t>
      </w:r>
      <w:r w:rsidR="001A6DD9" w:rsidRPr="00D008E4">
        <w:rPr>
          <w:rFonts w:ascii="Times New Roman" w:hAnsi="Times New Roman" w:cs="Times New Roman"/>
          <w:sz w:val="28"/>
          <w:szCs w:val="24"/>
        </w:rPr>
        <w:t>uestion</w:t>
      </w:r>
    </w:p>
    <w:p w:rsidR="00EE72EF" w:rsidRPr="00D008E4" w:rsidRDefault="001A6DD9" w:rsidP="0000412A">
      <w:pPr>
        <w:pStyle w:val="Heading3"/>
        <w:rPr>
          <w:rFonts w:ascii="Times New Roman" w:hAnsi="Times New Roman" w:cs="Times New Roman"/>
          <w:sz w:val="28"/>
          <w:szCs w:val="24"/>
        </w:rPr>
      </w:pPr>
      <w:r w:rsidRPr="00D008E4">
        <w:rPr>
          <w:rFonts w:ascii="Times New Roman" w:hAnsi="Times New Roman" w:cs="Times New Roman"/>
          <w:sz w:val="28"/>
          <w:szCs w:val="24"/>
        </w:rPr>
        <w:t>RQ1: What factors most consistently influence purchase intention?</w:t>
      </w:r>
    </w:p>
    <w:p w:rsidR="00EE72EF" w:rsidRPr="00D008E4" w:rsidRDefault="001A6DD9" w:rsidP="0000412A">
      <w:pPr>
        <w:rPr>
          <w:rFonts w:cs="Times New Roman"/>
          <w:szCs w:val="24"/>
        </w:rPr>
      </w:pPr>
      <w:r w:rsidRPr="00D008E4">
        <w:rPr>
          <w:rFonts w:cs="Times New Roman"/>
          <w:szCs w:val="24"/>
        </w:rPr>
        <w:t>The most consistent evidence concerns factors located close to the decision itself. Attitude, social influence, personal or moral norms, and PBC or facilitating conditions recur across theoretical traditions. Social influence operates through normative approval, peer information and social proof, while environmental concern is more persuasive when it becomes personal responsibility, efficacy or favourable attitude.</w:t>
      </w:r>
    </w:p>
    <w:p w:rsidR="00EE72EF" w:rsidRPr="00D008E4" w:rsidRDefault="001A6DD9" w:rsidP="0000412A">
      <w:pPr>
        <w:rPr>
          <w:rFonts w:cs="Times New Roman"/>
          <w:szCs w:val="24"/>
        </w:rPr>
      </w:pPr>
      <w:r w:rsidRPr="00D008E4">
        <w:rPr>
          <w:rFonts w:cs="Times New Roman"/>
          <w:szCs w:val="24"/>
        </w:rPr>
        <w:t xml:space="preserve">Economic and policy conditions are more contingent. Price can weaken otherwise favourable evaluations, yet direct financial incentives are not consistently significant, and convenience, information </w:t>
      </w:r>
      <w:r w:rsidRPr="00D008E4">
        <w:rPr>
          <w:rFonts w:cs="Times New Roman"/>
          <w:szCs w:val="24"/>
        </w:rPr>
        <w:lastRenderedPageBreak/>
        <w:t>or infrastructure may matter more when those are the binding constraints. Perceived value therefore provides a stronger bridge between market conditions and purchase intention than acquisition price alone.</w:t>
      </w:r>
    </w:p>
    <w:p w:rsidR="00EE72EF" w:rsidRPr="00D008E4" w:rsidRDefault="001A6DD9" w:rsidP="0000412A">
      <w:pPr>
        <w:pStyle w:val="Heading3"/>
        <w:rPr>
          <w:rFonts w:ascii="Times New Roman" w:hAnsi="Times New Roman" w:cs="Times New Roman"/>
          <w:sz w:val="28"/>
          <w:szCs w:val="24"/>
        </w:rPr>
      </w:pPr>
      <w:r w:rsidRPr="00D008E4">
        <w:rPr>
          <w:rFonts w:ascii="Times New Roman" w:hAnsi="Times New Roman" w:cs="Times New Roman"/>
          <w:sz w:val="28"/>
          <w:szCs w:val="24"/>
        </w:rPr>
        <w:t>RQ2: How do perceived risk and trust-related mechanisms shape intention?</w:t>
      </w:r>
    </w:p>
    <w:p w:rsidR="00EE72EF" w:rsidRPr="00D008E4" w:rsidRDefault="001A6DD9" w:rsidP="0000412A">
      <w:pPr>
        <w:rPr>
          <w:rFonts w:cs="Times New Roman"/>
          <w:szCs w:val="24"/>
        </w:rPr>
      </w:pPr>
      <w:r w:rsidRPr="00D008E4">
        <w:rPr>
          <w:rFonts w:cs="Times New Roman"/>
          <w:szCs w:val="24"/>
        </w:rPr>
        <w:t>Risk is a real but conditional barrier. Several studies show risk lowering favourable evaluation or intention, and other studies show knowledge, experience or brand cues reducing uncertainty. Yet at least one core study reports no significant direct risk path. The evidence therefore does not support a universal model in which perceived risk must always appear as an independent predictor.</w:t>
      </w:r>
    </w:p>
    <w:p w:rsidR="00EE72EF" w:rsidRPr="00D008E4" w:rsidRDefault="001A6DD9" w:rsidP="0000412A">
      <w:pPr>
        <w:rPr>
          <w:rFonts w:cs="Times New Roman"/>
          <w:szCs w:val="24"/>
        </w:rPr>
      </w:pPr>
      <w:r w:rsidRPr="00D008E4">
        <w:rPr>
          <w:rFonts w:cs="Times New Roman"/>
          <w:szCs w:val="24"/>
        </w:rPr>
        <w:t xml:space="preserve">Trust is better understood by what it does than by whether a study labels a variable </w:t>
      </w:r>
      <w:r w:rsidR="00C54C59" w:rsidRPr="00D008E4">
        <w:rPr>
          <w:rFonts w:cs="Times New Roman"/>
          <w:szCs w:val="24"/>
        </w:rPr>
        <w:t>‘</w:t>
      </w:r>
      <w:r w:rsidRPr="00D008E4">
        <w:rPr>
          <w:rFonts w:cs="Times New Roman"/>
          <w:szCs w:val="24"/>
        </w:rPr>
        <w:t>trust</w:t>
      </w:r>
      <w:r w:rsidR="00C54C59" w:rsidRPr="00D008E4">
        <w:rPr>
          <w:rFonts w:cs="Times New Roman"/>
          <w:szCs w:val="24"/>
        </w:rPr>
        <w:t>’</w:t>
      </w:r>
      <w:r w:rsidRPr="00D008E4">
        <w:rPr>
          <w:rFonts w:cs="Times New Roman"/>
          <w:szCs w:val="24"/>
        </w:rPr>
        <w:t>. Brand credibility, peers, product experience, information and stable institutions can make future outcomes easier to judge, often by changing perceived benefit, attitude, usefulness or control. The initial trust-risk-intention chain should therefore be expanded into a broader sequence in which credible signals and experience lower uncertainty and/or strengthen expected value, which in turn improves evaluation and intention.</w:t>
      </w:r>
    </w:p>
    <w:p w:rsidR="00EE72EF" w:rsidRPr="00D008E4" w:rsidRDefault="001A6DD9" w:rsidP="0000412A">
      <w:pPr>
        <w:pStyle w:val="Heading3"/>
        <w:rPr>
          <w:rFonts w:ascii="Times New Roman" w:hAnsi="Times New Roman" w:cs="Times New Roman"/>
          <w:sz w:val="28"/>
          <w:szCs w:val="24"/>
        </w:rPr>
      </w:pPr>
      <w:r w:rsidRPr="00D008E4">
        <w:rPr>
          <w:rFonts w:ascii="Times New Roman" w:hAnsi="Times New Roman" w:cs="Times New Roman"/>
          <w:sz w:val="28"/>
          <w:szCs w:val="24"/>
        </w:rPr>
        <w:t>RQ3: How does market maturation alter the relative importance of determinants?</w:t>
      </w:r>
    </w:p>
    <w:p w:rsidR="00EE72EF" w:rsidRPr="00D008E4" w:rsidRDefault="001A6DD9" w:rsidP="0000412A">
      <w:pPr>
        <w:rPr>
          <w:rFonts w:cs="Times New Roman"/>
          <w:szCs w:val="24"/>
        </w:rPr>
      </w:pPr>
      <w:r w:rsidRPr="00D008E4">
        <w:rPr>
          <w:rFonts w:cs="Times New Roman"/>
          <w:szCs w:val="24"/>
        </w:rPr>
        <w:t>The review is consistent with a movement from incentive-supported early adoption towards ecosystem- and confidence-supported mainstream adoption. Shi and Lin (2024) show weaker subsidy perceptions alongside stronger network externalities and improved charging perceptions. Xue et al. (2023) find convenience policy stronger than financial policy, while Feng et al. (2025) identify facilitating conditions, social influence and technological proficiency among later adopters</w:t>
      </w:r>
      <w:r w:rsidR="0091635A" w:rsidRPr="00D008E4">
        <w:rPr>
          <w:rFonts w:cs="Times New Roman"/>
          <w:szCs w:val="24"/>
        </w:rPr>
        <w:t>,</w:t>
      </w:r>
      <w:r w:rsidRPr="00D008E4">
        <w:rPr>
          <w:rFonts w:cs="Times New Roman"/>
          <w:szCs w:val="24"/>
        </w:rPr>
        <w:t xml:space="preserve"> even though environmental concern and performance expectancy are non-significant. Market maturation therefore changes the route through which policy and product strategy influence consumers rather than removing their relevance.</w:t>
      </w:r>
    </w:p>
    <w:p w:rsidR="00EE72EF" w:rsidRPr="00D008E4" w:rsidRDefault="001A6DD9" w:rsidP="0000412A">
      <w:pPr>
        <w:rPr>
          <w:rFonts w:cs="Times New Roman"/>
          <w:szCs w:val="24"/>
        </w:rPr>
      </w:pPr>
      <w:r w:rsidRPr="00D008E4">
        <w:rPr>
          <w:rFonts w:cs="Times New Roman"/>
          <w:szCs w:val="24"/>
        </w:rPr>
        <w:t>The transition is not uniform across China. Shanghai and Beijing operate under distinctive licence and infrastructure regimes, while lower-tier and regional consumers may face different charging, affordability and information constraints. Income, ownership experience and adopter stage also alter the route to intention. Post-subsidy strategy should therefore be built around segments and contexts rather than an assumed national average consumer.</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5.3 Theoretical C</w:t>
      </w:r>
      <w:r w:rsidR="001A6DD9" w:rsidRPr="00D008E4">
        <w:rPr>
          <w:rFonts w:ascii="Times New Roman" w:hAnsi="Times New Roman" w:cs="Times New Roman"/>
          <w:sz w:val="28"/>
          <w:szCs w:val="24"/>
        </w:rPr>
        <w:t>ontribution</w:t>
      </w:r>
    </w:p>
    <w:p w:rsidR="00EE72EF" w:rsidRPr="00D008E4" w:rsidRDefault="001A6DD9" w:rsidP="0000412A">
      <w:pPr>
        <w:rPr>
          <w:rFonts w:cs="Times New Roman"/>
          <w:szCs w:val="24"/>
        </w:rPr>
      </w:pPr>
      <w:r w:rsidRPr="00D008E4">
        <w:rPr>
          <w:rFonts w:cs="Times New Roman"/>
          <w:szCs w:val="24"/>
        </w:rPr>
        <w:t xml:space="preserve">The main theoretical contribution is a three-layer framework in which contextual inputs </w:t>
      </w:r>
      <w:r w:rsidR="00C54C59" w:rsidRPr="00D008E4">
        <w:rPr>
          <w:rFonts w:cs="Times New Roman"/>
          <w:szCs w:val="24"/>
        </w:rPr>
        <w:t>–</w:t>
      </w:r>
      <w:r w:rsidRPr="00D008E4">
        <w:rPr>
          <w:rFonts w:cs="Times New Roman"/>
          <w:szCs w:val="24"/>
        </w:rPr>
        <w:t xml:space="preserve"> policy, economic conditions, infrastructure, brands, information and experience </w:t>
      </w:r>
      <w:r w:rsidR="00C54C59" w:rsidRPr="00D008E4">
        <w:rPr>
          <w:rFonts w:cs="Times New Roman"/>
          <w:szCs w:val="24"/>
        </w:rPr>
        <w:t>–</w:t>
      </w:r>
      <w:r w:rsidRPr="00D008E4">
        <w:rPr>
          <w:rFonts w:cs="Times New Roman"/>
          <w:szCs w:val="24"/>
        </w:rPr>
        <w:t xml:space="preserve"> shape psychological evaluations of value, risk, attitude, moral norm and PBC, which in turn influence intention. Social and </w:t>
      </w:r>
      <w:r w:rsidRPr="00D008E4">
        <w:rPr>
          <w:rFonts w:cs="Times New Roman"/>
          <w:szCs w:val="24"/>
        </w:rPr>
        <w:lastRenderedPageBreak/>
        <w:t>trust-related mechanisms cut across the layers because they affect both the credibility of information and the way that information is evaluated.</w:t>
      </w:r>
    </w:p>
    <w:p w:rsidR="00EE72EF" w:rsidRPr="00D008E4" w:rsidRDefault="001A6DD9" w:rsidP="0000412A">
      <w:pPr>
        <w:rPr>
          <w:rFonts w:cs="Times New Roman"/>
          <w:szCs w:val="24"/>
        </w:rPr>
      </w:pPr>
      <w:r w:rsidRPr="00D008E4">
        <w:rPr>
          <w:rFonts w:cs="Times New Roman"/>
          <w:szCs w:val="24"/>
        </w:rPr>
        <w:t>This framework reconciles theories that are often treated separately. TPB describes the proximal decision structure; TAM explains how knowledge and experience shape usefulness and ease of use; NAM explains how environmental values become personal obligation; diffusion theory helps account for changing priorities by adopter stage; and value models capture the benefit-sacrifice judgement. The contribution is therefore integrative: rather than extending one theory with another isolated predictor, the review specifies how the theories describe different parts of the same decision process.</w:t>
      </w:r>
    </w:p>
    <w:p w:rsidR="00EE72EF" w:rsidRPr="00D008E4" w:rsidRDefault="001A6DD9" w:rsidP="0000412A">
      <w:pPr>
        <w:rPr>
          <w:rFonts w:cs="Times New Roman"/>
          <w:szCs w:val="24"/>
        </w:rPr>
      </w:pPr>
      <w:r w:rsidRPr="00D008E4">
        <w:rPr>
          <w:rFonts w:cs="Times New Roman"/>
          <w:szCs w:val="24"/>
        </w:rPr>
        <w:t xml:space="preserve">A second contribution is the explicit temporal boundary condition. The importance of a determinant partly depends on what the market has already solved. Once acceptable performance becomes a baseline expectation, performance expectancy may cease to differentiate consumers. Once subsidies are </w:t>
      </w:r>
      <w:r w:rsidR="00C54C59" w:rsidRPr="00D008E4">
        <w:rPr>
          <w:rFonts w:cs="Times New Roman"/>
          <w:szCs w:val="24"/>
        </w:rPr>
        <w:pgNum/>
      </w:r>
      <w:proofErr w:type="spellStart"/>
      <w:r w:rsidR="00C54C59" w:rsidRPr="00D008E4">
        <w:rPr>
          <w:rFonts w:cs="Times New Roman"/>
          <w:szCs w:val="24"/>
        </w:rPr>
        <w:t>ehaviour</w:t>
      </w:r>
      <w:proofErr w:type="spellEnd"/>
      <w:r w:rsidR="00C54C59" w:rsidRPr="00D008E4">
        <w:rPr>
          <w:rFonts w:cs="Times New Roman"/>
          <w:szCs w:val="24"/>
        </w:rPr>
        <w:pgNum/>
      </w:r>
      <w:r w:rsidRPr="00D008E4">
        <w:rPr>
          <w:rFonts w:cs="Times New Roman"/>
          <w:szCs w:val="24"/>
        </w:rPr>
        <w:t xml:space="preserve"> or withdrawn, marginal financial support may have less influence than charging convenience and stable ownership economics. Once EV ownership is visible within peer networks, social proof can replace some of the informational work previously done by generic promotion. Adoption theory should therefore allow relationships to change with market maturity instead of assuming stable parameters across time.</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5.4 Managerial R</w:t>
      </w:r>
      <w:r w:rsidR="001A6DD9" w:rsidRPr="00D008E4">
        <w:rPr>
          <w:rFonts w:ascii="Times New Roman" w:hAnsi="Times New Roman" w:cs="Times New Roman"/>
          <w:sz w:val="28"/>
          <w:szCs w:val="24"/>
        </w:rPr>
        <w:t>ecommendations</w:t>
      </w:r>
    </w:p>
    <w:p w:rsidR="00EE72EF" w:rsidRPr="00D008E4" w:rsidRDefault="001A6DD9" w:rsidP="0000412A">
      <w:pPr>
        <w:rPr>
          <w:rFonts w:cs="Times New Roman"/>
          <w:szCs w:val="24"/>
        </w:rPr>
      </w:pPr>
      <w:r w:rsidRPr="00D008E4">
        <w:rPr>
          <w:rFonts w:cs="Times New Roman"/>
          <w:szCs w:val="24"/>
        </w:rPr>
        <w:t xml:space="preserve">For manufacturers, the first priority is to make uncertainty-adjusted value verifiable at the point of decision. Dealer and digital channels should offer </w:t>
      </w:r>
      <w:proofErr w:type="gramStart"/>
      <w:r w:rsidRPr="00D008E4">
        <w:rPr>
          <w:rFonts w:cs="Times New Roman"/>
          <w:szCs w:val="24"/>
        </w:rPr>
        <w:t>a</w:t>
      </w:r>
      <w:proofErr w:type="gramEnd"/>
      <w:r w:rsidRPr="00D008E4">
        <w:rPr>
          <w:rFonts w:cs="Times New Roman"/>
          <w:szCs w:val="24"/>
        </w:rPr>
        <w:t xml:space="preserve"> </w:t>
      </w:r>
      <w:r w:rsidR="00C54C59" w:rsidRPr="00D008E4">
        <w:rPr>
          <w:rFonts w:cs="Times New Roman"/>
          <w:szCs w:val="24"/>
        </w:rPr>
        <w:pgNum/>
      </w:r>
      <w:proofErr w:type="spellStart"/>
      <w:r w:rsidR="00C54C59" w:rsidRPr="00D008E4">
        <w:rPr>
          <w:rFonts w:cs="Times New Roman"/>
          <w:szCs w:val="24"/>
        </w:rPr>
        <w:t>ehaviour</w:t>
      </w:r>
      <w:proofErr w:type="spellEnd"/>
      <w:r w:rsidR="00C54C59" w:rsidRPr="00D008E4">
        <w:rPr>
          <w:rFonts w:cs="Times New Roman"/>
          <w:szCs w:val="24"/>
        </w:rPr>
        <w:pgNum/>
      </w:r>
      <w:r w:rsidR="00C54C59" w:rsidRPr="00D008E4">
        <w:rPr>
          <w:rFonts w:cs="Times New Roman"/>
          <w:szCs w:val="24"/>
        </w:rPr>
        <w:t>l</w:t>
      </w:r>
      <w:r w:rsidR="00C54C59" w:rsidRPr="00D008E4">
        <w:rPr>
          <w:rFonts w:cs="Times New Roman"/>
          <w:szCs w:val="24"/>
        </w:rPr>
        <w:pgNum/>
      </w:r>
      <w:r w:rsidRPr="00D008E4">
        <w:rPr>
          <w:rFonts w:cs="Times New Roman"/>
          <w:szCs w:val="24"/>
        </w:rPr>
        <w:t xml:space="preserve"> ownership-cost calculator covering purchase price, expected charging cost, routine maintenance and warranty coverage, supported by clearly stated battery and after-sales commitments. Where residual value or battery durability is a concern, claims should be tied to transparent evidence and warranty conditions rather than generic reassurance. This is particularly important for newer domestic brands, for which published service standards and clear warranty processes can turn reputation into credible risk reduction. Useful performance measures would include use of the cost tool, engagement with warranty information and conversion from enquiry to purchase intention or order.</w:t>
      </w:r>
    </w:p>
    <w:p w:rsidR="00EE72EF" w:rsidRPr="00D008E4" w:rsidRDefault="001A6DD9" w:rsidP="0000412A">
      <w:pPr>
        <w:rPr>
          <w:rFonts w:cs="Times New Roman"/>
          <w:szCs w:val="24"/>
        </w:rPr>
      </w:pPr>
      <w:r w:rsidRPr="00D008E4">
        <w:rPr>
          <w:rFonts w:cs="Times New Roman"/>
          <w:szCs w:val="24"/>
        </w:rPr>
        <w:t xml:space="preserve">A second priority is to treat experience as an acquisition intervention rather than an incidental dealership activity. Potential buyers, particularly later adopters and households without previous EV experience, could be offered extended test drives or 48-72 hour trials where operationally feasible. The value of a longer trial is that consumers can test charging routines, range adequacy, ease of use and everyday compatibility in their own context. Owner-referral schemes and moderated brand communities can add peer evidence, but trial-to-lead and trial-to-order conversion should be tracked so that effectiveness is measured rather than assumed. The recommendation is consistent with the repeated </w:t>
      </w:r>
      <w:r w:rsidRPr="00D008E4">
        <w:rPr>
          <w:rFonts w:cs="Times New Roman"/>
          <w:szCs w:val="24"/>
        </w:rPr>
        <w:lastRenderedPageBreak/>
        <w:t xml:space="preserve">associations between experience, knowledge and intention, while </w:t>
      </w:r>
      <w:r w:rsidR="00C54C59" w:rsidRPr="00D008E4">
        <w:rPr>
          <w:rFonts w:cs="Times New Roman"/>
          <w:szCs w:val="24"/>
        </w:rPr>
        <w:pgNum/>
      </w:r>
      <w:proofErr w:type="spellStart"/>
      <w:r w:rsidR="00C54C59" w:rsidRPr="00D008E4">
        <w:rPr>
          <w:rFonts w:cs="Times New Roman"/>
          <w:szCs w:val="24"/>
        </w:rPr>
        <w:t>ehaviour</w:t>
      </w:r>
      <w:proofErr w:type="spellEnd"/>
      <w:r w:rsidR="00C54C59" w:rsidRPr="00D008E4">
        <w:rPr>
          <w:rFonts w:cs="Times New Roman"/>
          <w:szCs w:val="24"/>
        </w:rPr>
        <w:pgNum/>
      </w:r>
      <w:r w:rsidR="00C54C59" w:rsidRPr="00D008E4">
        <w:rPr>
          <w:rFonts w:cs="Times New Roman"/>
          <w:szCs w:val="24"/>
        </w:rPr>
        <w:t>l</w:t>
      </w:r>
      <w:r w:rsidRPr="00D008E4">
        <w:rPr>
          <w:rFonts w:cs="Times New Roman"/>
          <w:szCs w:val="24"/>
        </w:rPr>
        <w:t xml:space="preserve"> that the existing cross-sectional evidence does not establish the causal size of the trial effect.</w:t>
      </w:r>
    </w:p>
    <w:p w:rsidR="00EE72EF" w:rsidRPr="00D008E4" w:rsidRDefault="001A6DD9" w:rsidP="0000412A">
      <w:pPr>
        <w:rPr>
          <w:rFonts w:cs="Times New Roman"/>
          <w:szCs w:val="24"/>
        </w:rPr>
      </w:pPr>
      <w:r w:rsidRPr="00D008E4">
        <w:rPr>
          <w:rFonts w:cs="Times New Roman"/>
          <w:szCs w:val="24"/>
        </w:rPr>
        <w:t>Segmentation should also be based on the barrier preventing adoption, not on demographics alone. Consumers without reliable home charging need route- and neighbourhood-specific charging information; price-sensitive households need transparent total-cost comparisons; later adopters may need evidence on reliability and routine compatibility; and environmentally motivated consumers may respond more strongly when environmental benefits are connected to effective personal action. Customer-relationship systems could therefore record charging access, previous EV experience and the principal purchase concern alongside age or income. This converts the review</w:t>
      </w:r>
      <w:r w:rsidR="00C54C59" w:rsidRPr="00D008E4">
        <w:rPr>
          <w:rFonts w:cs="Times New Roman"/>
          <w:szCs w:val="24"/>
        </w:rPr>
        <w:t>’</w:t>
      </w:r>
      <w:r w:rsidRPr="00D008E4">
        <w:rPr>
          <w:rFonts w:cs="Times New Roman"/>
          <w:szCs w:val="24"/>
        </w:rPr>
        <w:t>s heterogeneity finding into a practical targeting process.</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5.5 Policy R</w:t>
      </w:r>
      <w:r w:rsidR="001A6DD9" w:rsidRPr="00D008E4">
        <w:rPr>
          <w:rFonts w:ascii="Times New Roman" w:hAnsi="Times New Roman" w:cs="Times New Roman"/>
          <w:sz w:val="28"/>
          <w:szCs w:val="24"/>
        </w:rPr>
        <w:t>ecommendations</w:t>
      </w:r>
    </w:p>
    <w:p w:rsidR="00EE72EF" w:rsidRPr="00D008E4" w:rsidRDefault="001A6DD9" w:rsidP="0000412A">
      <w:pPr>
        <w:rPr>
          <w:rFonts w:cs="Times New Roman"/>
          <w:szCs w:val="24"/>
        </w:rPr>
      </w:pPr>
      <w:r w:rsidRPr="00D008E4">
        <w:rPr>
          <w:rFonts w:cs="Times New Roman"/>
          <w:szCs w:val="24"/>
        </w:rPr>
        <w:t xml:space="preserve">For policy makers, charging policy should focus on usable access and reliability rather than headline charger counts alone. Local authorities can identify underserved urban districts, high-density residential areas with limited private parking and major intercity routes where reliable fast charging removes a genuine constraint. Performance reporting should include operational uptime, </w:t>
      </w:r>
      <w:proofErr w:type="spellStart"/>
      <w:r w:rsidR="009A6FBE">
        <w:rPr>
          <w:rFonts w:cs="Times New Roman"/>
          <w:szCs w:val="24"/>
        </w:rPr>
        <w:t>behavioural</w:t>
      </w:r>
      <w:proofErr w:type="spellEnd"/>
      <w:r w:rsidRPr="00D008E4">
        <w:rPr>
          <w:rFonts w:cs="Times New Roman"/>
          <w:szCs w:val="24"/>
        </w:rPr>
        <w:t>, waiting time and geographic coverage. This responds directly to the distinction identified in the review between city-level infrastructure supply and the charging access experienced by individual households.</w:t>
      </w:r>
    </w:p>
    <w:p w:rsidR="00EE72EF" w:rsidRPr="00D008E4" w:rsidRDefault="001A6DD9" w:rsidP="0000412A">
      <w:pPr>
        <w:rPr>
          <w:rFonts w:cs="Times New Roman"/>
          <w:szCs w:val="24"/>
        </w:rPr>
      </w:pPr>
      <w:r w:rsidRPr="00D008E4">
        <w:rPr>
          <w:rFonts w:cs="Times New Roman"/>
          <w:szCs w:val="24"/>
        </w:rPr>
        <w:t xml:space="preserve">Consumer-information policy offers a second route for reducing uncertainty. Regulators and industry bodies could develop comparable disclosure standards for battery warranty coverage, battery-health assessment where relevant, charging prices and the assumptions used in ownership-cost comparisons. A common format would help consumers compare ownership propositions without requiring the state to </w:t>
      </w:r>
      <w:proofErr w:type="spellStart"/>
      <w:r w:rsidRPr="00D008E4">
        <w:rPr>
          <w:rFonts w:cs="Times New Roman"/>
          <w:szCs w:val="24"/>
        </w:rPr>
        <w:t>favour</w:t>
      </w:r>
      <w:proofErr w:type="spellEnd"/>
      <w:r w:rsidRPr="00D008E4">
        <w:rPr>
          <w:rFonts w:cs="Times New Roman"/>
          <w:szCs w:val="24"/>
        </w:rPr>
        <w:t xml:space="preserve"> particular brands. Such disclosure is especially relevant where concerns </w:t>
      </w:r>
      <w:proofErr w:type="spellStart"/>
      <w:r w:rsidRPr="00D008E4">
        <w:rPr>
          <w:rFonts w:cs="Times New Roman"/>
          <w:szCs w:val="24"/>
        </w:rPr>
        <w:t>centre</w:t>
      </w:r>
      <w:proofErr w:type="spellEnd"/>
      <w:r w:rsidRPr="00D008E4">
        <w:rPr>
          <w:rFonts w:cs="Times New Roman"/>
          <w:szCs w:val="24"/>
        </w:rPr>
        <w:t xml:space="preserve"> on battery durability, resale value or rapidly changing technology and therefore links policy design directly to the review</w:t>
      </w:r>
      <w:r w:rsidR="00C54C59" w:rsidRPr="00D008E4">
        <w:rPr>
          <w:rFonts w:cs="Times New Roman"/>
          <w:szCs w:val="24"/>
        </w:rPr>
        <w:t>’</w:t>
      </w:r>
      <w:r w:rsidRPr="00D008E4">
        <w:rPr>
          <w:rFonts w:cs="Times New Roman"/>
          <w:szCs w:val="24"/>
        </w:rPr>
        <w:t>s uncertainty-management findings.</w:t>
      </w:r>
    </w:p>
    <w:p w:rsidR="00EE72EF" w:rsidRPr="00D008E4" w:rsidRDefault="001A6DD9" w:rsidP="0000412A">
      <w:pPr>
        <w:rPr>
          <w:rFonts w:cs="Times New Roman"/>
          <w:szCs w:val="24"/>
        </w:rPr>
      </w:pPr>
      <w:r w:rsidRPr="00D008E4">
        <w:rPr>
          <w:rFonts w:cs="Times New Roman"/>
          <w:szCs w:val="24"/>
        </w:rPr>
        <w:t xml:space="preserve">New interventions should also be piloted and evaluated by place and consumer segment before national expansion. A charging-access intervention, for example, could be tested in matched districts with different levels of residential constraint, while an information intervention could be compared across consumers with and without previous EV experience. Where actual purchase data are unavailable, evaluation could report pre- and post-intervention intention alongside observable outcomes such as charger use or trial participation. Reporting results by city tier, home-charging access and ownership experience would also help address the current over-reliance on tier-1 evidence and provide a stronger basis for deciding whether future support should </w:t>
      </w:r>
      <w:proofErr w:type="spellStart"/>
      <w:r w:rsidRPr="00D008E4">
        <w:rPr>
          <w:rFonts w:cs="Times New Roman"/>
          <w:szCs w:val="24"/>
        </w:rPr>
        <w:t>prioritise</w:t>
      </w:r>
      <w:proofErr w:type="spellEnd"/>
      <w:r w:rsidRPr="00D008E4">
        <w:rPr>
          <w:rFonts w:cs="Times New Roman"/>
          <w:szCs w:val="24"/>
        </w:rPr>
        <w:t xml:space="preserve"> infrastructure, information, convenience or targeted financial assistance.</w:t>
      </w:r>
    </w:p>
    <w:p w:rsidR="00EE72EF" w:rsidRPr="00D008E4" w:rsidRDefault="001A6DD9"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5.6 Limitations</w:t>
      </w:r>
    </w:p>
    <w:p w:rsidR="00EE72EF" w:rsidRPr="00D008E4" w:rsidRDefault="001A6DD9" w:rsidP="0000412A">
      <w:pPr>
        <w:rPr>
          <w:rFonts w:cs="Times New Roman"/>
          <w:szCs w:val="24"/>
        </w:rPr>
      </w:pPr>
      <w:r w:rsidRPr="00D008E4">
        <w:rPr>
          <w:rFonts w:cs="Times New Roman"/>
          <w:szCs w:val="24"/>
        </w:rPr>
        <w:t>The review has five main limitations. First, restricting the evidence base to English-language peer-reviewed work may omit relevant Chinese-language research. Second, database-specific identification counts were not retained, so the PRISMA figure accurately represents the screened collection but cannot reconstruct every initial search hit. Third, most core studies are cross-sectional and measure self-reported intention rather than purchase, limiting causal inference and the ability to assess the intention-</w:t>
      </w:r>
      <w:proofErr w:type="spellStart"/>
      <w:r w:rsidRPr="00D008E4">
        <w:rPr>
          <w:rFonts w:cs="Times New Roman"/>
          <w:szCs w:val="24"/>
        </w:rPr>
        <w:t>behaviour</w:t>
      </w:r>
      <w:proofErr w:type="spellEnd"/>
      <w:r w:rsidRPr="00D008E4">
        <w:rPr>
          <w:rFonts w:cs="Times New Roman"/>
          <w:szCs w:val="24"/>
        </w:rPr>
        <w:t xml:space="preserve"> gap. Fourth, methodological and construct heterogeneity prevents a defensible meta-analysis or simple ranking of effect sizes. Fifth, the 2014-2025 window deliberately spans different policy regimes; this enables temporal interpretation but makes it inappropriate to treat all observations as if they came from one stable market.</w:t>
      </w:r>
    </w:p>
    <w:p w:rsidR="00EE72EF" w:rsidRPr="00D008E4" w:rsidRDefault="001A6DD9" w:rsidP="0000412A">
      <w:pPr>
        <w:rPr>
          <w:rFonts w:cs="Times New Roman"/>
          <w:szCs w:val="24"/>
        </w:rPr>
      </w:pPr>
      <w:r w:rsidRPr="00D008E4">
        <w:rPr>
          <w:rFonts w:cs="Times New Roman"/>
          <w:szCs w:val="24"/>
        </w:rPr>
        <w:t>The quality appraisal also requires cautious interpretation. All forty core studies met the adapted criteria for a High judgement, yet many still contain sampling, common-method, geographic or temporal limitations. Methodological competence and low risk of bias are not the same thing, and the synthesis has therefore avoided treating the quality label as evidence of causal certainty.</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t>5.7 Recommendations for Future R</w:t>
      </w:r>
      <w:r w:rsidR="001A6DD9" w:rsidRPr="00D008E4">
        <w:rPr>
          <w:rFonts w:ascii="Times New Roman" w:hAnsi="Times New Roman" w:cs="Times New Roman"/>
          <w:sz w:val="28"/>
          <w:szCs w:val="24"/>
        </w:rPr>
        <w:t>esearch</w:t>
      </w:r>
    </w:p>
    <w:p w:rsidR="00EE72EF" w:rsidRPr="00D008E4" w:rsidRDefault="001A6DD9" w:rsidP="0000412A">
      <w:pPr>
        <w:rPr>
          <w:rFonts w:cs="Times New Roman"/>
          <w:szCs w:val="24"/>
        </w:rPr>
      </w:pPr>
      <w:r w:rsidRPr="00D008E4">
        <w:rPr>
          <w:rFonts w:cs="Times New Roman"/>
          <w:szCs w:val="24"/>
        </w:rPr>
        <w:t xml:space="preserve">Future research should move beyond cross-sectional intention models towards longitudinal and </w:t>
      </w:r>
      <w:proofErr w:type="spellStart"/>
      <w:r w:rsidRPr="00D008E4">
        <w:rPr>
          <w:rFonts w:cs="Times New Roman"/>
          <w:szCs w:val="24"/>
        </w:rPr>
        <w:t>behavioural</w:t>
      </w:r>
      <w:proofErr w:type="spellEnd"/>
      <w:r w:rsidRPr="00D008E4">
        <w:rPr>
          <w:rFonts w:cs="Times New Roman"/>
          <w:szCs w:val="24"/>
        </w:rPr>
        <w:t xml:space="preserve"> designs that observe whether stated intention becomes purchase. Panel studies conducted before and after test drives, charging improvements or policy changes would establish temporal ordering more convincingly than one-time SEM models and would allow the intention-</w:t>
      </w:r>
      <w:proofErr w:type="spellStart"/>
      <w:r w:rsidRPr="00D008E4">
        <w:rPr>
          <w:rFonts w:cs="Times New Roman"/>
          <w:szCs w:val="24"/>
        </w:rPr>
        <w:t>behaviour</w:t>
      </w:r>
      <w:proofErr w:type="spellEnd"/>
      <w:r w:rsidRPr="00D008E4">
        <w:rPr>
          <w:rFonts w:cs="Times New Roman"/>
          <w:szCs w:val="24"/>
        </w:rPr>
        <w:t xml:space="preserve"> gap to be measured directly.</w:t>
      </w:r>
    </w:p>
    <w:p w:rsidR="00EE72EF" w:rsidRPr="00D008E4" w:rsidRDefault="001A6DD9" w:rsidP="0000412A">
      <w:pPr>
        <w:rPr>
          <w:rFonts w:cs="Times New Roman"/>
          <w:szCs w:val="24"/>
        </w:rPr>
      </w:pPr>
      <w:r w:rsidRPr="00D008E4">
        <w:rPr>
          <w:rFonts w:cs="Times New Roman"/>
          <w:szCs w:val="24"/>
        </w:rPr>
        <w:t>Trust also needs more precise measurement. Future studies should distinguish brand, technology, institutional and peer-source trust while testing which specific risks they reduce or which benefits they strengthen. This would provide a direct test of the uncertainty-management framework without turning trust into a broad positive construct that duplicates reputation, satisfaction or attitude.</w:t>
      </w:r>
    </w:p>
    <w:p w:rsidR="00EE72EF" w:rsidRPr="00D008E4" w:rsidRDefault="001A6DD9" w:rsidP="0000412A">
      <w:pPr>
        <w:rPr>
          <w:rFonts w:cs="Times New Roman"/>
          <w:szCs w:val="24"/>
        </w:rPr>
      </w:pPr>
      <w:r w:rsidRPr="00D008E4">
        <w:rPr>
          <w:rFonts w:cs="Times New Roman"/>
          <w:szCs w:val="24"/>
        </w:rPr>
        <w:t xml:space="preserve">Geographic and segment coverage should also improve. Lower-tier cities and rural or </w:t>
      </w:r>
      <w:proofErr w:type="spellStart"/>
      <w:r w:rsidRPr="00D008E4">
        <w:rPr>
          <w:rFonts w:cs="Times New Roman"/>
          <w:szCs w:val="24"/>
        </w:rPr>
        <w:t>peri</w:t>
      </w:r>
      <w:proofErr w:type="spellEnd"/>
      <w:r w:rsidRPr="00D008E4">
        <w:rPr>
          <w:rFonts w:cs="Times New Roman"/>
          <w:szCs w:val="24"/>
        </w:rPr>
        <w:t xml:space="preserve">-urban consumers remain under-represented, and multi-level designs should measure household charging access and local policy exposure rather than relying only on city-wide infrastructure indicators. Studies should distinguish early, mainstream and replacement buyers because the same predictor may change after experience accumulates. Configurational and experimental methods would be especially valuable alongside SEM: </w:t>
      </w:r>
      <w:proofErr w:type="spellStart"/>
      <w:r w:rsidRPr="00D008E4">
        <w:rPr>
          <w:rFonts w:cs="Times New Roman"/>
          <w:szCs w:val="24"/>
        </w:rPr>
        <w:t>fsQCA</w:t>
      </w:r>
      <w:proofErr w:type="spellEnd"/>
      <w:r w:rsidRPr="00D008E4">
        <w:rPr>
          <w:rFonts w:cs="Times New Roman"/>
          <w:szCs w:val="24"/>
        </w:rPr>
        <w:t xml:space="preserve"> can test combinations of value, social proof, infrastructure and risk, while experiments can estimate the causal effects of information or trial interventions.</w:t>
      </w:r>
    </w:p>
    <w:p w:rsidR="00EE72EF" w:rsidRPr="00D008E4" w:rsidRDefault="007D3608" w:rsidP="0000412A">
      <w:pPr>
        <w:pStyle w:val="Heading2"/>
        <w:rPr>
          <w:rFonts w:ascii="Times New Roman" w:hAnsi="Times New Roman" w:cs="Times New Roman"/>
          <w:sz w:val="28"/>
          <w:szCs w:val="24"/>
        </w:rPr>
      </w:pPr>
      <w:r w:rsidRPr="00D008E4">
        <w:rPr>
          <w:rFonts w:ascii="Times New Roman" w:hAnsi="Times New Roman" w:cs="Times New Roman"/>
          <w:sz w:val="28"/>
          <w:szCs w:val="24"/>
        </w:rPr>
        <w:lastRenderedPageBreak/>
        <w:t>5.8 Final C</w:t>
      </w:r>
      <w:r w:rsidR="001A6DD9" w:rsidRPr="00D008E4">
        <w:rPr>
          <w:rFonts w:ascii="Times New Roman" w:hAnsi="Times New Roman" w:cs="Times New Roman"/>
          <w:sz w:val="28"/>
          <w:szCs w:val="24"/>
        </w:rPr>
        <w:t>onclusion</w:t>
      </w:r>
    </w:p>
    <w:p w:rsidR="00EE72EF" w:rsidRPr="00D008E4" w:rsidRDefault="001A6DD9" w:rsidP="0000412A">
      <w:pPr>
        <w:rPr>
          <w:rFonts w:cs="Times New Roman"/>
          <w:szCs w:val="24"/>
        </w:rPr>
      </w:pPr>
      <w:r w:rsidRPr="00D008E4">
        <w:rPr>
          <w:rFonts w:cs="Times New Roman"/>
          <w:szCs w:val="24"/>
        </w:rPr>
        <w:t>China</w:t>
      </w:r>
      <w:r w:rsidR="00C54C59" w:rsidRPr="00D008E4">
        <w:rPr>
          <w:rFonts w:cs="Times New Roman"/>
          <w:szCs w:val="24"/>
        </w:rPr>
        <w:t>’</w:t>
      </w:r>
      <w:r w:rsidRPr="00D008E4">
        <w:rPr>
          <w:rFonts w:cs="Times New Roman"/>
          <w:szCs w:val="24"/>
        </w:rPr>
        <w:t xml:space="preserve">s EV market does not present one stable consumer-adoption problem. It is a moving system in which consumer psychology responds to changing policy, infrastructure, brands, technology and social experience. Across the 2014-2025 evidence, purchase intention is strongest when consumers can </w:t>
      </w:r>
      <w:proofErr w:type="spellStart"/>
      <w:r w:rsidR="00071E54" w:rsidRPr="00D008E4">
        <w:rPr>
          <w:rFonts w:cs="Times New Roman"/>
          <w:szCs w:val="24"/>
        </w:rPr>
        <w:t>b</w:t>
      </w:r>
      <w:r w:rsidR="00C54C59" w:rsidRPr="00D008E4">
        <w:rPr>
          <w:rFonts w:cs="Times New Roman"/>
          <w:szCs w:val="24"/>
        </w:rPr>
        <w:t>ehaviour</w:t>
      </w:r>
      <w:proofErr w:type="spellEnd"/>
      <w:r w:rsidRPr="00D008E4">
        <w:rPr>
          <w:rFonts w:cs="Times New Roman"/>
          <w:szCs w:val="24"/>
        </w:rPr>
        <w:t xml:space="preserve"> credible value, judge the information available to them as trustworthy, feel socially and practically able to adopt, and regard the remaining uncertainty as acceptable. Environmental concern and government support can strengthen that process, but </w:t>
      </w:r>
      <w:proofErr w:type="gramStart"/>
      <w:r w:rsidRPr="00D008E4">
        <w:rPr>
          <w:rFonts w:cs="Times New Roman"/>
          <w:szCs w:val="24"/>
        </w:rPr>
        <w:t>neither consistently substitutes for everyday feasibility and</w:t>
      </w:r>
      <w:proofErr w:type="gramEnd"/>
      <w:r w:rsidRPr="00D008E4">
        <w:rPr>
          <w:rFonts w:cs="Times New Roman"/>
          <w:szCs w:val="24"/>
        </w:rPr>
        <w:t xml:space="preserve"> a convincing ownership proposition.</w:t>
      </w:r>
    </w:p>
    <w:p w:rsidR="00EE72EF" w:rsidRPr="00D008E4" w:rsidRDefault="001A6DD9" w:rsidP="0000412A">
      <w:pPr>
        <w:rPr>
          <w:rFonts w:cs="Times New Roman"/>
          <w:szCs w:val="24"/>
        </w:rPr>
      </w:pPr>
      <w:r w:rsidRPr="00D008E4">
        <w:rPr>
          <w:rFonts w:cs="Times New Roman"/>
          <w:szCs w:val="24"/>
        </w:rPr>
        <w:t>The preliminary proposal was therefore directionally useful but theoretically too narrow. Trust can reduce risk, yet the wider evidence shows that trust sits within a broader process of uncertainty management and that perceived risk forms only one side of a benefit-sacrifice evaluation. By integrating policy, value, social influence, infrastructure, knowledge and moral motivation around that process, the dissertation offers a more defensible explanation of EV purchase intention in China</w:t>
      </w:r>
      <w:r w:rsidR="00C54C59" w:rsidRPr="00D008E4">
        <w:rPr>
          <w:rFonts w:cs="Times New Roman"/>
          <w:szCs w:val="24"/>
        </w:rPr>
        <w:t>’</w:t>
      </w:r>
      <w:r w:rsidRPr="00D008E4">
        <w:rPr>
          <w:rFonts w:cs="Times New Roman"/>
          <w:szCs w:val="24"/>
        </w:rPr>
        <w:t>s increasingly market-led era.</w:t>
      </w:r>
    </w:p>
    <w:p w:rsidR="00EE72EF" w:rsidRPr="00D008E4" w:rsidRDefault="001A6DD9" w:rsidP="0000412A">
      <w:pPr>
        <w:rPr>
          <w:rFonts w:cs="Times New Roman"/>
          <w:szCs w:val="24"/>
        </w:rPr>
      </w:pPr>
      <w:r w:rsidRPr="00D008E4">
        <w:rPr>
          <w:rFonts w:cs="Times New Roman"/>
          <w:szCs w:val="24"/>
        </w:rPr>
        <w:br w:type="page"/>
      </w:r>
    </w:p>
    <w:p w:rsidR="00EE72EF" w:rsidRPr="00D008E4" w:rsidRDefault="001A6DD9" w:rsidP="0000412A">
      <w:pPr>
        <w:pStyle w:val="Heading1"/>
        <w:rPr>
          <w:rFonts w:ascii="Times New Roman" w:hAnsi="Times New Roman" w:cs="Times New Roman"/>
          <w:szCs w:val="24"/>
        </w:rPr>
      </w:pPr>
      <w:r w:rsidRPr="00D008E4">
        <w:rPr>
          <w:rFonts w:ascii="Times New Roman" w:hAnsi="Times New Roman" w:cs="Times New Roman"/>
          <w:szCs w:val="24"/>
        </w:rPr>
        <w:lastRenderedPageBreak/>
        <w:t>References</w:t>
      </w:r>
    </w:p>
    <w:p w:rsidR="00FD1680" w:rsidRPr="00D008E4" w:rsidRDefault="00FD1680" w:rsidP="00FD1680">
      <w:pPr>
        <w:pStyle w:val="isselectedend"/>
      </w:pPr>
      <w:proofErr w:type="spellStart"/>
      <w:r w:rsidRPr="00D008E4">
        <w:t>Ajzen</w:t>
      </w:r>
      <w:proofErr w:type="spellEnd"/>
      <w:r w:rsidRPr="00D008E4">
        <w:t xml:space="preserve">, I. (1991) ‘The theory of planned </w:t>
      </w:r>
      <w:r w:rsidR="005C75DC">
        <w:t>behaviour ’, Organisational Behaviour</w:t>
      </w:r>
      <w:r w:rsidRPr="00D008E4">
        <w:rPr>
          <w:rStyle w:val="Emphasis"/>
        </w:rPr>
        <w:t xml:space="preserve"> and Human Decision Processes</w:t>
      </w:r>
      <w:r w:rsidRPr="00D008E4">
        <w:t>, 50(2), pp. 179–211.</w:t>
      </w:r>
    </w:p>
    <w:p w:rsidR="00FD1680" w:rsidRPr="00D008E4" w:rsidRDefault="00FD1680" w:rsidP="00FD1680">
      <w:pPr>
        <w:pStyle w:val="isselectedend"/>
      </w:pPr>
      <w:r w:rsidRPr="00D008E4">
        <w:t xml:space="preserve">Braun, V. and Clarke, V. (2006) ‘Using thematic analysis in psychology’, </w:t>
      </w:r>
      <w:r w:rsidRPr="00D008E4">
        <w:rPr>
          <w:rStyle w:val="Emphasis"/>
        </w:rPr>
        <w:t>Qualitative Research in Psychology</w:t>
      </w:r>
      <w:r w:rsidRPr="00D008E4">
        <w:t>, 3(2), pp. 77–101.</w:t>
      </w:r>
    </w:p>
    <w:p w:rsidR="00FD1680" w:rsidRPr="00D008E4" w:rsidRDefault="00FD1680" w:rsidP="00FD1680">
      <w:pPr>
        <w:pStyle w:val="isselectedend"/>
      </w:pPr>
      <w:r w:rsidRPr="00D008E4">
        <w:t>Critical Appraisal Skills Programme (CASP) (</w:t>
      </w:r>
      <w:proofErr w:type="spellStart"/>
      <w:r w:rsidRPr="00D008E4">
        <w:t>n.d.</w:t>
      </w:r>
      <w:proofErr w:type="spellEnd"/>
      <w:r w:rsidRPr="00D008E4">
        <w:t xml:space="preserve">) </w:t>
      </w:r>
      <w:r w:rsidRPr="00D008E4">
        <w:rPr>
          <w:rStyle w:val="Emphasis"/>
        </w:rPr>
        <w:t>CASP Cross-Sectional Studies Checklist</w:t>
      </w:r>
      <w:r w:rsidRPr="00D008E4">
        <w:t xml:space="preserve">. Available at: </w:t>
      </w:r>
      <w:hyperlink r:id="rId14" w:history="1">
        <w:r w:rsidRPr="00D008E4">
          <w:rPr>
            <w:rStyle w:val="Hyperlink"/>
          </w:rPr>
          <w:t>https://casp-uk.net/casp-tools-checklists/cross-sectional-studies-checklist/</w:t>
        </w:r>
      </w:hyperlink>
      <w:r w:rsidRPr="00D008E4">
        <w:t xml:space="preserve"> (Accessed: 6 August 2026).</w:t>
      </w:r>
    </w:p>
    <w:p w:rsidR="00FD1680" w:rsidRPr="00D008E4" w:rsidRDefault="00FD1680" w:rsidP="00FD1680">
      <w:pPr>
        <w:pStyle w:val="isselectedend"/>
      </w:pPr>
      <w:r w:rsidRPr="00D008E4">
        <w:t xml:space="preserve">Davis, F.D. (1989) ‘Perceived usefulness, perceived ease of use, and user acceptance of information technology’, </w:t>
      </w:r>
      <w:r w:rsidRPr="00D008E4">
        <w:rPr>
          <w:rStyle w:val="Emphasis"/>
        </w:rPr>
        <w:t>MIS Quarterly</w:t>
      </w:r>
      <w:r w:rsidRPr="00D008E4">
        <w:t>, 13(3), pp. 319–340.</w:t>
      </w:r>
    </w:p>
    <w:p w:rsidR="00FD1680" w:rsidRPr="00D008E4" w:rsidRDefault="00FD1680" w:rsidP="00FD1680">
      <w:pPr>
        <w:pStyle w:val="isselectedend"/>
      </w:pPr>
      <w:r w:rsidRPr="00D008E4">
        <w:t>Dong, X. et al. (2020) ‘Urban households’ purchase intentions for pure electric vehicles under subsidy contexts in China: Do cost factors matter?</w:t>
      </w:r>
      <w:proofErr w:type="gramStart"/>
      <w:r w:rsidRPr="00D008E4">
        <w:t>’,</w:t>
      </w:r>
      <w:proofErr w:type="gramEnd"/>
      <w:r w:rsidRPr="00D008E4">
        <w:t xml:space="preserve"> </w:t>
      </w:r>
      <w:r w:rsidRPr="00D008E4">
        <w:rPr>
          <w:rStyle w:val="Emphasis"/>
        </w:rPr>
        <w:t>Transportation Research Part A</w:t>
      </w:r>
      <w:r w:rsidRPr="00D008E4">
        <w:t xml:space="preserve">, 135, pp. 183–197. Available at: </w:t>
      </w:r>
      <w:hyperlink r:id="rId15" w:history="1">
        <w:r w:rsidRPr="00D008E4">
          <w:rPr>
            <w:rStyle w:val="Hyperlink"/>
          </w:rPr>
          <w:t>https://doi.org/10.1016/j.tra.2020.03.012</w:t>
        </w:r>
      </w:hyperlink>
      <w:r w:rsidRPr="00D008E4">
        <w:t>.</w:t>
      </w:r>
    </w:p>
    <w:p w:rsidR="00FD1680" w:rsidRPr="00D008E4" w:rsidRDefault="00FD1680" w:rsidP="00FD1680">
      <w:pPr>
        <w:pStyle w:val="isselectedend"/>
      </w:pPr>
      <w:r w:rsidRPr="00D008E4">
        <w:t xml:space="preserve">Du, H. et al. (2018) ‘Who buys New Energy Vehicles in China? Assessing social-psychological predictors of purchasing awareness, intention, and policy’, </w:t>
      </w:r>
      <w:r w:rsidRPr="00D008E4">
        <w:rPr>
          <w:rStyle w:val="Emphasis"/>
        </w:rPr>
        <w:t>Transportation Research Part F</w:t>
      </w:r>
      <w:r w:rsidRPr="00D008E4">
        <w:t xml:space="preserve">, 58, pp. 56–69. Available at: </w:t>
      </w:r>
      <w:hyperlink r:id="rId16" w:history="1">
        <w:r w:rsidRPr="00D008E4">
          <w:rPr>
            <w:rStyle w:val="Hyperlink"/>
          </w:rPr>
          <w:t>https://doi.org/10.1016/j.trf.2018.05.008</w:t>
        </w:r>
      </w:hyperlink>
      <w:r w:rsidRPr="00D008E4">
        <w:t>.</w:t>
      </w:r>
    </w:p>
    <w:p w:rsidR="00FD1680" w:rsidRPr="00D008E4" w:rsidRDefault="00FD1680" w:rsidP="00FD1680">
      <w:pPr>
        <w:pStyle w:val="isselectedend"/>
      </w:pPr>
      <w:r w:rsidRPr="00D008E4">
        <w:t xml:space="preserve">Ehsan, F. et al. (2024) ‘Assessing policy influence on electric vehicle adoption in China: An in-depth study’, </w:t>
      </w:r>
      <w:r w:rsidRPr="00D008E4">
        <w:rPr>
          <w:rStyle w:val="Emphasis"/>
        </w:rPr>
        <w:t>Energy Strategy Reviews</w:t>
      </w:r>
      <w:r w:rsidRPr="00D008E4">
        <w:t xml:space="preserve">, 54, 101471. Available at: </w:t>
      </w:r>
      <w:hyperlink r:id="rId17" w:history="1">
        <w:r w:rsidRPr="00D008E4">
          <w:rPr>
            <w:rStyle w:val="Hyperlink"/>
          </w:rPr>
          <w:t>https://doi.org/10.1016/j.esr.2024.101471</w:t>
        </w:r>
      </w:hyperlink>
      <w:r w:rsidRPr="00D008E4">
        <w:t>.</w:t>
      </w:r>
    </w:p>
    <w:p w:rsidR="00FD1680" w:rsidRPr="00D008E4" w:rsidRDefault="00FD1680" w:rsidP="00FD1680">
      <w:pPr>
        <w:pStyle w:val="isselectedend"/>
      </w:pPr>
      <w:r w:rsidRPr="00D008E4">
        <w:t xml:space="preserve">Feng, F. et al. (2025) ‘Intention to adopt battery electric vehicles among the early-to-late majority: Policy and </w:t>
      </w:r>
      <w:r w:rsidR="00C54C59" w:rsidRPr="00D008E4">
        <w:pgNum/>
      </w:r>
      <w:proofErr w:type="spellStart"/>
      <w:r w:rsidR="00C54C59" w:rsidRPr="00D008E4">
        <w:t>ehaviour</w:t>
      </w:r>
      <w:proofErr w:type="spellEnd"/>
      <w:r w:rsidR="00C54C59" w:rsidRPr="00D008E4">
        <w:pgNum/>
      </w:r>
      <w:r w:rsidR="00C54C59" w:rsidRPr="00D008E4">
        <w:t>l</w:t>
      </w:r>
      <w:r w:rsidRPr="00D008E4">
        <w:t xml:space="preserve"> insights from post-subsidy China’, </w:t>
      </w:r>
      <w:r w:rsidRPr="00D008E4">
        <w:rPr>
          <w:rStyle w:val="Emphasis"/>
        </w:rPr>
        <w:t>Research in Transportation Economics</w:t>
      </w:r>
      <w:r w:rsidRPr="00D008E4">
        <w:t xml:space="preserve">, 114, 101649. Available at: </w:t>
      </w:r>
      <w:hyperlink r:id="rId18" w:history="1">
        <w:r w:rsidRPr="00D008E4">
          <w:rPr>
            <w:rStyle w:val="Hyperlink"/>
          </w:rPr>
          <w:t>https://doi.org/10.1016/j.retrec.2025.101649</w:t>
        </w:r>
      </w:hyperlink>
      <w:r w:rsidRPr="00D008E4">
        <w:t>.</w:t>
      </w:r>
    </w:p>
    <w:p w:rsidR="00FD1680" w:rsidRPr="00D008E4" w:rsidRDefault="00FD1680" w:rsidP="00FD1680">
      <w:pPr>
        <w:pStyle w:val="isselectedend"/>
      </w:pPr>
      <w:proofErr w:type="spellStart"/>
      <w:r w:rsidRPr="00D008E4">
        <w:t>Habich-Sobiegalla</w:t>
      </w:r>
      <w:proofErr w:type="spellEnd"/>
      <w:r w:rsidRPr="00D008E4">
        <w:t xml:space="preserve">, S. et al. (2019) ‘Citizens’ electric vehicle purchase intentions in China: An analysis of micro-level and macro-level factors’, </w:t>
      </w:r>
      <w:r w:rsidRPr="00D008E4">
        <w:rPr>
          <w:rStyle w:val="Emphasis"/>
        </w:rPr>
        <w:t>Transport Policy</w:t>
      </w:r>
      <w:r w:rsidRPr="00D008E4">
        <w:t xml:space="preserve">, 79, pp. 223–233. Available at: </w:t>
      </w:r>
      <w:hyperlink r:id="rId19" w:history="1">
        <w:r w:rsidRPr="00D008E4">
          <w:rPr>
            <w:rStyle w:val="Hyperlink"/>
          </w:rPr>
          <w:t>https://doi.org/10.1016/j.tranpol.2019.05.008</w:t>
        </w:r>
      </w:hyperlink>
      <w:r w:rsidRPr="00D008E4">
        <w:t>.</w:t>
      </w:r>
    </w:p>
    <w:p w:rsidR="00FD1680" w:rsidRPr="00D008E4" w:rsidRDefault="00FD1680" w:rsidP="00FD1680">
      <w:pPr>
        <w:pStyle w:val="isselectedend"/>
      </w:pPr>
      <w:r w:rsidRPr="00D008E4">
        <w:t>Han, L. et al. (2017) ‘</w:t>
      </w:r>
      <w:proofErr w:type="gramStart"/>
      <w:r w:rsidRPr="00D008E4">
        <w:t>The</w:t>
      </w:r>
      <w:proofErr w:type="gramEnd"/>
      <w:r w:rsidRPr="00D008E4">
        <w:t xml:space="preserve"> intention to adopt electric vehicles: Driven by functional and non-functional values’, </w:t>
      </w:r>
      <w:r w:rsidRPr="00D008E4">
        <w:rPr>
          <w:rStyle w:val="Emphasis"/>
        </w:rPr>
        <w:t>Transportation Research Part A</w:t>
      </w:r>
      <w:r w:rsidRPr="00D008E4">
        <w:t xml:space="preserve">, 103, pp. 185–197. Available at: </w:t>
      </w:r>
      <w:hyperlink r:id="rId20" w:history="1">
        <w:r w:rsidRPr="00D008E4">
          <w:rPr>
            <w:rStyle w:val="Hyperlink"/>
          </w:rPr>
          <w:t>https://doi.org/10.1016/j.tra.2017.05.033</w:t>
        </w:r>
      </w:hyperlink>
      <w:r w:rsidRPr="00D008E4">
        <w:t>.</w:t>
      </w:r>
    </w:p>
    <w:p w:rsidR="00FD1680" w:rsidRPr="00D008E4" w:rsidRDefault="00FD1680" w:rsidP="00FD1680">
      <w:pPr>
        <w:pStyle w:val="isselectedend"/>
      </w:pPr>
      <w:r w:rsidRPr="00D008E4">
        <w:t xml:space="preserve">He, X. and Zhan, W. (2018) ‘How to activate moral norm to adopt electric vehicles in China? An empirical study based on extended norm activation theory’, </w:t>
      </w:r>
      <w:r w:rsidRPr="00D008E4">
        <w:rPr>
          <w:rStyle w:val="Emphasis"/>
        </w:rPr>
        <w:t>Journal of Cleaner Production</w:t>
      </w:r>
      <w:r w:rsidRPr="00D008E4">
        <w:t xml:space="preserve">, 172, pp. 3546–3556. Available at: </w:t>
      </w:r>
      <w:hyperlink r:id="rId21" w:history="1">
        <w:r w:rsidRPr="00D008E4">
          <w:rPr>
            <w:rStyle w:val="Hyperlink"/>
          </w:rPr>
          <w:t>https://doi.org/10.1016/j.jclepro.2017.05.088</w:t>
        </w:r>
      </w:hyperlink>
      <w:r w:rsidRPr="00D008E4">
        <w:t>.</w:t>
      </w:r>
    </w:p>
    <w:p w:rsidR="00FD1680" w:rsidRPr="00D008E4" w:rsidRDefault="00FD1680" w:rsidP="00FD1680">
      <w:pPr>
        <w:pStyle w:val="isselectedend"/>
      </w:pPr>
      <w:r w:rsidRPr="00D008E4">
        <w:t xml:space="preserve">He, X., Zhan, W. and Hu, Y. (2018) ‘Consumer purchase intention of electric vehicles in China: The roles of perception and personality’, </w:t>
      </w:r>
      <w:r w:rsidRPr="00D008E4">
        <w:rPr>
          <w:rStyle w:val="Emphasis"/>
        </w:rPr>
        <w:t>Journal of Cleaner Production</w:t>
      </w:r>
      <w:r w:rsidRPr="00D008E4">
        <w:t xml:space="preserve">, 204, pp. 1060–1069. Available at: </w:t>
      </w:r>
      <w:hyperlink r:id="rId22" w:history="1">
        <w:r w:rsidRPr="00D008E4">
          <w:rPr>
            <w:rStyle w:val="Hyperlink"/>
          </w:rPr>
          <w:t>https://doi.org/10.1016/j.jclepro.2018.08.260</w:t>
        </w:r>
      </w:hyperlink>
      <w:r w:rsidRPr="00D008E4">
        <w:t>.</w:t>
      </w:r>
    </w:p>
    <w:p w:rsidR="00FD1680" w:rsidRPr="00D008E4" w:rsidRDefault="00FD1680" w:rsidP="00FD1680">
      <w:pPr>
        <w:pStyle w:val="isselectedend"/>
      </w:pPr>
      <w:r w:rsidRPr="00D008E4">
        <w:t xml:space="preserve">He, Z. et al. (2022) ‘Influence of emotion on purchase intention of electric vehicles: A comparative study of consumers with different income levels’, </w:t>
      </w:r>
      <w:r w:rsidRPr="00D008E4">
        <w:rPr>
          <w:rStyle w:val="Emphasis"/>
        </w:rPr>
        <w:t>Current Psychology</w:t>
      </w:r>
      <w:r w:rsidRPr="00D008E4">
        <w:t xml:space="preserve">. Available at: </w:t>
      </w:r>
      <w:hyperlink r:id="rId23" w:history="1">
        <w:r w:rsidRPr="00D008E4">
          <w:rPr>
            <w:rStyle w:val="Hyperlink"/>
          </w:rPr>
          <w:t>https://doi.org/10.1007/s12144-022-03253-1</w:t>
        </w:r>
      </w:hyperlink>
      <w:r w:rsidRPr="00D008E4">
        <w:t>.</w:t>
      </w:r>
    </w:p>
    <w:p w:rsidR="00FD1680" w:rsidRPr="00D008E4" w:rsidRDefault="00FD1680" w:rsidP="00FD1680">
      <w:pPr>
        <w:pStyle w:val="isselectedend"/>
      </w:pPr>
      <w:r w:rsidRPr="00D008E4">
        <w:lastRenderedPageBreak/>
        <w:t xml:space="preserve">Hu, X. et al. (2024) ‘Determinants of consumers’ intentions to switch to electric vehicles: A perspective of the push-pull-mooring framework’, </w:t>
      </w:r>
      <w:r w:rsidRPr="00D008E4">
        <w:rPr>
          <w:rStyle w:val="Emphasis"/>
        </w:rPr>
        <w:t>Journal of Environmental Planning and Management</w:t>
      </w:r>
      <w:r w:rsidRPr="00D008E4">
        <w:t xml:space="preserve">, 67(14), pp. 3718–3743. Available at: </w:t>
      </w:r>
      <w:hyperlink r:id="rId24" w:history="1">
        <w:r w:rsidRPr="00D008E4">
          <w:rPr>
            <w:rStyle w:val="Hyperlink"/>
          </w:rPr>
          <w:t>https://doi.org/10.1080/09640568.2023.2232945</w:t>
        </w:r>
      </w:hyperlink>
      <w:r w:rsidRPr="00D008E4">
        <w:t>.</w:t>
      </w:r>
    </w:p>
    <w:p w:rsidR="00FD1680" w:rsidRPr="00D008E4" w:rsidRDefault="00FD1680" w:rsidP="00FD1680">
      <w:pPr>
        <w:pStyle w:val="isselectedend"/>
      </w:pPr>
      <w:r w:rsidRPr="00D008E4">
        <w:t xml:space="preserve">Hu, X., </w:t>
      </w:r>
      <w:proofErr w:type="spellStart"/>
      <w:r w:rsidRPr="00D008E4">
        <w:t>Yusof</w:t>
      </w:r>
      <w:proofErr w:type="spellEnd"/>
      <w:r w:rsidRPr="00D008E4">
        <w:t xml:space="preserve">, R.N.R. and </w:t>
      </w:r>
      <w:proofErr w:type="spellStart"/>
      <w:r w:rsidRPr="00D008E4">
        <w:t>Mansor</w:t>
      </w:r>
      <w:proofErr w:type="spellEnd"/>
      <w:r w:rsidRPr="00D008E4">
        <w:t xml:space="preserve">, Z. (2025) ‘Consumers’ purchase intentions towards new energy vehicles based on the theory of planned behaviour on perceived value: An empirical survey of China’, </w:t>
      </w:r>
      <w:r w:rsidRPr="00D008E4">
        <w:rPr>
          <w:rStyle w:val="Emphasis"/>
        </w:rPr>
        <w:t>World Electric Vehicle Journal</w:t>
      </w:r>
      <w:r w:rsidRPr="00D008E4">
        <w:t xml:space="preserve">, 16, 120. Available at: </w:t>
      </w:r>
      <w:hyperlink r:id="rId25" w:history="1">
        <w:r w:rsidRPr="00D008E4">
          <w:rPr>
            <w:rStyle w:val="Hyperlink"/>
          </w:rPr>
          <w:t>https://doi.org/10.3390/wevj16030120</w:t>
        </w:r>
      </w:hyperlink>
      <w:r w:rsidRPr="00D008E4">
        <w:t>.</w:t>
      </w:r>
    </w:p>
    <w:p w:rsidR="00FD1680" w:rsidRPr="00D008E4" w:rsidRDefault="00FD1680" w:rsidP="00FD1680">
      <w:pPr>
        <w:pStyle w:val="isselectedend"/>
      </w:pPr>
      <w:r w:rsidRPr="00D008E4">
        <w:t>Huang, X. et al. (2021) ‘</w:t>
      </w:r>
      <w:proofErr w:type="gramStart"/>
      <w:r w:rsidRPr="00D008E4">
        <w:t>The</w:t>
      </w:r>
      <w:proofErr w:type="gramEnd"/>
      <w:r w:rsidRPr="00D008E4">
        <w:t xml:space="preserve"> influence of knowledge management on adoption intention of electric vehicles: Perspective on technological knowledge’, </w:t>
      </w:r>
      <w:r w:rsidRPr="00D008E4">
        <w:rPr>
          <w:rStyle w:val="Emphasis"/>
        </w:rPr>
        <w:t>Industrial Management &amp; Data Systems</w:t>
      </w:r>
      <w:r w:rsidRPr="00D008E4">
        <w:t xml:space="preserve">, 121(7), pp. 1481–1495. Available at: </w:t>
      </w:r>
      <w:hyperlink r:id="rId26" w:history="1">
        <w:r w:rsidRPr="00D008E4">
          <w:rPr>
            <w:rStyle w:val="Hyperlink"/>
          </w:rPr>
          <w:t>https://doi.org/10.1108/IMDS-07-2020-0411</w:t>
        </w:r>
      </w:hyperlink>
      <w:r w:rsidRPr="00D008E4">
        <w:t>.</w:t>
      </w:r>
    </w:p>
    <w:p w:rsidR="00FD1680" w:rsidRPr="00D008E4" w:rsidRDefault="00FD1680" w:rsidP="00FD1680">
      <w:pPr>
        <w:pStyle w:val="isselectedend"/>
      </w:pPr>
      <w:r w:rsidRPr="00D008E4">
        <w:t xml:space="preserve">Ji, Z., Jiang, H. and Zhu, J. (2024) ‘Factors impacting consumers’ purchase intention of electric vehicles in China: Based on the integration of theory of planned behaviour and norm activation model’, </w:t>
      </w:r>
      <w:r w:rsidRPr="00D008E4">
        <w:rPr>
          <w:rStyle w:val="Emphasis"/>
        </w:rPr>
        <w:t>Sustainability</w:t>
      </w:r>
      <w:r w:rsidRPr="00D008E4">
        <w:t xml:space="preserve">, 16, 9092. Available at: </w:t>
      </w:r>
      <w:hyperlink r:id="rId27" w:history="1">
        <w:r w:rsidRPr="00D008E4">
          <w:rPr>
            <w:rStyle w:val="Hyperlink"/>
          </w:rPr>
          <w:t>https://doi.org/10.3390/su16209092</w:t>
        </w:r>
      </w:hyperlink>
      <w:r w:rsidRPr="00D008E4">
        <w:t>.</w:t>
      </w:r>
    </w:p>
    <w:p w:rsidR="00FD1680" w:rsidRPr="00D008E4" w:rsidRDefault="00FD1680" w:rsidP="00FD1680">
      <w:pPr>
        <w:pStyle w:val="isselectedend"/>
      </w:pPr>
      <w:r w:rsidRPr="00D008E4">
        <w:t xml:space="preserve">Jiang, Q. et al. (2021) ‘What increases consumers’ purchase intention of battery electric vehicles from Chinese electric vehicle start-ups? Taking NIO as an example’, </w:t>
      </w:r>
      <w:r w:rsidRPr="00D008E4">
        <w:rPr>
          <w:rStyle w:val="Emphasis"/>
        </w:rPr>
        <w:t>World Electric Vehicle Journal</w:t>
      </w:r>
      <w:r w:rsidRPr="00D008E4">
        <w:t xml:space="preserve">, 12, 71. Available at: </w:t>
      </w:r>
      <w:hyperlink r:id="rId28" w:history="1">
        <w:r w:rsidRPr="00D008E4">
          <w:rPr>
            <w:rStyle w:val="Hyperlink"/>
          </w:rPr>
          <w:t>https://doi.org/10.3390/wevj12020071</w:t>
        </w:r>
      </w:hyperlink>
      <w:r w:rsidRPr="00D008E4">
        <w:t>.</w:t>
      </w:r>
    </w:p>
    <w:p w:rsidR="00FD1680" w:rsidRPr="00D008E4" w:rsidRDefault="00FD1680" w:rsidP="00FD1680">
      <w:pPr>
        <w:pStyle w:val="isselectedend"/>
      </w:pPr>
      <w:r w:rsidRPr="00D008E4">
        <w:t xml:space="preserve">Jiang, Y. et al. (2025) ‘Understanding the influence of past driving experience on electric vehicle purchase intention in China’, </w:t>
      </w:r>
      <w:r w:rsidRPr="00D008E4">
        <w:rPr>
          <w:rStyle w:val="Emphasis"/>
        </w:rPr>
        <w:t>Transport Policy</w:t>
      </w:r>
      <w:r w:rsidRPr="00D008E4">
        <w:t xml:space="preserve">, 162, pp. 270–282. Available at: </w:t>
      </w:r>
      <w:hyperlink r:id="rId29" w:history="1">
        <w:r w:rsidRPr="00D008E4">
          <w:rPr>
            <w:rStyle w:val="Hyperlink"/>
          </w:rPr>
          <w:t>https://doi.org/10.1016/j.tranpol.2024.11.025</w:t>
        </w:r>
      </w:hyperlink>
      <w:r w:rsidRPr="00D008E4">
        <w:t>.</w:t>
      </w:r>
    </w:p>
    <w:p w:rsidR="00FD1680" w:rsidRPr="00D008E4" w:rsidRDefault="00FD1680" w:rsidP="00FD1680">
      <w:pPr>
        <w:pStyle w:val="isselectedend"/>
      </w:pPr>
      <w:r w:rsidRPr="00D008E4">
        <w:t xml:space="preserve">Li, L. et al. (2022) ‘Self-image motives for electric vehicle adoption: Evidence from China’, </w:t>
      </w:r>
      <w:r w:rsidRPr="00D008E4">
        <w:rPr>
          <w:rStyle w:val="Emphasis"/>
        </w:rPr>
        <w:t>Transportation Research Part D</w:t>
      </w:r>
      <w:r w:rsidRPr="00D008E4">
        <w:t xml:space="preserve">, 109, 103383. Available at: </w:t>
      </w:r>
      <w:hyperlink r:id="rId30" w:history="1">
        <w:r w:rsidRPr="00D008E4">
          <w:rPr>
            <w:rStyle w:val="Hyperlink"/>
          </w:rPr>
          <w:t>https://doi.org/10.1016/j.trd.2022.103383</w:t>
        </w:r>
      </w:hyperlink>
      <w:r w:rsidRPr="00D008E4">
        <w:t>.</w:t>
      </w:r>
    </w:p>
    <w:p w:rsidR="00FD1680" w:rsidRPr="00D008E4" w:rsidRDefault="00FD1680" w:rsidP="00FD1680">
      <w:pPr>
        <w:pStyle w:val="isselectedend"/>
      </w:pPr>
      <w:r w:rsidRPr="00D008E4">
        <w:t xml:space="preserve">Li, Z., Cui, R. and Shen, Z. (2024) ‘How can the government effectively promote consumers’ green purchasing </w:t>
      </w:r>
      <w:r w:rsidR="00C54C59" w:rsidRPr="00D008E4">
        <w:pgNum/>
      </w:r>
      <w:proofErr w:type="spellStart"/>
      <w:r w:rsidR="00C54C59" w:rsidRPr="00D008E4">
        <w:t>ehaviour</w:t>
      </w:r>
      <w:proofErr w:type="spellEnd"/>
      <w:r w:rsidRPr="00D008E4">
        <w:t xml:space="preserve">?—Based on the diffusion study of new energy vehicles in China’, </w:t>
      </w:r>
      <w:r w:rsidRPr="00D008E4">
        <w:rPr>
          <w:rStyle w:val="Emphasis"/>
        </w:rPr>
        <w:t>World Electric Vehicle Journal</w:t>
      </w:r>
      <w:r w:rsidRPr="00D008E4">
        <w:t xml:space="preserve">, 15, 437. Available at: </w:t>
      </w:r>
      <w:hyperlink r:id="rId31" w:history="1">
        <w:r w:rsidRPr="00D008E4">
          <w:rPr>
            <w:rStyle w:val="Hyperlink"/>
          </w:rPr>
          <w:t>https://doi.org/10.3390/wevj15100437</w:t>
        </w:r>
      </w:hyperlink>
      <w:r w:rsidRPr="00D008E4">
        <w:t>.</w:t>
      </w:r>
    </w:p>
    <w:p w:rsidR="00FD1680" w:rsidRPr="00D008E4" w:rsidRDefault="00FD1680" w:rsidP="00FD1680">
      <w:pPr>
        <w:pStyle w:val="isselectedend"/>
      </w:pPr>
      <w:r w:rsidRPr="00D008E4">
        <w:t xml:space="preserve">Ling, Z., Cherry, C.R. and Wen, Y. (2021) ‘Determining the factors that influence electric vehicle adoption: A stated preference survey study in Beijing, China’, </w:t>
      </w:r>
      <w:r w:rsidRPr="00D008E4">
        <w:rPr>
          <w:rStyle w:val="Emphasis"/>
        </w:rPr>
        <w:t>Sustainability</w:t>
      </w:r>
      <w:r w:rsidRPr="00D008E4">
        <w:t xml:space="preserve">, 13, 11719. Available at: </w:t>
      </w:r>
      <w:hyperlink r:id="rId32" w:history="1">
        <w:r w:rsidRPr="00D008E4">
          <w:rPr>
            <w:rStyle w:val="Hyperlink"/>
          </w:rPr>
          <w:t>https://doi.org/10.3390/su132111719</w:t>
        </w:r>
      </w:hyperlink>
      <w:r w:rsidRPr="00D008E4">
        <w:t>.</w:t>
      </w:r>
    </w:p>
    <w:p w:rsidR="00FD1680" w:rsidRPr="00D008E4" w:rsidRDefault="00FD1680" w:rsidP="00FD1680">
      <w:pPr>
        <w:pStyle w:val="isselectedend"/>
      </w:pPr>
      <w:r w:rsidRPr="00D008E4">
        <w:t xml:space="preserve">Page, M.J. et al. (2021) ‘The PRISMA 2020 statement: An updated guideline for reporting systematic reviews’, </w:t>
      </w:r>
      <w:r w:rsidRPr="00D008E4">
        <w:rPr>
          <w:rStyle w:val="Emphasis"/>
        </w:rPr>
        <w:t>BMJ</w:t>
      </w:r>
      <w:r w:rsidRPr="00D008E4">
        <w:t xml:space="preserve">, 372, n71. Available at: </w:t>
      </w:r>
      <w:hyperlink r:id="rId33" w:history="1">
        <w:r w:rsidRPr="00D008E4">
          <w:rPr>
            <w:rStyle w:val="Hyperlink"/>
          </w:rPr>
          <w:t>https://doi.org/10.1136/bmj.n71</w:t>
        </w:r>
      </w:hyperlink>
      <w:r w:rsidRPr="00D008E4">
        <w:t>.</w:t>
      </w:r>
    </w:p>
    <w:p w:rsidR="00FD1680" w:rsidRPr="00D008E4" w:rsidRDefault="00FD1680" w:rsidP="00FD1680">
      <w:pPr>
        <w:pStyle w:val="isselectedend"/>
      </w:pPr>
      <w:proofErr w:type="spellStart"/>
      <w:r w:rsidRPr="00D008E4">
        <w:t>Rehman</w:t>
      </w:r>
      <w:proofErr w:type="spellEnd"/>
      <w:r w:rsidRPr="00D008E4">
        <w:t xml:space="preserve">, S.U. et al. (2024) ‘Customer satisfaction leading the intention to adopt battery electric vehicles with the moderating role of government support and status symbol’, </w:t>
      </w:r>
      <w:r w:rsidRPr="00D008E4">
        <w:rPr>
          <w:rStyle w:val="Emphasis"/>
        </w:rPr>
        <w:t>Journal of Cleaner Production</w:t>
      </w:r>
      <w:r w:rsidRPr="00D008E4">
        <w:t xml:space="preserve">, 456, 142371. Available at: </w:t>
      </w:r>
      <w:hyperlink r:id="rId34" w:history="1">
        <w:r w:rsidRPr="00D008E4">
          <w:rPr>
            <w:rStyle w:val="Hyperlink"/>
          </w:rPr>
          <w:t>https://doi.org/10.1016/j.jclepro.2024.142371</w:t>
        </w:r>
      </w:hyperlink>
      <w:r w:rsidRPr="00D008E4">
        <w:t>.</w:t>
      </w:r>
    </w:p>
    <w:p w:rsidR="00FD1680" w:rsidRPr="00D008E4" w:rsidRDefault="00FD1680" w:rsidP="00FD1680">
      <w:pPr>
        <w:pStyle w:val="isselectedend"/>
      </w:pPr>
      <w:proofErr w:type="spellStart"/>
      <w:r w:rsidRPr="00D008E4">
        <w:t>Rong</w:t>
      </w:r>
      <w:proofErr w:type="spellEnd"/>
      <w:r w:rsidRPr="00D008E4">
        <w:t xml:space="preserve">, L. et al. (2025) ‘How do self-transcendent values and institutional forces influence consumer intentions to purchase new energy vehicles under subsidy withdrawal? Evidence from China’, </w:t>
      </w:r>
      <w:r w:rsidRPr="00D008E4">
        <w:rPr>
          <w:rStyle w:val="Emphasis"/>
        </w:rPr>
        <w:t>Environment, Development and Sustainability</w:t>
      </w:r>
      <w:r w:rsidRPr="00D008E4">
        <w:t xml:space="preserve">, 27, pp. 7843–7870. Available at: </w:t>
      </w:r>
      <w:hyperlink r:id="rId35" w:history="1">
        <w:r w:rsidRPr="00D008E4">
          <w:rPr>
            <w:rStyle w:val="Hyperlink"/>
          </w:rPr>
          <w:t>https://doi.org/10.1007/s10668-023-04224-7</w:t>
        </w:r>
      </w:hyperlink>
      <w:r w:rsidRPr="00D008E4">
        <w:t>.</w:t>
      </w:r>
    </w:p>
    <w:p w:rsidR="00FD1680" w:rsidRPr="00D008E4" w:rsidRDefault="00FD1680" w:rsidP="00FD1680">
      <w:pPr>
        <w:pStyle w:val="isselectedend"/>
      </w:pPr>
      <w:r w:rsidRPr="00D008E4">
        <w:t xml:space="preserve">Saunders, M., Lewis, P. and Thornhill, A. (2023) </w:t>
      </w:r>
      <w:r w:rsidRPr="00D008E4">
        <w:rPr>
          <w:rStyle w:val="Emphasis"/>
        </w:rPr>
        <w:t>Research methods for business students</w:t>
      </w:r>
      <w:r w:rsidRPr="00D008E4">
        <w:t>. 9</w:t>
      </w:r>
      <w:r w:rsidRPr="00D008E4">
        <w:rPr>
          <w:vertAlign w:val="superscript"/>
        </w:rPr>
        <w:t>th</w:t>
      </w:r>
      <w:r w:rsidRPr="00D008E4">
        <w:t xml:space="preserve"> </w:t>
      </w:r>
      <w:proofErr w:type="spellStart"/>
      <w:r w:rsidRPr="00D008E4">
        <w:t>edn</w:t>
      </w:r>
      <w:proofErr w:type="spellEnd"/>
      <w:r w:rsidRPr="00D008E4">
        <w:t>. Harlow: Pearson.</w:t>
      </w:r>
    </w:p>
    <w:p w:rsidR="00FD1680" w:rsidRPr="00D008E4" w:rsidRDefault="00FD1680" w:rsidP="00FD1680">
      <w:pPr>
        <w:pStyle w:val="isselectedend"/>
      </w:pPr>
      <w:r w:rsidRPr="00D008E4">
        <w:t>Shi, L. and Lin, B. (2024) ‘Identify the policy weaknesses in China</w:t>
      </w:r>
      <w:r w:rsidR="00C54C59" w:rsidRPr="00D008E4">
        <w:t>’</w:t>
      </w:r>
      <w:r w:rsidRPr="00D008E4">
        <w:t xml:space="preserve">s electric vehicle development’, </w:t>
      </w:r>
      <w:r w:rsidRPr="00D008E4">
        <w:rPr>
          <w:rStyle w:val="Emphasis"/>
        </w:rPr>
        <w:t>Transport Policy</w:t>
      </w:r>
      <w:r w:rsidRPr="00D008E4">
        <w:t xml:space="preserve">, 157, pp. 167–178. Available at: </w:t>
      </w:r>
      <w:hyperlink r:id="rId36" w:history="1">
        <w:r w:rsidRPr="00D008E4">
          <w:rPr>
            <w:rStyle w:val="Hyperlink"/>
          </w:rPr>
          <w:t>https://doi.org/10.1016/j.tranpol.2024.08.010</w:t>
        </w:r>
      </w:hyperlink>
      <w:r w:rsidRPr="00D008E4">
        <w:t>.</w:t>
      </w:r>
    </w:p>
    <w:p w:rsidR="00FD1680" w:rsidRPr="00D008E4" w:rsidRDefault="00FD1680" w:rsidP="00FD1680">
      <w:pPr>
        <w:pStyle w:val="isselectedend"/>
      </w:pPr>
      <w:proofErr w:type="spellStart"/>
      <w:r w:rsidRPr="00D008E4">
        <w:lastRenderedPageBreak/>
        <w:t>Sovacool</w:t>
      </w:r>
      <w:proofErr w:type="spellEnd"/>
      <w:r w:rsidRPr="00D008E4">
        <w:t xml:space="preserve">, B.K. et al. (2019) ‘Pleasure or profit? Surveying the purchasing intentions of potential electric vehicle adopters in China’, </w:t>
      </w:r>
      <w:r w:rsidRPr="00D008E4">
        <w:rPr>
          <w:rStyle w:val="Emphasis"/>
        </w:rPr>
        <w:t>Transportation Research Part A</w:t>
      </w:r>
      <w:r w:rsidRPr="00D008E4">
        <w:t xml:space="preserve">, 124, pp. 69–81. Available at: </w:t>
      </w:r>
      <w:hyperlink r:id="rId37" w:history="1">
        <w:r w:rsidRPr="00D008E4">
          <w:rPr>
            <w:rStyle w:val="Hyperlink"/>
          </w:rPr>
          <w:t>https://doi.org/10.1016/j.tra.2019.03.002</w:t>
        </w:r>
      </w:hyperlink>
      <w:r w:rsidRPr="00D008E4">
        <w:t>.</w:t>
      </w:r>
    </w:p>
    <w:p w:rsidR="00FD1680" w:rsidRPr="00D008E4" w:rsidRDefault="00FD1680" w:rsidP="00FD1680">
      <w:pPr>
        <w:pStyle w:val="isselectedend"/>
      </w:pPr>
      <w:r w:rsidRPr="00D008E4">
        <w:t xml:space="preserve">Wang, L. et al. (2022) ‘Exploring consumers’ intention toward domestic energy-saving vehicles: Some insights from China’, </w:t>
      </w:r>
      <w:r w:rsidRPr="00D008E4">
        <w:rPr>
          <w:rStyle w:val="Emphasis"/>
        </w:rPr>
        <w:t>Frontiers in Psychology</w:t>
      </w:r>
      <w:r w:rsidRPr="00D008E4">
        <w:t xml:space="preserve">, 13, 927709. Available at: </w:t>
      </w:r>
      <w:hyperlink r:id="rId38" w:history="1">
        <w:r w:rsidRPr="00D008E4">
          <w:rPr>
            <w:rStyle w:val="Hyperlink"/>
          </w:rPr>
          <w:t>https://doi.org/10.3389/fpsyg.2022.927709</w:t>
        </w:r>
      </w:hyperlink>
      <w:r w:rsidRPr="00D008E4">
        <w:t>.</w:t>
      </w:r>
    </w:p>
    <w:p w:rsidR="00FD1680" w:rsidRPr="00D008E4" w:rsidRDefault="00FD1680" w:rsidP="00FD1680">
      <w:pPr>
        <w:pStyle w:val="isselectedend"/>
      </w:pPr>
      <w:r w:rsidRPr="00D008E4">
        <w:t xml:space="preserve">Wang, S. et al. (2016) ‘Predicting consumers’ intention to adopt hybrid electric vehicles: Using an extended version of the theory of planned </w:t>
      </w:r>
      <w:r w:rsidR="00C54C59" w:rsidRPr="00D008E4">
        <w:pgNum/>
      </w:r>
      <w:proofErr w:type="spellStart"/>
      <w:r w:rsidR="00C54C59" w:rsidRPr="00D008E4">
        <w:t>ehaviour</w:t>
      </w:r>
      <w:proofErr w:type="spellEnd"/>
      <w:r w:rsidRPr="00D008E4">
        <w:t xml:space="preserve"> model’, </w:t>
      </w:r>
      <w:r w:rsidRPr="00D008E4">
        <w:rPr>
          <w:rStyle w:val="Emphasis"/>
        </w:rPr>
        <w:t>Transportation</w:t>
      </w:r>
      <w:r w:rsidRPr="00D008E4">
        <w:t xml:space="preserve">, 43, pp. 123–143. Available at: </w:t>
      </w:r>
      <w:hyperlink r:id="rId39" w:history="1">
        <w:r w:rsidRPr="00D008E4">
          <w:rPr>
            <w:rStyle w:val="Hyperlink"/>
          </w:rPr>
          <w:t>https://doi.org/10.1007/s11116-014-9567-9</w:t>
        </w:r>
      </w:hyperlink>
      <w:r w:rsidRPr="00D008E4">
        <w:t>.</w:t>
      </w:r>
    </w:p>
    <w:p w:rsidR="00FD1680" w:rsidRPr="00D008E4" w:rsidRDefault="00FD1680" w:rsidP="00FD1680">
      <w:pPr>
        <w:pStyle w:val="isselectedend"/>
      </w:pPr>
      <w:r w:rsidRPr="00D008E4">
        <w:t>Wang, S. et al. (2018) ‘Policy implications for promoting the adoption of electric vehicles: Do consumer’s knowledge, perceived risk and financial incentive policy matter?</w:t>
      </w:r>
      <w:proofErr w:type="gramStart"/>
      <w:r w:rsidRPr="00D008E4">
        <w:t>’,</w:t>
      </w:r>
      <w:proofErr w:type="gramEnd"/>
      <w:r w:rsidRPr="00D008E4">
        <w:t xml:space="preserve"> </w:t>
      </w:r>
      <w:r w:rsidRPr="00D008E4">
        <w:rPr>
          <w:rStyle w:val="Emphasis"/>
        </w:rPr>
        <w:t>Transportation Research Part A</w:t>
      </w:r>
      <w:r w:rsidRPr="00D008E4">
        <w:t xml:space="preserve">, 117, pp. 58–69. Available at: </w:t>
      </w:r>
      <w:hyperlink r:id="rId40" w:history="1">
        <w:r w:rsidRPr="00D008E4">
          <w:rPr>
            <w:rStyle w:val="Hyperlink"/>
          </w:rPr>
          <w:t>https://doi.org/10.1016/j.tra.2018.08.014</w:t>
        </w:r>
      </w:hyperlink>
      <w:r w:rsidRPr="00D008E4">
        <w:t>.</w:t>
      </w:r>
    </w:p>
    <w:p w:rsidR="00FD1680" w:rsidRPr="00D008E4" w:rsidRDefault="00FD1680" w:rsidP="00FD1680">
      <w:pPr>
        <w:pStyle w:val="isselectedend"/>
      </w:pPr>
      <w:r w:rsidRPr="00D008E4">
        <w:t xml:space="preserve">Wang, X-W. </w:t>
      </w:r>
      <w:proofErr w:type="gramStart"/>
      <w:r w:rsidRPr="00D008E4">
        <w:t>et</w:t>
      </w:r>
      <w:proofErr w:type="gramEnd"/>
      <w:r w:rsidRPr="00D008E4">
        <w:t xml:space="preserve"> al. (2021) ‘The influences of incentive policy perceptions and consumer social attributes on battery electric vehicle purchase intentions’, </w:t>
      </w:r>
      <w:r w:rsidRPr="00D008E4">
        <w:rPr>
          <w:rStyle w:val="Emphasis"/>
        </w:rPr>
        <w:t>Energy Policy</w:t>
      </w:r>
      <w:r w:rsidRPr="00D008E4">
        <w:t xml:space="preserve">, 151, 112163. Available at: </w:t>
      </w:r>
      <w:hyperlink r:id="rId41" w:history="1">
        <w:r w:rsidRPr="00D008E4">
          <w:rPr>
            <w:rStyle w:val="Hyperlink"/>
          </w:rPr>
          <w:t>https://doi.org/10.1016/j.enpol.2021.112163</w:t>
        </w:r>
      </w:hyperlink>
      <w:r w:rsidRPr="00D008E4">
        <w:t>.</w:t>
      </w:r>
    </w:p>
    <w:p w:rsidR="00FD1680" w:rsidRPr="00D008E4" w:rsidRDefault="00FD1680" w:rsidP="00FD1680">
      <w:pPr>
        <w:pStyle w:val="isselectedend"/>
      </w:pPr>
      <w:r w:rsidRPr="00D008E4">
        <w:t xml:space="preserve">Wang, X. et al. (2024) ‘The impact of perceived interactivity of virtual brand communities on consumer purchases of domestic electric vehicles in China’, </w:t>
      </w:r>
      <w:r w:rsidRPr="00D008E4">
        <w:rPr>
          <w:rStyle w:val="Emphasis"/>
        </w:rPr>
        <w:t>SAGE Open</w:t>
      </w:r>
      <w:r w:rsidRPr="00D008E4">
        <w:t xml:space="preserve">. Available at: </w:t>
      </w:r>
      <w:hyperlink r:id="rId42" w:history="1">
        <w:r w:rsidRPr="00D008E4">
          <w:rPr>
            <w:rStyle w:val="Hyperlink"/>
          </w:rPr>
          <w:t>https://doi.org/10.1177/21582440241307759</w:t>
        </w:r>
      </w:hyperlink>
      <w:r w:rsidRPr="00D008E4">
        <w:t>.</w:t>
      </w:r>
    </w:p>
    <w:p w:rsidR="00FD1680" w:rsidRPr="00D008E4" w:rsidRDefault="00FD1680" w:rsidP="00FD1680">
      <w:pPr>
        <w:pStyle w:val="isselectedend"/>
      </w:pPr>
      <w:r w:rsidRPr="00D008E4">
        <w:t>Xiao, H. and Zhang, X. (2022) ‘</w:t>
      </w:r>
      <w:proofErr w:type="gramStart"/>
      <w:r w:rsidRPr="00D008E4">
        <w:t>The</w:t>
      </w:r>
      <w:proofErr w:type="gramEnd"/>
      <w:r w:rsidRPr="00D008E4">
        <w:t xml:space="preserve"> market disruption path of green-oriented trajectory-transformed technology innovation: A study of consumer lifestyles during the “chasm” in China’s electric vehicle market’, </w:t>
      </w:r>
      <w:r w:rsidRPr="00D008E4">
        <w:rPr>
          <w:rStyle w:val="Emphasis"/>
        </w:rPr>
        <w:t>Sustainability</w:t>
      </w:r>
      <w:r w:rsidRPr="00D008E4">
        <w:t xml:space="preserve">, 14, 8488. Available at: </w:t>
      </w:r>
      <w:hyperlink r:id="rId43" w:history="1">
        <w:r w:rsidRPr="00D008E4">
          <w:rPr>
            <w:rStyle w:val="Hyperlink"/>
          </w:rPr>
          <w:t>https://doi.org/10.3390/su14148488</w:t>
        </w:r>
      </w:hyperlink>
      <w:r w:rsidRPr="00D008E4">
        <w:t>.</w:t>
      </w:r>
    </w:p>
    <w:p w:rsidR="00FD1680" w:rsidRPr="00D008E4" w:rsidRDefault="00FD1680" w:rsidP="00FD1680">
      <w:pPr>
        <w:pStyle w:val="isselectedend"/>
      </w:pPr>
      <w:proofErr w:type="spellStart"/>
      <w:r w:rsidRPr="00D008E4">
        <w:t>Xiong</w:t>
      </w:r>
      <w:proofErr w:type="spellEnd"/>
      <w:r w:rsidRPr="00D008E4">
        <w:t xml:space="preserve">, J. et al. (2024) ‘The impact of new energy vehicle information sources on mass consumers’ purchase intentions’, </w:t>
      </w:r>
      <w:r w:rsidRPr="00D008E4">
        <w:rPr>
          <w:rStyle w:val="Emphasis"/>
        </w:rPr>
        <w:t>Asia Pacific Journal of Marketing and Logistics</w:t>
      </w:r>
      <w:r w:rsidRPr="00D008E4">
        <w:t>, 36(6), pp. 1337–1354.</w:t>
      </w:r>
    </w:p>
    <w:p w:rsidR="00FD1680" w:rsidRPr="00D008E4" w:rsidRDefault="00FD1680" w:rsidP="00FD1680">
      <w:pPr>
        <w:pStyle w:val="isselectedend"/>
      </w:pPr>
      <w:r w:rsidRPr="00D008E4">
        <w:t xml:space="preserve">Xu, G. et al. (2020) ‘Moving towards sustainable purchase </w:t>
      </w:r>
      <w:r w:rsidR="00C54C59" w:rsidRPr="00D008E4">
        <w:pgNum/>
      </w:r>
      <w:proofErr w:type="spellStart"/>
      <w:r w:rsidR="00C54C59" w:rsidRPr="00D008E4">
        <w:t>ehaviour</w:t>
      </w:r>
      <w:proofErr w:type="spellEnd"/>
      <w:r w:rsidRPr="00D008E4">
        <w:t xml:space="preserve">: Examining the determinants of consumers’ intentions to adopt electric vehicles’, </w:t>
      </w:r>
      <w:r w:rsidRPr="00D008E4">
        <w:rPr>
          <w:rStyle w:val="Emphasis"/>
        </w:rPr>
        <w:t>Environmental Science and Pollution Research</w:t>
      </w:r>
      <w:r w:rsidRPr="00D008E4">
        <w:t xml:space="preserve">, 27, pp. 22535–22546. Available at: </w:t>
      </w:r>
      <w:hyperlink r:id="rId44" w:history="1">
        <w:r w:rsidRPr="00D008E4">
          <w:rPr>
            <w:rStyle w:val="Hyperlink"/>
          </w:rPr>
          <w:t>https://doi.org/10.1007/s11356-020-08835-9</w:t>
        </w:r>
      </w:hyperlink>
      <w:r w:rsidRPr="00D008E4">
        <w:t>.</w:t>
      </w:r>
    </w:p>
    <w:p w:rsidR="00FD1680" w:rsidRPr="00D008E4" w:rsidRDefault="00FD1680" w:rsidP="00FD1680">
      <w:pPr>
        <w:pStyle w:val="isselectedend"/>
      </w:pPr>
      <w:r w:rsidRPr="00D008E4">
        <w:t xml:space="preserve">Xu, Y. et al. (2019) ‘A SEM–Neural Network approach to predict customers’ intention to purchase battery electric vehicles in China’s Zhejiang Province’, </w:t>
      </w:r>
      <w:r w:rsidRPr="00D008E4">
        <w:rPr>
          <w:rStyle w:val="Emphasis"/>
        </w:rPr>
        <w:t>Sustainability</w:t>
      </w:r>
      <w:r w:rsidRPr="00D008E4">
        <w:t xml:space="preserve">, 11, 3168. Available at: </w:t>
      </w:r>
      <w:hyperlink r:id="rId45" w:history="1">
        <w:r w:rsidRPr="00D008E4">
          <w:rPr>
            <w:rStyle w:val="Hyperlink"/>
          </w:rPr>
          <w:t>https://doi.org/10.3390/su11113168</w:t>
        </w:r>
      </w:hyperlink>
      <w:r w:rsidRPr="00D008E4">
        <w:t>.</w:t>
      </w:r>
    </w:p>
    <w:p w:rsidR="00FD1680" w:rsidRPr="00D008E4" w:rsidRDefault="00FD1680" w:rsidP="00FD1680">
      <w:pPr>
        <w:pStyle w:val="isselectedend"/>
      </w:pPr>
      <w:proofErr w:type="spellStart"/>
      <w:r w:rsidRPr="00D008E4">
        <w:t>Xue</w:t>
      </w:r>
      <w:proofErr w:type="spellEnd"/>
      <w:r w:rsidRPr="00D008E4">
        <w:t xml:space="preserve">, Y. et al. (2023) ‘Effects of incentive policies on the purchase intention of electric vehicles in China: Psychosocial value and family ownership’, </w:t>
      </w:r>
      <w:r w:rsidRPr="00D008E4">
        <w:rPr>
          <w:rStyle w:val="Emphasis"/>
        </w:rPr>
        <w:t>Energy Policy</w:t>
      </w:r>
      <w:r w:rsidRPr="00D008E4">
        <w:t xml:space="preserve">, 181, 113732. Available at: </w:t>
      </w:r>
      <w:hyperlink r:id="rId46" w:history="1">
        <w:r w:rsidRPr="00D008E4">
          <w:rPr>
            <w:rStyle w:val="Hyperlink"/>
          </w:rPr>
          <w:t>https://doi.org/10.1016/j.enpol.2023.113732</w:t>
        </w:r>
      </w:hyperlink>
      <w:r w:rsidRPr="00D008E4">
        <w:t>.</w:t>
      </w:r>
    </w:p>
    <w:p w:rsidR="00FD1680" w:rsidRPr="00D008E4" w:rsidRDefault="00FD1680" w:rsidP="00FD1680">
      <w:pPr>
        <w:pStyle w:val="isselectedend"/>
      </w:pPr>
      <w:r w:rsidRPr="00D008E4">
        <w:t xml:space="preserve">Yang, C., </w:t>
      </w:r>
      <w:proofErr w:type="spellStart"/>
      <w:r w:rsidRPr="00D008E4">
        <w:t>Tu</w:t>
      </w:r>
      <w:proofErr w:type="spellEnd"/>
      <w:r w:rsidRPr="00D008E4">
        <w:t xml:space="preserve">, J-C. </w:t>
      </w:r>
      <w:proofErr w:type="gramStart"/>
      <w:r w:rsidRPr="00D008E4">
        <w:t>and</w:t>
      </w:r>
      <w:proofErr w:type="gramEnd"/>
      <w:r w:rsidRPr="00D008E4">
        <w:t xml:space="preserve"> Jiang, Q. (2020) ‘The influential factors of consumers’ sustainable consumption: A case on electric vehicles in China’, </w:t>
      </w:r>
      <w:r w:rsidRPr="00D008E4">
        <w:rPr>
          <w:rStyle w:val="Emphasis"/>
        </w:rPr>
        <w:t>Sustainability</w:t>
      </w:r>
      <w:r w:rsidRPr="00D008E4">
        <w:t xml:space="preserve">, 12, 3496. Available at: </w:t>
      </w:r>
      <w:hyperlink r:id="rId47" w:history="1">
        <w:r w:rsidRPr="00D008E4">
          <w:rPr>
            <w:rStyle w:val="Hyperlink"/>
          </w:rPr>
          <w:t>https://doi.org/10.3390/su12083496</w:t>
        </w:r>
      </w:hyperlink>
      <w:r w:rsidRPr="00D008E4">
        <w:t>.</w:t>
      </w:r>
    </w:p>
    <w:p w:rsidR="00FD1680" w:rsidRPr="00D008E4" w:rsidRDefault="00FD1680" w:rsidP="00FD1680">
      <w:pPr>
        <w:pStyle w:val="isselectedend"/>
      </w:pPr>
      <w:r w:rsidRPr="00D008E4">
        <w:t xml:space="preserve">Yang, J. and Chen, F. (2021) ‘How are social-psychological factors related to consumer preferences for plug-in electric vehicles? Case studies from two cities in China’, </w:t>
      </w:r>
      <w:r w:rsidRPr="00D008E4">
        <w:rPr>
          <w:rStyle w:val="Emphasis"/>
        </w:rPr>
        <w:t>Renewable and Sustainable Energy Reviews</w:t>
      </w:r>
      <w:r w:rsidRPr="00D008E4">
        <w:t xml:space="preserve">, 149, 111325. Available at: </w:t>
      </w:r>
      <w:hyperlink r:id="rId48" w:history="1">
        <w:r w:rsidRPr="00D008E4">
          <w:rPr>
            <w:rStyle w:val="Hyperlink"/>
          </w:rPr>
          <w:t>https://doi.org/10.1016/j.rser.2021.111325</w:t>
        </w:r>
      </w:hyperlink>
      <w:r w:rsidRPr="00D008E4">
        <w:t>.</w:t>
      </w:r>
    </w:p>
    <w:p w:rsidR="00FD1680" w:rsidRPr="00D008E4" w:rsidRDefault="00FD1680" w:rsidP="00FD1680">
      <w:pPr>
        <w:pStyle w:val="isselectedend"/>
      </w:pPr>
      <w:r w:rsidRPr="00D008E4">
        <w:lastRenderedPageBreak/>
        <w:t xml:space="preserve">Yang, S. et al. (2019) ‘Which group should policies target? Effects of incentive policies and product cognitions for electric vehicle adoption among Chinese consumers’, </w:t>
      </w:r>
      <w:r w:rsidRPr="00D008E4">
        <w:rPr>
          <w:rStyle w:val="Emphasis"/>
        </w:rPr>
        <w:t>Energy Policy</w:t>
      </w:r>
      <w:r w:rsidRPr="00D008E4">
        <w:t xml:space="preserve">, 135, 111009. Available at: </w:t>
      </w:r>
      <w:hyperlink r:id="rId49" w:history="1">
        <w:r w:rsidRPr="00D008E4">
          <w:rPr>
            <w:rStyle w:val="Hyperlink"/>
          </w:rPr>
          <w:t>https://doi.org/10.1016/j.enpol.2019.111009</w:t>
        </w:r>
      </w:hyperlink>
      <w:r w:rsidRPr="00D008E4">
        <w:t>.</w:t>
      </w:r>
    </w:p>
    <w:p w:rsidR="00FD1680" w:rsidRPr="00D008E4" w:rsidRDefault="00FD1680" w:rsidP="00FD1680">
      <w:pPr>
        <w:pStyle w:val="isselectedend"/>
      </w:pPr>
      <w:r w:rsidRPr="00D008E4">
        <w:t xml:space="preserve">Ye, F. et al. (2021) ‘Why do consumers choose to buy electric vehicles? A paired data analysis of purchase intention configurations’, </w:t>
      </w:r>
      <w:r w:rsidRPr="00D008E4">
        <w:rPr>
          <w:rStyle w:val="Emphasis"/>
        </w:rPr>
        <w:t>Transportation Research Part A</w:t>
      </w:r>
      <w:r w:rsidRPr="00D008E4">
        <w:t xml:space="preserve">, 147, pp. 14–27. Available at: </w:t>
      </w:r>
      <w:hyperlink r:id="rId50" w:history="1">
        <w:r w:rsidRPr="00D008E4">
          <w:rPr>
            <w:rStyle w:val="Hyperlink"/>
          </w:rPr>
          <w:t>https://doi.org/10.1016/j.tra.2021.02.014</w:t>
        </w:r>
      </w:hyperlink>
      <w:r w:rsidRPr="00D008E4">
        <w:t>.</w:t>
      </w:r>
    </w:p>
    <w:p w:rsidR="00FD1680" w:rsidRPr="00D008E4" w:rsidRDefault="00FD1680" w:rsidP="00FD1680">
      <w:pPr>
        <w:pStyle w:val="isselectedend"/>
      </w:pPr>
      <w:proofErr w:type="spellStart"/>
      <w:r w:rsidRPr="00D008E4">
        <w:t>Zang</w:t>
      </w:r>
      <w:proofErr w:type="spellEnd"/>
      <w:r w:rsidRPr="00D008E4">
        <w:t xml:space="preserve">, Y., Qian, J. and Jiang, Q. (2022) ‘Research on the influence mechanism of consumers’ purchase intention of electric vehicles based on perceived endorsement: A case study of Chinese electric vehicle start-ups’, </w:t>
      </w:r>
      <w:r w:rsidRPr="00D008E4">
        <w:rPr>
          <w:rStyle w:val="Emphasis"/>
        </w:rPr>
        <w:t>World Electric Vehicle Journal</w:t>
      </w:r>
      <w:r w:rsidRPr="00D008E4">
        <w:t xml:space="preserve">, 13, 19. Available at: </w:t>
      </w:r>
      <w:hyperlink r:id="rId51" w:history="1">
        <w:r w:rsidRPr="00D008E4">
          <w:rPr>
            <w:rStyle w:val="Hyperlink"/>
          </w:rPr>
          <w:t>https://doi.org/10.3390/wevj13010019</w:t>
        </w:r>
      </w:hyperlink>
      <w:r w:rsidRPr="00D008E4">
        <w:t>.</w:t>
      </w:r>
    </w:p>
    <w:p w:rsidR="00FD1680" w:rsidRPr="00D008E4" w:rsidRDefault="00FD1680" w:rsidP="00FD1680">
      <w:pPr>
        <w:pStyle w:val="isselectedend"/>
      </w:pPr>
      <w:r w:rsidRPr="00D008E4">
        <w:t xml:space="preserve">Zhao, H. et al. (2024) ‘Consumers’ purchase intention toward electric vehicles from the perspective of perceived green value: An empirical survey from China’, </w:t>
      </w:r>
      <w:r w:rsidRPr="00D008E4">
        <w:rPr>
          <w:rStyle w:val="Emphasis"/>
        </w:rPr>
        <w:t>World Electric Vehicle Journal</w:t>
      </w:r>
      <w:r w:rsidRPr="00D008E4">
        <w:t xml:space="preserve">, 15, 267. Available at: </w:t>
      </w:r>
      <w:hyperlink r:id="rId52" w:history="1">
        <w:r w:rsidRPr="00D008E4">
          <w:rPr>
            <w:rStyle w:val="Hyperlink"/>
          </w:rPr>
          <w:t>https://doi.org/10.3390/wevj15060267</w:t>
        </w:r>
      </w:hyperlink>
      <w:r w:rsidRPr="00D008E4">
        <w:t>.</w:t>
      </w:r>
    </w:p>
    <w:p w:rsidR="00FD1680" w:rsidRPr="00D008E4" w:rsidRDefault="00FD1680" w:rsidP="00FD1680">
      <w:pPr>
        <w:pStyle w:val="isselectedend"/>
      </w:pPr>
      <w:r w:rsidRPr="00D008E4">
        <w:t xml:space="preserve">Zhao, X. et al. (2022) ‘What determines consumers’ acceptance of electric vehicles: A survey in Shanghai, China’, </w:t>
      </w:r>
      <w:r w:rsidRPr="00D008E4">
        <w:rPr>
          <w:rStyle w:val="Emphasis"/>
        </w:rPr>
        <w:t>Energy Economics</w:t>
      </w:r>
      <w:r w:rsidRPr="00D008E4">
        <w:t xml:space="preserve">, 108, 105805. Available at: </w:t>
      </w:r>
      <w:hyperlink r:id="rId53" w:history="1">
        <w:r w:rsidRPr="00D008E4">
          <w:rPr>
            <w:rStyle w:val="Hyperlink"/>
          </w:rPr>
          <w:t>https://doi.org/10.1016/j.eneco.2021.105805</w:t>
        </w:r>
      </w:hyperlink>
      <w:r w:rsidRPr="00D008E4">
        <w:t>.</w:t>
      </w:r>
    </w:p>
    <w:p w:rsidR="00FD1680" w:rsidRPr="00D008E4" w:rsidRDefault="00FD1680" w:rsidP="00FD1680">
      <w:pPr>
        <w:pStyle w:val="isselectedend"/>
      </w:pPr>
      <w:r w:rsidRPr="00D008E4">
        <w:t xml:space="preserve">Zheng, C. et al. (2025) ‘Integrating customer-based brand equity and the theory of planned </w:t>
      </w:r>
      <w:r w:rsidR="00C54C59" w:rsidRPr="00D008E4">
        <w:pgNum/>
      </w:r>
      <w:proofErr w:type="spellStart"/>
      <w:r w:rsidR="00C54C59" w:rsidRPr="00D008E4">
        <w:t>ehaviour</w:t>
      </w:r>
      <w:proofErr w:type="spellEnd"/>
      <w:r w:rsidRPr="00D008E4">
        <w:t xml:space="preserve"> to predict electric vehicle adoption in China: The moderating role of perceived price’, </w:t>
      </w:r>
      <w:r w:rsidRPr="00D008E4">
        <w:rPr>
          <w:rStyle w:val="Emphasis"/>
        </w:rPr>
        <w:t>PLOS ONE</w:t>
      </w:r>
      <w:r w:rsidRPr="00D008E4">
        <w:t xml:space="preserve">, 20(7), e0329224. Available at: </w:t>
      </w:r>
      <w:hyperlink r:id="rId54" w:history="1">
        <w:r w:rsidRPr="00D008E4">
          <w:rPr>
            <w:rStyle w:val="Hyperlink"/>
          </w:rPr>
          <w:t>https://doi.org/10.1371/journal.pone.0329224</w:t>
        </w:r>
      </w:hyperlink>
      <w:r w:rsidRPr="00D008E4">
        <w:t>.</w:t>
      </w:r>
    </w:p>
    <w:p w:rsidR="00FD1680" w:rsidRPr="00D008E4" w:rsidRDefault="00FD1680" w:rsidP="00FD1680">
      <w:pPr>
        <w:pStyle w:val="NormalWeb"/>
      </w:pPr>
      <w:r w:rsidRPr="00D008E4">
        <w:t xml:space="preserve">Zhou, J., </w:t>
      </w:r>
      <w:proofErr w:type="spellStart"/>
      <w:r w:rsidRPr="00D008E4">
        <w:t>Jin</w:t>
      </w:r>
      <w:proofErr w:type="spellEnd"/>
      <w:r w:rsidRPr="00D008E4">
        <w:t>, Z. and Liu, Z. (2025) ‘</w:t>
      </w:r>
      <w:proofErr w:type="gramStart"/>
      <w:r w:rsidRPr="00D008E4">
        <w:t>The</w:t>
      </w:r>
      <w:proofErr w:type="gramEnd"/>
      <w:r w:rsidRPr="00D008E4">
        <w:t xml:space="preserve"> impact of green information disclosure on green consumption intention: Evidence from new energy vehicle consumers in China based on the theory of planned </w:t>
      </w:r>
      <w:r w:rsidR="00C54C59" w:rsidRPr="00D008E4">
        <w:pgNum/>
      </w:r>
      <w:proofErr w:type="spellStart"/>
      <w:r w:rsidR="00C54C59" w:rsidRPr="00D008E4">
        <w:t>ehaviour</w:t>
      </w:r>
      <w:proofErr w:type="spellEnd"/>
      <w:r w:rsidRPr="00D008E4">
        <w:t xml:space="preserve">’, </w:t>
      </w:r>
      <w:r w:rsidRPr="00D008E4">
        <w:rPr>
          <w:rStyle w:val="Emphasis"/>
        </w:rPr>
        <w:t>Sustainability</w:t>
      </w:r>
      <w:r w:rsidRPr="00D008E4">
        <w:t xml:space="preserve">, 17, 7983. Available at: </w:t>
      </w:r>
      <w:hyperlink r:id="rId55" w:history="1">
        <w:r w:rsidRPr="00D008E4">
          <w:rPr>
            <w:rStyle w:val="Hyperlink"/>
          </w:rPr>
          <w:t>https://doi.org/10.3390/su17177983</w:t>
        </w:r>
      </w:hyperlink>
      <w:r w:rsidRPr="00D008E4">
        <w:t>.</w:t>
      </w:r>
    </w:p>
    <w:p w:rsidR="00FD1680" w:rsidRPr="00D008E4" w:rsidRDefault="00FD1680" w:rsidP="00FD1680">
      <w:pPr>
        <w:rPr>
          <w:rFonts w:cs="Times New Roman"/>
        </w:rPr>
      </w:pPr>
    </w:p>
    <w:p w:rsidR="00071E54" w:rsidRPr="00D008E4" w:rsidRDefault="00071E54" w:rsidP="0000412A">
      <w:pPr>
        <w:pStyle w:val="Heading1"/>
        <w:rPr>
          <w:rFonts w:ascii="Times New Roman" w:hAnsi="Times New Roman" w:cs="Times New Roman"/>
          <w:sz w:val="24"/>
          <w:szCs w:val="24"/>
        </w:rPr>
      </w:pPr>
    </w:p>
    <w:p w:rsidR="00071E54" w:rsidRPr="00D008E4" w:rsidRDefault="00071E54" w:rsidP="0000412A">
      <w:pPr>
        <w:pStyle w:val="Heading1"/>
        <w:rPr>
          <w:rFonts w:ascii="Times New Roman" w:hAnsi="Times New Roman" w:cs="Times New Roman"/>
          <w:sz w:val="24"/>
          <w:szCs w:val="24"/>
        </w:rPr>
      </w:pPr>
    </w:p>
    <w:p w:rsidR="00071E54" w:rsidRPr="00D008E4" w:rsidRDefault="00071E54" w:rsidP="0000412A">
      <w:pPr>
        <w:pStyle w:val="Heading1"/>
        <w:rPr>
          <w:rFonts w:ascii="Times New Roman" w:hAnsi="Times New Roman" w:cs="Times New Roman"/>
          <w:sz w:val="24"/>
          <w:szCs w:val="24"/>
        </w:rPr>
      </w:pPr>
    </w:p>
    <w:p w:rsidR="00071E54" w:rsidRPr="00D008E4" w:rsidRDefault="00071E54" w:rsidP="0000412A">
      <w:pPr>
        <w:pStyle w:val="Heading1"/>
        <w:rPr>
          <w:rFonts w:ascii="Times New Roman" w:hAnsi="Times New Roman" w:cs="Times New Roman"/>
          <w:sz w:val="24"/>
          <w:szCs w:val="24"/>
        </w:rPr>
      </w:pPr>
    </w:p>
    <w:p w:rsidR="00C40D4B" w:rsidRPr="00D008E4" w:rsidRDefault="00C40D4B" w:rsidP="00C40D4B">
      <w:pPr>
        <w:rPr>
          <w:rFonts w:cs="Times New Roman"/>
        </w:rPr>
      </w:pPr>
    </w:p>
    <w:p w:rsidR="00C40D4B" w:rsidRPr="00D008E4" w:rsidRDefault="00C40D4B" w:rsidP="00C40D4B">
      <w:pPr>
        <w:rPr>
          <w:rFonts w:cs="Times New Roman"/>
        </w:rPr>
      </w:pPr>
    </w:p>
    <w:p w:rsidR="00C40D4B" w:rsidRPr="00D008E4" w:rsidRDefault="00C40D4B" w:rsidP="00C40D4B">
      <w:pPr>
        <w:rPr>
          <w:rFonts w:cs="Times New Roman"/>
        </w:rPr>
        <w:sectPr w:rsidR="00C40D4B" w:rsidRPr="00D008E4" w:rsidSect="00A72592">
          <w:headerReference w:type="default" r:id="rId56"/>
          <w:footerReference w:type="default" r:id="rId57"/>
          <w:pgSz w:w="11906" w:h="16838"/>
          <w:pgMar w:top="936" w:right="936" w:bottom="936" w:left="936" w:header="706" w:footer="706" w:gutter="0"/>
          <w:cols w:space="720"/>
          <w:docGrid w:linePitch="360"/>
        </w:sectPr>
      </w:pPr>
    </w:p>
    <w:p w:rsidR="00C40D4B" w:rsidRPr="00D008E4" w:rsidRDefault="00C40D4B" w:rsidP="00C40D4B">
      <w:pPr>
        <w:rPr>
          <w:rFonts w:cs="Times New Roman"/>
        </w:rPr>
      </w:pPr>
    </w:p>
    <w:p w:rsidR="00C40D4B" w:rsidRPr="00D008E4" w:rsidRDefault="00C40D4B" w:rsidP="00C40D4B">
      <w:pPr>
        <w:pStyle w:val="Heading1"/>
        <w:rPr>
          <w:rFonts w:ascii="Times New Roman" w:hAnsi="Times New Roman" w:cs="Times New Roman"/>
          <w:sz w:val="32"/>
        </w:rPr>
      </w:pPr>
      <w:r w:rsidRPr="00D008E4">
        <w:rPr>
          <w:rFonts w:ascii="Times New Roman" w:hAnsi="Times New Roman" w:cs="Times New Roman"/>
          <w:sz w:val="32"/>
        </w:rPr>
        <w:t>Appendices</w:t>
      </w:r>
    </w:p>
    <w:p w:rsidR="00C40D4B" w:rsidRPr="00D008E4" w:rsidRDefault="00C40D4B" w:rsidP="00C40D4B">
      <w:pPr>
        <w:pStyle w:val="Heading2"/>
        <w:rPr>
          <w:rFonts w:ascii="Times New Roman" w:hAnsi="Times New Roman" w:cs="Times New Roman"/>
          <w:sz w:val="28"/>
        </w:rPr>
      </w:pPr>
      <w:r w:rsidRPr="00D008E4">
        <w:rPr>
          <w:rFonts w:ascii="Times New Roman" w:hAnsi="Times New Roman" w:cs="Times New Roman"/>
          <w:sz w:val="28"/>
        </w:rPr>
        <w:t>Appendix A: Core evidence matrix</w:t>
      </w:r>
    </w:p>
    <w:p w:rsidR="00C40D4B" w:rsidRPr="00D008E4" w:rsidRDefault="00C40D4B" w:rsidP="00C40D4B">
      <w:pPr>
        <w:pStyle w:val="Caption"/>
        <w:jc w:val="center"/>
        <w:rPr>
          <w:rFonts w:cs="Times New Roman"/>
          <w:sz w:val="22"/>
        </w:rPr>
      </w:pPr>
      <w:r w:rsidRPr="00D008E4">
        <w:rPr>
          <w:rFonts w:cs="Times New Roman"/>
          <w:sz w:val="22"/>
        </w:rPr>
        <w:t>Appendix Table A1. Core evidence matrix</w:t>
      </w:r>
    </w:p>
    <w:tbl>
      <w:tblPr>
        <w:tblStyle w:val="TableGrid"/>
        <w:tblW w:w="0" w:type="auto"/>
        <w:jc w:val="center"/>
        <w:tblLayout w:type="fixed"/>
        <w:tblLook w:val="04A0" w:firstRow="1" w:lastRow="0" w:firstColumn="1" w:lastColumn="0" w:noHBand="0" w:noVBand="1"/>
      </w:tblPr>
      <w:tblGrid>
        <w:gridCol w:w="720"/>
        <w:gridCol w:w="2232"/>
        <w:gridCol w:w="648"/>
        <w:gridCol w:w="1296"/>
        <w:gridCol w:w="1944"/>
        <w:gridCol w:w="3240"/>
        <w:gridCol w:w="2160"/>
        <w:gridCol w:w="792"/>
      </w:tblGrid>
      <w:tr w:rsidR="00C40D4B" w:rsidRPr="00D008E4" w:rsidTr="0072553F">
        <w:trPr>
          <w:tblHeader/>
          <w:jc w:val="center"/>
        </w:trPr>
        <w:tc>
          <w:tcPr>
            <w:tcW w:w="72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ID</w:t>
            </w:r>
          </w:p>
        </w:tc>
        <w:tc>
          <w:tcPr>
            <w:tcW w:w="2232"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Study</w:t>
            </w:r>
          </w:p>
        </w:tc>
        <w:tc>
          <w:tcPr>
            <w:tcW w:w="648"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Year</w:t>
            </w:r>
          </w:p>
        </w:tc>
        <w:tc>
          <w:tcPr>
            <w:tcW w:w="1296"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Geography</w:t>
            </w:r>
          </w:p>
        </w:tc>
        <w:tc>
          <w:tcPr>
            <w:tcW w:w="1944"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Sample / data</w:t>
            </w:r>
          </w:p>
        </w:tc>
        <w:tc>
          <w:tcPr>
            <w:tcW w:w="324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Key finding</w:t>
            </w:r>
          </w:p>
        </w:tc>
        <w:tc>
          <w:tcPr>
            <w:tcW w:w="216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Themes</w:t>
            </w:r>
          </w:p>
        </w:tc>
        <w:tc>
          <w:tcPr>
            <w:tcW w:w="792"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Quality</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 Cui and Shen - How Can the Government Effectively Promote Consumers’ Green Purchasing Behavior?</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Consumer survey plus qualitative development (sample size not clearly stated in abstract)</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Subsidies influence purchase willingness indirectly by reducing perceived cost and risk and increasing social confidence; social confidence is the strongest mediator; supporting facilities moderate effects.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Government subsidy; perceived cost; perceived risk; social confidence; infrastructure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Zheng et al. - Integrating Customer-Based Brand Equity and TPB to Predict EV Adoption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Six major Chinese cities</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379 potential EV consumers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Brand association, perceived quality, brand loyalty, attitude and PBC significantly predict purchase intention; subjective norms and brand awareness have no direct effect; perceived price weakens the attitude-intention relationship.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Brand equity; attitude; PBC; price; perceived quality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Yang and Chen - Social-Psychological Factors and Consumer Preferences for PEVs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Hangzhou and Linyi,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380 valid cases in Linyi and 483 returned questionnaires in Hangzhou</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Social influence and innovativeness generally matter more than knowledge and environmental concern; effects vary by city; policy clarification and clean charging networks are recommended.</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Social influence; innovativeness; knowledge; environmental concern; WTP</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data8</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Shi and Lin - Identify the Policy Weaknesses in China’s EV Development</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4,177 respondents across two survey waves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Smog concern became non-significant; network externalities had the largest positive cumulative effect; subsidy decline had a weak negative effect; inadequate charging improvements remained a policy weakness.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Policy change; network externalities; subsidies; charging infrastructure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data9</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Feng et al. - Intention to Adopt BEVs among the Early-to-Late Majority in Post-Subsidy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600 potential car buyers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Social influence, effort expectancy, facilitating conditions and technological proficiency predict intention; performance expectancy and environmental concern are no longer significant for the early-to-late majority.</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Post-subsidy market; social influence; facilitating conditions; technology proficiency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data11</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and Zhan - Activating Moral Norm to Adopt EVs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2018</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396 participants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Personal norms positively influence adoption intention; perceived price weakens this effect and perceived complexity has a nonlinear moderation effect; awareness of consequences, responsibility and consumer effectiveness strengthen personal norms.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Personal norms; price; complexity; environmental responsibility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data12</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 et al. - Self-Image Motives for EV Adoption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3,455 online reviews, 788 market reports and 745 survey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Pro-environmental, innovative and normative motives jointly explain adoption better than environmental motives alone; environmental self-image alone can contribute to an intention-</w:t>
            </w:r>
            <w:proofErr w:type="spellStart"/>
            <w:r w:rsidRPr="00D008E4">
              <w:rPr>
                <w:rFonts w:cs="Times New Roman"/>
                <w:color w:val="000000"/>
                <w:sz w:val="15"/>
              </w:rPr>
              <w:t>behaviour</w:t>
            </w:r>
            <w:proofErr w:type="spellEnd"/>
            <w:r w:rsidRPr="00D008E4">
              <w:rPr>
                <w:rFonts w:cs="Times New Roman"/>
                <w:color w:val="000000"/>
                <w:sz w:val="15"/>
              </w:rPr>
              <w:t xml:space="preserve"> gap.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Self-image; symbolism; environmental motives; social norms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data13</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Xiao and Zhang - Consumer Lifestyles during the Chasm in China’s EV Market</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420 valid formal-survey responses (plus 150 valid pre-study responses)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Fashion consciousness, leadership consciousness, environmental consciousness and informational interpersonal influence support market disruption; fashion leaders and price-conscious environmentalists are key segments.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Lifestyle; interpersonal influence; environmental consciousness; segmentation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Ling, Cherry and Wen - Factors Influencing EV Adoption in Beijing</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1,216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Male and higher-income respondents show greater EV intention; prior conventional-vehicle preference reduces intention; previous EV driving or passenger experience increases BEV purchase likelihood.</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Demographics; prior experience; income; vehicle preference; incentives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data17</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Perceived Interactivity of Virtual Brand Communities and Domestic EV Purchases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411 completed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Consumer ethnocentrism and perceived interactivity increase perceived value; perceived interactivity strengthens attitude; attitude, subjective norm and PBC positively predict intention; attitude and PBC fully mediate the subjective norm-intention path.</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Virtual brand communities; ethnocentrism; perceived value; attitude; social influence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data18</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Consumers’ Intention toward Domestic Energy-Saving Vehicles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Xuzhou,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396 completed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Ethnocentrism increases perceived value and knowledge; value and knowledge increase usefulness and ease of use; usefulness, ease of use and attitude positively influence intention to purchase domestic energy-saving vehicles.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Ethnocentrism; knowledge; usefulness; ease of use; perceived value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data20</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Zang</w:t>
            </w:r>
            <w:proofErr w:type="spellEnd"/>
            <w:r w:rsidRPr="00D008E4">
              <w:rPr>
                <w:rFonts w:cs="Times New Roman"/>
                <w:color w:val="000000"/>
                <w:sz w:val="15"/>
              </w:rPr>
              <w:t>, Qian and Jiang - Perceived Endorsement and EV Start-Up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326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Perceived endorsement positively influences perceived benefit and attitude, which then increase purchase intention; perceived risk and range anxiety were not significant direct predictors.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Endorsement; perceived benefit; attitude; risk; range anxiety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data22</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Jiang et al. - Past Driving Experience and EV Purchase Intention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National consumer survey; sample size reported in full paper</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Past EV driving experience positively influences purchase intention; attitude and personal norms are the primary drivers, while attitude, personal norm, subjective norm and PBC partially mediate the experience-intention relationship.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Driving experience; attitude; personal norms; PBC; demographics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data24</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Xu et al. - Moving towards Sustainable EV Purchase </w:t>
            </w:r>
            <w:proofErr w:type="spellStart"/>
            <w:r w:rsidRPr="00D008E4">
              <w:rPr>
                <w:rFonts w:cs="Times New Roman"/>
                <w:color w:val="000000"/>
                <w:sz w:val="15"/>
              </w:rPr>
              <w:t>Behaviour</w:t>
            </w:r>
            <w:proofErr w:type="spellEnd"/>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2020</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692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Driving experience increases relative advantage and ease of use and reduces perceived risk; relative advantage and ease of use increase intention, while perceived risk reduces intention; experience also has a direct positive effect.</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Driving experience; relative advantage; ease of use; perceived risk</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data25</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Huang et al. - Technological Knowledge and EV Adoption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443 participants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Technological knowledge positively influences usefulness, ease of use, perceived fun and intention; perceived fun does not directly predict adoption intention.</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Technological knowledge; usefulness; ease of use; enjoyment</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et al. - Emotion and EV Purchase Intention across Income Groups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400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Positive anticipated emotion is the strongest overall predictor, followed by attitude, negative anticipated emotion and PBC; high-income consumers respond more to negative anticipated emotion, while low-income consumers respond more </w:t>
            </w:r>
            <w:proofErr w:type="gramStart"/>
            <w:r w:rsidRPr="00D008E4">
              <w:rPr>
                <w:rFonts w:cs="Times New Roman"/>
                <w:color w:val="000000"/>
                <w:sz w:val="15"/>
              </w:rPr>
              <w:t>to</w:t>
            </w:r>
            <w:proofErr w:type="gramEnd"/>
            <w:r w:rsidRPr="00D008E4">
              <w:rPr>
                <w:rFonts w:cs="Times New Roman"/>
                <w:color w:val="000000"/>
                <w:sz w:val="15"/>
              </w:rPr>
              <w:t xml:space="preserve"> positive anticipated emotion.</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Emotion; moral norms; attitude; PBC; income heterogeneity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data27</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Rong</w:t>
            </w:r>
            <w:proofErr w:type="spellEnd"/>
            <w:r w:rsidRPr="00D008E4">
              <w:rPr>
                <w:rFonts w:cs="Times New Roman"/>
                <w:color w:val="000000"/>
                <w:sz w:val="15"/>
              </w:rPr>
              <w:t>, Zhao and Xu - Self-</w:t>
            </w:r>
            <w:r w:rsidRPr="00D008E4">
              <w:rPr>
                <w:rFonts w:cs="Times New Roman"/>
                <w:color w:val="000000"/>
                <w:sz w:val="15"/>
              </w:rPr>
              <w:lastRenderedPageBreak/>
              <w:t>Transcendent Values under Subsidy Withdrawal</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452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Self-transcendent values positively influence </w:t>
            </w:r>
            <w:r w:rsidRPr="00D008E4">
              <w:rPr>
                <w:rFonts w:cs="Times New Roman"/>
                <w:color w:val="000000"/>
                <w:sz w:val="15"/>
              </w:rPr>
              <w:lastRenderedPageBreak/>
              <w:t>intention; usefulness strengthens attitude; attitude, subjective norm and PBC partly mediate value effects; institutional forces strengthen some paths but weaken the PBC-intention relationship.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 xml:space="preserve">Self-transcendent values; subsidy </w:t>
            </w:r>
            <w:r w:rsidRPr="00D008E4">
              <w:rPr>
                <w:rFonts w:cs="Times New Roman"/>
                <w:color w:val="000000"/>
                <w:sz w:val="15"/>
              </w:rPr>
              <w:lastRenderedPageBreak/>
              <w:t>withdrawal; usefulness; institutional forces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data29</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Yang et al. - Policy Targeting, Incentive Perceptions and Product Cognition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2019</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Hefei and Shanghai,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213 useful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Product cognition and perceptions of incentive policies determine adoption intention; women, older consumers and lower-income groups show greater policy acceptance and interest.</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Policy perception; product cognition; demographic targeting</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data31</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Zhou, </w:t>
            </w:r>
            <w:proofErr w:type="spellStart"/>
            <w:r w:rsidRPr="00D008E4">
              <w:rPr>
                <w:rFonts w:cs="Times New Roman"/>
                <w:color w:val="000000"/>
                <w:sz w:val="15"/>
              </w:rPr>
              <w:t>Jin</w:t>
            </w:r>
            <w:proofErr w:type="spellEnd"/>
            <w:r w:rsidRPr="00D008E4">
              <w:rPr>
                <w:rFonts w:cs="Times New Roman"/>
                <w:color w:val="000000"/>
                <w:sz w:val="15"/>
              </w:rPr>
              <w:t xml:space="preserve"> and Liu - Green Information Disclosure and NEV Consumption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527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Environmental information disclosure directly and indirectly increases intention through attitude, subjective norms and environmental concern; communication-channel effects are not significant; brand reputation strengthens the disclosure-intention relationship.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Information disclosure; environmental concern; subjective norms; brand reputation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data33</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Hu, </w:t>
            </w:r>
            <w:proofErr w:type="spellStart"/>
            <w:r w:rsidRPr="00D008E4">
              <w:rPr>
                <w:rFonts w:cs="Times New Roman"/>
                <w:color w:val="000000"/>
                <w:sz w:val="15"/>
              </w:rPr>
              <w:t>Yusof</w:t>
            </w:r>
            <w:proofErr w:type="spellEnd"/>
            <w:r w:rsidRPr="00D008E4">
              <w:rPr>
                <w:rFonts w:cs="Times New Roman"/>
                <w:color w:val="000000"/>
                <w:sz w:val="15"/>
              </w:rPr>
              <w:t xml:space="preserve"> and </w:t>
            </w:r>
            <w:proofErr w:type="spellStart"/>
            <w:r w:rsidRPr="00D008E4">
              <w:rPr>
                <w:rFonts w:cs="Times New Roman"/>
                <w:color w:val="000000"/>
                <w:sz w:val="15"/>
              </w:rPr>
              <w:t>Mansor</w:t>
            </w:r>
            <w:proofErr w:type="spellEnd"/>
            <w:r w:rsidRPr="00D008E4">
              <w:rPr>
                <w:rFonts w:cs="Times New Roman"/>
                <w:color w:val="000000"/>
                <w:sz w:val="15"/>
              </w:rPr>
              <w:t xml:space="preserve"> - TPB and Perceived Value in Chinese NEV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467 valid questionnaires from 583 collected</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Attitude is the strongest direct predictor of purchase intention; perceived value and environmental knowledge strengthen attitudes; subjective norms lack a direct effect but influence decisions through social and control mechanisms.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Attitude; perceived value; environmental knowledge; risk; subjective norms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data34</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Jiang et al. - Purchase Intention toward Chinese EV Start-Ups: NIO</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332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Brand identity, brand image and perceived risk directly influence purchase intention; awareness works mainly through brand image and risk rather than directly.</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Brand identity; brand image; awareness; perceived risk; start-ups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data35</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Xu et al. - SEM–Neural Network Prediction of BEV Purchase Intention in Zhejiang</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2019</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Zhejiang Province,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382 valid completed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Five significant predictors of purchase intention were identified through SEM and ranked through a neural network, showing that </w:t>
            </w:r>
            <w:proofErr w:type="spellStart"/>
            <w:r w:rsidRPr="00D008E4">
              <w:rPr>
                <w:rFonts w:cs="Times New Roman"/>
                <w:color w:val="000000"/>
                <w:sz w:val="15"/>
              </w:rPr>
              <w:t>behavioural</w:t>
            </w:r>
            <w:proofErr w:type="spellEnd"/>
            <w:r w:rsidRPr="00D008E4">
              <w:rPr>
                <w:rFonts w:cs="Times New Roman"/>
                <w:color w:val="000000"/>
                <w:sz w:val="15"/>
              </w:rPr>
              <w:t xml:space="preserve"> and contextual determinants have non-linear importance.</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TPB; non-linear prediction; policy; </w:t>
            </w:r>
            <w:proofErr w:type="spellStart"/>
            <w:r w:rsidRPr="00D008E4">
              <w:rPr>
                <w:rFonts w:cs="Times New Roman"/>
                <w:color w:val="000000"/>
                <w:sz w:val="15"/>
              </w:rPr>
              <w:t>behavioural</w:t>
            </w:r>
            <w:proofErr w:type="spellEnd"/>
            <w:r w:rsidRPr="00D008E4">
              <w:rPr>
                <w:rFonts w:cs="Times New Roman"/>
                <w:color w:val="000000"/>
                <w:sz w:val="15"/>
              </w:rPr>
              <w:t xml:space="preserv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Ehsan et al. - Assessing Policy Influence on EV Adoption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Shanghai,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314 useful responses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Financial and preferential policies improve attitudes and adoption intention; preferential policies are more strongly associated with purchase intention than financial policies in Shanghai.</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Financial policy; preferential policy; attitude; subjective norm; PBC</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data37</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Xue</w:t>
            </w:r>
            <w:proofErr w:type="spellEnd"/>
            <w:r w:rsidRPr="00D008E4">
              <w:rPr>
                <w:rFonts w:cs="Times New Roman"/>
                <w:color w:val="000000"/>
                <w:sz w:val="15"/>
              </w:rPr>
              <w:t xml:space="preserve"> et al. - Incentive Policies, Psychosocial Value and Family EV Ownership</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2023</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402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Financial, information and convenience policies all increase purchase intention; psychosocial value mediates these relationships; convenience policy is strongest and financial incentives weakest; effects are stronger in households without an EV.</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Policy types; psychosocial value; family ownership; convenience incentives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data39</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Cao and Zhang - Incentive Policy Perceptions and Social Attributes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261 usable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Environmental concern, social norms and face consciousness are more influential than policy perceptions; attitude is the strongest predictor; financial, information and convenience policy perceptions have heterogeneous effects; gender moderates relationships.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Policy perceptions; environmental concern; social norms; face consciousness; gender</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data43</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Han et al. - Functional and Non-Functional Values Driving EV Adoption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2017</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Hefei,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607 car-driver responses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Functional value has both direct and attitude-mediated effects on adoption intention; non-functional value affects intention only indirectly </w:t>
            </w:r>
            <w:r w:rsidRPr="00D008E4">
              <w:rPr>
                <w:rFonts w:cs="Times New Roman"/>
                <w:color w:val="000000"/>
                <w:sz w:val="15"/>
              </w:rPr>
              <w:lastRenderedPageBreak/>
              <w:t>through attitude.</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Functional value; emotional/social/epistemic value; attitude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data44</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Yang, </w:t>
            </w:r>
            <w:proofErr w:type="spellStart"/>
            <w:r w:rsidRPr="00D008E4">
              <w:rPr>
                <w:rFonts w:cs="Times New Roman"/>
                <w:color w:val="000000"/>
                <w:sz w:val="15"/>
              </w:rPr>
              <w:t>Tu</w:t>
            </w:r>
            <w:proofErr w:type="spellEnd"/>
            <w:r w:rsidRPr="00D008E4">
              <w:rPr>
                <w:rFonts w:cs="Times New Roman"/>
                <w:color w:val="000000"/>
                <w:sz w:val="15"/>
              </w:rPr>
              <w:t xml:space="preserve"> and Jiang - Sustainable Consumption and EV Purchase Intention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2020</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417 usable responses from 496 collected</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Attitude is the most important predictor; the strongest pathway is brand trust to perceived benefit to attitude to purchase intention.</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Brand trust; perceived benefit; attitude; sustainable consumption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data45</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Knowledge, Perceived Risk and Financial Incentive Policy</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2018</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320 consumers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Knowledge increases usefulness, attitude and intention and reduces risk; perceived risk reduces usefulness, attitude and intention; financial incentive policy has no significant direct effect.</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Knowledge; perceived risk; usefulness; attitude; incentives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Habich-Sobiegalla</w:t>
            </w:r>
            <w:proofErr w:type="spellEnd"/>
            <w:r w:rsidRPr="00D008E4">
              <w:rPr>
                <w:rFonts w:cs="Times New Roman"/>
                <w:color w:val="000000"/>
                <w:sz w:val="15"/>
              </w:rPr>
              <w:t xml:space="preserve">, </w:t>
            </w:r>
            <w:proofErr w:type="spellStart"/>
            <w:r w:rsidRPr="00D008E4">
              <w:rPr>
                <w:rFonts w:cs="Times New Roman"/>
                <w:color w:val="000000"/>
                <w:sz w:val="15"/>
              </w:rPr>
              <w:t>Kostka</w:t>
            </w:r>
            <w:proofErr w:type="spellEnd"/>
            <w:r w:rsidRPr="00D008E4">
              <w:rPr>
                <w:rFonts w:cs="Times New Roman"/>
                <w:color w:val="000000"/>
                <w:sz w:val="15"/>
              </w:rPr>
              <w:t xml:space="preserve"> and </w:t>
            </w:r>
            <w:proofErr w:type="spellStart"/>
            <w:r w:rsidRPr="00D008E4">
              <w:rPr>
                <w:rFonts w:cs="Times New Roman"/>
                <w:color w:val="000000"/>
                <w:sz w:val="15"/>
              </w:rPr>
              <w:t>Anzinger</w:t>
            </w:r>
            <w:proofErr w:type="spellEnd"/>
            <w:r w:rsidRPr="00D008E4">
              <w:rPr>
                <w:rFonts w:cs="Times New Roman"/>
                <w:color w:val="000000"/>
                <w:sz w:val="15"/>
              </w:rPr>
              <w:t xml:space="preserve"> - Micro- and Macro-Level EV Purchase Intentions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2019</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165 cities across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1,080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Wide social networks and knowing an EV owner strongly increase intention; age and education have smaller effects; air pollution and charging infrastructure do not significantly drive intention.</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Social networks; demographics; infrastructure; macro context</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data48</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Du et al. - Who Buys New Energy Vehicles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2018</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Tianjin,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811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Subjective norms have the strongest effect on purchase intention; policy acceptability has a positive effect; low-carbon awareness shows only a limited moderating influence, revealing an awareness-</w:t>
            </w:r>
            <w:proofErr w:type="spellStart"/>
            <w:r w:rsidRPr="00D008E4">
              <w:rPr>
                <w:rFonts w:cs="Times New Roman"/>
                <w:color w:val="000000"/>
                <w:sz w:val="15"/>
              </w:rPr>
              <w:t>behaviour</w:t>
            </w:r>
            <w:proofErr w:type="spellEnd"/>
            <w:r w:rsidRPr="00D008E4">
              <w:rPr>
                <w:rFonts w:cs="Times New Roman"/>
                <w:color w:val="000000"/>
                <w:sz w:val="15"/>
              </w:rPr>
              <w:t xml:space="preserve"> gap.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Subjective norms; policy acceptance; personal norms; low-carbon awareness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data51</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Rehman</w:t>
            </w:r>
            <w:proofErr w:type="spellEnd"/>
            <w:r w:rsidRPr="00D008E4">
              <w:rPr>
                <w:rFonts w:cs="Times New Roman"/>
                <w:color w:val="000000"/>
                <w:sz w:val="15"/>
              </w:rPr>
              <w:t xml:space="preserve"> et al. - Satisfaction and Intention to Adopt BEVs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508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Environmental concern, </w:t>
            </w:r>
            <w:proofErr w:type="spellStart"/>
            <w:r w:rsidRPr="00D008E4">
              <w:rPr>
                <w:rFonts w:cs="Times New Roman"/>
                <w:color w:val="000000"/>
                <w:sz w:val="15"/>
              </w:rPr>
              <w:t>technophilia</w:t>
            </w:r>
            <w:proofErr w:type="spellEnd"/>
            <w:r w:rsidRPr="00D008E4">
              <w:rPr>
                <w:rFonts w:cs="Times New Roman"/>
                <w:color w:val="000000"/>
                <w:sz w:val="15"/>
              </w:rPr>
              <w:t>, social norms, self-esteem and range confidence increase satisfaction; price and battery cost reduce it; satisfaction, government support and status symbolism increase adoption intention.</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Satisfaction; government support; range confidence; price; </w:t>
            </w:r>
            <w:proofErr w:type="spellStart"/>
            <w:r w:rsidRPr="00D008E4">
              <w:rPr>
                <w:rFonts w:cs="Times New Roman"/>
                <w:color w:val="000000"/>
                <w:sz w:val="15"/>
              </w:rPr>
              <w:t>technophilia</w:t>
            </w:r>
            <w:proofErr w:type="spellEnd"/>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data52</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Hu et al. - Consumers’ Intentions to Switch to EVs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Six Chinese pilot cities</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886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Price consciousness and social influence push consumers away from conventional vehicles; perceived benefit and convenience pull them toward EVs; perceived risk and inertia reduce intention and weaken push/pull effects.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Switching intention; social influence; benefit; convenience; risk; inertia</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data54</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Dong et al. - Urban Household Purchase Intentions under Subsidy Contexts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2020</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30 provinces / eight Chinese economic regions</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1,021 valid household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Under subsidy conditions, cost factors do not significantly predict intention; cruising range and charging availability matter more; subjective norms, emotions, personal norms and PBC are significant; effects differ by car ownership.</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Cost; subsidy; range; charging; emotions; personal norms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data55</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Sovacool</w:t>
            </w:r>
            <w:proofErr w:type="spellEnd"/>
            <w:r w:rsidRPr="00D008E4">
              <w:rPr>
                <w:rFonts w:cs="Times New Roman"/>
                <w:color w:val="000000"/>
                <w:sz w:val="15"/>
              </w:rPr>
              <w:t xml:space="preserve"> et al. - Pleasure or Profit? Purchasing Intentions of Potential EV Adopters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2019</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All Chinese provinces</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805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Purchase willingness is associated with vehicle performance, perceived driving benefits and policy support, showing that practical benefits and policy context operate together.</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Performance; perceived benefit; policy support; national adoption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data56</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 et al. - Configurations of 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1,087 survey respondents; paired policy dataset</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Every configuration producing high intention contains at least one psychological attribute; subsidies cannot compensate for the joint absence of attitude, subjective norms and PBC.</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Configurational effects; attitude; norms; PBC; subsidies; policy privileges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data57</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Zhao et al. - Consumer Acceptance of EVs in Shanghai</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Shanghai, 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1,705 valid questionnaires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Peer effects significantly influence both buyers and non-buyers; potential buyers focus on performance, whereas owners </w:t>
            </w:r>
            <w:proofErr w:type="spellStart"/>
            <w:r w:rsidRPr="00D008E4">
              <w:rPr>
                <w:rFonts w:cs="Times New Roman"/>
                <w:color w:val="000000"/>
                <w:sz w:val="15"/>
              </w:rPr>
              <w:t>emphasise</w:t>
            </w:r>
            <w:proofErr w:type="spellEnd"/>
            <w:r w:rsidRPr="00D008E4">
              <w:rPr>
                <w:rFonts w:cs="Times New Roman"/>
                <w:color w:val="000000"/>
                <w:sz w:val="15"/>
              </w:rPr>
              <w:t xml:space="preserve"> charging and government policy; younger, higher-income and educated consumers show greater willingness.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Peer effects; demographics; performance; charging; policy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data58</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Intention to Adopt Hybrid Electric Vehicles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2016</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433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Attitude, subjective norm, PBC and personal moral norm mediate the relationship between environmental concern and adoption intention; environmental concern works largely indirectly.</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Environmental concern; moral norms; attitude; HEVs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data59</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Zhan and Hu - Perception and Personality in Chinese 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2018</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369 participants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Personality and perceptions explain 57.1% of purchase-intention variance; innovativeness and environmental concern have direct effects and are also mediated through positive and negative utility perceptions.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Innovativeness; environmental concern; positive utility; negative utility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data60</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 Jiang and Zhu - Integrated TPB and NAM for 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867 participants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Attitude, subjective norm and PBC all increase intention; personal norms have the largest effect; awareness of consequences and responsibility strengthen personal norms and attitudes.</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Personal norms; attitude; subjective norms; PBC; environmental responsibility</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data61</w:t>
            </w:r>
          </w:p>
        </w:tc>
        <w:tc>
          <w:tcPr>
            <w:tcW w:w="223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Zhao et al. - Perceived Green Value and 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94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406 respondents</w:t>
            </w:r>
          </w:p>
        </w:tc>
        <w:tc>
          <w:tcPr>
            <w:tcW w:w="324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Perceived green value positively influences intention; perceived environmental responsibility and self-efficacy form significant chain mediators, with responsibility showing the stronger mediation effect.</w:t>
            </w:r>
          </w:p>
        </w:tc>
        <w:tc>
          <w:tcPr>
            <w:tcW w:w="21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Green value; environmental responsibility; self-efficacy; green education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bl>
    <w:p w:rsidR="00C40D4B" w:rsidRPr="00D008E4" w:rsidRDefault="00C40D4B" w:rsidP="00C40D4B">
      <w:pPr>
        <w:rPr>
          <w:rFonts w:cs="Times New Roman"/>
          <w:sz w:val="28"/>
        </w:rPr>
      </w:pPr>
      <w:r w:rsidRPr="00D008E4">
        <w:rPr>
          <w:rFonts w:cs="Times New Roman"/>
          <w:sz w:val="28"/>
        </w:rPr>
        <w:br w:type="page"/>
      </w:r>
    </w:p>
    <w:p w:rsidR="00C40D4B" w:rsidRPr="00D008E4" w:rsidRDefault="00C40D4B" w:rsidP="00C40D4B">
      <w:pPr>
        <w:pStyle w:val="Heading2"/>
        <w:rPr>
          <w:rFonts w:ascii="Times New Roman" w:hAnsi="Times New Roman" w:cs="Times New Roman"/>
          <w:sz w:val="28"/>
        </w:rPr>
      </w:pPr>
      <w:r w:rsidRPr="00D008E4">
        <w:rPr>
          <w:rFonts w:ascii="Times New Roman" w:hAnsi="Times New Roman" w:cs="Times New Roman"/>
          <w:sz w:val="28"/>
        </w:rPr>
        <w:lastRenderedPageBreak/>
        <w:t>Appendix B: Supporting and excluded study audit</w:t>
      </w:r>
    </w:p>
    <w:p w:rsidR="00C40D4B" w:rsidRPr="00D008E4" w:rsidRDefault="00C40D4B" w:rsidP="00C40D4B">
      <w:pPr>
        <w:pStyle w:val="Caption"/>
        <w:jc w:val="center"/>
        <w:rPr>
          <w:rFonts w:cs="Times New Roman"/>
          <w:sz w:val="22"/>
        </w:rPr>
      </w:pPr>
      <w:r w:rsidRPr="00D008E4">
        <w:rPr>
          <w:rFonts w:cs="Times New Roman"/>
          <w:sz w:val="22"/>
        </w:rPr>
        <w:t>Appendix Table B1. Supporting and excluded study audit</w:t>
      </w:r>
    </w:p>
    <w:tbl>
      <w:tblPr>
        <w:tblStyle w:val="TableGrid"/>
        <w:tblW w:w="0" w:type="auto"/>
        <w:jc w:val="center"/>
        <w:tblLayout w:type="fixed"/>
        <w:tblLook w:val="04A0" w:firstRow="1" w:lastRow="0" w:firstColumn="1" w:lastColumn="0" w:noHBand="0" w:noVBand="1"/>
      </w:tblPr>
      <w:tblGrid>
        <w:gridCol w:w="720"/>
        <w:gridCol w:w="2448"/>
        <w:gridCol w:w="648"/>
        <w:gridCol w:w="1296"/>
        <w:gridCol w:w="1512"/>
        <w:gridCol w:w="2952"/>
        <w:gridCol w:w="792"/>
        <w:gridCol w:w="2664"/>
      </w:tblGrid>
      <w:tr w:rsidR="00C40D4B" w:rsidRPr="00D008E4" w:rsidTr="0072553F">
        <w:trPr>
          <w:tblHeader/>
          <w:jc w:val="center"/>
        </w:trPr>
        <w:tc>
          <w:tcPr>
            <w:tcW w:w="72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ID</w:t>
            </w:r>
          </w:p>
        </w:tc>
        <w:tc>
          <w:tcPr>
            <w:tcW w:w="2448"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Study</w:t>
            </w:r>
          </w:p>
        </w:tc>
        <w:tc>
          <w:tcPr>
            <w:tcW w:w="648"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Year</w:t>
            </w:r>
          </w:p>
        </w:tc>
        <w:tc>
          <w:tcPr>
            <w:tcW w:w="1296"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Scope</w:t>
            </w:r>
          </w:p>
        </w:tc>
        <w:tc>
          <w:tcPr>
            <w:tcW w:w="1512"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Decision</w:t>
            </w:r>
          </w:p>
        </w:tc>
        <w:tc>
          <w:tcPr>
            <w:tcW w:w="2952"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Reason / role</w:t>
            </w:r>
          </w:p>
        </w:tc>
        <w:tc>
          <w:tcPr>
            <w:tcW w:w="792"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Quality</w:t>
            </w:r>
          </w:p>
        </w:tc>
        <w:tc>
          <w:tcPr>
            <w:tcW w:w="2664"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Main limitation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Xiong</w:t>
            </w:r>
            <w:proofErr w:type="spellEnd"/>
            <w:r w:rsidRPr="00D008E4">
              <w:rPr>
                <w:rFonts w:cs="Times New Roman"/>
                <w:color w:val="000000"/>
                <w:sz w:val="15"/>
              </w:rPr>
              <w:t xml:space="preserve"> et al. - Impact of NEV Information Sources on Mass Consumers’ Purchase Intentions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Provisional include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Highly relevant, but the uploaded PDF contains only a three-page ProQuest record rather than the full article.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Full methodology, measures and limitations cannot be appraised from the available abstract-only file.</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data23</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Zheng et al. - Intention-Based Factors Influencing Willingness to Pay for EVs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 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Include - supporting</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Relevant to intention and economic commitment, but the final outcome is willingness to pay and respondents are EV users.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Existing-user sample and an unexpected positive risk-intention result require cautious interpretation.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Ouyang, Zhou and </w:t>
            </w:r>
            <w:proofErr w:type="spellStart"/>
            <w:r w:rsidRPr="00D008E4">
              <w:rPr>
                <w:rFonts w:cs="Times New Roman"/>
                <w:color w:val="000000"/>
                <w:sz w:val="15"/>
              </w:rPr>
              <w:t>Ou</w:t>
            </w:r>
            <w:proofErr w:type="spellEnd"/>
            <w:r w:rsidRPr="00D008E4">
              <w:rPr>
                <w:rFonts w:cs="Times New Roman"/>
                <w:color w:val="000000"/>
                <w:sz w:val="15"/>
              </w:rPr>
              <w:t xml:space="preserve"> - Total Cost of EV Ownership in China’s Post-Subsidy Era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Include - supporting</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Strong contextual evidence for the economic theme, but it does not directly test </w:t>
            </w:r>
            <w:proofErr w:type="spellStart"/>
            <w:r w:rsidRPr="00D008E4">
              <w:rPr>
                <w:rFonts w:cs="Times New Roman"/>
                <w:color w:val="000000"/>
                <w:sz w:val="15"/>
              </w:rPr>
              <w:t>behavioural</w:t>
            </w:r>
            <w:proofErr w:type="spellEnd"/>
            <w:r w:rsidRPr="00D008E4">
              <w:rPr>
                <w:rFonts w:cs="Times New Roman"/>
                <w:color w:val="000000"/>
                <w:sz w:val="15"/>
              </w:rPr>
              <w:t xml:space="preserve"> purchase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Model outcomes depend on cost, usage and policy assumptions rather than observed consumer </w:t>
            </w:r>
            <w:proofErr w:type="spellStart"/>
            <w:r w:rsidRPr="00D008E4">
              <w:rPr>
                <w:rFonts w:cs="Times New Roman"/>
                <w:color w:val="000000"/>
                <w:sz w:val="15"/>
              </w:rPr>
              <w:t>behaviour</w:t>
            </w:r>
            <w:proofErr w:type="spellEnd"/>
            <w:r w:rsidRPr="00D008E4">
              <w:rPr>
                <w:rFonts w:cs="Times New Roman"/>
                <w:color w:val="000000"/>
                <w:sz w:val="15"/>
              </w:rPr>
              <w:t>.</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Zheng et al. - Expected–Experienced Utility Gap and EV Repurchase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Jiangsu, 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Include - supporting</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Useful for post-purchase experience and loyalty, but outcome is repurchase rather than first purchase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Existing-owner sample and repeat-purchase outcome do not answer the primary review question directly.</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Fang, Xin and Zhang - Eco-Label Knowledge and EV Switching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2025</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Include - supporting</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Switching intention is closely related but is not identical to initial purchase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Existing EV-user framing and switching outcome weaken direct applicability to potential buyers.</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Zou et al. - Intention to Purchase Used Electric Vehicles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Include - supporting</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Highly relevant mechanisms, but the product is a used EV rather than a new EV.</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Used-vehicle depreciation, battery history and after-sales risks differ from new-EV decisions.</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Dong and Ge - Intention to Recycle Retired EV Batteries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Outcome is battery-recycling intention, not EV purchase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Different </w:t>
            </w:r>
            <w:proofErr w:type="spellStart"/>
            <w:r w:rsidRPr="00D008E4">
              <w:rPr>
                <w:rFonts w:cs="Times New Roman"/>
                <w:color w:val="000000"/>
                <w:sz w:val="15"/>
              </w:rPr>
              <w:t>behaviour</w:t>
            </w:r>
            <w:proofErr w:type="spellEnd"/>
            <w:r w:rsidRPr="00D008E4">
              <w:rPr>
                <w:rFonts w:cs="Times New Roman"/>
                <w:color w:val="000000"/>
                <w:sz w:val="15"/>
              </w:rPr>
              <w:t xml:space="preserve"> and decision stage from vehicle purchase.</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Song, Chu and </w:t>
            </w:r>
            <w:proofErr w:type="spellStart"/>
            <w:r w:rsidRPr="00D008E4">
              <w:rPr>
                <w:rFonts w:cs="Times New Roman"/>
                <w:color w:val="000000"/>
                <w:sz w:val="15"/>
              </w:rPr>
              <w:t>Im</w:t>
            </w:r>
            <w:proofErr w:type="spellEnd"/>
            <w:r w:rsidRPr="00D008E4">
              <w:rPr>
                <w:rFonts w:cs="Times New Roman"/>
                <w:color w:val="000000"/>
                <w:sz w:val="15"/>
              </w:rPr>
              <w:t xml:space="preserve"> - Cultural and Psychological Characteristics of EV Purchase </w:t>
            </w:r>
            <w:proofErr w:type="spellStart"/>
            <w:r w:rsidRPr="00D008E4">
              <w:rPr>
                <w:rFonts w:cs="Times New Roman"/>
                <w:color w:val="000000"/>
                <w:sz w:val="15"/>
              </w:rPr>
              <w:t>Behaviour</w:t>
            </w:r>
            <w:proofErr w:type="spellEnd"/>
            <w:r w:rsidRPr="00D008E4">
              <w:rPr>
                <w:rFonts w:cs="Times New Roman"/>
                <w:color w:val="000000"/>
                <w:sz w:val="15"/>
              </w:rPr>
              <w:t xml:space="preserve"> and Satisfaction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 and United States</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 - supporting only</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Studies existing owners and satisfaction rather than prospective purchase intention; China evidence may support discussion.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Cross-cultural design and post-purchase sample limit direct applicability to purchase intention.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Kant et al. - Adoption Intention and Willingness to Pay for EVs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India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Empirical setting is India, outside the China-only eligibility criterion.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Country context is not transferable without explicit comparative design.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Chu et al. - Psychological and </w:t>
            </w:r>
            <w:proofErr w:type="spellStart"/>
            <w:r w:rsidRPr="00D008E4">
              <w:rPr>
                <w:rFonts w:cs="Times New Roman"/>
                <w:color w:val="000000"/>
                <w:sz w:val="15"/>
              </w:rPr>
              <w:t>Behavioural</w:t>
            </w:r>
            <w:proofErr w:type="spellEnd"/>
            <w:r w:rsidRPr="00D008E4">
              <w:rPr>
                <w:rFonts w:cs="Times New Roman"/>
                <w:color w:val="000000"/>
                <w:sz w:val="15"/>
              </w:rPr>
              <w:t xml:space="preserve"> Factors Affecting EV Adoption and Satisfaction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2019</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 and Korea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 - supporting only</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Focuses actual adopters and satisfaction, not prospective purchase intention; useful contextual evidence.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Early-adopter and cross-country samples reduce relevance to mass-market intention.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Chen and </w:t>
            </w:r>
            <w:proofErr w:type="spellStart"/>
            <w:r w:rsidRPr="00D008E4">
              <w:rPr>
                <w:rFonts w:cs="Times New Roman"/>
                <w:color w:val="000000"/>
                <w:sz w:val="15"/>
              </w:rPr>
              <w:t>Hou</w:t>
            </w:r>
            <w:proofErr w:type="spellEnd"/>
            <w:r w:rsidRPr="00D008E4">
              <w:rPr>
                <w:rFonts w:cs="Times New Roman"/>
                <w:color w:val="000000"/>
                <w:sz w:val="15"/>
              </w:rPr>
              <w:t xml:space="preserve"> - Integrating Design Aesthetics into TPB</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2026</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 under current protocol</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Published in 2026, outside the stated 2014-2025 review period. Include only if the protocol is formally updated.</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Very recent cross-sectional study; outside predefined publication window.</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Ehsan et al. - Adoption Barriers and Policy Implications for EV Consumer Adoption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2024</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 - background only</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Review article without original empirical consumer data; useful for background and framework comparison.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Medium</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No primary data and possible overlap with studies already included.</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Chinen</w:t>
            </w:r>
            <w:proofErr w:type="spellEnd"/>
            <w:r w:rsidRPr="00D008E4">
              <w:rPr>
                <w:rFonts w:cs="Times New Roman"/>
                <w:color w:val="000000"/>
                <w:sz w:val="15"/>
              </w:rPr>
              <w:t xml:space="preserve"> et al. - EV Owners’ Perception of Remanufactured </w:t>
            </w:r>
            <w:r w:rsidRPr="00D008E4">
              <w:rPr>
                <w:rFonts w:cs="Times New Roman"/>
                <w:color w:val="000000"/>
                <w:sz w:val="15"/>
              </w:rPr>
              <w:lastRenderedPageBreak/>
              <w:t>Batteries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Outcome is purchase of remanufactured batteries, not purchase of electric vehicles.</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Different product and post-purchase ownership context.</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Jayasingh</w:t>
            </w:r>
            <w:proofErr w:type="spellEnd"/>
            <w:r w:rsidRPr="00D008E4">
              <w:rPr>
                <w:rFonts w:cs="Times New Roman"/>
                <w:color w:val="000000"/>
                <w:sz w:val="15"/>
              </w:rPr>
              <w:t xml:space="preserve">, </w:t>
            </w:r>
            <w:proofErr w:type="spellStart"/>
            <w:r w:rsidRPr="00D008E4">
              <w:rPr>
                <w:rFonts w:cs="Times New Roman"/>
                <w:color w:val="000000"/>
                <w:sz w:val="15"/>
              </w:rPr>
              <w:t>Girija</w:t>
            </w:r>
            <w:proofErr w:type="spellEnd"/>
            <w:r w:rsidRPr="00D008E4">
              <w:rPr>
                <w:rFonts w:cs="Times New Roman"/>
                <w:color w:val="000000"/>
                <w:sz w:val="15"/>
              </w:rPr>
              <w:t xml:space="preserve"> and </w:t>
            </w:r>
            <w:proofErr w:type="spellStart"/>
            <w:r w:rsidRPr="00D008E4">
              <w:rPr>
                <w:rFonts w:cs="Times New Roman"/>
                <w:color w:val="000000"/>
                <w:sz w:val="15"/>
              </w:rPr>
              <w:t>Arunkumar</w:t>
            </w:r>
            <w:proofErr w:type="spellEnd"/>
            <w:r w:rsidRPr="00D008E4">
              <w:rPr>
                <w:rFonts w:cs="Times New Roman"/>
                <w:color w:val="000000"/>
                <w:sz w:val="15"/>
              </w:rPr>
              <w:t xml:space="preserve"> - Purchase Intention towards Electric Two-Wheelers</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India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Wrong country and vehicle category for the China passenger-EV review.</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India-specific two-wheeler market is not comparable to Chinese passenger-car adoption.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Zhou et al. - Electrification of Online Ride-Hailing Vehicles in China</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Primary context is commercial online ride-hailing rather than household consumer vehicle purchase.</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Commercial operating economics and fleet use differ materially from private consumer decisions.</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Ivanova</w:t>
            </w:r>
            <w:proofErr w:type="spellEnd"/>
            <w:r w:rsidRPr="00D008E4">
              <w:rPr>
                <w:rFonts w:cs="Times New Roman"/>
                <w:color w:val="000000"/>
                <w:sz w:val="15"/>
              </w:rPr>
              <w:t xml:space="preserve"> and Moreira - Antecedents of EV Purchase Intention: Systematic Literature Review</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2023</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International</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 - background only</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Secondary review without original China-specific empirical data; useful for benchmarking the dissertation's coding framework.</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International scope and overlap with primary studies risk double-counting evidence.</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Lashari</w:t>
            </w:r>
            <w:proofErr w:type="spellEnd"/>
            <w:r w:rsidRPr="00D008E4">
              <w:rPr>
                <w:rFonts w:cs="Times New Roman"/>
                <w:color w:val="000000"/>
                <w:sz w:val="15"/>
              </w:rPr>
              <w:t xml:space="preserve">, </w:t>
            </w:r>
            <w:proofErr w:type="spellStart"/>
            <w:r w:rsidRPr="00D008E4">
              <w:rPr>
                <w:rFonts w:cs="Times New Roman"/>
                <w:color w:val="000000"/>
                <w:sz w:val="15"/>
              </w:rPr>
              <w:t>Ko</w:t>
            </w:r>
            <w:proofErr w:type="spellEnd"/>
            <w:r w:rsidRPr="00D008E4">
              <w:rPr>
                <w:rFonts w:cs="Times New Roman"/>
                <w:color w:val="000000"/>
                <w:sz w:val="15"/>
              </w:rPr>
              <w:t xml:space="preserve"> and Jang - User Attitude and Perception in EV Purchase Intention</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2021</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South Korea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Empirical setting is South Korea, outside the China-only review criterion.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Country-specific policy and market conditions limit transferability to China.</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Tang et al. - Intention to Participate in EV Battery Recycling</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2023</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Outcome is battery-recycling participation, not vehicle purchase intention.</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Different </w:t>
            </w:r>
            <w:proofErr w:type="spellStart"/>
            <w:r w:rsidRPr="00D008E4">
              <w:rPr>
                <w:rFonts w:cs="Times New Roman"/>
                <w:color w:val="000000"/>
                <w:sz w:val="15"/>
              </w:rPr>
              <w:t>behaviour</w:t>
            </w:r>
            <w:proofErr w:type="spellEnd"/>
            <w:r w:rsidRPr="00D008E4">
              <w:rPr>
                <w:rFonts w:cs="Times New Roman"/>
                <w:color w:val="000000"/>
                <w:sz w:val="15"/>
              </w:rPr>
              <w:t>, product stage and stakeholder decision.</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Adu-Gyamfi</w:t>
            </w:r>
            <w:proofErr w:type="spellEnd"/>
            <w:r w:rsidRPr="00D008E4">
              <w:rPr>
                <w:rFonts w:cs="Times New Roman"/>
                <w:color w:val="000000"/>
                <w:sz w:val="15"/>
              </w:rPr>
              <w:t xml:space="preserve"> et al. - Adoption Intention of Battery Swap Technology</w:t>
            </w:r>
          </w:p>
        </w:tc>
        <w:tc>
          <w:tcPr>
            <w:tcW w:w="6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2022</w:t>
            </w:r>
          </w:p>
        </w:tc>
        <w:tc>
          <w:tcPr>
            <w:tcW w:w="129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Beijing-Tianjin-Hebei, China</w:t>
            </w:r>
          </w:p>
        </w:tc>
        <w:tc>
          <w:tcPr>
            <w:tcW w:w="151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Exclude</w:t>
            </w:r>
          </w:p>
        </w:tc>
        <w:tc>
          <w:tcPr>
            <w:tcW w:w="295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The </w:t>
            </w:r>
            <w:proofErr w:type="spellStart"/>
            <w:r w:rsidRPr="00D008E4">
              <w:rPr>
                <w:rFonts w:cs="Times New Roman"/>
                <w:color w:val="000000"/>
                <w:sz w:val="15"/>
              </w:rPr>
              <w:t>behavioural</w:t>
            </w:r>
            <w:proofErr w:type="spellEnd"/>
            <w:r w:rsidRPr="00D008E4">
              <w:rPr>
                <w:rFonts w:cs="Times New Roman"/>
                <w:color w:val="000000"/>
                <w:sz w:val="15"/>
              </w:rPr>
              <w:t xml:space="preserve"> outcome is adoption of battery-swap technology, not purchase of an EV.</w:t>
            </w:r>
          </w:p>
        </w:tc>
        <w:tc>
          <w:tcPr>
            <w:tcW w:w="792"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c>
          <w:tcPr>
            <w:tcW w:w="26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Technology-service acceptance cannot be treated as vehicle-purchase intention.</w:t>
            </w:r>
          </w:p>
        </w:tc>
      </w:tr>
    </w:tbl>
    <w:p w:rsidR="00C40D4B" w:rsidRPr="00D008E4" w:rsidRDefault="00C40D4B" w:rsidP="00C40D4B">
      <w:pPr>
        <w:rPr>
          <w:rFonts w:cs="Times New Roman"/>
          <w:sz w:val="28"/>
        </w:rPr>
      </w:pPr>
      <w:r w:rsidRPr="00D008E4">
        <w:rPr>
          <w:rFonts w:cs="Times New Roman"/>
          <w:sz w:val="28"/>
        </w:rPr>
        <w:br w:type="page"/>
      </w:r>
    </w:p>
    <w:p w:rsidR="00C40D4B" w:rsidRPr="00D008E4" w:rsidRDefault="00C40D4B" w:rsidP="00C40D4B">
      <w:pPr>
        <w:pStyle w:val="Heading2"/>
        <w:rPr>
          <w:rFonts w:ascii="Times New Roman" w:hAnsi="Times New Roman" w:cs="Times New Roman"/>
          <w:sz w:val="28"/>
        </w:rPr>
      </w:pPr>
      <w:r w:rsidRPr="00D008E4">
        <w:rPr>
          <w:rFonts w:ascii="Times New Roman" w:hAnsi="Times New Roman" w:cs="Times New Roman"/>
          <w:sz w:val="28"/>
        </w:rPr>
        <w:lastRenderedPageBreak/>
        <w:t>Appendix C: CASP-informed cross-design quality appraisal</w:t>
      </w:r>
    </w:p>
    <w:p w:rsidR="00C40D4B" w:rsidRPr="00D008E4" w:rsidRDefault="00C40D4B" w:rsidP="00C40D4B">
      <w:pPr>
        <w:pStyle w:val="Caption"/>
        <w:jc w:val="center"/>
        <w:rPr>
          <w:rFonts w:cs="Times New Roman"/>
          <w:sz w:val="22"/>
        </w:rPr>
      </w:pPr>
      <w:r w:rsidRPr="00D008E4">
        <w:rPr>
          <w:rFonts w:cs="Times New Roman"/>
          <w:sz w:val="22"/>
        </w:rPr>
        <w:t>Appendix Table C1. CASP-informed cross-design quality appraisal of core studies</w:t>
      </w:r>
    </w:p>
    <w:tbl>
      <w:tblPr>
        <w:tblStyle w:val="TableGrid"/>
        <w:tblW w:w="0" w:type="auto"/>
        <w:jc w:val="center"/>
        <w:tblLayout w:type="fixed"/>
        <w:tblLook w:val="04A0" w:firstRow="1" w:lastRow="0" w:firstColumn="1" w:lastColumn="0" w:noHBand="0" w:noVBand="1"/>
      </w:tblPr>
      <w:tblGrid>
        <w:gridCol w:w="720"/>
        <w:gridCol w:w="2448"/>
        <w:gridCol w:w="864"/>
        <w:gridCol w:w="1080"/>
        <w:gridCol w:w="1080"/>
        <w:gridCol w:w="1080"/>
        <w:gridCol w:w="1080"/>
        <w:gridCol w:w="3960"/>
        <w:gridCol w:w="936"/>
      </w:tblGrid>
      <w:tr w:rsidR="00C40D4B" w:rsidRPr="00D008E4" w:rsidTr="0072553F">
        <w:trPr>
          <w:tblHeader/>
          <w:jc w:val="center"/>
        </w:trPr>
        <w:tc>
          <w:tcPr>
            <w:tcW w:w="72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Paper ID</w:t>
            </w:r>
          </w:p>
        </w:tc>
        <w:tc>
          <w:tcPr>
            <w:tcW w:w="2448"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Study</w:t>
            </w:r>
          </w:p>
        </w:tc>
        <w:tc>
          <w:tcPr>
            <w:tcW w:w="864"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Clear aim</w:t>
            </w:r>
          </w:p>
        </w:tc>
        <w:tc>
          <w:tcPr>
            <w:tcW w:w="108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Appropriate design</w:t>
            </w:r>
          </w:p>
        </w:tc>
        <w:tc>
          <w:tcPr>
            <w:tcW w:w="108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Sample described</w:t>
            </w:r>
          </w:p>
        </w:tc>
        <w:tc>
          <w:tcPr>
            <w:tcW w:w="108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Analysis appropriate</w:t>
            </w:r>
          </w:p>
        </w:tc>
        <w:tc>
          <w:tcPr>
            <w:tcW w:w="108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Findings valuable</w:t>
            </w:r>
          </w:p>
        </w:tc>
        <w:tc>
          <w:tcPr>
            <w:tcW w:w="3960"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Key limitation</w:t>
            </w:r>
          </w:p>
        </w:tc>
        <w:tc>
          <w:tcPr>
            <w:tcW w:w="936" w:type="dxa"/>
            <w:shd w:val="clear" w:color="auto" w:fill="D9E2F3"/>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b/>
                <w:color w:val="000000"/>
                <w:sz w:val="15"/>
              </w:rPr>
              <w:t>Overall rating</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 Cui and Shen - How Can the Government Effectively Promote Consumers’ Green Purchasing Behavior?</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Partial</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self-report evidence; sample details require full-method extraction.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Zheng et al. - Integrating Customer-Based Brand Equity and TPB to Predict EV Adoption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purposive survey; intention rather than actual purchase.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Yang and Chen - Social-Psychological Factors and Consumer Preferences for PEVs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Two-city design limits national </w:t>
            </w:r>
            <w:proofErr w:type="spellStart"/>
            <w:r w:rsidRPr="00D008E4">
              <w:rPr>
                <w:rFonts w:cs="Times New Roman"/>
                <w:color w:val="000000"/>
                <w:sz w:val="15"/>
              </w:rPr>
              <w:t>generalisation</w:t>
            </w:r>
            <w:proofErr w:type="spellEnd"/>
            <w:r w:rsidRPr="00D008E4">
              <w:rPr>
                <w:rFonts w:cs="Times New Roman"/>
                <w:color w:val="000000"/>
                <w:sz w:val="15"/>
              </w:rPr>
              <w:t>; preference/WTP is not identical to purchase intention.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Shi and Lin - Identify the Policy Weaknesses in China’s EV Development</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Different respondents across waves; repeated cross-section rather than true panel.</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Feng et al. - Intention to Adopt BEVs among the Early-to-Late Majority in Post-Subsidy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Single-city sample and cross-sectional design.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and Zhan - Activating Moral Norm to Adopt EVs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Cross-sectional self-report design; </w:t>
            </w:r>
            <w:proofErr w:type="spellStart"/>
            <w:r w:rsidRPr="00D008E4">
              <w:rPr>
                <w:rFonts w:cs="Times New Roman"/>
                <w:color w:val="000000"/>
                <w:sz w:val="15"/>
              </w:rPr>
              <w:t>behavioural</w:t>
            </w:r>
            <w:proofErr w:type="spellEnd"/>
            <w:r w:rsidRPr="00D008E4">
              <w:rPr>
                <w:rFonts w:cs="Times New Roman"/>
                <w:color w:val="000000"/>
                <w:sz w:val="15"/>
              </w:rPr>
              <w:t xml:space="preserve"> intention may not become purchase.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 et al. - Self-Image Motives for EV Adoption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Complex multi-source </w:t>
            </w:r>
            <w:proofErr w:type="spellStart"/>
            <w:r w:rsidRPr="00D008E4">
              <w:rPr>
                <w:rFonts w:cs="Times New Roman"/>
                <w:color w:val="000000"/>
                <w:sz w:val="15"/>
              </w:rPr>
              <w:t>operationalisation</w:t>
            </w:r>
            <w:proofErr w:type="spellEnd"/>
            <w:r w:rsidRPr="00D008E4">
              <w:rPr>
                <w:rFonts w:cs="Times New Roman"/>
                <w:color w:val="000000"/>
                <w:sz w:val="15"/>
              </w:rPr>
              <w:t>; some data reflect actual discourse rather than a uniform intention measure.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data13</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Xiao and Zhang - Consumer Lifestyles during the Chasm in China’s EV Market</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Regional sampling and segment-specific framing may limit </w:t>
            </w:r>
            <w:proofErr w:type="spellStart"/>
            <w:r w:rsidRPr="00D008E4">
              <w:rPr>
                <w:rFonts w:cs="Times New Roman"/>
                <w:color w:val="000000"/>
                <w:sz w:val="15"/>
              </w:rPr>
              <w:t>generalisation</w:t>
            </w:r>
            <w:proofErr w:type="spellEnd"/>
            <w:r w:rsidRPr="00D008E4">
              <w:rPr>
                <w:rFonts w:cs="Times New Roman"/>
                <w:color w:val="000000"/>
                <w:sz w:val="15"/>
              </w:rPr>
              <w:t>.</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Ling, Cherry and Wen - Factors Influencing EV Adoption in Beijing</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Beijing-specific stated preferences may not predict actual national purchases.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Perceived Interactivity of Virtual Brand Communities and Domestic EV Purchases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Purposive cross-sectional sample and self-reported intention.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data18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Consumers’ Intention toward Domestic Energy-Saving Vehicles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Single-city convenience sample and broader vehicle definition.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Zang</w:t>
            </w:r>
            <w:proofErr w:type="spellEnd"/>
            <w:r w:rsidRPr="00D008E4">
              <w:rPr>
                <w:rFonts w:cs="Times New Roman"/>
                <w:color w:val="000000"/>
                <w:sz w:val="15"/>
              </w:rPr>
              <w:t>, Qian and Jiang - Perceived Endorsement and EV Start-Up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Online cross-sectional sample and start-up-brand context limit </w:t>
            </w:r>
            <w:proofErr w:type="spellStart"/>
            <w:r w:rsidRPr="00D008E4">
              <w:rPr>
                <w:rFonts w:cs="Times New Roman"/>
                <w:color w:val="000000"/>
                <w:sz w:val="15"/>
              </w:rPr>
              <w:t>generalisation</w:t>
            </w:r>
            <w:proofErr w:type="spellEnd"/>
            <w:r w:rsidRPr="00D008E4">
              <w:rPr>
                <w:rFonts w:cs="Times New Roman"/>
                <w:color w:val="000000"/>
                <w:sz w:val="15"/>
              </w:rPr>
              <w:t>.</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Jiang et al. - Past Driving Experience and EV Purchase Intention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Partial</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retrospective experience measures may involve recall and self-selection bias.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data24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Xu et al. - Moving towards Sustainable EV Purchase </w:t>
            </w:r>
            <w:proofErr w:type="spellStart"/>
            <w:r w:rsidRPr="00D008E4">
              <w:rPr>
                <w:rFonts w:cs="Times New Roman"/>
                <w:color w:val="000000"/>
                <w:sz w:val="15"/>
              </w:rPr>
              <w:t>Behaviour</w:t>
            </w:r>
            <w:proofErr w:type="spellEnd"/>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design cannot establish causal effects of experience.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Huang et al. - Technological Knowledge and EV Adoption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survey and self-assessed knowledge may inflate relationships.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et al. - Emotion and EV Purchase Intention across Income Groups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intention data and broad national online sampling.</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Rong</w:t>
            </w:r>
            <w:proofErr w:type="spellEnd"/>
            <w:r w:rsidRPr="00D008E4">
              <w:rPr>
                <w:rFonts w:cs="Times New Roman"/>
                <w:color w:val="000000"/>
                <w:sz w:val="15"/>
              </w:rPr>
              <w:t>, Zhao and Xu - Self-Transcendent Values under Subsidy Withdrawal</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Regional sample concentrated in several provinces and cross-sectional design.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data29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Yang et al. - Policy Targeting, Incentive Perceptions and Product Cognition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Young, highly educated and partly student-based sample limits representativeness.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Zhou, </w:t>
            </w:r>
            <w:proofErr w:type="spellStart"/>
            <w:r w:rsidRPr="00D008E4">
              <w:rPr>
                <w:rFonts w:cs="Times New Roman"/>
                <w:color w:val="000000"/>
                <w:sz w:val="15"/>
              </w:rPr>
              <w:t>Jin</w:t>
            </w:r>
            <w:proofErr w:type="spellEnd"/>
            <w:r w:rsidRPr="00D008E4">
              <w:rPr>
                <w:rFonts w:cs="Times New Roman"/>
                <w:color w:val="000000"/>
                <w:sz w:val="15"/>
              </w:rPr>
              <w:t xml:space="preserve"> and Liu - Green Information Disclosure and NEV Consumption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Exhibition-based sample may </w:t>
            </w:r>
            <w:proofErr w:type="spellStart"/>
            <w:r w:rsidRPr="00D008E4">
              <w:rPr>
                <w:rFonts w:cs="Times New Roman"/>
                <w:color w:val="000000"/>
                <w:sz w:val="15"/>
              </w:rPr>
              <w:t>overrepresent</w:t>
            </w:r>
            <w:proofErr w:type="spellEnd"/>
            <w:r w:rsidRPr="00D008E4">
              <w:rPr>
                <w:rFonts w:cs="Times New Roman"/>
                <w:color w:val="000000"/>
                <w:sz w:val="15"/>
              </w:rPr>
              <w:t xml:space="preserve"> consumers already interested in NEVs.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data33</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Hu, </w:t>
            </w:r>
            <w:proofErr w:type="spellStart"/>
            <w:r w:rsidRPr="00D008E4">
              <w:rPr>
                <w:rFonts w:cs="Times New Roman"/>
                <w:color w:val="000000"/>
                <w:sz w:val="15"/>
              </w:rPr>
              <w:t>Yusof</w:t>
            </w:r>
            <w:proofErr w:type="spellEnd"/>
            <w:r w:rsidRPr="00D008E4">
              <w:rPr>
                <w:rFonts w:cs="Times New Roman"/>
                <w:color w:val="000000"/>
                <w:sz w:val="15"/>
              </w:rPr>
              <w:t xml:space="preserve"> and </w:t>
            </w:r>
            <w:proofErr w:type="spellStart"/>
            <w:r w:rsidRPr="00D008E4">
              <w:rPr>
                <w:rFonts w:cs="Times New Roman"/>
                <w:color w:val="000000"/>
                <w:sz w:val="15"/>
              </w:rPr>
              <w:t>Mansor</w:t>
            </w:r>
            <w:proofErr w:type="spellEnd"/>
            <w:r w:rsidRPr="00D008E4">
              <w:rPr>
                <w:rFonts w:cs="Times New Roman"/>
                <w:color w:val="000000"/>
                <w:sz w:val="15"/>
              </w:rPr>
              <w:t xml:space="preserve"> - TPB and Perceived Value in Chinese NEV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self-report design and broad NEV definition.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Jiang et al. - Purchase Intention toward Chinese EV Start-Ups: NIO</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Single-brand case limits </w:t>
            </w:r>
            <w:proofErr w:type="spellStart"/>
            <w:r w:rsidRPr="00D008E4">
              <w:rPr>
                <w:rFonts w:cs="Times New Roman"/>
                <w:color w:val="000000"/>
                <w:sz w:val="15"/>
              </w:rPr>
              <w:t>generalisation</w:t>
            </w:r>
            <w:proofErr w:type="spellEnd"/>
            <w:r w:rsidRPr="00D008E4">
              <w:rPr>
                <w:rFonts w:cs="Times New Roman"/>
                <w:color w:val="000000"/>
                <w:sz w:val="15"/>
              </w:rPr>
              <w:t xml:space="preserve"> across the Chinese EV market.</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Xu et al. - SEM–Neural Network Prediction of BEV Purchase Intention in Zhejiang</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Single-province sampling and limited interpretability of neural-network weights.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Ehsan et al. - Assessing Policy Influence on EV Adoption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Shanghai case study may overstate effects of </w:t>
            </w:r>
            <w:proofErr w:type="spellStart"/>
            <w:r w:rsidRPr="00D008E4">
              <w:rPr>
                <w:rFonts w:cs="Times New Roman"/>
                <w:color w:val="000000"/>
                <w:sz w:val="15"/>
              </w:rPr>
              <w:t>licence</w:t>
            </w:r>
            <w:proofErr w:type="spellEnd"/>
            <w:r w:rsidRPr="00D008E4">
              <w:rPr>
                <w:rFonts w:cs="Times New Roman"/>
                <w:color w:val="000000"/>
                <w:sz w:val="15"/>
              </w:rPr>
              <w:t xml:space="preserve"> and usage privileges.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Xue</w:t>
            </w:r>
            <w:proofErr w:type="spellEnd"/>
            <w:r w:rsidRPr="00D008E4">
              <w:rPr>
                <w:rFonts w:cs="Times New Roman"/>
                <w:color w:val="000000"/>
                <w:sz w:val="15"/>
              </w:rPr>
              <w:t xml:space="preserve"> et al. - Incentive Policies, Psychosocial Value and Family EV Ownership</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self-report data and policy perceptions rather than observed policy exposure.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data39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Cao and Zhang - Incentive Policy Perceptions and Social Attributes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Moderate sample size and cross-sectional policy-perception measures.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data43</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Han et al. - Functional and Non-Functional Values Driving EV Adoption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Single-city survey and common-method self-report data.</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Yang, </w:t>
            </w:r>
            <w:proofErr w:type="spellStart"/>
            <w:r w:rsidRPr="00D008E4">
              <w:rPr>
                <w:rFonts w:cs="Times New Roman"/>
                <w:color w:val="000000"/>
                <w:sz w:val="15"/>
              </w:rPr>
              <w:t>Tu</w:t>
            </w:r>
            <w:proofErr w:type="spellEnd"/>
            <w:r w:rsidRPr="00D008E4">
              <w:rPr>
                <w:rFonts w:cs="Times New Roman"/>
                <w:color w:val="000000"/>
                <w:sz w:val="15"/>
              </w:rPr>
              <w:t xml:space="preserve"> and Jiang - Sustainable Consumption and EV Purchase Intention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survey and broad national representativeness is unclear.</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Knowledge, Perceived Risk and Financial Incentive Policy</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design and financial policy measured through consumer perceptions.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lastRenderedPageBreak/>
              <w:t>data46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Habich-Sobiegalla</w:t>
            </w:r>
            <w:proofErr w:type="spellEnd"/>
            <w:r w:rsidRPr="00D008E4">
              <w:rPr>
                <w:rFonts w:cs="Times New Roman"/>
                <w:color w:val="000000"/>
                <w:sz w:val="15"/>
              </w:rPr>
              <w:t xml:space="preserve">, </w:t>
            </w:r>
            <w:proofErr w:type="spellStart"/>
            <w:r w:rsidRPr="00D008E4">
              <w:rPr>
                <w:rFonts w:cs="Times New Roman"/>
                <w:color w:val="000000"/>
                <w:sz w:val="15"/>
              </w:rPr>
              <w:t>Kostka</w:t>
            </w:r>
            <w:proofErr w:type="spellEnd"/>
            <w:r w:rsidRPr="00D008E4">
              <w:rPr>
                <w:rFonts w:cs="Times New Roman"/>
                <w:color w:val="000000"/>
                <w:sz w:val="15"/>
              </w:rPr>
              <w:t xml:space="preserve"> and </w:t>
            </w:r>
            <w:proofErr w:type="spellStart"/>
            <w:r w:rsidRPr="00D008E4">
              <w:rPr>
                <w:rFonts w:cs="Times New Roman"/>
                <w:color w:val="000000"/>
                <w:sz w:val="15"/>
              </w:rPr>
              <w:t>Anzinger</w:t>
            </w:r>
            <w:proofErr w:type="spellEnd"/>
            <w:r w:rsidRPr="00D008E4">
              <w:rPr>
                <w:rFonts w:cs="Times New Roman"/>
                <w:color w:val="000000"/>
                <w:sz w:val="15"/>
              </w:rPr>
              <w:t xml:space="preserve"> - Micro- and Macro-Level EV Purchase Intentions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intentions and regional indicators may not capture local charging access experienced by individuals.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data48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Du et al. - Who Buys New Energy Vehicles in China?</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Single-city setting and broad NEV definition.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Rehman</w:t>
            </w:r>
            <w:proofErr w:type="spellEnd"/>
            <w:r w:rsidRPr="00D008E4">
              <w:rPr>
                <w:rFonts w:cs="Times New Roman"/>
                <w:color w:val="000000"/>
                <w:sz w:val="15"/>
              </w:rPr>
              <w:t xml:space="preserve"> et al. - Satisfaction and Intention to Adopt BEVs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Purposive cross-sectional sampling and a very broad integrated model.</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data52</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Hu et al. - Consumers’ Intentions to Switch to EVs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Switching intention is not identical to completed purchase and remains cross-sectional.</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data54</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Dong et al. - Urban Household Purchase Intentions under Subsidy Contexts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Stated intention under a subsidy scenario may differ after subsidy withdrawal.</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data55</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r w:rsidRPr="00D008E4">
              <w:rPr>
                <w:rFonts w:cs="Times New Roman"/>
                <w:color w:val="000000"/>
                <w:sz w:val="15"/>
              </w:rPr>
              <w:t>Sovacool</w:t>
            </w:r>
            <w:proofErr w:type="spellEnd"/>
            <w:r w:rsidRPr="00D008E4">
              <w:rPr>
                <w:rFonts w:cs="Times New Roman"/>
                <w:color w:val="000000"/>
                <w:sz w:val="15"/>
              </w:rPr>
              <w:t xml:space="preserve"> et al. - Pleasure or Profit? Purchasing Intentions of Potential EV Adopters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stated willingness and broad EV category.</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data56</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 et al. - Configurations of EV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proofErr w:type="spellStart"/>
            <w:proofErr w:type="gramStart"/>
            <w:r w:rsidRPr="00D008E4">
              <w:rPr>
                <w:rFonts w:cs="Times New Roman"/>
                <w:color w:val="000000"/>
                <w:sz w:val="15"/>
              </w:rPr>
              <w:t>fsQCA</w:t>
            </w:r>
            <w:proofErr w:type="spellEnd"/>
            <w:proofErr w:type="gramEnd"/>
            <w:r w:rsidRPr="00D008E4">
              <w:rPr>
                <w:rFonts w:cs="Times New Roman"/>
                <w:color w:val="000000"/>
                <w:sz w:val="15"/>
              </w:rPr>
              <w:t xml:space="preserve"> identifies sufficient configurations rather than average net effects; findings require careful interpretation.</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data57</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Zhao et al. - Consumer Acceptance of EVs in Shanghai</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 xml:space="preserve">Shanghai’s </w:t>
            </w:r>
            <w:proofErr w:type="spellStart"/>
            <w:r w:rsidRPr="00D008E4">
              <w:rPr>
                <w:rFonts w:cs="Times New Roman"/>
                <w:color w:val="000000"/>
                <w:sz w:val="15"/>
              </w:rPr>
              <w:t>licence</w:t>
            </w:r>
            <w:proofErr w:type="spellEnd"/>
            <w:r w:rsidRPr="00D008E4">
              <w:rPr>
                <w:rFonts w:cs="Times New Roman"/>
                <w:color w:val="000000"/>
                <w:sz w:val="15"/>
              </w:rPr>
              <w:t xml:space="preserve">-plate and infrastructure context may not </w:t>
            </w:r>
            <w:proofErr w:type="spellStart"/>
            <w:r w:rsidRPr="00D008E4">
              <w:rPr>
                <w:rFonts w:cs="Times New Roman"/>
                <w:color w:val="000000"/>
                <w:sz w:val="15"/>
              </w:rPr>
              <w:t>generalise</w:t>
            </w:r>
            <w:proofErr w:type="spellEnd"/>
            <w:r w:rsidRPr="00D008E4">
              <w:rPr>
                <w:rFonts w:cs="Times New Roman"/>
                <w:color w:val="000000"/>
                <w:sz w:val="15"/>
              </w:rPr>
              <w:t xml:space="preserve"> nationally.</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data58</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Wang et al. - Intention to Adopt Hybrid Electric Vehicles</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Hybrid vehicles differ from BEVs in charging requirements and perceived technological risk.</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data59</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He, Zhan and Hu - Perception and Personality in Chinese EV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self-report design and limited evidence on actual conversion to purchase.</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data60</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Ji, Jiang and Zhu - Integrated TPB and NAM for EV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intention model and possible common-method bias.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r w:rsidR="00C40D4B" w:rsidRPr="00D008E4" w:rsidTr="0072553F">
        <w:trPr>
          <w:jc w:val="center"/>
        </w:trPr>
        <w:tc>
          <w:tcPr>
            <w:tcW w:w="72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data61</w:t>
            </w:r>
          </w:p>
        </w:tc>
        <w:tc>
          <w:tcPr>
            <w:tcW w:w="2448"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Zhao et al. - Perceived Green Value and EV Purchase Intention</w:t>
            </w:r>
          </w:p>
        </w:tc>
        <w:tc>
          <w:tcPr>
            <w:tcW w:w="864"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108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Yes</w:t>
            </w:r>
          </w:p>
        </w:tc>
        <w:tc>
          <w:tcPr>
            <w:tcW w:w="3960"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Cross-sectional self-reported green intention may be affected by social-desirability bias.</w:t>
            </w:r>
          </w:p>
        </w:tc>
        <w:tc>
          <w:tcPr>
            <w:tcW w:w="936" w:type="dxa"/>
            <w:tcMar>
              <w:top w:w="55" w:type="dxa"/>
              <w:left w:w="65" w:type="dxa"/>
              <w:bottom w:w="55" w:type="dxa"/>
              <w:right w:w="65" w:type="dxa"/>
            </w:tcMar>
            <w:vAlign w:val="center"/>
          </w:tcPr>
          <w:p w:rsidR="00C40D4B" w:rsidRPr="00D008E4" w:rsidRDefault="00C40D4B" w:rsidP="0072553F">
            <w:pPr>
              <w:spacing w:after="20" w:line="240" w:lineRule="auto"/>
              <w:rPr>
                <w:rFonts w:cs="Times New Roman"/>
                <w:sz w:val="28"/>
              </w:rPr>
            </w:pPr>
            <w:r w:rsidRPr="00D008E4">
              <w:rPr>
                <w:rFonts w:cs="Times New Roman"/>
                <w:color w:val="000000"/>
                <w:sz w:val="15"/>
              </w:rPr>
              <w:t>High</w:t>
            </w:r>
          </w:p>
        </w:tc>
      </w:tr>
    </w:tbl>
    <w:p w:rsidR="00C40D4B" w:rsidRPr="00D008E4" w:rsidRDefault="00C40D4B" w:rsidP="00C40D4B">
      <w:pPr>
        <w:rPr>
          <w:rFonts w:cs="Times New Roman"/>
          <w:sz w:val="28"/>
        </w:rPr>
      </w:pPr>
      <w:r w:rsidRPr="00D008E4">
        <w:rPr>
          <w:rFonts w:cs="Times New Roman"/>
          <w:sz w:val="28"/>
        </w:rPr>
        <w:t>Appraisal note: “High” indicates that the study met the adapted review criteria for clarity, design, sample description, analytical appropriateness and value. It does not mean the study is free from sampling, common-method, cross-sectional or intention–</w:t>
      </w:r>
      <w:proofErr w:type="spellStart"/>
      <w:r w:rsidRPr="00D008E4">
        <w:rPr>
          <w:rFonts w:cs="Times New Roman"/>
          <w:sz w:val="28"/>
        </w:rPr>
        <w:t>behaviour</w:t>
      </w:r>
      <w:proofErr w:type="spellEnd"/>
      <w:r w:rsidRPr="00D008E4">
        <w:rPr>
          <w:rFonts w:cs="Times New Roman"/>
          <w:sz w:val="28"/>
        </w:rPr>
        <w:t xml:space="preserve"> bias.</w:t>
      </w:r>
    </w:p>
    <w:p w:rsidR="00C40D4B" w:rsidRPr="00D008E4" w:rsidRDefault="00C40D4B" w:rsidP="00C40D4B">
      <w:pPr>
        <w:rPr>
          <w:rFonts w:cs="Times New Roman"/>
        </w:rPr>
      </w:pPr>
    </w:p>
    <w:sectPr w:rsidR="00C40D4B" w:rsidRPr="00D008E4" w:rsidSect="00C40D4B">
      <w:type w:val="evenPage"/>
      <w:pgSz w:w="16838" w:h="11906" w:orient="landscape"/>
      <w:pgMar w:top="936" w:right="936" w:bottom="936" w:left="936"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AAD" w:rsidRDefault="006B6AAD">
      <w:pPr>
        <w:spacing w:after="0" w:line="240" w:lineRule="auto"/>
      </w:pPr>
      <w:r>
        <w:separator/>
      </w:r>
    </w:p>
  </w:endnote>
  <w:endnote w:type="continuationSeparator" w:id="0">
    <w:p w:rsidR="006B6AAD" w:rsidRDefault="006B6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592" w:rsidRDefault="00A72592">
    <w:pPr>
      <w:pStyle w:val="Footer"/>
      <w:jc w:val="right"/>
    </w:pPr>
  </w:p>
  <w:p w:rsidR="00A72592" w:rsidRDefault="00A7259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AAD" w:rsidRDefault="006B6AAD">
      <w:pPr>
        <w:spacing w:after="0" w:line="240" w:lineRule="auto"/>
      </w:pPr>
      <w:r>
        <w:separator/>
      </w:r>
    </w:p>
  </w:footnote>
  <w:footnote w:type="continuationSeparator" w:id="0">
    <w:p w:rsidR="006B6AAD" w:rsidRDefault="006B6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592" w:rsidRDefault="00A72592">
    <w:pPr>
      <w:pStyle w:val="Header"/>
      <w:jc w:val="right"/>
    </w:pPr>
    <w:r>
      <w:rPr>
        <w:color w:val="666666"/>
        <w:sz w:val="18"/>
      </w:rPr>
      <w:t>MBA Dissertation | Electric Vehicle Purchase Intentions in China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412A"/>
    <w:rsid w:val="00034616"/>
    <w:rsid w:val="0006063C"/>
    <w:rsid w:val="00071E54"/>
    <w:rsid w:val="000A1924"/>
    <w:rsid w:val="0015074B"/>
    <w:rsid w:val="00197E50"/>
    <w:rsid w:val="001A6DD9"/>
    <w:rsid w:val="001E7A16"/>
    <w:rsid w:val="00253D3A"/>
    <w:rsid w:val="0027258F"/>
    <w:rsid w:val="0029639D"/>
    <w:rsid w:val="00326F90"/>
    <w:rsid w:val="003A4B89"/>
    <w:rsid w:val="003C20F2"/>
    <w:rsid w:val="0040239B"/>
    <w:rsid w:val="00461CB6"/>
    <w:rsid w:val="00463217"/>
    <w:rsid w:val="004E0F1F"/>
    <w:rsid w:val="00520DF1"/>
    <w:rsid w:val="005B25EC"/>
    <w:rsid w:val="005C75DC"/>
    <w:rsid w:val="005E4744"/>
    <w:rsid w:val="006311A8"/>
    <w:rsid w:val="006414A3"/>
    <w:rsid w:val="006B6AAD"/>
    <w:rsid w:val="0071332D"/>
    <w:rsid w:val="007D3608"/>
    <w:rsid w:val="008444DC"/>
    <w:rsid w:val="0087620F"/>
    <w:rsid w:val="0091635A"/>
    <w:rsid w:val="009A6FBE"/>
    <w:rsid w:val="009B4DF6"/>
    <w:rsid w:val="009C56D6"/>
    <w:rsid w:val="00A72592"/>
    <w:rsid w:val="00AA1D8D"/>
    <w:rsid w:val="00AF15B2"/>
    <w:rsid w:val="00B47730"/>
    <w:rsid w:val="00BD1281"/>
    <w:rsid w:val="00C40D4B"/>
    <w:rsid w:val="00C54C59"/>
    <w:rsid w:val="00CA3987"/>
    <w:rsid w:val="00CB0664"/>
    <w:rsid w:val="00D008E4"/>
    <w:rsid w:val="00E87650"/>
    <w:rsid w:val="00EE72EF"/>
    <w:rsid w:val="00FC693F"/>
    <w:rsid w:val="00FD16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421D42"/>
  <w14:defaultImageDpi w14:val="300"/>
  <w15:docId w15:val="{9D5B9093-0A9A-4BFD-B32B-7DF21F47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before="80" w:after="160" w:line="240" w:lineRule="auto"/>
    </w:pPr>
    <w:rPr>
      <w:b/>
      <w:bCs/>
      <w:i/>
      <w:color w:val="464646"/>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FD1680"/>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semiHidden/>
    <w:unhideWhenUsed/>
    <w:rsid w:val="00FD1680"/>
    <w:rPr>
      <w:color w:val="0000FF"/>
      <w:u w:val="single"/>
    </w:rPr>
  </w:style>
  <w:style w:type="paragraph" w:styleId="NormalWeb">
    <w:name w:val="Normal (Web)"/>
    <w:basedOn w:val="Normal"/>
    <w:uiPriority w:val="99"/>
    <w:semiHidden/>
    <w:unhideWhenUsed/>
    <w:rsid w:val="00FD1680"/>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9229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retrec.2025.101649" TargetMode="External"/><Relationship Id="rId26" Type="http://schemas.openxmlformats.org/officeDocument/2006/relationships/hyperlink" Target="https://doi.org/10.1108/IMDS-07-2020-0411" TargetMode="External"/><Relationship Id="rId39" Type="http://schemas.openxmlformats.org/officeDocument/2006/relationships/hyperlink" Target="https://doi.org/10.1007/s11116-014-9567-9" TargetMode="External"/><Relationship Id="rId21" Type="http://schemas.openxmlformats.org/officeDocument/2006/relationships/hyperlink" Target="https://doi.org/10.1016/j.jclepro.2017.05.088" TargetMode="External"/><Relationship Id="rId34" Type="http://schemas.openxmlformats.org/officeDocument/2006/relationships/hyperlink" Target="https://doi.org/10.1016/j.jclepro.2024.142371" TargetMode="External"/><Relationship Id="rId42" Type="http://schemas.openxmlformats.org/officeDocument/2006/relationships/hyperlink" Target="https://doi.org/10.1177/21582440241307759" TargetMode="External"/><Relationship Id="rId47" Type="http://schemas.openxmlformats.org/officeDocument/2006/relationships/hyperlink" Target="https://doi.org/10.3390/su12083496" TargetMode="External"/><Relationship Id="rId50" Type="http://schemas.openxmlformats.org/officeDocument/2006/relationships/hyperlink" Target="https://doi.org/10.1016/j.tra.2021.02.014" TargetMode="External"/><Relationship Id="rId55" Type="http://schemas.openxmlformats.org/officeDocument/2006/relationships/hyperlink" Target="https://doi.org/10.3390/su1717798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trf.2018.05.008" TargetMode="External"/><Relationship Id="rId29" Type="http://schemas.openxmlformats.org/officeDocument/2006/relationships/hyperlink" Target="https://doi.org/10.1016/j.tranpol.2024.11.025" TargetMode="External"/><Relationship Id="rId11" Type="http://schemas.openxmlformats.org/officeDocument/2006/relationships/image" Target="media/image4.png"/><Relationship Id="rId24" Type="http://schemas.openxmlformats.org/officeDocument/2006/relationships/hyperlink" Target="https://doi.org/10.1080/09640568.2023.2232945" TargetMode="External"/><Relationship Id="rId32" Type="http://schemas.openxmlformats.org/officeDocument/2006/relationships/hyperlink" Target="https://doi.org/10.3390/su132111719" TargetMode="External"/><Relationship Id="rId37" Type="http://schemas.openxmlformats.org/officeDocument/2006/relationships/hyperlink" Target="https://doi.org/10.1016/j.tra.2019.03.002" TargetMode="External"/><Relationship Id="rId40" Type="http://schemas.openxmlformats.org/officeDocument/2006/relationships/hyperlink" Target="https://doi.org/10.1016/j.tra.2018.08.014" TargetMode="External"/><Relationship Id="rId45" Type="http://schemas.openxmlformats.org/officeDocument/2006/relationships/hyperlink" Target="https://doi.org/10.3390/su11113168" TargetMode="External"/><Relationship Id="rId53" Type="http://schemas.openxmlformats.org/officeDocument/2006/relationships/hyperlink" Target="https://doi.org/10.1016/j.eneco.2021.105805"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doi.org/10.1016/j.tranpol.2019.05.0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sp-uk.net/casp-tools-checklists/cross-sectional-studies-checklist/" TargetMode="External"/><Relationship Id="rId22" Type="http://schemas.openxmlformats.org/officeDocument/2006/relationships/hyperlink" Target="https://doi.org/10.1016/j.jclepro.2018.08.260" TargetMode="External"/><Relationship Id="rId27" Type="http://schemas.openxmlformats.org/officeDocument/2006/relationships/hyperlink" Target="https://doi.org/10.3390/su16209092" TargetMode="External"/><Relationship Id="rId30" Type="http://schemas.openxmlformats.org/officeDocument/2006/relationships/hyperlink" Target="https://doi.org/10.1016/j.trd.2022.103383" TargetMode="External"/><Relationship Id="rId35" Type="http://schemas.openxmlformats.org/officeDocument/2006/relationships/hyperlink" Target="https://doi.org/10.1007/s10668-023-04224-7" TargetMode="External"/><Relationship Id="rId43" Type="http://schemas.openxmlformats.org/officeDocument/2006/relationships/hyperlink" Target="https://doi.org/10.3390/su14148488" TargetMode="External"/><Relationship Id="rId48" Type="http://schemas.openxmlformats.org/officeDocument/2006/relationships/hyperlink" Target="https://doi.org/10.1016/j.rser.2021.111325"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3390/wevj1301001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esr.2024.101471" TargetMode="External"/><Relationship Id="rId25" Type="http://schemas.openxmlformats.org/officeDocument/2006/relationships/hyperlink" Target="https://doi.org/10.3390/wevj16030120" TargetMode="External"/><Relationship Id="rId33" Type="http://schemas.openxmlformats.org/officeDocument/2006/relationships/hyperlink" Target="https://doi.org/10.1136/bmj.n71" TargetMode="External"/><Relationship Id="rId38" Type="http://schemas.openxmlformats.org/officeDocument/2006/relationships/hyperlink" Target="https://doi.org/10.3389/fpsyg.2022.927709" TargetMode="External"/><Relationship Id="rId46" Type="http://schemas.openxmlformats.org/officeDocument/2006/relationships/hyperlink" Target="https://doi.org/10.1016/j.enpol.2023.113732" TargetMode="External"/><Relationship Id="rId59" Type="http://schemas.openxmlformats.org/officeDocument/2006/relationships/theme" Target="theme/theme1.xml"/><Relationship Id="rId20" Type="http://schemas.openxmlformats.org/officeDocument/2006/relationships/hyperlink" Target="https://doi.org/10.1016/j.tra.2017.05.033" TargetMode="External"/><Relationship Id="rId41" Type="http://schemas.openxmlformats.org/officeDocument/2006/relationships/hyperlink" Target="https://doi.org/10.1016/j.enpol.2021.112163" TargetMode="External"/><Relationship Id="rId54" Type="http://schemas.openxmlformats.org/officeDocument/2006/relationships/hyperlink" Target="https://doi.org/10.1371/journal.pone.03292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tra.2020.03.012" TargetMode="External"/><Relationship Id="rId23" Type="http://schemas.openxmlformats.org/officeDocument/2006/relationships/hyperlink" Target="https://doi.org/10.1007/s12144-022-03253-1" TargetMode="External"/><Relationship Id="rId28" Type="http://schemas.openxmlformats.org/officeDocument/2006/relationships/hyperlink" Target="https://doi.org/10.3390/wevj12020071" TargetMode="External"/><Relationship Id="rId36" Type="http://schemas.openxmlformats.org/officeDocument/2006/relationships/hyperlink" Target="https://doi.org/10.1016/j.tranpol.2024.08.010" TargetMode="External"/><Relationship Id="rId49" Type="http://schemas.openxmlformats.org/officeDocument/2006/relationships/hyperlink" Target="https://doi.org/10.1016/j.enpol.2019.111009"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doi.org/10.3390/wevj15100437" TargetMode="External"/><Relationship Id="rId44" Type="http://schemas.openxmlformats.org/officeDocument/2006/relationships/hyperlink" Target="https://doi.org/10.1007/s11356-020-08835-9" TargetMode="External"/><Relationship Id="rId52" Type="http://schemas.openxmlformats.org/officeDocument/2006/relationships/hyperlink" Target="https://doi.org/10.3390/wevj15060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E00D19-8AD2-4762-AAE3-A6640DAA8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65</Pages>
  <Words>24601</Words>
  <Characters>140229</Characters>
  <Application>Microsoft Office Word</Application>
  <DocSecurity>0</DocSecurity>
  <Lines>1168</Lines>
  <Paragraphs>329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164501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Finas Pazhampillychira-seyed-mohamed (Student)</cp:lastModifiedBy>
  <cp:revision>22</cp:revision>
  <dcterms:created xsi:type="dcterms:W3CDTF">2013-12-23T23:15:00Z</dcterms:created>
  <dcterms:modified xsi:type="dcterms:W3CDTF">2026-08-28T11:56:00Z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4a7ae84b-b7a8-42f8-bfff-8a41babc0470</vt:lpwstr>
  </property>
</Properties>
</file>