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75FE6434" w:rsidR="00301AD0" w:rsidRDefault="001B6DB4" w:rsidP="00311044">
      <w:pPr>
        <w:tabs>
          <w:tab w:val="left" w:pos="4776"/>
        </w:tabs>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35588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74452">
              <w:rPr>
                <w:rFonts w:ascii="Tahoma" w:hAnsi="Tahoma" w:cs="Tahoma"/>
                <w:b/>
                <w:sz w:val="20"/>
                <w:szCs w:val="20"/>
              </w:rPr>
              <w:t xml:space="preserve">Danila Iulia </w:t>
            </w:r>
            <w:proofErr w:type="spellStart"/>
            <w:r w:rsidR="00D74452">
              <w:rPr>
                <w:rFonts w:ascii="Tahoma" w:hAnsi="Tahoma" w:cs="Tahoma"/>
                <w:b/>
                <w:sz w:val="20"/>
                <w:szCs w:val="20"/>
              </w:rPr>
              <w:t>Lacramioara</w:t>
            </w:r>
            <w:proofErr w:type="spellEnd"/>
          </w:p>
          <w:p w14:paraId="498F0B10" w14:textId="77777777" w:rsidR="001B69C8" w:rsidRPr="003C3341" w:rsidRDefault="001B69C8">
            <w:pPr>
              <w:rPr>
                <w:rFonts w:ascii="Tahoma" w:hAnsi="Tahoma" w:cs="Tahoma"/>
                <w:b/>
                <w:sz w:val="20"/>
                <w:szCs w:val="20"/>
              </w:rPr>
            </w:pPr>
          </w:p>
          <w:p w14:paraId="1BE02E96" w14:textId="747A867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74452">
              <w:rPr>
                <w:rFonts w:ascii="Tahoma" w:hAnsi="Tahoma" w:cs="Tahoma"/>
                <w:b/>
                <w:sz w:val="20"/>
                <w:szCs w:val="20"/>
              </w:rPr>
              <w:t>2108673</w:t>
            </w:r>
          </w:p>
        </w:tc>
        <w:tc>
          <w:tcPr>
            <w:tcW w:w="7195" w:type="dxa"/>
            <w:shd w:val="clear" w:color="auto" w:fill="8DB3E2" w:themeFill="text2" w:themeFillTint="66"/>
          </w:tcPr>
          <w:p w14:paraId="488BCD26" w14:textId="0B79E4C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74452">
              <w:rPr>
                <w:rFonts w:ascii="Tahoma" w:hAnsi="Tahoma" w:cs="Tahoma"/>
                <w:b/>
                <w:sz w:val="20"/>
                <w:szCs w:val="20"/>
              </w:rPr>
              <w:t>Hotel Placement-Food and Beverage Operations</w:t>
            </w:r>
          </w:p>
          <w:p w14:paraId="2019D1B6" w14:textId="77777777" w:rsidR="00B21F2E" w:rsidRDefault="00B21F2E" w:rsidP="00B21F2E">
            <w:pPr>
              <w:rPr>
                <w:rFonts w:ascii="Tahoma" w:hAnsi="Tahoma" w:cs="Tahoma"/>
                <w:b/>
                <w:sz w:val="20"/>
                <w:szCs w:val="20"/>
              </w:rPr>
            </w:pPr>
          </w:p>
          <w:p w14:paraId="450FE136" w14:textId="4639B3C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74452">
              <w:rPr>
                <w:rFonts w:ascii="Tahoma" w:hAnsi="Tahoma" w:cs="Tahoma"/>
                <w:b/>
                <w:sz w:val="20"/>
                <w:szCs w:val="20"/>
              </w:rPr>
              <w:t xml:space="preserve">Ffion </w:t>
            </w:r>
            <w:proofErr w:type="spellStart"/>
            <w:r w:rsidR="00D74452">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10C44FA"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D74452">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F88A4C9" w14:textId="77777777" w:rsidR="004745B9" w:rsidRDefault="004745B9" w:rsidP="00311044">
            <w:pPr>
              <w:spacing w:line="360" w:lineRule="auto"/>
              <w:ind w:firstLine="720"/>
              <w:rPr>
                <w:rFonts w:ascii="Arial" w:hAnsi="Arial" w:cs="Arial"/>
                <w:color w:val="000000"/>
              </w:rPr>
            </w:pPr>
          </w:p>
          <w:p w14:paraId="0F024E19" w14:textId="3B4966B6" w:rsidR="00311044" w:rsidRPr="00C50028" w:rsidRDefault="00311044" w:rsidP="00D02535">
            <w:pPr>
              <w:spacing w:line="360" w:lineRule="auto"/>
              <w:ind w:firstLine="720"/>
              <w:jc w:val="both"/>
              <w:rPr>
                <w:rFonts w:ascii="Arial" w:hAnsi="Arial" w:cs="Arial"/>
              </w:rPr>
            </w:pPr>
            <w:r w:rsidRPr="00C50028">
              <w:rPr>
                <w:rFonts w:ascii="Arial" w:hAnsi="Arial" w:cs="Arial"/>
              </w:rPr>
              <w:t xml:space="preserve">Food is a vital element in the daily lives of human beings. Individuals can carry out their daily activities due to consuming essential nutrients such as Vitamins that are obtained from food. However, two disturbing conditions </w:t>
            </w:r>
            <w:r w:rsidR="004745B9">
              <w:rPr>
                <w:rFonts w:ascii="Arial" w:hAnsi="Arial" w:cs="Arial"/>
              </w:rPr>
              <w:t xml:space="preserve">are </w:t>
            </w:r>
            <w:r w:rsidR="006577AE" w:rsidRPr="00C50028">
              <w:rPr>
                <w:rFonts w:ascii="Arial" w:hAnsi="Arial" w:cs="Arial"/>
              </w:rPr>
              <w:t>related</w:t>
            </w:r>
            <w:r w:rsidR="004745B9" w:rsidRPr="00C50028">
              <w:rPr>
                <w:rFonts w:ascii="Arial" w:hAnsi="Arial" w:cs="Arial"/>
              </w:rPr>
              <w:t xml:space="preserve"> to</w:t>
            </w:r>
            <w:r w:rsidRPr="00C50028">
              <w:rPr>
                <w:rFonts w:ascii="Arial" w:hAnsi="Arial" w:cs="Arial"/>
              </w:rPr>
              <w:t xml:space="preserve"> food intake. These conditions include food allergies and intolerances</w:t>
            </w:r>
            <w:r>
              <w:rPr>
                <w:rFonts w:ascii="Arial" w:hAnsi="Arial" w:cs="Arial"/>
              </w:rPr>
              <w:t>.</w:t>
            </w:r>
            <w:r w:rsidRPr="00C50028">
              <w:rPr>
                <w:rFonts w:ascii="Arial" w:hAnsi="Arial" w:cs="Arial"/>
              </w:rPr>
              <w:t xml:space="preserve"> Food allergy is characterized by an acute immune reaction to food that is not dangerous, whereas food intolerance is classified by the absence of any immune system response. Also, food intolerance is more commonly associated with digestive issues than with an immunological response</w:t>
            </w:r>
            <w:r w:rsidRPr="00174421">
              <w:rPr>
                <w:rFonts w:ascii="Arial" w:hAnsi="Arial" w:cs="Arial"/>
                <w:color w:val="222222"/>
                <w:shd w:val="clear" w:color="auto" w:fill="FFFFFF"/>
              </w:rPr>
              <w:t xml:space="preserve"> </w:t>
            </w:r>
            <w:r>
              <w:rPr>
                <w:rFonts w:ascii="Arial" w:hAnsi="Arial" w:cs="Arial"/>
                <w:color w:val="222222"/>
                <w:shd w:val="clear" w:color="auto" w:fill="FFFFFF"/>
              </w:rPr>
              <w:t>(</w:t>
            </w:r>
            <w:proofErr w:type="spellStart"/>
            <w:r>
              <w:rPr>
                <w:rFonts w:ascii="Arial" w:hAnsi="Arial" w:cs="Arial"/>
                <w:color w:val="222222"/>
                <w:shd w:val="clear" w:color="auto" w:fill="FFFFFF"/>
              </w:rPr>
              <w:t>Loh</w:t>
            </w:r>
            <w:proofErr w:type="spellEnd"/>
            <w:r>
              <w:rPr>
                <w:rFonts w:ascii="Arial" w:hAnsi="Arial" w:cs="Arial"/>
                <w:color w:val="222222"/>
                <w:shd w:val="clear" w:color="auto" w:fill="FFFFFF"/>
              </w:rPr>
              <w:t xml:space="preserve"> and Tang, </w:t>
            </w:r>
            <w:r w:rsidRPr="003E3EB7">
              <w:rPr>
                <w:rFonts w:ascii="Arial" w:hAnsi="Arial" w:cs="Arial"/>
                <w:color w:val="222222"/>
                <w:shd w:val="clear" w:color="auto" w:fill="FFFFFF"/>
              </w:rPr>
              <w:t>2018</w:t>
            </w:r>
            <w:r>
              <w:rPr>
                <w:rFonts w:ascii="Arial" w:hAnsi="Arial" w:cs="Arial"/>
                <w:color w:val="222222"/>
                <w:shd w:val="clear" w:color="auto" w:fill="FFFFFF"/>
              </w:rPr>
              <w:t>, 2043)</w:t>
            </w:r>
            <w:r w:rsidRPr="00C50028">
              <w:rPr>
                <w:rFonts w:ascii="Arial" w:hAnsi="Arial" w:cs="Arial"/>
              </w:rPr>
              <w:t xml:space="preserve">. These conditions play a significant role within the food industry since they dictate how these corporations produce food that enhances and protects consumers' health. </w:t>
            </w:r>
          </w:p>
          <w:p w14:paraId="667AD48B" w14:textId="09F62245" w:rsidR="00311044" w:rsidRPr="00C50028" w:rsidRDefault="00092CC1" w:rsidP="00D02535">
            <w:pPr>
              <w:spacing w:line="360" w:lineRule="auto"/>
              <w:jc w:val="both"/>
              <w:rPr>
                <w:rFonts w:ascii="Arial" w:hAnsi="Arial" w:cs="Arial"/>
              </w:rPr>
            </w:pPr>
            <w:r>
              <w:rPr>
                <w:rFonts w:ascii="Arial" w:hAnsi="Arial" w:cs="Arial"/>
              </w:rPr>
              <w:t xml:space="preserve">  </w:t>
            </w:r>
            <w:r w:rsidR="00311044" w:rsidRPr="00C50028">
              <w:rPr>
                <w:rFonts w:ascii="Arial" w:hAnsi="Arial" w:cs="Arial"/>
              </w:rPr>
              <w:t>Food intolerance and food allergy are sometimes confused since they have some of the same signs and symptoms. Food allergies are usually exhibited after the allergen is consumed. The reaction can be significant and fatal if left untreated for a long time. On the other hand, food intolerance produces less severe symptoms that can be treated with medication. Food allergies are typically passed down through families</w:t>
            </w:r>
            <w:r w:rsidR="00311044" w:rsidRPr="00EF4B13">
              <w:rPr>
                <w:rFonts w:ascii="Arial" w:hAnsi="Arial" w:cs="Arial"/>
                <w:color w:val="222222"/>
                <w:shd w:val="clear" w:color="auto" w:fill="FFFFFF"/>
              </w:rPr>
              <w:t xml:space="preserve"> </w:t>
            </w:r>
            <w:r w:rsidR="00311044">
              <w:rPr>
                <w:rFonts w:ascii="Arial" w:hAnsi="Arial" w:cs="Arial"/>
                <w:color w:val="222222"/>
                <w:shd w:val="clear" w:color="auto" w:fill="FFFFFF"/>
              </w:rPr>
              <w:t xml:space="preserve">(Sathe, Liu and </w:t>
            </w:r>
            <w:proofErr w:type="spellStart"/>
            <w:r w:rsidR="00311044">
              <w:rPr>
                <w:rFonts w:ascii="Arial" w:hAnsi="Arial" w:cs="Arial"/>
                <w:color w:val="222222"/>
                <w:shd w:val="clear" w:color="auto" w:fill="FFFFFF"/>
              </w:rPr>
              <w:t>Zaffran</w:t>
            </w:r>
            <w:proofErr w:type="spellEnd"/>
            <w:r w:rsidR="00311044">
              <w:rPr>
                <w:rFonts w:ascii="Arial" w:hAnsi="Arial" w:cs="Arial"/>
                <w:color w:val="222222"/>
                <w:shd w:val="clear" w:color="auto" w:fill="FFFFFF"/>
              </w:rPr>
              <w:t xml:space="preserve">, </w:t>
            </w:r>
            <w:r w:rsidR="00311044" w:rsidRPr="003E3EB7">
              <w:rPr>
                <w:rFonts w:ascii="Arial" w:hAnsi="Arial" w:cs="Arial"/>
                <w:color w:val="222222"/>
                <w:shd w:val="clear" w:color="auto" w:fill="FFFFFF"/>
              </w:rPr>
              <w:t>2016</w:t>
            </w:r>
            <w:r w:rsidR="00311044">
              <w:rPr>
                <w:rFonts w:ascii="Arial" w:hAnsi="Arial" w:cs="Arial"/>
                <w:color w:val="222222"/>
                <w:shd w:val="clear" w:color="auto" w:fill="FFFFFF"/>
              </w:rPr>
              <w:t>, 196)</w:t>
            </w:r>
            <w:r w:rsidR="00311044" w:rsidRPr="00C50028">
              <w:rPr>
                <w:rFonts w:ascii="Arial" w:hAnsi="Arial" w:cs="Arial"/>
              </w:rPr>
              <w:t xml:space="preserve">. Food intolerance, however, can affect anyone, independent of family background. Severe food allergies affect the immune system. According to </w:t>
            </w:r>
            <w:r w:rsidR="00311044">
              <w:rPr>
                <w:rFonts w:ascii="Arial" w:hAnsi="Arial" w:cs="Arial"/>
                <w:color w:val="222222"/>
                <w:shd w:val="clear" w:color="auto" w:fill="FFFFFF"/>
              </w:rPr>
              <w:t>Popping and Diaz-Amigo (</w:t>
            </w:r>
            <w:r w:rsidR="00311044" w:rsidRPr="00101F53">
              <w:rPr>
                <w:rFonts w:ascii="Arial" w:hAnsi="Arial" w:cs="Arial"/>
                <w:color w:val="222222"/>
                <w:shd w:val="clear" w:color="auto" w:fill="FFFFFF"/>
              </w:rPr>
              <w:t>2018</w:t>
            </w:r>
            <w:r w:rsidR="00311044">
              <w:rPr>
                <w:rFonts w:ascii="Arial" w:hAnsi="Arial" w:cs="Arial"/>
                <w:color w:val="222222"/>
                <w:shd w:val="clear" w:color="auto" w:fill="FFFFFF"/>
              </w:rPr>
              <w:t>, 5)</w:t>
            </w:r>
            <w:r w:rsidR="00311044" w:rsidRPr="00C50028">
              <w:rPr>
                <w:rFonts w:ascii="Arial" w:hAnsi="Arial" w:cs="Arial"/>
              </w:rPr>
              <w:t>, one might be able to eat modest amounts of the problematic food if they have a food intolerance. Besides, persons may even be able to avoid a reaction. Medical studies revealed that some of the factors that result in food intolerance include irritable bowel syndrome, sensitivity to food additives, and the absence of an enzyme required to digest the food fully</w:t>
            </w:r>
            <w:r w:rsidR="00311044" w:rsidRPr="00E17E57">
              <w:rPr>
                <w:rFonts w:ascii="Arial" w:hAnsi="Arial" w:cs="Arial"/>
                <w:color w:val="222222"/>
                <w:shd w:val="clear" w:color="auto" w:fill="FFFFFF"/>
              </w:rPr>
              <w:t xml:space="preserve"> </w:t>
            </w:r>
            <w:r w:rsidR="00311044">
              <w:rPr>
                <w:rFonts w:ascii="Arial" w:hAnsi="Arial" w:cs="Arial"/>
                <w:color w:val="222222"/>
                <w:shd w:val="clear" w:color="auto" w:fill="FFFFFF"/>
              </w:rPr>
              <w:t xml:space="preserve">(Turnbull, Adams and </w:t>
            </w:r>
            <w:proofErr w:type="spellStart"/>
            <w:r w:rsidR="00311044">
              <w:rPr>
                <w:rFonts w:ascii="Arial" w:hAnsi="Arial" w:cs="Arial"/>
                <w:color w:val="222222"/>
                <w:shd w:val="clear" w:color="auto" w:fill="FFFFFF"/>
              </w:rPr>
              <w:t>Gorard</w:t>
            </w:r>
            <w:proofErr w:type="spellEnd"/>
            <w:r w:rsidR="00311044" w:rsidRPr="003E3EB7">
              <w:rPr>
                <w:rFonts w:ascii="Arial" w:hAnsi="Arial" w:cs="Arial"/>
                <w:color w:val="222222"/>
                <w:shd w:val="clear" w:color="auto" w:fill="FFFFFF"/>
              </w:rPr>
              <w:t>, 2015</w:t>
            </w:r>
            <w:r w:rsidR="00311044">
              <w:rPr>
                <w:rFonts w:ascii="Arial" w:hAnsi="Arial" w:cs="Arial"/>
                <w:color w:val="222222"/>
                <w:shd w:val="clear" w:color="auto" w:fill="FFFFFF"/>
              </w:rPr>
              <w:t>, 15)</w:t>
            </w:r>
            <w:r w:rsidR="00311044" w:rsidRPr="00C50028">
              <w:rPr>
                <w:rFonts w:ascii="Arial" w:hAnsi="Arial" w:cs="Arial"/>
              </w:rPr>
              <w:t xml:space="preserve">. </w:t>
            </w:r>
          </w:p>
          <w:p w14:paraId="4C00C6A8" w14:textId="4DDA6E42" w:rsidR="00311044" w:rsidRPr="00C50028" w:rsidRDefault="00144F87" w:rsidP="00D02535">
            <w:pPr>
              <w:spacing w:line="360" w:lineRule="auto"/>
              <w:jc w:val="both"/>
              <w:rPr>
                <w:rFonts w:ascii="Arial" w:hAnsi="Arial" w:cs="Arial"/>
              </w:rPr>
            </w:pPr>
            <w:r>
              <w:rPr>
                <w:rFonts w:ascii="Arial" w:hAnsi="Arial" w:cs="Arial"/>
                <w:b/>
              </w:rPr>
              <w:t xml:space="preserve">  </w:t>
            </w:r>
            <w:r w:rsidR="00311044" w:rsidRPr="00C50028">
              <w:rPr>
                <w:rFonts w:ascii="Arial" w:hAnsi="Arial" w:cs="Arial"/>
              </w:rPr>
              <w:t xml:space="preserve">People should have a deeper understanding of food allergies and intolerances. Therefore, food allergy and intolerance studies </w:t>
            </w:r>
            <w:r w:rsidRPr="00C50028">
              <w:rPr>
                <w:rFonts w:ascii="Arial" w:hAnsi="Arial" w:cs="Arial"/>
              </w:rPr>
              <w:t>must</w:t>
            </w:r>
            <w:r w:rsidR="00311044" w:rsidRPr="00C50028">
              <w:rPr>
                <w:rFonts w:ascii="Arial" w:hAnsi="Arial" w:cs="Arial"/>
              </w:rPr>
              <w:t xml:space="preserve"> be done carefully as reactions can be deadly. More than 160 foods can cause allergic reactions. Nevertheless, only 14 different types of food have been identified as major allergens, and these are the ones that consumers must be made aware of if they are present in foods</w:t>
            </w:r>
            <w:r w:rsidR="00311044" w:rsidRPr="00101F53">
              <w:rPr>
                <w:rFonts w:ascii="Arial" w:hAnsi="Arial" w:cs="Arial"/>
                <w:color w:val="222222"/>
                <w:shd w:val="clear" w:color="auto" w:fill="FFFFFF"/>
              </w:rPr>
              <w:t xml:space="preserve"> </w:t>
            </w:r>
            <w:r w:rsidR="00311044">
              <w:rPr>
                <w:rFonts w:ascii="Arial" w:hAnsi="Arial" w:cs="Arial"/>
                <w:color w:val="222222"/>
                <w:shd w:val="clear" w:color="auto" w:fill="FFFFFF"/>
              </w:rPr>
              <w:t xml:space="preserve">(Iovino et al., </w:t>
            </w:r>
            <w:r w:rsidR="00311044" w:rsidRPr="00101F53">
              <w:rPr>
                <w:rFonts w:ascii="Arial" w:hAnsi="Arial" w:cs="Arial"/>
                <w:color w:val="222222"/>
                <w:shd w:val="clear" w:color="auto" w:fill="FFFFFF"/>
              </w:rPr>
              <w:t>2021</w:t>
            </w:r>
            <w:r w:rsidR="00311044">
              <w:rPr>
                <w:rFonts w:ascii="Arial" w:hAnsi="Arial" w:cs="Arial"/>
                <w:color w:val="222222"/>
                <w:shd w:val="clear" w:color="auto" w:fill="FFFFFF"/>
              </w:rPr>
              <w:t>, 1638)</w:t>
            </w:r>
            <w:r w:rsidR="00311044" w:rsidRPr="00C50028">
              <w:rPr>
                <w:rFonts w:ascii="Arial" w:hAnsi="Arial" w:cs="Arial"/>
              </w:rPr>
              <w:t xml:space="preserve">. </w:t>
            </w:r>
          </w:p>
          <w:p w14:paraId="54D1FED6" w14:textId="47112077" w:rsidR="00311044" w:rsidRPr="00C50028" w:rsidRDefault="00BD3045" w:rsidP="00D02535">
            <w:pPr>
              <w:spacing w:line="360" w:lineRule="auto"/>
              <w:ind w:firstLine="720"/>
              <w:jc w:val="both"/>
              <w:rPr>
                <w:rFonts w:ascii="Arial" w:hAnsi="Arial" w:cs="Arial"/>
              </w:rPr>
            </w:pPr>
            <w:r>
              <w:rPr>
                <w:rFonts w:ascii="Arial" w:hAnsi="Arial" w:cs="Arial"/>
              </w:rPr>
              <w:lastRenderedPageBreak/>
              <w:t xml:space="preserve">The most important thing that I have learned  on this course, was about </w:t>
            </w:r>
            <w:r w:rsidR="008C4791">
              <w:rPr>
                <w:rFonts w:ascii="Arial" w:hAnsi="Arial" w:cs="Arial"/>
              </w:rPr>
              <w:t>Natasha’s</w:t>
            </w:r>
            <w:r>
              <w:rPr>
                <w:rFonts w:ascii="Arial" w:hAnsi="Arial" w:cs="Arial"/>
              </w:rPr>
              <w:t xml:space="preserve"> law a</w:t>
            </w:r>
            <w:r w:rsidR="00594B56">
              <w:rPr>
                <w:rFonts w:ascii="Arial" w:hAnsi="Arial" w:cs="Arial"/>
              </w:rPr>
              <w:t>nd her importance in the food industry.</w:t>
            </w:r>
            <w:r>
              <w:rPr>
                <w:rFonts w:ascii="Arial" w:hAnsi="Arial" w:cs="Arial"/>
              </w:rPr>
              <w:t xml:space="preserve"> </w:t>
            </w:r>
            <w:r w:rsidR="00311044" w:rsidRPr="00C50028">
              <w:rPr>
                <w:rFonts w:ascii="Arial" w:hAnsi="Arial" w:cs="Arial"/>
              </w:rPr>
              <w:t xml:space="preserve">Food allergies and intolerances must be considered effective in the food industry. From a business perspective, considering approaches that aid in establishing measures for the typical food-allergy family is worth it. </w:t>
            </w:r>
            <w:r w:rsidR="00311044" w:rsidRPr="003E3EB7">
              <w:rPr>
                <w:rFonts w:ascii="Arial" w:hAnsi="Arial" w:cs="Arial"/>
                <w:color w:val="222222"/>
                <w:shd w:val="clear" w:color="auto" w:fill="FFFFFF"/>
              </w:rPr>
              <w:t>Chid</w:t>
            </w:r>
            <w:r w:rsidR="00311044">
              <w:rPr>
                <w:rFonts w:ascii="Arial" w:hAnsi="Arial" w:cs="Arial"/>
                <w:color w:val="222222"/>
                <w:shd w:val="clear" w:color="auto" w:fill="FFFFFF"/>
              </w:rPr>
              <w:t>ambaram et al. (</w:t>
            </w:r>
            <w:r w:rsidR="00311044" w:rsidRPr="003E3EB7">
              <w:rPr>
                <w:rFonts w:ascii="Arial" w:hAnsi="Arial" w:cs="Arial"/>
                <w:color w:val="222222"/>
                <w:shd w:val="clear" w:color="auto" w:fill="FFFFFF"/>
              </w:rPr>
              <w:t>2020</w:t>
            </w:r>
            <w:r w:rsidR="00311044">
              <w:rPr>
                <w:rFonts w:ascii="Arial" w:hAnsi="Arial" w:cs="Arial"/>
                <w:color w:val="222222"/>
                <w:shd w:val="clear" w:color="auto" w:fill="FFFFFF"/>
              </w:rPr>
              <w:t>, 1</w:t>
            </w:r>
            <w:r w:rsidR="00311044" w:rsidRPr="003E3EB7">
              <w:rPr>
                <w:rFonts w:ascii="Arial" w:hAnsi="Arial" w:cs="Arial"/>
                <w:color w:val="222222"/>
                <w:shd w:val="clear" w:color="auto" w:fill="FFFFFF"/>
              </w:rPr>
              <w:t>09780</w:t>
            </w:r>
            <w:r w:rsidR="00311044">
              <w:rPr>
                <w:rFonts w:ascii="Arial" w:hAnsi="Arial" w:cs="Arial"/>
                <w:color w:val="222222"/>
                <w:shd w:val="clear" w:color="auto" w:fill="FFFFFF"/>
              </w:rPr>
              <w:t xml:space="preserve">) </w:t>
            </w:r>
            <w:r w:rsidR="00311044" w:rsidRPr="00C50028">
              <w:rPr>
                <w:rFonts w:ascii="Arial" w:hAnsi="Arial" w:cs="Arial"/>
              </w:rPr>
              <w:t>report that such individuals are loyal to brands they can trust as they have spent approximately 1.7 billion US dollars each year on food products</w:t>
            </w:r>
            <w:r w:rsidR="00311044" w:rsidRPr="004A75CF">
              <w:rPr>
                <w:rFonts w:ascii="Arial" w:hAnsi="Arial" w:cs="Arial"/>
              </w:rPr>
              <w:t xml:space="preserve"> </w:t>
            </w:r>
            <w:r w:rsidR="00311044">
              <w:rPr>
                <w:rFonts w:ascii="Arial" w:hAnsi="Arial" w:cs="Arial"/>
              </w:rPr>
              <w:t xml:space="preserve">(Corriere, </w:t>
            </w:r>
            <w:r w:rsidR="00311044" w:rsidRPr="00172414">
              <w:rPr>
                <w:rFonts w:ascii="Arial" w:hAnsi="Arial" w:cs="Arial"/>
              </w:rPr>
              <w:t>2015</w:t>
            </w:r>
            <w:r w:rsidR="00311044">
              <w:rPr>
                <w:rFonts w:ascii="Arial" w:hAnsi="Arial" w:cs="Arial"/>
              </w:rPr>
              <w:t>, 1</w:t>
            </w:r>
            <w:r w:rsidR="00311044" w:rsidRPr="00172414">
              <w:rPr>
                <w:rFonts w:ascii="Arial" w:hAnsi="Arial" w:cs="Arial"/>
              </w:rPr>
              <w:t>)</w:t>
            </w:r>
            <w:r w:rsidR="00311044" w:rsidRPr="00C50028">
              <w:rPr>
                <w:rFonts w:ascii="Arial" w:hAnsi="Arial" w:cs="Arial"/>
              </w:rPr>
              <w:t xml:space="preserve">. Therefore, maintaining safety and a safe environment for people in </w:t>
            </w:r>
            <w:r w:rsidR="008C4791">
              <w:rPr>
                <w:rFonts w:ascii="Arial" w:hAnsi="Arial" w:cs="Arial"/>
              </w:rPr>
              <w:t>Hospitality Industry</w:t>
            </w:r>
            <w:r w:rsidR="00311044" w:rsidRPr="00C50028">
              <w:rPr>
                <w:rFonts w:ascii="Arial" w:hAnsi="Arial" w:cs="Arial"/>
              </w:rPr>
              <w:t xml:space="preserve"> is an importan</w:t>
            </w:r>
            <w:r w:rsidR="00311044">
              <w:rPr>
                <w:rFonts w:ascii="Arial" w:hAnsi="Arial" w:cs="Arial"/>
              </w:rPr>
              <w:t>t procedure</w:t>
            </w:r>
            <w:r w:rsidR="00311044" w:rsidRPr="00C50028">
              <w:rPr>
                <w:rFonts w:ascii="Arial" w:hAnsi="Arial" w:cs="Arial"/>
              </w:rPr>
              <w:t>. Further, a complete training program for back-of-the-house and wait personnel should be implemented to prevent cross-contamination of cooking tools and surfaces, focusing on handwashing</w:t>
            </w:r>
            <w:r w:rsidR="00311044" w:rsidRPr="003E3EB7">
              <w:rPr>
                <w:rFonts w:ascii="Arial" w:hAnsi="Arial" w:cs="Arial"/>
                <w:color w:val="222222"/>
                <w:shd w:val="clear" w:color="auto" w:fill="FFFFFF"/>
              </w:rPr>
              <w:t xml:space="preserve"> </w:t>
            </w:r>
            <w:r w:rsidR="00311044">
              <w:rPr>
                <w:rFonts w:ascii="Arial" w:hAnsi="Arial" w:cs="Arial"/>
                <w:color w:val="222222"/>
                <w:shd w:val="clear" w:color="auto" w:fill="FFFFFF"/>
              </w:rPr>
              <w:t>(</w:t>
            </w:r>
            <w:proofErr w:type="spellStart"/>
            <w:r w:rsidR="00311044">
              <w:rPr>
                <w:rFonts w:ascii="Arial" w:hAnsi="Arial" w:cs="Arial"/>
                <w:color w:val="222222"/>
                <w:shd w:val="clear" w:color="auto" w:fill="FFFFFF"/>
              </w:rPr>
              <w:t>Oettgen</w:t>
            </w:r>
            <w:proofErr w:type="spellEnd"/>
            <w:r w:rsidR="00311044">
              <w:rPr>
                <w:rFonts w:ascii="Arial" w:hAnsi="Arial" w:cs="Arial"/>
                <w:color w:val="222222"/>
                <w:shd w:val="clear" w:color="auto" w:fill="FFFFFF"/>
              </w:rPr>
              <w:t xml:space="preserve">, </w:t>
            </w:r>
            <w:r w:rsidR="00311044" w:rsidRPr="003E3EB7">
              <w:rPr>
                <w:rFonts w:ascii="Arial" w:hAnsi="Arial" w:cs="Arial"/>
                <w:color w:val="222222"/>
                <w:shd w:val="clear" w:color="auto" w:fill="FFFFFF"/>
              </w:rPr>
              <w:t>2018</w:t>
            </w:r>
            <w:r w:rsidR="00311044">
              <w:rPr>
                <w:rFonts w:ascii="Arial" w:hAnsi="Arial" w:cs="Arial"/>
                <w:color w:val="222222"/>
                <w:shd w:val="clear" w:color="auto" w:fill="FFFFFF"/>
              </w:rPr>
              <w:t>, 10)</w:t>
            </w:r>
            <w:r w:rsidR="00311044" w:rsidRPr="00C50028">
              <w:rPr>
                <w:rFonts w:ascii="Arial" w:hAnsi="Arial" w:cs="Arial"/>
              </w:rPr>
              <w:t>. Finally, smart allergy families are warned to watch the tone and confidence the staff answers allergy-related inquiries regarding their establishment, whether it is a hotel or a restaurant. If they are hesitant or unsure of the replies, the potential consumer will likely go somewhere else.</w:t>
            </w:r>
          </w:p>
          <w:p w14:paraId="486C766C" w14:textId="7ACE320B" w:rsidR="00311044" w:rsidRDefault="00311044" w:rsidP="00D02535">
            <w:pPr>
              <w:spacing w:line="360" w:lineRule="auto"/>
              <w:ind w:firstLine="720"/>
              <w:jc w:val="both"/>
              <w:rPr>
                <w:rFonts w:ascii="Arial" w:hAnsi="Arial" w:cs="Arial"/>
              </w:rPr>
            </w:pPr>
            <w:r>
              <w:rPr>
                <w:rFonts w:ascii="Arial" w:hAnsi="Arial" w:cs="Arial"/>
              </w:rPr>
              <w:t>F</w:t>
            </w:r>
            <w:r w:rsidRPr="00C50028">
              <w:rPr>
                <w:rFonts w:ascii="Arial" w:hAnsi="Arial" w:cs="Arial"/>
              </w:rPr>
              <w:t>ood allergie</w:t>
            </w:r>
            <w:r>
              <w:rPr>
                <w:rFonts w:ascii="Arial" w:hAnsi="Arial" w:cs="Arial"/>
              </w:rPr>
              <w:t>s and intolerances are</w:t>
            </w:r>
            <w:r w:rsidRPr="00C50028">
              <w:rPr>
                <w:rFonts w:ascii="Arial" w:hAnsi="Arial" w:cs="Arial"/>
              </w:rPr>
              <w:t xml:space="preserve"> important in the food industry.</w:t>
            </w:r>
            <w:r w:rsidR="00D948E8">
              <w:rPr>
                <w:rFonts w:ascii="Arial" w:hAnsi="Arial" w:cs="Arial"/>
              </w:rPr>
              <w:t xml:space="preserve"> I believe that p</w:t>
            </w:r>
            <w:r w:rsidR="008A3298">
              <w:rPr>
                <w:rFonts w:ascii="Arial" w:hAnsi="Arial" w:cs="Arial"/>
              </w:rPr>
              <w:t xml:space="preserve">eople with allergies should mention </w:t>
            </w:r>
            <w:r w:rsidR="00D948E8">
              <w:rPr>
                <w:rFonts w:ascii="Arial" w:hAnsi="Arial" w:cs="Arial"/>
              </w:rPr>
              <w:t>any food intolerance or allergy</w:t>
            </w:r>
            <w:r w:rsidR="008A3298">
              <w:rPr>
                <w:rFonts w:ascii="Arial" w:hAnsi="Arial" w:cs="Arial"/>
              </w:rPr>
              <w:t xml:space="preserve"> when they go </w:t>
            </w:r>
            <w:r w:rsidR="00D948E8">
              <w:rPr>
                <w:rFonts w:ascii="Arial" w:hAnsi="Arial" w:cs="Arial"/>
              </w:rPr>
              <w:t xml:space="preserve">anywhere outside their  own house to eat or drink. </w:t>
            </w:r>
            <w:r w:rsidRPr="00C50028">
              <w:rPr>
                <w:rFonts w:ascii="Arial" w:hAnsi="Arial" w:cs="Arial"/>
              </w:rPr>
              <w:t>These two health conditions appear to be the same,</w:t>
            </w:r>
            <w:r>
              <w:rPr>
                <w:rFonts w:ascii="Arial" w:hAnsi="Arial" w:cs="Arial"/>
              </w:rPr>
              <w:t xml:space="preserve"> yet they are not. </w:t>
            </w:r>
            <w:r w:rsidRPr="00C50028">
              <w:rPr>
                <w:rFonts w:ascii="Arial" w:hAnsi="Arial" w:cs="Arial"/>
              </w:rPr>
              <w:t>Maintaining a safe and secure workplace for everyone, including people with food allergies and intolerances, is critical in the hospitality industry. Instructing housekeeping to be on the lookout for food known to cause high cases of allergies and intolerances and sterilizing equipment before the next customer checks in are procedures that may be carried out to help such persons.</w:t>
            </w:r>
            <w:r w:rsidR="00C86187">
              <w:rPr>
                <w:rFonts w:ascii="Arial" w:hAnsi="Arial" w:cs="Arial"/>
              </w:rPr>
              <w:t xml:space="preserve"> Everyone should do their part and take more serios this health conditions as it can cost someone’s life</w:t>
            </w:r>
            <w:r w:rsidR="00CF3CB2">
              <w:rPr>
                <w:rFonts w:ascii="Arial" w:hAnsi="Arial" w:cs="Arial"/>
              </w:rPr>
              <w:t>. As per example, in my case, at my workplace, they were not taking so serios this health problems until I have told them about Natasha’s Law. Any changes in the menu needs to be communicated immediately with all the staff</w:t>
            </w:r>
            <w:r w:rsidR="00BF2D0A">
              <w:rPr>
                <w:rFonts w:ascii="Arial" w:hAnsi="Arial" w:cs="Arial"/>
              </w:rPr>
              <w:t>. Every customer that come to eat at the restaurant needs to feel safe. Let’s not disappoint them</w:t>
            </w:r>
            <w:r w:rsidR="007848F0">
              <w:rPr>
                <w:rFonts w:ascii="Arial" w:hAnsi="Arial" w:cs="Arial"/>
              </w:rPr>
              <w:t>.</w:t>
            </w:r>
          </w:p>
          <w:p w14:paraId="0407E6ED" w14:textId="77777777" w:rsidR="00311044" w:rsidRDefault="00311044" w:rsidP="00311044">
            <w:pPr>
              <w:spacing w:line="360" w:lineRule="auto"/>
              <w:ind w:firstLine="720"/>
              <w:jc w:val="center"/>
              <w:rPr>
                <w:rFonts w:ascii="Arial" w:hAnsi="Arial" w:cs="Arial"/>
                <w:b/>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387FFBC" w:rsidR="00375882" w:rsidRPr="00946B23" w:rsidRDefault="00375882" w:rsidP="007F6692">
            <w:pPr>
              <w:rPr>
                <w:rFonts w:ascii="Tahoma" w:hAnsi="Tahoma" w:cs="Tahoma"/>
                <w:b/>
                <w:sz w:val="20"/>
                <w:szCs w:val="20"/>
              </w:rPr>
            </w:pP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45D75128" w14:textId="77777777" w:rsidR="007848F0" w:rsidRDefault="007848F0" w:rsidP="007848F0">
            <w:pPr>
              <w:spacing w:line="360" w:lineRule="auto"/>
              <w:jc w:val="center"/>
              <w:rPr>
                <w:rFonts w:ascii="Arial" w:hAnsi="Arial" w:cs="Arial"/>
                <w:b/>
              </w:rPr>
            </w:pPr>
            <w:r w:rsidRPr="00E01AEB">
              <w:rPr>
                <w:rFonts w:ascii="Arial" w:hAnsi="Arial" w:cs="Arial"/>
                <w:b/>
              </w:rPr>
              <w:t>References</w:t>
            </w:r>
          </w:p>
          <w:p w14:paraId="705143DE" w14:textId="77777777" w:rsidR="007848F0" w:rsidRPr="003E3EB7" w:rsidRDefault="007848F0" w:rsidP="007848F0">
            <w:pPr>
              <w:spacing w:line="360" w:lineRule="auto"/>
              <w:ind w:left="720" w:hanging="720"/>
              <w:rPr>
                <w:rFonts w:ascii="Arial" w:hAnsi="Arial" w:cs="Arial"/>
              </w:rPr>
            </w:pPr>
            <w:r w:rsidRPr="003E3EB7">
              <w:rPr>
                <w:rFonts w:ascii="Arial" w:hAnsi="Arial" w:cs="Arial"/>
              </w:rPr>
              <w:t xml:space="preserve">Corriere, K. (2015). Successful food allergy strategies for hotels and restaurants. Retrieved from: </w:t>
            </w:r>
            <w:hyperlink r:id="rId7" w:history="1">
              <w:r w:rsidRPr="003E3EB7">
                <w:rPr>
                  <w:rStyle w:val="Hyperlink"/>
                  <w:rFonts w:ascii="Arial" w:hAnsi="Arial" w:cs="Arial"/>
                </w:rPr>
                <w:t>http://exclusive.multibriefs.com/content/successful-food-allergy-strategies-for-hotels-and-restaurants/travel-hospitality-event-management</w:t>
              </w:r>
            </w:hyperlink>
          </w:p>
          <w:p w14:paraId="78A5A1C4" w14:textId="77777777" w:rsidR="007848F0" w:rsidRPr="003E3EB7" w:rsidRDefault="007848F0" w:rsidP="007848F0">
            <w:pPr>
              <w:spacing w:line="360" w:lineRule="auto"/>
              <w:ind w:left="720" w:hanging="720"/>
              <w:rPr>
                <w:rFonts w:ascii="Arial" w:hAnsi="Arial" w:cs="Arial"/>
                <w:color w:val="222222"/>
                <w:shd w:val="clear" w:color="auto" w:fill="FFFFFF"/>
              </w:rPr>
            </w:pPr>
            <w:r w:rsidRPr="003E3EB7">
              <w:rPr>
                <w:rFonts w:ascii="Arial" w:hAnsi="Arial" w:cs="Arial"/>
                <w:color w:val="222222"/>
                <w:shd w:val="clear" w:color="auto" w:fill="FFFFFF"/>
              </w:rPr>
              <w:t xml:space="preserve">Gargano, D., </w:t>
            </w:r>
            <w:proofErr w:type="spellStart"/>
            <w:r w:rsidRPr="003E3EB7">
              <w:rPr>
                <w:rFonts w:ascii="Arial" w:hAnsi="Arial" w:cs="Arial"/>
                <w:color w:val="222222"/>
                <w:shd w:val="clear" w:color="auto" w:fill="FFFFFF"/>
              </w:rPr>
              <w:t>Appanna</w:t>
            </w:r>
            <w:proofErr w:type="spellEnd"/>
            <w:r w:rsidRPr="003E3EB7">
              <w:rPr>
                <w:rFonts w:ascii="Arial" w:hAnsi="Arial" w:cs="Arial"/>
                <w:color w:val="222222"/>
                <w:shd w:val="clear" w:color="auto" w:fill="FFFFFF"/>
              </w:rPr>
              <w:t xml:space="preserve">, R., </w:t>
            </w:r>
            <w:proofErr w:type="spellStart"/>
            <w:r w:rsidRPr="003E3EB7">
              <w:rPr>
                <w:rFonts w:ascii="Arial" w:hAnsi="Arial" w:cs="Arial"/>
                <w:color w:val="222222"/>
                <w:shd w:val="clear" w:color="auto" w:fill="FFFFFF"/>
              </w:rPr>
              <w:t>Santonicola</w:t>
            </w:r>
            <w:proofErr w:type="spellEnd"/>
            <w:r w:rsidRPr="003E3EB7">
              <w:rPr>
                <w:rFonts w:ascii="Arial" w:hAnsi="Arial" w:cs="Arial"/>
                <w:color w:val="222222"/>
                <w:shd w:val="clear" w:color="auto" w:fill="FFFFFF"/>
              </w:rPr>
              <w:t xml:space="preserve">, A., De </w:t>
            </w:r>
            <w:proofErr w:type="spellStart"/>
            <w:r w:rsidRPr="003E3EB7">
              <w:rPr>
                <w:rFonts w:ascii="Arial" w:hAnsi="Arial" w:cs="Arial"/>
                <w:color w:val="222222"/>
                <w:shd w:val="clear" w:color="auto" w:fill="FFFFFF"/>
              </w:rPr>
              <w:t>Bartolomeis</w:t>
            </w:r>
            <w:proofErr w:type="spellEnd"/>
            <w:r w:rsidRPr="003E3EB7">
              <w:rPr>
                <w:rFonts w:ascii="Arial" w:hAnsi="Arial" w:cs="Arial"/>
                <w:color w:val="222222"/>
                <w:shd w:val="clear" w:color="auto" w:fill="FFFFFF"/>
              </w:rPr>
              <w:t xml:space="preserve">, F., </w:t>
            </w:r>
            <w:proofErr w:type="spellStart"/>
            <w:r w:rsidRPr="003E3EB7">
              <w:rPr>
                <w:rFonts w:ascii="Arial" w:hAnsi="Arial" w:cs="Arial"/>
                <w:color w:val="222222"/>
                <w:shd w:val="clear" w:color="auto" w:fill="FFFFFF"/>
              </w:rPr>
              <w:t>Stellato</w:t>
            </w:r>
            <w:proofErr w:type="spellEnd"/>
            <w:r w:rsidRPr="003E3EB7">
              <w:rPr>
                <w:rFonts w:ascii="Arial" w:hAnsi="Arial" w:cs="Arial"/>
                <w:color w:val="222222"/>
                <w:shd w:val="clear" w:color="auto" w:fill="FFFFFF"/>
              </w:rPr>
              <w:t xml:space="preserve">, C., </w:t>
            </w:r>
            <w:proofErr w:type="spellStart"/>
            <w:r w:rsidRPr="003E3EB7">
              <w:rPr>
                <w:rFonts w:ascii="Arial" w:hAnsi="Arial" w:cs="Arial"/>
                <w:color w:val="222222"/>
                <w:shd w:val="clear" w:color="auto" w:fill="FFFFFF"/>
              </w:rPr>
              <w:t>Cianferoni</w:t>
            </w:r>
            <w:proofErr w:type="spellEnd"/>
            <w:r w:rsidRPr="003E3EB7">
              <w:rPr>
                <w:rFonts w:ascii="Arial" w:hAnsi="Arial" w:cs="Arial"/>
                <w:color w:val="222222"/>
                <w:shd w:val="clear" w:color="auto" w:fill="FFFFFF"/>
              </w:rPr>
              <w:t xml:space="preserve">, A., </w:t>
            </w:r>
            <w:proofErr w:type="spellStart"/>
            <w:r w:rsidRPr="003E3EB7">
              <w:rPr>
                <w:rFonts w:ascii="Arial" w:hAnsi="Arial" w:cs="Arial"/>
                <w:color w:val="222222"/>
                <w:shd w:val="clear" w:color="auto" w:fill="FFFFFF"/>
              </w:rPr>
              <w:t>Casolaro</w:t>
            </w:r>
            <w:proofErr w:type="spellEnd"/>
            <w:r w:rsidRPr="003E3EB7">
              <w:rPr>
                <w:rFonts w:ascii="Arial" w:hAnsi="Arial" w:cs="Arial"/>
                <w:color w:val="222222"/>
                <w:shd w:val="clear" w:color="auto" w:fill="FFFFFF"/>
              </w:rPr>
              <w:t>, V. and Iovino, P., 2021. Food allergy and intolerance: A narrative review on nutritional concerns. </w:t>
            </w:r>
            <w:r w:rsidRPr="003E3EB7">
              <w:rPr>
                <w:rFonts w:ascii="Arial" w:hAnsi="Arial" w:cs="Arial"/>
                <w:i/>
                <w:iCs/>
                <w:color w:val="222222"/>
                <w:shd w:val="clear" w:color="auto" w:fill="FFFFFF"/>
              </w:rPr>
              <w:t>Nutrients</w:t>
            </w:r>
            <w:r w:rsidRPr="003E3EB7">
              <w:rPr>
                <w:rFonts w:ascii="Arial" w:hAnsi="Arial" w:cs="Arial"/>
                <w:color w:val="222222"/>
                <w:shd w:val="clear" w:color="auto" w:fill="FFFFFF"/>
              </w:rPr>
              <w:t>, </w:t>
            </w:r>
            <w:r w:rsidRPr="003E3EB7">
              <w:rPr>
                <w:rFonts w:ascii="Arial" w:hAnsi="Arial" w:cs="Arial"/>
                <w:i/>
                <w:iCs/>
                <w:color w:val="222222"/>
                <w:shd w:val="clear" w:color="auto" w:fill="FFFFFF"/>
              </w:rPr>
              <w:t>13</w:t>
            </w:r>
            <w:r w:rsidRPr="003E3EB7">
              <w:rPr>
                <w:rFonts w:ascii="Arial" w:hAnsi="Arial" w:cs="Arial"/>
                <w:color w:val="222222"/>
                <w:shd w:val="clear" w:color="auto" w:fill="FFFFFF"/>
              </w:rPr>
              <w:t>(5), p.1638.</w:t>
            </w:r>
          </w:p>
          <w:p w14:paraId="053BE1CE" w14:textId="77777777" w:rsidR="007848F0" w:rsidRPr="003E3EB7" w:rsidRDefault="007848F0" w:rsidP="007848F0">
            <w:pPr>
              <w:spacing w:line="360" w:lineRule="auto"/>
              <w:ind w:left="720" w:hanging="720"/>
              <w:rPr>
                <w:rFonts w:ascii="Arial" w:hAnsi="Arial" w:cs="Arial"/>
                <w:color w:val="222222"/>
                <w:shd w:val="clear" w:color="auto" w:fill="FFFFFF"/>
              </w:rPr>
            </w:pPr>
            <w:proofErr w:type="spellStart"/>
            <w:r w:rsidRPr="003E3EB7">
              <w:rPr>
                <w:rFonts w:ascii="Arial" w:hAnsi="Arial" w:cs="Arial"/>
                <w:color w:val="222222"/>
                <w:shd w:val="clear" w:color="auto" w:fill="FFFFFF"/>
              </w:rPr>
              <w:t>Loh</w:t>
            </w:r>
            <w:proofErr w:type="spellEnd"/>
            <w:r w:rsidRPr="003E3EB7">
              <w:rPr>
                <w:rFonts w:ascii="Arial" w:hAnsi="Arial" w:cs="Arial"/>
                <w:color w:val="222222"/>
                <w:shd w:val="clear" w:color="auto" w:fill="FFFFFF"/>
              </w:rPr>
              <w:t>, W. and Tang, M.L., 2018. The epidemiology of food allergy in the global context. </w:t>
            </w:r>
            <w:r w:rsidRPr="003E3EB7">
              <w:rPr>
                <w:rFonts w:ascii="Arial" w:hAnsi="Arial" w:cs="Arial"/>
                <w:i/>
                <w:iCs/>
                <w:color w:val="222222"/>
                <w:shd w:val="clear" w:color="auto" w:fill="FFFFFF"/>
              </w:rPr>
              <w:t>International journal of environmental research and public health</w:t>
            </w:r>
            <w:r w:rsidRPr="003E3EB7">
              <w:rPr>
                <w:rFonts w:ascii="Arial" w:hAnsi="Arial" w:cs="Arial"/>
                <w:color w:val="222222"/>
                <w:shd w:val="clear" w:color="auto" w:fill="FFFFFF"/>
              </w:rPr>
              <w:t>, </w:t>
            </w:r>
            <w:r w:rsidRPr="003E3EB7">
              <w:rPr>
                <w:rFonts w:ascii="Arial" w:hAnsi="Arial" w:cs="Arial"/>
                <w:i/>
                <w:iCs/>
                <w:color w:val="222222"/>
                <w:shd w:val="clear" w:color="auto" w:fill="FFFFFF"/>
              </w:rPr>
              <w:t>15</w:t>
            </w:r>
            <w:r w:rsidRPr="003E3EB7">
              <w:rPr>
                <w:rFonts w:ascii="Arial" w:hAnsi="Arial" w:cs="Arial"/>
                <w:color w:val="222222"/>
                <w:shd w:val="clear" w:color="auto" w:fill="FFFFFF"/>
              </w:rPr>
              <w:t>(9), p.2043.</w:t>
            </w:r>
          </w:p>
          <w:p w14:paraId="65524A37" w14:textId="77777777" w:rsidR="007848F0" w:rsidRPr="003E3EB7" w:rsidRDefault="007848F0" w:rsidP="007848F0">
            <w:pPr>
              <w:spacing w:line="360" w:lineRule="auto"/>
              <w:ind w:left="720" w:hanging="720"/>
              <w:rPr>
                <w:rFonts w:ascii="Arial" w:hAnsi="Arial" w:cs="Arial"/>
                <w:color w:val="222222"/>
                <w:shd w:val="clear" w:color="auto" w:fill="FFFFFF"/>
              </w:rPr>
            </w:pPr>
            <w:proofErr w:type="spellStart"/>
            <w:r w:rsidRPr="003E3EB7">
              <w:rPr>
                <w:rFonts w:ascii="Arial" w:hAnsi="Arial" w:cs="Arial"/>
                <w:color w:val="222222"/>
                <w:shd w:val="clear" w:color="auto" w:fill="FFFFFF"/>
              </w:rPr>
              <w:t>Muthukumar</w:t>
            </w:r>
            <w:proofErr w:type="spellEnd"/>
            <w:r w:rsidRPr="003E3EB7">
              <w:rPr>
                <w:rFonts w:ascii="Arial" w:hAnsi="Arial" w:cs="Arial"/>
                <w:color w:val="222222"/>
                <w:shd w:val="clear" w:color="auto" w:fill="FFFFFF"/>
              </w:rPr>
              <w:t xml:space="preserve">, J., </w:t>
            </w:r>
            <w:proofErr w:type="spellStart"/>
            <w:r w:rsidRPr="003E3EB7">
              <w:rPr>
                <w:rFonts w:ascii="Arial" w:hAnsi="Arial" w:cs="Arial"/>
                <w:color w:val="222222"/>
                <w:shd w:val="clear" w:color="auto" w:fill="FFFFFF"/>
              </w:rPr>
              <w:t>Selvasekaran</w:t>
            </w:r>
            <w:proofErr w:type="spellEnd"/>
            <w:r w:rsidRPr="003E3EB7">
              <w:rPr>
                <w:rFonts w:ascii="Arial" w:hAnsi="Arial" w:cs="Arial"/>
                <w:color w:val="222222"/>
                <w:shd w:val="clear" w:color="auto" w:fill="FFFFFF"/>
              </w:rPr>
              <w:t xml:space="preserve">, P., </w:t>
            </w:r>
            <w:proofErr w:type="spellStart"/>
            <w:r w:rsidRPr="003E3EB7">
              <w:rPr>
                <w:rFonts w:ascii="Arial" w:hAnsi="Arial" w:cs="Arial"/>
                <w:color w:val="222222"/>
                <w:shd w:val="clear" w:color="auto" w:fill="FFFFFF"/>
              </w:rPr>
              <w:t>Lokanadham</w:t>
            </w:r>
            <w:proofErr w:type="spellEnd"/>
            <w:r w:rsidRPr="003E3EB7">
              <w:rPr>
                <w:rFonts w:ascii="Arial" w:hAnsi="Arial" w:cs="Arial"/>
                <w:color w:val="222222"/>
                <w:shd w:val="clear" w:color="auto" w:fill="FFFFFF"/>
              </w:rPr>
              <w:t>, M. and Chidambaram, R., 2020. Food and food products associated with food allergy and food intolerance–An overview. </w:t>
            </w:r>
            <w:r w:rsidRPr="003E3EB7">
              <w:rPr>
                <w:rFonts w:ascii="Arial" w:hAnsi="Arial" w:cs="Arial"/>
                <w:i/>
                <w:iCs/>
                <w:color w:val="222222"/>
                <w:shd w:val="clear" w:color="auto" w:fill="FFFFFF"/>
              </w:rPr>
              <w:t>Food Research International</w:t>
            </w:r>
            <w:r w:rsidRPr="003E3EB7">
              <w:rPr>
                <w:rFonts w:ascii="Arial" w:hAnsi="Arial" w:cs="Arial"/>
                <w:color w:val="222222"/>
                <w:shd w:val="clear" w:color="auto" w:fill="FFFFFF"/>
              </w:rPr>
              <w:t>, </w:t>
            </w:r>
            <w:r w:rsidRPr="003E3EB7">
              <w:rPr>
                <w:rFonts w:ascii="Arial" w:hAnsi="Arial" w:cs="Arial"/>
                <w:i/>
                <w:iCs/>
                <w:color w:val="222222"/>
                <w:shd w:val="clear" w:color="auto" w:fill="FFFFFF"/>
              </w:rPr>
              <w:t>138</w:t>
            </w:r>
            <w:r w:rsidRPr="003E3EB7">
              <w:rPr>
                <w:rFonts w:ascii="Arial" w:hAnsi="Arial" w:cs="Arial"/>
                <w:color w:val="222222"/>
                <w:shd w:val="clear" w:color="auto" w:fill="FFFFFF"/>
              </w:rPr>
              <w:t>, p.109780.</w:t>
            </w:r>
          </w:p>
          <w:p w14:paraId="20F60A88" w14:textId="77777777" w:rsidR="007848F0" w:rsidRPr="003E3EB7" w:rsidRDefault="007848F0" w:rsidP="007848F0">
            <w:pPr>
              <w:spacing w:line="360" w:lineRule="auto"/>
              <w:ind w:left="720" w:hanging="720"/>
              <w:rPr>
                <w:rFonts w:ascii="Arial" w:hAnsi="Arial" w:cs="Arial"/>
                <w:color w:val="222222"/>
                <w:shd w:val="clear" w:color="auto" w:fill="FFFFFF"/>
              </w:rPr>
            </w:pPr>
            <w:r w:rsidRPr="003E3EB7">
              <w:rPr>
                <w:rFonts w:ascii="Arial" w:hAnsi="Arial" w:cs="Arial"/>
                <w:color w:val="222222"/>
                <w:shd w:val="clear" w:color="auto" w:fill="FFFFFF"/>
              </w:rPr>
              <w:t xml:space="preserve">Popping, B. and Diaz-Amigo, C., 2018. European regulations for </w:t>
            </w:r>
            <w:proofErr w:type="spellStart"/>
            <w:r w:rsidRPr="003E3EB7">
              <w:rPr>
                <w:rFonts w:ascii="Arial" w:hAnsi="Arial" w:cs="Arial"/>
                <w:color w:val="222222"/>
                <w:shd w:val="clear" w:color="auto" w:fill="FFFFFF"/>
              </w:rPr>
              <w:t>labeling</w:t>
            </w:r>
            <w:proofErr w:type="spellEnd"/>
            <w:r w:rsidRPr="003E3EB7">
              <w:rPr>
                <w:rFonts w:ascii="Arial" w:hAnsi="Arial" w:cs="Arial"/>
                <w:color w:val="222222"/>
                <w:shd w:val="clear" w:color="auto" w:fill="FFFFFF"/>
              </w:rPr>
              <w:t xml:space="preserve"> requirements for food allergens and substances causing intolerances: history and future. </w:t>
            </w:r>
            <w:r w:rsidRPr="003E3EB7">
              <w:rPr>
                <w:rFonts w:ascii="Arial" w:hAnsi="Arial" w:cs="Arial"/>
                <w:i/>
                <w:iCs/>
                <w:color w:val="222222"/>
                <w:shd w:val="clear" w:color="auto" w:fill="FFFFFF"/>
              </w:rPr>
              <w:t>Journal of AOAC International</w:t>
            </w:r>
            <w:r w:rsidRPr="003E3EB7">
              <w:rPr>
                <w:rFonts w:ascii="Arial" w:hAnsi="Arial" w:cs="Arial"/>
                <w:color w:val="222222"/>
                <w:shd w:val="clear" w:color="auto" w:fill="FFFFFF"/>
              </w:rPr>
              <w:t>, </w:t>
            </w:r>
            <w:r w:rsidRPr="003E3EB7">
              <w:rPr>
                <w:rFonts w:ascii="Arial" w:hAnsi="Arial" w:cs="Arial"/>
                <w:i/>
                <w:iCs/>
                <w:color w:val="222222"/>
                <w:shd w:val="clear" w:color="auto" w:fill="FFFFFF"/>
              </w:rPr>
              <w:t>101</w:t>
            </w:r>
            <w:r w:rsidRPr="003E3EB7">
              <w:rPr>
                <w:rFonts w:ascii="Arial" w:hAnsi="Arial" w:cs="Arial"/>
                <w:color w:val="222222"/>
                <w:shd w:val="clear" w:color="auto" w:fill="FFFFFF"/>
              </w:rPr>
              <w:t>(1), pp.2-7.</w:t>
            </w:r>
          </w:p>
          <w:p w14:paraId="19FEC220" w14:textId="77777777" w:rsidR="007848F0" w:rsidRPr="003E3EB7" w:rsidRDefault="007848F0" w:rsidP="007848F0">
            <w:pPr>
              <w:spacing w:line="360" w:lineRule="auto"/>
              <w:ind w:left="720" w:hanging="720"/>
              <w:rPr>
                <w:rFonts w:ascii="Arial" w:hAnsi="Arial" w:cs="Arial"/>
                <w:color w:val="222222"/>
                <w:shd w:val="clear" w:color="auto" w:fill="FFFFFF"/>
              </w:rPr>
            </w:pPr>
            <w:r w:rsidRPr="003E3EB7">
              <w:rPr>
                <w:rFonts w:ascii="Arial" w:hAnsi="Arial" w:cs="Arial"/>
                <w:color w:val="222222"/>
                <w:shd w:val="clear" w:color="auto" w:fill="FFFFFF"/>
              </w:rPr>
              <w:t xml:space="preserve">Renz, H., Allen, K.J., </w:t>
            </w:r>
            <w:proofErr w:type="spellStart"/>
            <w:r w:rsidRPr="003E3EB7">
              <w:rPr>
                <w:rFonts w:ascii="Arial" w:hAnsi="Arial" w:cs="Arial"/>
                <w:color w:val="222222"/>
                <w:shd w:val="clear" w:color="auto" w:fill="FFFFFF"/>
              </w:rPr>
              <w:t>Sicherer</w:t>
            </w:r>
            <w:proofErr w:type="spellEnd"/>
            <w:r w:rsidRPr="003E3EB7">
              <w:rPr>
                <w:rFonts w:ascii="Arial" w:hAnsi="Arial" w:cs="Arial"/>
                <w:color w:val="222222"/>
                <w:shd w:val="clear" w:color="auto" w:fill="FFFFFF"/>
              </w:rPr>
              <w:t xml:space="preserve">, S.H., Sampson, H.A., Lack, G., Beyer, K. and </w:t>
            </w:r>
            <w:proofErr w:type="spellStart"/>
            <w:r w:rsidRPr="003E3EB7">
              <w:rPr>
                <w:rFonts w:ascii="Arial" w:hAnsi="Arial" w:cs="Arial"/>
                <w:color w:val="222222"/>
                <w:shd w:val="clear" w:color="auto" w:fill="FFFFFF"/>
              </w:rPr>
              <w:t>Oettgen</w:t>
            </w:r>
            <w:proofErr w:type="spellEnd"/>
            <w:r w:rsidRPr="003E3EB7">
              <w:rPr>
                <w:rFonts w:ascii="Arial" w:hAnsi="Arial" w:cs="Arial"/>
                <w:color w:val="222222"/>
                <w:shd w:val="clear" w:color="auto" w:fill="FFFFFF"/>
              </w:rPr>
              <w:t>, H.C., 2018. Food allergy. </w:t>
            </w:r>
            <w:r w:rsidRPr="003E3EB7">
              <w:rPr>
                <w:rFonts w:ascii="Arial" w:hAnsi="Arial" w:cs="Arial"/>
                <w:i/>
                <w:iCs/>
                <w:color w:val="222222"/>
                <w:shd w:val="clear" w:color="auto" w:fill="FFFFFF"/>
              </w:rPr>
              <w:t>Nature reviews Disease primers</w:t>
            </w:r>
            <w:r w:rsidRPr="003E3EB7">
              <w:rPr>
                <w:rFonts w:ascii="Arial" w:hAnsi="Arial" w:cs="Arial"/>
                <w:color w:val="222222"/>
                <w:shd w:val="clear" w:color="auto" w:fill="FFFFFF"/>
              </w:rPr>
              <w:t>, </w:t>
            </w:r>
            <w:r w:rsidRPr="003E3EB7">
              <w:rPr>
                <w:rFonts w:ascii="Arial" w:hAnsi="Arial" w:cs="Arial"/>
                <w:i/>
                <w:iCs/>
                <w:color w:val="222222"/>
                <w:shd w:val="clear" w:color="auto" w:fill="FFFFFF"/>
              </w:rPr>
              <w:t>4</w:t>
            </w:r>
            <w:r w:rsidRPr="003E3EB7">
              <w:rPr>
                <w:rFonts w:ascii="Arial" w:hAnsi="Arial" w:cs="Arial"/>
                <w:color w:val="222222"/>
                <w:shd w:val="clear" w:color="auto" w:fill="FFFFFF"/>
              </w:rPr>
              <w:t>(1), pp.1-20.</w:t>
            </w:r>
          </w:p>
          <w:p w14:paraId="5D69FA60" w14:textId="77777777" w:rsidR="007848F0" w:rsidRPr="003E3EB7" w:rsidRDefault="007848F0" w:rsidP="007848F0">
            <w:pPr>
              <w:spacing w:line="360" w:lineRule="auto"/>
              <w:ind w:left="720" w:hanging="720"/>
              <w:rPr>
                <w:rFonts w:ascii="Arial" w:hAnsi="Arial" w:cs="Arial"/>
                <w:color w:val="222222"/>
                <w:shd w:val="clear" w:color="auto" w:fill="FFFFFF"/>
              </w:rPr>
            </w:pPr>
            <w:r w:rsidRPr="003E3EB7">
              <w:rPr>
                <w:rFonts w:ascii="Arial" w:hAnsi="Arial" w:cs="Arial"/>
                <w:color w:val="222222"/>
                <w:shd w:val="clear" w:color="auto" w:fill="FFFFFF"/>
              </w:rPr>
              <w:lastRenderedPageBreak/>
              <w:t xml:space="preserve">Sathe, S.K., Liu, C. and </w:t>
            </w:r>
            <w:proofErr w:type="spellStart"/>
            <w:r w:rsidRPr="003E3EB7">
              <w:rPr>
                <w:rFonts w:ascii="Arial" w:hAnsi="Arial" w:cs="Arial"/>
                <w:color w:val="222222"/>
                <w:shd w:val="clear" w:color="auto" w:fill="FFFFFF"/>
              </w:rPr>
              <w:t>Zaffran</w:t>
            </w:r>
            <w:proofErr w:type="spellEnd"/>
            <w:r w:rsidRPr="003E3EB7">
              <w:rPr>
                <w:rFonts w:ascii="Arial" w:hAnsi="Arial" w:cs="Arial"/>
                <w:color w:val="222222"/>
                <w:shd w:val="clear" w:color="auto" w:fill="FFFFFF"/>
              </w:rPr>
              <w:t>, V.D., 2016. Food allergy. </w:t>
            </w:r>
            <w:r w:rsidRPr="003E3EB7">
              <w:rPr>
                <w:rFonts w:ascii="Arial" w:hAnsi="Arial" w:cs="Arial"/>
                <w:i/>
                <w:iCs/>
                <w:color w:val="222222"/>
                <w:shd w:val="clear" w:color="auto" w:fill="FFFFFF"/>
              </w:rPr>
              <w:t>Annual review of food science and technology</w:t>
            </w:r>
            <w:r w:rsidRPr="003E3EB7">
              <w:rPr>
                <w:rFonts w:ascii="Arial" w:hAnsi="Arial" w:cs="Arial"/>
                <w:color w:val="222222"/>
                <w:shd w:val="clear" w:color="auto" w:fill="FFFFFF"/>
              </w:rPr>
              <w:t>, </w:t>
            </w:r>
            <w:r w:rsidRPr="003E3EB7">
              <w:rPr>
                <w:rFonts w:ascii="Arial" w:hAnsi="Arial" w:cs="Arial"/>
                <w:i/>
                <w:iCs/>
                <w:color w:val="222222"/>
                <w:shd w:val="clear" w:color="auto" w:fill="FFFFFF"/>
              </w:rPr>
              <w:t>7</w:t>
            </w:r>
            <w:r w:rsidRPr="003E3EB7">
              <w:rPr>
                <w:rFonts w:ascii="Arial" w:hAnsi="Arial" w:cs="Arial"/>
                <w:color w:val="222222"/>
                <w:shd w:val="clear" w:color="auto" w:fill="FFFFFF"/>
              </w:rPr>
              <w:t>, pp.191-220.</w:t>
            </w:r>
          </w:p>
          <w:p w14:paraId="45B709EB" w14:textId="77777777" w:rsidR="007848F0" w:rsidRPr="003E3EB7" w:rsidRDefault="007848F0" w:rsidP="007848F0">
            <w:pPr>
              <w:spacing w:line="360" w:lineRule="auto"/>
              <w:ind w:left="720" w:hanging="720"/>
              <w:rPr>
                <w:rFonts w:ascii="Arial" w:hAnsi="Arial" w:cs="Arial"/>
              </w:rPr>
            </w:pPr>
            <w:r w:rsidRPr="003E3EB7">
              <w:rPr>
                <w:rFonts w:ascii="Arial" w:hAnsi="Arial" w:cs="Arial"/>
                <w:color w:val="222222"/>
                <w:shd w:val="clear" w:color="auto" w:fill="FFFFFF"/>
              </w:rPr>
              <w:t xml:space="preserve">Turnbull, J.L., Adams, H.N. and </w:t>
            </w:r>
            <w:proofErr w:type="spellStart"/>
            <w:r w:rsidRPr="003E3EB7">
              <w:rPr>
                <w:rFonts w:ascii="Arial" w:hAnsi="Arial" w:cs="Arial"/>
                <w:color w:val="222222"/>
                <w:shd w:val="clear" w:color="auto" w:fill="FFFFFF"/>
              </w:rPr>
              <w:t>Gorard</w:t>
            </w:r>
            <w:proofErr w:type="spellEnd"/>
            <w:r w:rsidRPr="003E3EB7">
              <w:rPr>
                <w:rFonts w:ascii="Arial" w:hAnsi="Arial" w:cs="Arial"/>
                <w:color w:val="222222"/>
                <w:shd w:val="clear" w:color="auto" w:fill="FFFFFF"/>
              </w:rPr>
              <w:t>, D.A., 2015. The diagnosis and management of food allergy and food intolerances. </w:t>
            </w:r>
            <w:r w:rsidRPr="003E3EB7">
              <w:rPr>
                <w:rFonts w:ascii="Arial" w:hAnsi="Arial" w:cs="Arial"/>
                <w:i/>
                <w:iCs/>
                <w:color w:val="222222"/>
                <w:shd w:val="clear" w:color="auto" w:fill="FFFFFF"/>
              </w:rPr>
              <w:t>Alimentary pharmacology &amp; therapeutics</w:t>
            </w:r>
            <w:r w:rsidRPr="003E3EB7">
              <w:rPr>
                <w:rFonts w:ascii="Arial" w:hAnsi="Arial" w:cs="Arial"/>
                <w:color w:val="222222"/>
                <w:shd w:val="clear" w:color="auto" w:fill="FFFFFF"/>
              </w:rPr>
              <w:t>, </w:t>
            </w:r>
            <w:r w:rsidRPr="003E3EB7">
              <w:rPr>
                <w:rFonts w:ascii="Arial" w:hAnsi="Arial" w:cs="Arial"/>
                <w:i/>
                <w:iCs/>
                <w:color w:val="222222"/>
                <w:shd w:val="clear" w:color="auto" w:fill="FFFFFF"/>
              </w:rPr>
              <w:t>41</w:t>
            </w:r>
            <w:r w:rsidRPr="003E3EB7">
              <w:rPr>
                <w:rFonts w:ascii="Arial" w:hAnsi="Arial" w:cs="Arial"/>
                <w:color w:val="222222"/>
                <w:shd w:val="clear" w:color="auto" w:fill="FFFFFF"/>
              </w:rPr>
              <w:t>(1), pp.3-25.</w:t>
            </w: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E8134" w14:textId="77777777" w:rsidR="00340418" w:rsidRDefault="00340418">
      <w:r>
        <w:separator/>
      </w:r>
    </w:p>
  </w:endnote>
  <w:endnote w:type="continuationSeparator" w:id="0">
    <w:p w14:paraId="10027477" w14:textId="77777777" w:rsidR="00340418" w:rsidRDefault="003404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961DD" w14:textId="77777777" w:rsidR="00340418" w:rsidRDefault="00340418">
      <w:r>
        <w:separator/>
      </w:r>
    </w:p>
  </w:footnote>
  <w:footnote w:type="continuationSeparator" w:id="0">
    <w:p w14:paraId="535B8C73" w14:textId="77777777" w:rsidR="00340418" w:rsidRDefault="003404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51979148">
    <w:abstractNumId w:val="12"/>
  </w:num>
  <w:num w:numId="2" w16cid:durableId="1456095178">
    <w:abstractNumId w:val="4"/>
  </w:num>
  <w:num w:numId="3" w16cid:durableId="1098016640">
    <w:abstractNumId w:val="27"/>
  </w:num>
  <w:num w:numId="4" w16cid:durableId="2068409781">
    <w:abstractNumId w:val="5"/>
  </w:num>
  <w:num w:numId="5" w16cid:durableId="1379818006">
    <w:abstractNumId w:val="23"/>
  </w:num>
  <w:num w:numId="6" w16cid:durableId="698311647">
    <w:abstractNumId w:val="6"/>
  </w:num>
  <w:num w:numId="7" w16cid:durableId="1474522218">
    <w:abstractNumId w:val="0"/>
  </w:num>
  <w:num w:numId="8" w16cid:durableId="2008819801">
    <w:abstractNumId w:val="26"/>
  </w:num>
  <w:num w:numId="9" w16cid:durableId="283193673">
    <w:abstractNumId w:val="15"/>
  </w:num>
  <w:num w:numId="10" w16cid:durableId="1943417051">
    <w:abstractNumId w:val="18"/>
  </w:num>
  <w:num w:numId="11" w16cid:durableId="963197837">
    <w:abstractNumId w:val="3"/>
  </w:num>
  <w:num w:numId="12" w16cid:durableId="552697812">
    <w:abstractNumId w:val="13"/>
  </w:num>
  <w:num w:numId="13" w16cid:durableId="804349636">
    <w:abstractNumId w:val="2"/>
  </w:num>
  <w:num w:numId="14" w16cid:durableId="1875534750">
    <w:abstractNumId w:val="9"/>
  </w:num>
  <w:num w:numId="15" w16cid:durableId="804158304">
    <w:abstractNumId w:val="17"/>
  </w:num>
  <w:num w:numId="16" w16cid:durableId="976761566">
    <w:abstractNumId w:val="19"/>
  </w:num>
  <w:num w:numId="17" w16cid:durableId="2141606038">
    <w:abstractNumId w:val="1"/>
  </w:num>
  <w:num w:numId="18" w16cid:durableId="592592724">
    <w:abstractNumId w:val="25"/>
  </w:num>
  <w:num w:numId="19" w16cid:durableId="491873675">
    <w:abstractNumId w:val="8"/>
  </w:num>
  <w:num w:numId="20" w16cid:durableId="2135903570">
    <w:abstractNumId w:val="20"/>
  </w:num>
  <w:num w:numId="21" w16cid:durableId="720522135">
    <w:abstractNumId w:val="11"/>
  </w:num>
  <w:num w:numId="22" w16cid:durableId="2019428155">
    <w:abstractNumId w:val="16"/>
  </w:num>
  <w:num w:numId="23" w16cid:durableId="111828684">
    <w:abstractNumId w:val="24"/>
  </w:num>
  <w:num w:numId="24" w16cid:durableId="1997033142">
    <w:abstractNumId w:val="10"/>
  </w:num>
  <w:num w:numId="25" w16cid:durableId="447744078">
    <w:abstractNumId w:val="22"/>
  </w:num>
  <w:num w:numId="26" w16cid:durableId="1810787113">
    <w:abstractNumId w:val="7"/>
  </w:num>
  <w:num w:numId="27" w16cid:durableId="1227495045">
    <w:abstractNumId w:val="21"/>
  </w:num>
  <w:num w:numId="28" w16cid:durableId="12503816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92CC1"/>
    <w:rsid w:val="000A0C53"/>
    <w:rsid w:val="000B2F4F"/>
    <w:rsid w:val="000F2E7C"/>
    <w:rsid w:val="00112CE0"/>
    <w:rsid w:val="00144F87"/>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526E"/>
    <w:rsid w:val="002E127C"/>
    <w:rsid w:val="002F7DD0"/>
    <w:rsid w:val="00301AD0"/>
    <w:rsid w:val="003036C9"/>
    <w:rsid w:val="00311044"/>
    <w:rsid w:val="0032684A"/>
    <w:rsid w:val="00332099"/>
    <w:rsid w:val="00340418"/>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5B9"/>
    <w:rsid w:val="00474A29"/>
    <w:rsid w:val="00486E62"/>
    <w:rsid w:val="004A6B8B"/>
    <w:rsid w:val="004B113B"/>
    <w:rsid w:val="004C08E2"/>
    <w:rsid w:val="004C7E23"/>
    <w:rsid w:val="005036DE"/>
    <w:rsid w:val="00517154"/>
    <w:rsid w:val="00522B05"/>
    <w:rsid w:val="00542C5B"/>
    <w:rsid w:val="00552EED"/>
    <w:rsid w:val="00566333"/>
    <w:rsid w:val="00594B56"/>
    <w:rsid w:val="005C6352"/>
    <w:rsid w:val="005D0DDE"/>
    <w:rsid w:val="005D5D0B"/>
    <w:rsid w:val="0062012D"/>
    <w:rsid w:val="00643CB9"/>
    <w:rsid w:val="006577AE"/>
    <w:rsid w:val="0066732A"/>
    <w:rsid w:val="00677D1F"/>
    <w:rsid w:val="00697481"/>
    <w:rsid w:val="006A4F97"/>
    <w:rsid w:val="006C4640"/>
    <w:rsid w:val="006F4FB6"/>
    <w:rsid w:val="006F501B"/>
    <w:rsid w:val="00702077"/>
    <w:rsid w:val="00725F0E"/>
    <w:rsid w:val="00731434"/>
    <w:rsid w:val="00734189"/>
    <w:rsid w:val="00735BB1"/>
    <w:rsid w:val="00744482"/>
    <w:rsid w:val="007451E8"/>
    <w:rsid w:val="007848F0"/>
    <w:rsid w:val="0078654A"/>
    <w:rsid w:val="0079230B"/>
    <w:rsid w:val="00797115"/>
    <w:rsid w:val="007A5E44"/>
    <w:rsid w:val="007A71C2"/>
    <w:rsid w:val="007D18CA"/>
    <w:rsid w:val="007E500C"/>
    <w:rsid w:val="007E7BB4"/>
    <w:rsid w:val="007F055A"/>
    <w:rsid w:val="007F418B"/>
    <w:rsid w:val="00814801"/>
    <w:rsid w:val="0082407E"/>
    <w:rsid w:val="00826699"/>
    <w:rsid w:val="00895843"/>
    <w:rsid w:val="008A3298"/>
    <w:rsid w:val="008B4B9C"/>
    <w:rsid w:val="008B534C"/>
    <w:rsid w:val="008C4791"/>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767CD"/>
    <w:rsid w:val="00B945EA"/>
    <w:rsid w:val="00B949BC"/>
    <w:rsid w:val="00BA53CD"/>
    <w:rsid w:val="00BB5FB3"/>
    <w:rsid w:val="00BC0BEA"/>
    <w:rsid w:val="00BC4D17"/>
    <w:rsid w:val="00BC7F1B"/>
    <w:rsid w:val="00BD3045"/>
    <w:rsid w:val="00BE2584"/>
    <w:rsid w:val="00BF2D0A"/>
    <w:rsid w:val="00C10069"/>
    <w:rsid w:val="00C21568"/>
    <w:rsid w:val="00C277D0"/>
    <w:rsid w:val="00C34D09"/>
    <w:rsid w:val="00C35AEF"/>
    <w:rsid w:val="00C414B0"/>
    <w:rsid w:val="00C421F0"/>
    <w:rsid w:val="00C44B74"/>
    <w:rsid w:val="00C50AE7"/>
    <w:rsid w:val="00C6009E"/>
    <w:rsid w:val="00C72708"/>
    <w:rsid w:val="00C76757"/>
    <w:rsid w:val="00C85B9B"/>
    <w:rsid w:val="00C86187"/>
    <w:rsid w:val="00CA1BF5"/>
    <w:rsid w:val="00CB67B6"/>
    <w:rsid w:val="00CC3464"/>
    <w:rsid w:val="00CC557E"/>
    <w:rsid w:val="00CC63E6"/>
    <w:rsid w:val="00CC6DCB"/>
    <w:rsid w:val="00CD008D"/>
    <w:rsid w:val="00CD40C2"/>
    <w:rsid w:val="00CD461B"/>
    <w:rsid w:val="00CF3CB2"/>
    <w:rsid w:val="00D02535"/>
    <w:rsid w:val="00D1528F"/>
    <w:rsid w:val="00D1657F"/>
    <w:rsid w:val="00D74452"/>
    <w:rsid w:val="00D80D6E"/>
    <w:rsid w:val="00D833FD"/>
    <w:rsid w:val="00D948E8"/>
    <w:rsid w:val="00D95816"/>
    <w:rsid w:val="00DA09FA"/>
    <w:rsid w:val="00DD00CB"/>
    <w:rsid w:val="00DE6434"/>
    <w:rsid w:val="00E00580"/>
    <w:rsid w:val="00E26639"/>
    <w:rsid w:val="00E30C3C"/>
    <w:rsid w:val="00E42568"/>
    <w:rsid w:val="00E672A4"/>
    <w:rsid w:val="00EB1AD3"/>
    <w:rsid w:val="00EB4BAF"/>
    <w:rsid w:val="00EC294D"/>
    <w:rsid w:val="00ED52B6"/>
    <w:rsid w:val="00EF41E3"/>
    <w:rsid w:val="00EF6F26"/>
    <w:rsid w:val="00F007E2"/>
    <w:rsid w:val="00F118EC"/>
    <w:rsid w:val="00F34E01"/>
    <w:rsid w:val="00F37A71"/>
    <w:rsid w:val="00F43CED"/>
    <w:rsid w:val="00F51904"/>
    <w:rsid w:val="00F537E9"/>
    <w:rsid w:val="00F56DCA"/>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uiPriority w:val="99"/>
    <w:unhideWhenUsed/>
    <w:rsid w:val="007848F0"/>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exclusive.multibriefs.com/content/successful-food-allergy-strategies-for-hotels-and-restaurants/travel-hospitality-event-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1526</TotalTime>
  <Pages>1</Pages>
  <Words>973</Words>
  <Characters>5548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Iulia Danila (2108673)</cp:lastModifiedBy>
  <cp:revision>7</cp:revision>
  <cp:lastPrinted>2020-09-28T20:53:00Z</cp:lastPrinted>
  <dcterms:created xsi:type="dcterms:W3CDTF">2022-04-26T09:43:00Z</dcterms:created>
  <dcterms:modified xsi:type="dcterms:W3CDTF">2022-06-01T19:30:00Z</dcterms:modified>
</cp:coreProperties>
</file>