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98907124"/>
        <w:docPartObj>
          <w:docPartGallery w:val="Cover Pages"/>
          <w:docPartUnique/>
        </w:docPartObj>
      </w:sdtPr>
      <w:sdtEndPr>
        <w:rPr>
          <w:rFonts w:ascii="Arial" w:eastAsiaTheme="minorHAnsi" w:hAnsi="Arial" w:cs="Arial"/>
          <w:color w:val="auto"/>
          <w:kern w:val="2"/>
          <w:sz w:val="24"/>
          <w:szCs w:val="24"/>
          <w:lang w:val="en-GB"/>
          <w14:ligatures w14:val="standardContextual"/>
        </w:rPr>
      </w:sdtEndPr>
      <w:sdtContent>
        <w:p w14:paraId="093F45D1" w14:textId="23BF88BE" w:rsidR="00A9096D" w:rsidRDefault="00A9096D">
          <w:pPr>
            <w:pStyle w:val="NoSpacing"/>
            <w:spacing w:before="1540" w:after="240"/>
            <w:jc w:val="center"/>
            <w:rPr>
              <w:color w:val="156082" w:themeColor="accent1"/>
            </w:rPr>
          </w:pPr>
          <w:r>
            <w:rPr>
              <w:noProof/>
              <w:color w:val="156082" w:themeColor="accent1"/>
            </w:rPr>
            <w:drawing>
              <wp:inline distT="0" distB="0" distL="0" distR="0" wp14:anchorId="3C0EB4C7" wp14:editId="7C52130D">
                <wp:extent cx="3562985" cy="1576067"/>
                <wp:effectExtent l="0" t="0" r="0" b="5715"/>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588756" cy="1587467"/>
                        </a:xfrm>
                        <a:prstGeom prst="rect">
                          <a:avLst/>
                        </a:prstGeom>
                        <a:noFill/>
                        <a:ln>
                          <a:noFill/>
                        </a:ln>
                      </pic:spPr>
                    </pic:pic>
                  </a:graphicData>
                </a:graphic>
              </wp:inline>
            </w:drawing>
          </w:r>
        </w:p>
        <w:sdt>
          <w:sdtPr>
            <w:rPr>
              <w:rFonts w:ascii="Arial Black" w:eastAsiaTheme="majorEastAsia" w:hAnsi="Arial Black" w:cstheme="majorBidi"/>
              <w:caps/>
              <w:color w:val="156082" w:themeColor="accent1"/>
              <w:sz w:val="72"/>
              <w:szCs w:val="72"/>
            </w:rPr>
            <w:alias w:val="Title"/>
            <w:tag w:val=""/>
            <w:id w:val="1735040861"/>
            <w:placeholder>
              <w:docPart w:val="205DEEB836704CA9B5C9B4795968C54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B6616C6" w14:textId="1524DE19" w:rsidR="00A9096D" w:rsidRPr="00A9096D" w:rsidRDefault="00A9096D">
              <w:pPr>
                <w:pStyle w:val="NoSpacing"/>
                <w:pBdr>
                  <w:top w:val="single" w:sz="6" w:space="6" w:color="156082" w:themeColor="accent1"/>
                  <w:bottom w:val="single" w:sz="6" w:space="6" w:color="156082" w:themeColor="accent1"/>
                </w:pBdr>
                <w:spacing w:after="240"/>
                <w:jc w:val="center"/>
                <w:rPr>
                  <w:rFonts w:ascii="Arial Black" w:eastAsiaTheme="majorEastAsia" w:hAnsi="Arial Black" w:cstheme="majorBidi"/>
                  <w:caps/>
                  <w:color w:val="156082" w:themeColor="accent1"/>
                  <w:sz w:val="80"/>
                  <w:szCs w:val="80"/>
                </w:rPr>
              </w:pPr>
              <w:r w:rsidRPr="00A9096D">
                <w:rPr>
                  <w:rFonts w:ascii="Arial Black" w:eastAsiaTheme="majorEastAsia" w:hAnsi="Arial Black" w:cstheme="majorBidi"/>
                  <w:caps/>
                  <w:color w:val="156082" w:themeColor="accent1"/>
                  <w:sz w:val="72"/>
                  <w:szCs w:val="72"/>
                </w:rPr>
                <w:t xml:space="preserve">Financial Analysis </w:t>
              </w:r>
            </w:p>
          </w:sdtContent>
        </w:sdt>
        <w:sdt>
          <w:sdtPr>
            <w:rPr>
              <w:rFonts w:ascii="Arial Black" w:hAnsi="Arial Black"/>
              <w:color w:val="156082" w:themeColor="accent1"/>
              <w:sz w:val="56"/>
              <w:szCs w:val="56"/>
            </w:rPr>
            <w:alias w:val="Subtitle"/>
            <w:tag w:val=""/>
            <w:id w:val="328029620"/>
            <w:placeholder>
              <w:docPart w:val="3F4E5618E18A44E3B628908861A28964"/>
            </w:placeholder>
            <w:dataBinding w:prefixMappings="xmlns:ns0='http://purl.org/dc/elements/1.1/' xmlns:ns1='http://schemas.openxmlformats.org/package/2006/metadata/core-properties' " w:xpath="/ns1:coreProperties[1]/ns0:subject[1]" w:storeItemID="{6C3C8BC8-F283-45AE-878A-BAB7291924A1}"/>
            <w:text/>
          </w:sdtPr>
          <w:sdtContent>
            <w:p w14:paraId="76849E71" w14:textId="799BD701" w:rsidR="00A9096D" w:rsidRPr="00A9096D" w:rsidRDefault="00A9096D">
              <w:pPr>
                <w:pStyle w:val="NoSpacing"/>
                <w:jc w:val="center"/>
                <w:rPr>
                  <w:rFonts w:ascii="Arial Black" w:hAnsi="Arial Black"/>
                  <w:color w:val="156082" w:themeColor="accent1"/>
                  <w:sz w:val="56"/>
                  <w:szCs w:val="56"/>
                </w:rPr>
              </w:pPr>
              <w:r w:rsidRPr="00A9096D">
                <w:rPr>
                  <w:rFonts w:ascii="Arial Black" w:hAnsi="Arial Black"/>
                  <w:color w:val="156082" w:themeColor="accent1"/>
                  <w:sz w:val="56"/>
                  <w:szCs w:val="56"/>
                </w:rPr>
                <w:t>TESCO: 2023-2024</w:t>
              </w:r>
            </w:p>
          </w:sdtContent>
        </w:sdt>
        <w:p w14:paraId="58BF4032" w14:textId="77777777" w:rsidR="00A9096D" w:rsidRDefault="00A9096D">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1AE078AD" wp14:editId="3082497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156082"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5-04-11T00:00:00Z">
                                    <w:dateFormat w:val="MMMM d, yyyy"/>
                                    <w:lid w:val="en-US"/>
                                    <w:storeMappedDataAs w:val="dateTime"/>
                                    <w:calendar w:val="gregorian"/>
                                  </w:date>
                                </w:sdtPr>
                                <w:sdtContent>
                                  <w:p w14:paraId="76E0B4AD" w14:textId="09904AA8" w:rsidR="00A9096D" w:rsidRPr="00A9096D" w:rsidRDefault="00A9096D">
                                    <w:pPr>
                                      <w:pStyle w:val="NoSpacing"/>
                                      <w:spacing w:after="40"/>
                                      <w:jc w:val="center"/>
                                      <w:rPr>
                                        <w:rFonts w:ascii="Arial Black" w:hAnsi="Arial Black"/>
                                        <w:caps/>
                                        <w:color w:val="156082" w:themeColor="accent1"/>
                                        <w:sz w:val="32"/>
                                        <w:szCs w:val="32"/>
                                      </w:rPr>
                                    </w:pPr>
                                    <w:r w:rsidRPr="00A9096D">
                                      <w:rPr>
                                        <w:rFonts w:ascii="Arial Black" w:hAnsi="Arial Black"/>
                                        <w:caps/>
                                        <w:color w:val="156082" w:themeColor="accent1"/>
                                        <w:sz w:val="32"/>
                                        <w:szCs w:val="32"/>
                                      </w:rPr>
                                      <w:t>April 11, 2025</w:t>
                                    </w:r>
                                  </w:p>
                                </w:sdtContent>
                              </w:sdt>
                              <w:p w14:paraId="25804FEE" w14:textId="5D9A7D8D" w:rsidR="00A9096D" w:rsidRPr="00A9096D" w:rsidRDefault="00A9096D">
                                <w:pPr>
                                  <w:pStyle w:val="NoSpacing"/>
                                  <w:jc w:val="center"/>
                                  <w:rPr>
                                    <w:rFonts w:ascii="Arial Black" w:hAnsi="Arial Black"/>
                                    <w:color w:val="156082" w:themeColor="accent1"/>
                                    <w:sz w:val="32"/>
                                    <w:szCs w:val="32"/>
                                  </w:rPr>
                                </w:pPr>
                                <w:sdt>
                                  <w:sdtPr>
                                    <w:rPr>
                                      <w:rFonts w:ascii="Arial Black" w:hAnsi="Arial Black"/>
                                      <w:caps/>
                                      <w:color w:val="156082"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A9096D">
                                      <w:rPr>
                                        <w:rFonts w:ascii="Arial Black" w:hAnsi="Arial Black"/>
                                        <w:caps/>
                                        <w:color w:val="156082" w:themeColor="accent1"/>
                                        <w:sz w:val="32"/>
                                        <w:szCs w:val="32"/>
                                      </w:rPr>
                                      <w:t xml:space="preserve">Student neme: Nicola Fabiola Stoian </w:t>
                                    </w:r>
                                  </w:sdtContent>
                                </w:sdt>
                              </w:p>
                              <w:p w14:paraId="46871356" w14:textId="6A59FE07" w:rsidR="00A9096D" w:rsidRPr="00A9096D" w:rsidRDefault="00A9096D">
                                <w:pPr>
                                  <w:pStyle w:val="NoSpacing"/>
                                  <w:jc w:val="center"/>
                                  <w:rPr>
                                    <w:rFonts w:ascii="Arial Black" w:hAnsi="Arial Black"/>
                                    <w:color w:val="156082" w:themeColor="accent1"/>
                                    <w:sz w:val="32"/>
                                    <w:szCs w:val="32"/>
                                  </w:rPr>
                                </w:pPr>
                                <w:sdt>
                                  <w:sdtPr>
                                    <w:rPr>
                                      <w:rFonts w:ascii="Arial Black" w:hAnsi="Arial Black"/>
                                      <w:color w:val="156082"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Pr="00A9096D">
                                      <w:rPr>
                                        <w:rFonts w:ascii="Arial Black" w:hAnsi="Arial Black"/>
                                        <w:color w:val="156082" w:themeColor="accent1"/>
                                        <w:sz w:val="32"/>
                                        <w:szCs w:val="32"/>
                                      </w:rPr>
                                      <w:t>Financial Management For Business Sustainability</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AE078AD"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Black" w:hAnsi="Arial Black"/>
                              <w:caps/>
                              <w:color w:val="156082"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5-04-11T00:00:00Z">
                              <w:dateFormat w:val="MMMM d, yyyy"/>
                              <w:lid w:val="en-US"/>
                              <w:storeMappedDataAs w:val="dateTime"/>
                              <w:calendar w:val="gregorian"/>
                            </w:date>
                          </w:sdtPr>
                          <w:sdtContent>
                            <w:p w14:paraId="76E0B4AD" w14:textId="09904AA8" w:rsidR="00A9096D" w:rsidRPr="00A9096D" w:rsidRDefault="00A9096D">
                              <w:pPr>
                                <w:pStyle w:val="NoSpacing"/>
                                <w:spacing w:after="40"/>
                                <w:jc w:val="center"/>
                                <w:rPr>
                                  <w:rFonts w:ascii="Arial Black" w:hAnsi="Arial Black"/>
                                  <w:caps/>
                                  <w:color w:val="156082" w:themeColor="accent1"/>
                                  <w:sz w:val="32"/>
                                  <w:szCs w:val="32"/>
                                </w:rPr>
                              </w:pPr>
                              <w:r w:rsidRPr="00A9096D">
                                <w:rPr>
                                  <w:rFonts w:ascii="Arial Black" w:hAnsi="Arial Black"/>
                                  <w:caps/>
                                  <w:color w:val="156082" w:themeColor="accent1"/>
                                  <w:sz w:val="32"/>
                                  <w:szCs w:val="32"/>
                                </w:rPr>
                                <w:t>April 11, 2025</w:t>
                              </w:r>
                            </w:p>
                          </w:sdtContent>
                        </w:sdt>
                        <w:p w14:paraId="25804FEE" w14:textId="5D9A7D8D" w:rsidR="00A9096D" w:rsidRPr="00A9096D" w:rsidRDefault="00A9096D">
                          <w:pPr>
                            <w:pStyle w:val="NoSpacing"/>
                            <w:jc w:val="center"/>
                            <w:rPr>
                              <w:rFonts w:ascii="Arial Black" w:hAnsi="Arial Black"/>
                              <w:color w:val="156082" w:themeColor="accent1"/>
                              <w:sz w:val="32"/>
                              <w:szCs w:val="32"/>
                            </w:rPr>
                          </w:pPr>
                          <w:sdt>
                            <w:sdtPr>
                              <w:rPr>
                                <w:rFonts w:ascii="Arial Black" w:hAnsi="Arial Black"/>
                                <w:caps/>
                                <w:color w:val="156082"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A9096D">
                                <w:rPr>
                                  <w:rFonts w:ascii="Arial Black" w:hAnsi="Arial Black"/>
                                  <w:caps/>
                                  <w:color w:val="156082" w:themeColor="accent1"/>
                                  <w:sz w:val="32"/>
                                  <w:szCs w:val="32"/>
                                </w:rPr>
                                <w:t xml:space="preserve">Student neme: Nicola Fabiola Stoian </w:t>
                              </w:r>
                            </w:sdtContent>
                          </w:sdt>
                        </w:p>
                        <w:p w14:paraId="46871356" w14:textId="6A59FE07" w:rsidR="00A9096D" w:rsidRPr="00A9096D" w:rsidRDefault="00A9096D">
                          <w:pPr>
                            <w:pStyle w:val="NoSpacing"/>
                            <w:jc w:val="center"/>
                            <w:rPr>
                              <w:rFonts w:ascii="Arial Black" w:hAnsi="Arial Black"/>
                              <w:color w:val="156082" w:themeColor="accent1"/>
                              <w:sz w:val="32"/>
                              <w:szCs w:val="32"/>
                            </w:rPr>
                          </w:pPr>
                          <w:sdt>
                            <w:sdtPr>
                              <w:rPr>
                                <w:rFonts w:ascii="Arial Black" w:hAnsi="Arial Black"/>
                                <w:color w:val="156082"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Pr="00A9096D">
                                <w:rPr>
                                  <w:rFonts w:ascii="Arial Black" w:hAnsi="Arial Black"/>
                                  <w:color w:val="156082" w:themeColor="accent1"/>
                                  <w:sz w:val="32"/>
                                  <w:szCs w:val="32"/>
                                </w:rPr>
                                <w:t>Financial Management For Business Sustainability</w:t>
                              </w:r>
                            </w:sdtContent>
                          </w:sdt>
                        </w:p>
                      </w:txbxContent>
                    </v:textbox>
                    <w10:wrap anchorx="margin" anchory="page"/>
                  </v:shape>
                </w:pict>
              </mc:Fallback>
            </mc:AlternateContent>
          </w:r>
          <w:r>
            <w:rPr>
              <w:noProof/>
              <w:color w:val="156082" w:themeColor="accent1"/>
            </w:rPr>
            <w:drawing>
              <wp:inline distT="0" distB="0" distL="0" distR="0" wp14:anchorId="1149DC36" wp14:editId="317DB3A7">
                <wp:extent cx="2015490" cy="768350"/>
                <wp:effectExtent l="0" t="0" r="3810"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028343" cy="773250"/>
                        </a:xfrm>
                        <a:prstGeom prst="rect">
                          <a:avLst/>
                        </a:prstGeom>
                      </pic:spPr>
                    </pic:pic>
                  </a:graphicData>
                </a:graphic>
              </wp:inline>
            </w:drawing>
          </w:r>
        </w:p>
        <w:p w14:paraId="56CE1507" w14:textId="7AB7D4EC" w:rsidR="00A9096D" w:rsidRDefault="00A9096D">
          <w:pPr>
            <w:rPr>
              <w:rFonts w:ascii="Arial" w:hAnsi="Arial" w:cs="Arial"/>
            </w:rPr>
          </w:pPr>
          <w:r>
            <w:rPr>
              <w:rFonts w:ascii="Arial" w:hAnsi="Arial" w:cs="Arial"/>
            </w:rPr>
            <w:br w:type="page"/>
          </w:r>
        </w:p>
      </w:sdtContent>
    </w:sdt>
    <w:p w14:paraId="05F0AA4F" w14:textId="206B7E04" w:rsidR="00D0407A" w:rsidRPr="00A9096D" w:rsidRDefault="00D0407A" w:rsidP="00D0407A">
      <w:pPr>
        <w:spacing w:line="480" w:lineRule="auto"/>
        <w:rPr>
          <w:rFonts w:ascii="Arial" w:hAnsi="Arial" w:cs="Arial"/>
          <w:b/>
          <w:bCs/>
          <w:color w:val="4C94D8" w:themeColor="text2" w:themeTint="80"/>
        </w:rPr>
      </w:pPr>
      <w:r w:rsidRPr="00A9096D">
        <w:rPr>
          <w:rFonts w:ascii="Arial" w:hAnsi="Arial" w:cs="Arial"/>
          <w:b/>
          <w:bCs/>
          <w:color w:val="4C94D8" w:themeColor="text2" w:themeTint="80"/>
        </w:rPr>
        <w:lastRenderedPageBreak/>
        <w:t>Executive Summary</w:t>
      </w:r>
    </w:p>
    <w:p w14:paraId="3936EBB4" w14:textId="77777777" w:rsidR="00D0407A" w:rsidRDefault="00D0407A" w:rsidP="00D0407A">
      <w:pPr>
        <w:spacing w:line="480" w:lineRule="auto"/>
        <w:rPr>
          <w:rFonts w:ascii="Arial" w:hAnsi="Arial" w:cs="Arial"/>
        </w:rPr>
      </w:pPr>
      <w:r w:rsidRPr="00D0407A">
        <w:rPr>
          <w:rFonts w:ascii="Arial" w:hAnsi="Arial" w:cs="Arial"/>
        </w:rPr>
        <w:t>The following report details an in-depth examination of Tesco’s financial performance in 2023 and 2024 through key ratios that measure profitability, liquidity, and efficiency. The ratios confirm that Tesco has improved its operating profit margin from 4.4% in 2023 to around 4.6% in 2024, suggesting improved cost control and operating performance. The increase in adjusted diluted earnings per share and the dividend per share shows that improved profitability has resulted in improved returns to shareholders. Additionally, Tesco’s net debt is lower in 2024 compared to 2023, indicating improved debt management and reduced financial risk, as observed by the decrease in retail free cash flow in 2024, which suggests that more capital was reinvested in the business.</w:t>
      </w:r>
    </w:p>
    <w:p w14:paraId="25462287" w14:textId="47A8FE77" w:rsidR="00D0407A" w:rsidRPr="00D0407A" w:rsidRDefault="00D0407A" w:rsidP="00D0407A">
      <w:pPr>
        <w:spacing w:line="480" w:lineRule="auto"/>
        <w:rPr>
          <w:rFonts w:ascii="Arial" w:hAnsi="Arial" w:cs="Arial"/>
        </w:rPr>
      </w:pPr>
      <w:r w:rsidRPr="00D0407A">
        <w:rPr>
          <w:rFonts w:ascii="Arial" w:hAnsi="Arial" w:cs="Arial"/>
        </w:rPr>
        <w:t>The analysis considers external factors such as inflationary cost pressures and the economic backdrop along with strategic decisions, such as investments in digital transformation, supply chain efficiency, and sustainability initiatives. Key recommendations for continued long-term growth are to embrace technology, continue to control costs, and sustain the operating model. Conversely, this ratio-based analysis provides valuable dimensions regarding the financial performance of Tesco along with operational success, reaffirming that Tesco can adjust and deliver competitive performance (Kumar, Reddy, &amp; Krishna; Li, 2023; Smith, 2023). The results provide clear implications and guidance for strategic decision-making, as well as operational improvement.</w:t>
      </w:r>
    </w:p>
    <w:p w14:paraId="42CC3038" w14:textId="77777777" w:rsidR="00D0407A" w:rsidRDefault="00D0407A">
      <w:pPr>
        <w:rPr>
          <w:rFonts w:ascii="Arial" w:hAnsi="Arial" w:cs="Arial"/>
        </w:rPr>
      </w:pPr>
      <w:r>
        <w:rPr>
          <w:rFonts w:ascii="Arial" w:hAnsi="Arial" w:cs="Arial"/>
        </w:rPr>
        <w:br w:type="page"/>
      </w:r>
    </w:p>
    <w:p w14:paraId="38945C32" w14:textId="7CC23DDD" w:rsidR="00BA2F1A" w:rsidRPr="00A9096D" w:rsidRDefault="00BA2F1A" w:rsidP="00BA2F1A">
      <w:pPr>
        <w:pStyle w:val="ListParagraph"/>
        <w:numPr>
          <w:ilvl w:val="0"/>
          <w:numId w:val="1"/>
        </w:numPr>
        <w:spacing w:line="480" w:lineRule="auto"/>
        <w:rPr>
          <w:rFonts w:ascii="Arial" w:hAnsi="Arial" w:cs="Arial"/>
          <w:b/>
          <w:bCs/>
          <w:color w:val="4C94D8" w:themeColor="text2" w:themeTint="80"/>
        </w:rPr>
      </w:pPr>
      <w:r w:rsidRPr="00A9096D">
        <w:rPr>
          <w:rFonts w:ascii="Arial" w:hAnsi="Arial" w:cs="Arial"/>
          <w:b/>
          <w:bCs/>
          <w:color w:val="4C94D8" w:themeColor="text2" w:themeTint="80"/>
        </w:rPr>
        <w:lastRenderedPageBreak/>
        <w:t>Introduction</w:t>
      </w:r>
    </w:p>
    <w:p w14:paraId="34317580" w14:textId="77777777" w:rsidR="00BA2F1A" w:rsidRDefault="00BA2F1A" w:rsidP="00BA2F1A">
      <w:pPr>
        <w:spacing w:line="480" w:lineRule="auto"/>
        <w:rPr>
          <w:rFonts w:ascii="Arial" w:hAnsi="Arial" w:cs="Arial"/>
        </w:rPr>
      </w:pPr>
      <w:r w:rsidRPr="00BA2F1A">
        <w:rPr>
          <w:rFonts w:ascii="Arial" w:hAnsi="Arial" w:cs="Arial"/>
        </w:rPr>
        <w:t xml:space="preserve">This </w:t>
      </w:r>
      <w:r>
        <w:rPr>
          <w:rFonts w:ascii="Arial" w:hAnsi="Arial" w:cs="Arial"/>
        </w:rPr>
        <w:t>report</w:t>
      </w:r>
      <w:r w:rsidRPr="00BA2F1A">
        <w:rPr>
          <w:rFonts w:ascii="Arial" w:hAnsi="Arial" w:cs="Arial"/>
        </w:rPr>
        <w:t xml:space="preserve"> will explore the financial performance of Tesco during the year 2023 to its performances in 2024 based on key financial ratios from their annual accounts. As a well-established multinational retail giant, Tesco's financial statements will provide the basis for exploring their operational and financial efficiency over two years. The financial ratios focused on will cover measured performance in profitability, liquidity, solvency, and efficiency; the overall aim of this paper is to highlight the continuing use of financial performance ratios when </w:t>
      </w:r>
      <w:r w:rsidRPr="00BA2F1A">
        <w:rPr>
          <w:rFonts w:ascii="Arial" w:hAnsi="Arial" w:cs="Arial"/>
        </w:rPr>
        <w:t>analysing</w:t>
      </w:r>
      <w:r w:rsidRPr="00BA2F1A">
        <w:rPr>
          <w:rFonts w:ascii="Arial" w:hAnsi="Arial" w:cs="Arial"/>
        </w:rPr>
        <w:t xml:space="preserve"> Tesco’s accounting information to assess performance by comparing key ratios such as operating profit margin, adjusted earnings per share, net debt, and retail free cash flow.</w:t>
      </w:r>
    </w:p>
    <w:p w14:paraId="74FCBC5E" w14:textId="2DA1F1C1" w:rsidR="00BA2F1A" w:rsidRDefault="00BA2F1A" w:rsidP="00BA2F1A">
      <w:pPr>
        <w:spacing w:line="480" w:lineRule="auto"/>
        <w:rPr>
          <w:rFonts w:ascii="Arial" w:hAnsi="Arial" w:cs="Arial"/>
        </w:rPr>
      </w:pPr>
      <w:r w:rsidRPr="00BA2F1A">
        <w:rPr>
          <w:rFonts w:ascii="Arial" w:hAnsi="Arial" w:cs="Arial"/>
        </w:rPr>
        <w:t xml:space="preserve">Their competitive pricing strategy, cost control, and investment into supply chain innovation provide a significant context of achievement while operating in an uncertain and challenging market condition with economic challenges of rising costs and a </w:t>
      </w:r>
      <w:r w:rsidRPr="00BA2F1A">
        <w:rPr>
          <w:rFonts w:ascii="Arial" w:hAnsi="Arial" w:cs="Arial"/>
        </w:rPr>
        <w:t>cost-of-living</w:t>
      </w:r>
      <w:r w:rsidRPr="00BA2F1A">
        <w:rPr>
          <w:rFonts w:ascii="Arial" w:hAnsi="Arial" w:cs="Arial"/>
        </w:rPr>
        <w:t xml:space="preserve"> crisis. It will also assess external circumstances that affect financial </w:t>
      </w:r>
      <w:r>
        <w:rPr>
          <w:rFonts w:ascii="Arial" w:hAnsi="Arial" w:cs="Arial"/>
        </w:rPr>
        <w:t>place</w:t>
      </w:r>
      <w:r w:rsidRPr="00BA2F1A">
        <w:rPr>
          <w:rFonts w:ascii="Arial" w:hAnsi="Arial" w:cs="Arial"/>
        </w:rPr>
        <w:t xml:space="preserve"> and a changing customer base. This gap or regimen of comparison of two years of the same business will showcase whether Tesco's objectives of holding costs down and striving for efficiency has led to increased performance. Ratios would allow to delve deeper into those ratio </w:t>
      </w:r>
      <w:r w:rsidRPr="00BA2F1A">
        <w:rPr>
          <w:rFonts w:ascii="Arial" w:hAnsi="Arial" w:cs="Arial"/>
        </w:rPr>
        <w:t>strengths,</w:t>
      </w:r>
      <w:r w:rsidRPr="00BA2F1A">
        <w:rPr>
          <w:rFonts w:ascii="Arial" w:hAnsi="Arial" w:cs="Arial"/>
        </w:rPr>
        <w:t xml:space="preserve"> while recogni</w:t>
      </w:r>
      <w:r>
        <w:rPr>
          <w:rFonts w:ascii="Arial" w:hAnsi="Arial" w:cs="Arial"/>
        </w:rPr>
        <w:t>s</w:t>
      </w:r>
      <w:r w:rsidRPr="00BA2F1A">
        <w:rPr>
          <w:rFonts w:ascii="Arial" w:hAnsi="Arial" w:cs="Arial"/>
        </w:rPr>
        <w:t xml:space="preserve">ing some infrastructure to address </w:t>
      </w:r>
      <w:r>
        <w:rPr>
          <w:rFonts w:ascii="Arial" w:hAnsi="Arial" w:cs="Arial"/>
        </w:rPr>
        <w:t>if</w:t>
      </w:r>
      <w:r w:rsidRPr="00BA2F1A">
        <w:rPr>
          <w:rFonts w:ascii="Arial" w:hAnsi="Arial" w:cs="Arial"/>
        </w:rPr>
        <w:t xml:space="preserve"> their strategies require adjustment. </w:t>
      </w:r>
    </w:p>
    <w:p w14:paraId="0052206F" w14:textId="77777777" w:rsidR="00BA2F1A" w:rsidRDefault="00BA2F1A" w:rsidP="00BA2F1A">
      <w:pPr>
        <w:spacing w:line="480" w:lineRule="auto"/>
        <w:rPr>
          <w:rFonts w:ascii="Arial" w:hAnsi="Arial" w:cs="Arial"/>
        </w:rPr>
      </w:pPr>
    </w:p>
    <w:p w14:paraId="2AFBEA09" w14:textId="77777777" w:rsidR="00960DBC" w:rsidRDefault="00960DBC" w:rsidP="00BA2F1A">
      <w:pPr>
        <w:spacing w:line="480" w:lineRule="auto"/>
        <w:rPr>
          <w:rFonts w:ascii="Arial" w:hAnsi="Arial" w:cs="Arial"/>
        </w:rPr>
      </w:pPr>
    </w:p>
    <w:p w14:paraId="5BD12AEC" w14:textId="77777777" w:rsidR="00960DBC" w:rsidRDefault="00960DBC" w:rsidP="00BA2F1A">
      <w:pPr>
        <w:spacing w:line="480" w:lineRule="auto"/>
        <w:rPr>
          <w:rFonts w:ascii="Arial" w:hAnsi="Arial" w:cs="Arial"/>
        </w:rPr>
      </w:pPr>
    </w:p>
    <w:p w14:paraId="60BB2909" w14:textId="77777777" w:rsidR="00BA2F1A" w:rsidRDefault="00BA2F1A" w:rsidP="00BA2F1A">
      <w:pPr>
        <w:spacing w:line="480" w:lineRule="auto"/>
        <w:rPr>
          <w:rFonts w:ascii="Arial" w:hAnsi="Arial" w:cs="Arial"/>
        </w:rPr>
      </w:pPr>
    </w:p>
    <w:p w14:paraId="4B825B8B" w14:textId="62FEB6E4" w:rsidR="00BA2F1A" w:rsidRPr="00A9096D" w:rsidRDefault="00BA2F1A" w:rsidP="00BA2F1A">
      <w:pPr>
        <w:pStyle w:val="ListParagraph"/>
        <w:numPr>
          <w:ilvl w:val="0"/>
          <w:numId w:val="1"/>
        </w:numPr>
        <w:spacing w:line="480" w:lineRule="auto"/>
        <w:rPr>
          <w:rFonts w:ascii="Arial" w:hAnsi="Arial" w:cs="Arial"/>
          <w:b/>
          <w:bCs/>
          <w:color w:val="4C94D8" w:themeColor="text2" w:themeTint="80"/>
        </w:rPr>
      </w:pPr>
      <w:r w:rsidRPr="00A9096D">
        <w:rPr>
          <w:rFonts w:ascii="Arial" w:hAnsi="Arial" w:cs="Arial"/>
          <w:b/>
          <w:bCs/>
          <w:color w:val="4C94D8" w:themeColor="text2" w:themeTint="80"/>
        </w:rPr>
        <w:lastRenderedPageBreak/>
        <w:t>Ratio Analysis</w:t>
      </w:r>
    </w:p>
    <w:p w14:paraId="1CF92A07" w14:textId="148E9233" w:rsidR="00BA2F1A" w:rsidRPr="00A9096D" w:rsidRDefault="00BA2F1A" w:rsidP="00BA2F1A">
      <w:pPr>
        <w:pStyle w:val="ListParagraph"/>
        <w:numPr>
          <w:ilvl w:val="0"/>
          <w:numId w:val="2"/>
        </w:numPr>
        <w:spacing w:line="480" w:lineRule="auto"/>
        <w:rPr>
          <w:rFonts w:ascii="Arial" w:hAnsi="Arial" w:cs="Arial"/>
          <w:b/>
          <w:bCs/>
          <w:color w:val="4C94D8" w:themeColor="text2" w:themeTint="80"/>
        </w:rPr>
      </w:pPr>
      <w:r w:rsidRPr="00A9096D">
        <w:rPr>
          <w:rFonts w:ascii="Arial" w:hAnsi="Arial" w:cs="Arial"/>
          <w:b/>
          <w:bCs/>
          <w:color w:val="4C94D8" w:themeColor="text2" w:themeTint="80"/>
        </w:rPr>
        <w:t>Profitability Ratios</w:t>
      </w:r>
    </w:p>
    <w:p w14:paraId="6D03070D" w14:textId="28325E9B" w:rsidR="00BA2F1A" w:rsidRDefault="00BA2F1A" w:rsidP="00BA2F1A">
      <w:pPr>
        <w:spacing w:line="480" w:lineRule="auto"/>
        <w:rPr>
          <w:rFonts w:ascii="Arial" w:hAnsi="Arial" w:cs="Arial"/>
        </w:rPr>
      </w:pPr>
      <w:r w:rsidRPr="00BA2F1A">
        <w:rPr>
          <w:rFonts w:ascii="Arial" w:hAnsi="Arial" w:cs="Arial"/>
        </w:rPr>
        <w:t xml:space="preserve">The operating profit margin is one of the fundamental measures of financial health. The ratio is calculated as operating profit is divided by total sales. </w:t>
      </w:r>
    </w:p>
    <w:p w14:paraId="324E5E88" w14:textId="3C522DE4" w:rsidR="00BA2F1A" w:rsidRDefault="00BA2F1A" w:rsidP="00BA2F1A">
      <w:pPr>
        <w:spacing w:line="480" w:lineRule="auto"/>
        <w:rPr>
          <w:rFonts w:ascii="Arial" w:hAnsi="Arial" w:cs="Arial"/>
        </w:rPr>
      </w:pPr>
      <w:r w:rsidRPr="00BA2F1A">
        <w:rPr>
          <w:rFonts w:ascii="Arial" w:hAnsi="Arial" w:cs="Arial"/>
        </w:rPr>
        <w:t xml:space="preserve">2024: Group Sales = £61.5 billion </w:t>
      </w:r>
    </w:p>
    <w:p w14:paraId="5F042026" w14:textId="77777777" w:rsidR="00BA2F1A" w:rsidRDefault="00BA2F1A" w:rsidP="00A9096D">
      <w:pPr>
        <w:spacing w:line="480" w:lineRule="auto"/>
        <w:ind w:left="1440"/>
        <w:rPr>
          <w:rFonts w:ascii="Arial" w:hAnsi="Arial" w:cs="Arial"/>
        </w:rPr>
      </w:pPr>
      <w:r w:rsidRPr="00BA2F1A">
        <w:rPr>
          <w:rFonts w:ascii="Arial" w:hAnsi="Arial" w:cs="Arial"/>
        </w:rPr>
        <w:t xml:space="preserve">Adjusted Operating Profit = £2,829 million </w:t>
      </w:r>
    </w:p>
    <w:p w14:paraId="74F29079" w14:textId="77777777" w:rsidR="00BA2F1A" w:rsidRDefault="00BA2F1A" w:rsidP="00A9096D">
      <w:pPr>
        <w:spacing w:line="480" w:lineRule="auto"/>
        <w:ind w:left="1440"/>
        <w:rPr>
          <w:rFonts w:ascii="Arial" w:hAnsi="Arial" w:cs="Arial"/>
        </w:rPr>
      </w:pPr>
      <w:r w:rsidRPr="00BA2F1A">
        <w:rPr>
          <w:rFonts w:ascii="Arial" w:hAnsi="Arial" w:cs="Arial"/>
        </w:rPr>
        <w:t xml:space="preserve">Operating Profit Margin = 2,829 / 61,500 </w:t>
      </w:r>
      <w:r>
        <w:rPr>
          <w:rFonts w:ascii="Arial" w:hAnsi="Arial" w:cs="Arial"/>
        </w:rPr>
        <w:t>=</w:t>
      </w:r>
      <w:r w:rsidRPr="00BA2F1A">
        <w:rPr>
          <w:rFonts w:ascii="Arial" w:hAnsi="Arial" w:cs="Arial"/>
        </w:rPr>
        <w:t xml:space="preserve"> 4.6% </w:t>
      </w:r>
    </w:p>
    <w:p w14:paraId="6876DFFE" w14:textId="30E99B16" w:rsidR="00BA2F1A" w:rsidRDefault="00BA2F1A" w:rsidP="00BA2F1A">
      <w:pPr>
        <w:spacing w:line="480" w:lineRule="auto"/>
        <w:rPr>
          <w:rFonts w:ascii="Arial" w:hAnsi="Arial" w:cs="Arial"/>
        </w:rPr>
      </w:pPr>
      <w:r w:rsidRPr="00BA2F1A">
        <w:rPr>
          <w:rFonts w:ascii="Arial" w:hAnsi="Arial" w:cs="Arial"/>
        </w:rPr>
        <w:t>2023: Group</w:t>
      </w:r>
      <w:r w:rsidRPr="00BA2F1A">
        <w:rPr>
          <w:rFonts w:ascii="Arial" w:hAnsi="Arial" w:cs="Arial"/>
        </w:rPr>
        <w:t xml:space="preserve"> Sales = £57.7 billion</w:t>
      </w:r>
    </w:p>
    <w:p w14:paraId="54CD15D1" w14:textId="77777777" w:rsidR="00BA2F1A" w:rsidRDefault="00BA2F1A" w:rsidP="00A9096D">
      <w:pPr>
        <w:spacing w:line="480" w:lineRule="auto"/>
        <w:ind w:left="1440"/>
        <w:rPr>
          <w:rFonts w:ascii="Arial" w:hAnsi="Arial" w:cs="Arial"/>
        </w:rPr>
      </w:pPr>
      <w:r w:rsidRPr="00BA2F1A">
        <w:rPr>
          <w:rFonts w:ascii="Arial" w:hAnsi="Arial" w:cs="Arial"/>
        </w:rPr>
        <w:t xml:space="preserve">Adjusted Operating Profit = £2,509 million </w:t>
      </w:r>
    </w:p>
    <w:p w14:paraId="4BA2E85E" w14:textId="77777777" w:rsidR="00BA2F1A" w:rsidRDefault="00BA2F1A" w:rsidP="00A9096D">
      <w:pPr>
        <w:spacing w:line="480" w:lineRule="auto"/>
        <w:ind w:left="1440"/>
        <w:rPr>
          <w:rFonts w:ascii="Arial" w:hAnsi="Arial" w:cs="Arial"/>
        </w:rPr>
      </w:pPr>
      <w:r w:rsidRPr="00BA2F1A">
        <w:rPr>
          <w:rFonts w:ascii="Arial" w:hAnsi="Arial" w:cs="Arial"/>
        </w:rPr>
        <w:t xml:space="preserve">Operating Profit Margin = 2,509 / 57,700 </w:t>
      </w:r>
      <w:r>
        <w:rPr>
          <w:rFonts w:ascii="Arial" w:hAnsi="Arial" w:cs="Arial"/>
        </w:rPr>
        <w:t>=</w:t>
      </w:r>
      <w:r w:rsidRPr="00BA2F1A">
        <w:rPr>
          <w:rFonts w:ascii="Arial" w:hAnsi="Arial" w:cs="Arial"/>
        </w:rPr>
        <w:t xml:space="preserve"> 4.4% </w:t>
      </w:r>
    </w:p>
    <w:p w14:paraId="0A8C5D84" w14:textId="77777777" w:rsidR="00306041" w:rsidRDefault="00BA2F1A" w:rsidP="00BA2F1A">
      <w:pPr>
        <w:spacing w:line="480" w:lineRule="auto"/>
        <w:rPr>
          <w:rFonts w:ascii="Arial" w:hAnsi="Arial" w:cs="Arial"/>
        </w:rPr>
      </w:pPr>
      <w:r w:rsidRPr="00BA2F1A">
        <w:rPr>
          <w:rFonts w:ascii="Arial" w:hAnsi="Arial" w:cs="Arial"/>
        </w:rPr>
        <w:t xml:space="preserve">The slight increase from approximately 4.4% to 4.6% suggests Tesco successfully improved the efficiency with which the </w:t>
      </w:r>
      <w:r>
        <w:rPr>
          <w:rFonts w:ascii="Arial" w:hAnsi="Arial" w:cs="Arial"/>
        </w:rPr>
        <w:t>g</w:t>
      </w:r>
      <w:r w:rsidRPr="00BA2F1A">
        <w:rPr>
          <w:rFonts w:ascii="Arial" w:hAnsi="Arial" w:cs="Arial"/>
        </w:rPr>
        <w:t xml:space="preserve">roup was able to turn sales into operating profit. Accordingly, the uplift in adjusted diluted earnings per share (from 20.53p in 2023 to 23.41p in 2024) alongside the rising dividend per share (10.90p to 12.10p), signal increases in profitability, and shareholder returns by implication. </w:t>
      </w:r>
    </w:p>
    <w:p w14:paraId="13C504BD" w14:textId="132461B6" w:rsidR="00306041" w:rsidRPr="00A9096D" w:rsidRDefault="00BA2F1A" w:rsidP="00306041">
      <w:pPr>
        <w:pStyle w:val="ListParagraph"/>
        <w:numPr>
          <w:ilvl w:val="0"/>
          <w:numId w:val="2"/>
        </w:numPr>
        <w:spacing w:line="480" w:lineRule="auto"/>
        <w:rPr>
          <w:rFonts w:ascii="Arial" w:hAnsi="Arial" w:cs="Arial"/>
          <w:b/>
          <w:bCs/>
          <w:color w:val="4C94D8" w:themeColor="text2" w:themeTint="80"/>
        </w:rPr>
      </w:pPr>
      <w:r w:rsidRPr="00A9096D">
        <w:rPr>
          <w:rFonts w:ascii="Arial" w:hAnsi="Arial" w:cs="Arial"/>
          <w:b/>
          <w:bCs/>
          <w:color w:val="4C94D8" w:themeColor="text2" w:themeTint="80"/>
        </w:rPr>
        <w:t xml:space="preserve">Liquidity and Solvency Ratios </w:t>
      </w:r>
    </w:p>
    <w:p w14:paraId="1AFF75DF" w14:textId="77777777" w:rsidR="00306041" w:rsidRDefault="00BA2F1A" w:rsidP="00BA2F1A">
      <w:pPr>
        <w:spacing w:line="480" w:lineRule="auto"/>
        <w:rPr>
          <w:rFonts w:ascii="Arial" w:hAnsi="Arial" w:cs="Arial"/>
        </w:rPr>
      </w:pPr>
      <w:r w:rsidRPr="00BA2F1A">
        <w:rPr>
          <w:rFonts w:ascii="Arial" w:hAnsi="Arial" w:cs="Arial"/>
        </w:rPr>
        <w:t xml:space="preserve">Liquidity and management of debt are key indicators of the stability of financial performance: </w:t>
      </w:r>
    </w:p>
    <w:p w14:paraId="69C9D5C5" w14:textId="77777777" w:rsidR="00306041" w:rsidRDefault="00BA2F1A" w:rsidP="00BA2F1A">
      <w:pPr>
        <w:spacing w:line="480" w:lineRule="auto"/>
        <w:rPr>
          <w:rFonts w:ascii="Arial" w:hAnsi="Arial" w:cs="Arial"/>
        </w:rPr>
      </w:pPr>
      <w:r w:rsidRPr="00BA2F1A">
        <w:rPr>
          <w:rFonts w:ascii="Arial" w:hAnsi="Arial" w:cs="Arial"/>
        </w:rPr>
        <w:t xml:space="preserve">Net Debt: In 2023, net debt of Tesco is recorded at approximately –£10,493 million. In 2024, net debt improved to –£9,764 million. Lowering levels of net debt indicates that Tesco engaged in reducing its debt burden or improving cash position, increasing solvency. </w:t>
      </w:r>
    </w:p>
    <w:p w14:paraId="238924A9" w14:textId="044E7F07" w:rsidR="00306041" w:rsidRDefault="00BA2F1A" w:rsidP="00BA2F1A">
      <w:pPr>
        <w:spacing w:line="480" w:lineRule="auto"/>
        <w:rPr>
          <w:rFonts w:ascii="Arial" w:hAnsi="Arial" w:cs="Arial"/>
        </w:rPr>
      </w:pPr>
      <w:r w:rsidRPr="00BA2F1A">
        <w:rPr>
          <w:rFonts w:ascii="Arial" w:hAnsi="Arial" w:cs="Arial"/>
        </w:rPr>
        <w:lastRenderedPageBreak/>
        <w:t xml:space="preserve">Retail Free Cash Flow: Retail Free Cash Flow decreased slightly from £2,133 million in 2023 to £2,063 million in 2024. This approximately 3.3% decline suggests only a minor decrease in cash generated from core operations but should be evaluated with the other improvements for efficiency and profitability discussed </w:t>
      </w:r>
      <w:r w:rsidR="00306041" w:rsidRPr="00BA2F1A">
        <w:rPr>
          <w:rFonts w:ascii="Arial" w:hAnsi="Arial" w:cs="Arial"/>
        </w:rPr>
        <w:t>above. The</w:t>
      </w:r>
      <w:r w:rsidRPr="00BA2F1A">
        <w:rPr>
          <w:rFonts w:ascii="Arial" w:hAnsi="Arial" w:cs="Arial"/>
        </w:rPr>
        <w:t xml:space="preserve"> modest decline seen in free cash flow could be attributable to additional capital investments in technology, improvements to the supply chain, or investments in sustainability which should pay-off over time</w:t>
      </w:r>
      <w:r w:rsidR="00960DBC">
        <w:rPr>
          <w:rFonts w:ascii="Arial" w:hAnsi="Arial" w:cs="Arial"/>
        </w:rPr>
        <w:t xml:space="preserve"> </w:t>
      </w:r>
      <w:r w:rsidRPr="00BA2F1A">
        <w:rPr>
          <w:rFonts w:ascii="Arial" w:hAnsi="Arial" w:cs="Arial"/>
        </w:rPr>
        <w:t>(Rashid, 2018).</w:t>
      </w:r>
    </w:p>
    <w:p w14:paraId="77FE3CE0" w14:textId="73AB9B3D" w:rsidR="00306041" w:rsidRPr="00A9096D" w:rsidRDefault="00BA2F1A" w:rsidP="00306041">
      <w:pPr>
        <w:pStyle w:val="ListParagraph"/>
        <w:numPr>
          <w:ilvl w:val="0"/>
          <w:numId w:val="2"/>
        </w:numPr>
        <w:spacing w:line="480" w:lineRule="auto"/>
        <w:rPr>
          <w:rFonts w:ascii="Arial" w:hAnsi="Arial" w:cs="Arial"/>
          <w:b/>
          <w:bCs/>
          <w:color w:val="4C94D8" w:themeColor="text2" w:themeTint="80"/>
        </w:rPr>
      </w:pPr>
      <w:r w:rsidRPr="00A9096D">
        <w:rPr>
          <w:rFonts w:ascii="Arial" w:hAnsi="Arial" w:cs="Arial"/>
          <w:b/>
          <w:bCs/>
          <w:color w:val="4C94D8" w:themeColor="text2" w:themeTint="80"/>
        </w:rPr>
        <w:t>Efficiency Ratios</w:t>
      </w:r>
    </w:p>
    <w:p w14:paraId="110EF86D" w14:textId="272C49EE" w:rsidR="00306041" w:rsidRDefault="00BA2F1A" w:rsidP="00BA2F1A">
      <w:pPr>
        <w:spacing w:line="480" w:lineRule="auto"/>
        <w:rPr>
          <w:rFonts w:ascii="Arial" w:hAnsi="Arial" w:cs="Arial"/>
        </w:rPr>
      </w:pPr>
      <w:r w:rsidRPr="00BA2F1A">
        <w:rPr>
          <w:rFonts w:ascii="Arial" w:hAnsi="Arial" w:cs="Arial"/>
        </w:rPr>
        <w:t>The detailed current and quick ratios or turnover figures did not appear in the highlights provided, but operational efficiency is shown in areas such as adjusted improvements in operating profit and stable sales growth, among others. Tesco's ongoing focus to deliver savings and improve operational performance are evidenced through improved measures</w:t>
      </w:r>
      <w:r w:rsidR="00960DBC">
        <w:rPr>
          <w:rFonts w:ascii="Arial" w:hAnsi="Arial" w:cs="Arial"/>
        </w:rPr>
        <w:t xml:space="preserve"> </w:t>
      </w:r>
      <w:r w:rsidRPr="00BA2F1A">
        <w:rPr>
          <w:rFonts w:ascii="Arial" w:hAnsi="Arial" w:cs="Arial"/>
        </w:rPr>
        <w:t>(Kumar, Reddy, and Krishna, Performance Analysis through Financial Modelling).</w:t>
      </w:r>
    </w:p>
    <w:p w14:paraId="3D604C5C" w14:textId="17DE3D39" w:rsidR="00306041" w:rsidRPr="00A9096D" w:rsidRDefault="00BA2F1A" w:rsidP="00306041">
      <w:pPr>
        <w:pStyle w:val="ListParagraph"/>
        <w:numPr>
          <w:ilvl w:val="0"/>
          <w:numId w:val="1"/>
        </w:numPr>
        <w:spacing w:line="480" w:lineRule="auto"/>
        <w:rPr>
          <w:rFonts w:ascii="Arial" w:hAnsi="Arial" w:cs="Arial"/>
          <w:b/>
          <w:bCs/>
          <w:color w:val="4C94D8" w:themeColor="text2" w:themeTint="80"/>
        </w:rPr>
      </w:pPr>
      <w:r w:rsidRPr="00A9096D">
        <w:rPr>
          <w:rFonts w:ascii="Arial" w:hAnsi="Arial" w:cs="Arial"/>
          <w:b/>
          <w:bCs/>
          <w:color w:val="4C94D8" w:themeColor="text2" w:themeTint="80"/>
        </w:rPr>
        <w:t>Discussion of Changes in Performance</w:t>
      </w:r>
    </w:p>
    <w:p w14:paraId="6FCBC9B6" w14:textId="22BB4F07" w:rsidR="00306041" w:rsidRDefault="00BA2F1A" w:rsidP="00306041">
      <w:pPr>
        <w:spacing w:line="480" w:lineRule="auto"/>
        <w:rPr>
          <w:rFonts w:ascii="Arial" w:hAnsi="Arial" w:cs="Arial"/>
        </w:rPr>
      </w:pPr>
      <w:r w:rsidRPr="00306041">
        <w:rPr>
          <w:rFonts w:ascii="Arial" w:hAnsi="Arial" w:cs="Arial"/>
        </w:rPr>
        <w:t>The performance at Tesco has many positive changes from 2023 to 2024:</w:t>
      </w:r>
    </w:p>
    <w:p w14:paraId="7957D3D4" w14:textId="71612537" w:rsidR="00306041" w:rsidRPr="00A9096D" w:rsidRDefault="00306041" w:rsidP="00A9096D">
      <w:pPr>
        <w:pStyle w:val="ListParagraph"/>
        <w:numPr>
          <w:ilvl w:val="0"/>
          <w:numId w:val="6"/>
        </w:numPr>
        <w:spacing w:line="480" w:lineRule="auto"/>
        <w:rPr>
          <w:rFonts w:ascii="Arial" w:hAnsi="Arial" w:cs="Arial"/>
        </w:rPr>
      </w:pPr>
      <w:r w:rsidRPr="00A9096D">
        <w:rPr>
          <w:rFonts w:ascii="Arial" w:hAnsi="Arial" w:cs="Arial"/>
        </w:rPr>
        <w:t>I</w:t>
      </w:r>
      <w:r w:rsidR="00BA2F1A" w:rsidRPr="00A9096D">
        <w:rPr>
          <w:rFonts w:ascii="Arial" w:hAnsi="Arial" w:cs="Arial"/>
        </w:rPr>
        <w:t>mproved Profitability:  The increase in both operating profit margin and EPS indicates that the business has had some success with controlling costs and using its resources effectively. The business focus on cost reductions and value pricing (i.e. price matching and low everyday price) has contributed to improved overall margins</w:t>
      </w:r>
      <w:r w:rsidR="00960DBC">
        <w:rPr>
          <w:rFonts w:ascii="Arial" w:hAnsi="Arial" w:cs="Arial"/>
        </w:rPr>
        <w:t xml:space="preserve"> </w:t>
      </w:r>
      <w:r w:rsidR="00BA2F1A" w:rsidRPr="00A9096D">
        <w:rPr>
          <w:rFonts w:ascii="Arial" w:hAnsi="Arial" w:cs="Arial"/>
        </w:rPr>
        <w:t>(Li, 2023; Smith, 2023).</w:t>
      </w:r>
    </w:p>
    <w:p w14:paraId="2A04AA13" w14:textId="3AA4A35C" w:rsidR="00306041" w:rsidRPr="00A9096D" w:rsidRDefault="00BA2F1A" w:rsidP="00A9096D">
      <w:pPr>
        <w:pStyle w:val="ListParagraph"/>
        <w:numPr>
          <w:ilvl w:val="0"/>
          <w:numId w:val="6"/>
        </w:numPr>
        <w:spacing w:line="480" w:lineRule="auto"/>
        <w:rPr>
          <w:rFonts w:ascii="Arial" w:hAnsi="Arial" w:cs="Arial"/>
        </w:rPr>
      </w:pPr>
      <w:r w:rsidRPr="00A9096D">
        <w:rPr>
          <w:rFonts w:ascii="Arial" w:hAnsi="Arial" w:cs="Arial"/>
        </w:rPr>
        <w:t xml:space="preserve">Improved Debt Management:  The lower net debt signals an improved level of financial management. With less net borrowing, the business is in a stronger situation to invest in further improvements and sustain economic shocks. This </w:t>
      </w:r>
      <w:r w:rsidRPr="00A9096D">
        <w:rPr>
          <w:rFonts w:ascii="Arial" w:hAnsi="Arial" w:cs="Arial"/>
        </w:rPr>
        <w:lastRenderedPageBreak/>
        <w:t>trend suggests prudent liquidity management and may have been driven by asset sales or refinancing activities</w:t>
      </w:r>
      <w:r w:rsidR="00960DBC">
        <w:rPr>
          <w:rFonts w:ascii="Arial" w:hAnsi="Arial" w:cs="Arial"/>
        </w:rPr>
        <w:t xml:space="preserve"> </w:t>
      </w:r>
      <w:r w:rsidRPr="00A9096D">
        <w:rPr>
          <w:rFonts w:ascii="Arial" w:hAnsi="Arial" w:cs="Arial"/>
        </w:rPr>
        <w:t>(</w:t>
      </w:r>
      <w:proofErr w:type="spellStart"/>
      <w:r w:rsidRPr="00A9096D">
        <w:rPr>
          <w:rFonts w:ascii="Arial" w:hAnsi="Arial" w:cs="Arial"/>
        </w:rPr>
        <w:t>Hasidi</w:t>
      </w:r>
      <w:proofErr w:type="spellEnd"/>
      <w:r w:rsidRPr="00A9096D">
        <w:rPr>
          <w:rFonts w:ascii="Arial" w:hAnsi="Arial" w:cs="Arial"/>
        </w:rPr>
        <w:t xml:space="preserve"> et al., 2024).</w:t>
      </w:r>
    </w:p>
    <w:p w14:paraId="679CF762" w14:textId="6988B246" w:rsidR="00306041" w:rsidRPr="00A9096D" w:rsidRDefault="00BA2F1A" w:rsidP="00A9096D">
      <w:pPr>
        <w:pStyle w:val="ListParagraph"/>
        <w:numPr>
          <w:ilvl w:val="0"/>
          <w:numId w:val="6"/>
        </w:numPr>
        <w:spacing w:line="480" w:lineRule="auto"/>
        <w:rPr>
          <w:rFonts w:ascii="Arial" w:hAnsi="Arial" w:cs="Arial"/>
        </w:rPr>
      </w:pPr>
      <w:r w:rsidRPr="00A9096D">
        <w:rPr>
          <w:rFonts w:ascii="Arial" w:hAnsi="Arial" w:cs="Arial"/>
        </w:rPr>
        <w:t xml:space="preserve">Stable Cash Flow with Minor </w:t>
      </w:r>
      <w:r w:rsidR="00306041" w:rsidRPr="00A9096D">
        <w:rPr>
          <w:rFonts w:ascii="Arial" w:hAnsi="Arial" w:cs="Arial"/>
        </w:rPr>
        <w:t>Decrease: Despite</w:t>
      </w:r>
      <w:r w:rsidRPr="00A9096D">
        <w:rPr>
          <w:rFonts w:ascii="Arial" w:hAnsi="Arial" w:cs="Arial"/>
        </w:rPr>
        <w:t xml:space="preserve"> a slight reduction in the retail free cash flow, likely linked to higher levels of reinvestment into the business or renewability projects, the cash generating capabilities are still positively high</w:t>
      </w:r>
      <w:r w:rsidR="00960DBC">
        <w:rPr>
          <w:rFonts w:ascii="Arial" w:hAnsi="Arial" w:cs="Arial"/>
        </w:rPr>
        <w:t xml:space="preserve"> </w:t>
      </w:r>
      <w:r w:rsidRPr="00A9096D">
        <w:rPr>
          <w:rFonts w:ascii="Arial" w:hAnsi="Arial" w:cs="Arial"/>
        </w:rPr>
        <w:t xml:space="preserve">(Madushanka &amp; Jathurika, 2018). </w:t>
      </w:r>
    </w:p>
    <w:p w14:paraId="3C4D0A39" w14:textId="77777777" w:rsidR="00306041" w:rsidRPr="00A9096D" w:rsidRDefault="00BA2F1A" w:rsidP="00A9096D">
      <w:pPr>
        <w:pStyle w:val="ListParagraph"/>
        <w:numPr>
          <w:ilvl w:val="0"/>
          <w:numId w:val="6"/>
        </w:numPr>
        <w:spacing w:line="480" w:lineRule="auto"/>
        <w:rPr>
          <w:rFonts w:ascii="Arial" w:hAnsi="Arial" w:cs="Arial"/>
        </w:rPr>
      </w:pPr>
      <w:r w:rsidRPr="00A9096D">
        <w:rPr>
          <w:rFonts w:ascii="Arial" w:hAnsi="Arial" w:cs="Arial"/>
        </w:rPr>
        <w:t xml:space="preserve">External and Internal </w:t>
      </w:r>
      <w:r w:rsidR="00306041" w:rsidRPr="00A9096D">
        <w:rPr>
          <w:rFonts w:ascii="Arial" w:hAnsi="Arial" w:cs="Arial"/>
        </w:rPr>
        <w:t>Constraints: External</w:t>
      </w:r>
      <w:r w:rsidRPr="00A9096D">
        <w:rPr>
          <w:rFonts w:ascii="Arial" w:hAnsi="Arial" w:cs="Arial"/>
        </w:rPr>
        <w:t xml:space="preserve"> economic headwinds such as a cost-of-living crisis would create a chance of margin pressure. Yet Tesco is managing these pressures through strong supply chain management, employee investments (base pay increases), and strategic partnerships (Ajibola, 2022; Choi &amp; Wang, 2009). </w:t>
      </w:r>
      <w:r w:rsidR="00306041" w:rsidRPr="00A9096D">
        <w:rPr>
          <w:rFonts w:ascii="Arial" w:hAnsi="Arial" w:cs="Arial"/>
        </w:rPr>
        <w:t>Furthermore,</w:t>
      </w:r>
      <w:r w:rsidRPr="00A9096D">
        <w:rPr>
          <w:rFonts w:ascii="Arial" w:hAnsi="Arial" w:cs="Arial"/>
        </w:rPr>
        <w:t xml:space="preserve"> the financial transparency (</w:t>
      </w:r>
      <w:proofErr w:type="spellStart"/>
      <w:r w:rsidRPr="00A9096D">
        <w:rPr>
          <w:rFonts w:ascii="Arial" w:hAnsi="Arial" w:cs="Arial"/>
        </w:rPr>
        <w:t>Faccia</w:t>
      </w:r>
      <w:proofErr w:type="spellEnd"/>
      <w:r w:rsidRPr="00A9096D">
        <w:rPr>
          <w:rFonts w:ascii="Arial" w:hAnsi="Arial" w:cs="Arial"/>
        </w:rPr>
        <w:t xml:space="preserve">, McDonald, &amp; George, 2023) and operational efficiency measures applied have improved financial results for 2024. </w:t>
      </w:r>
    </w:p>
    <w:p w14:paraId="4C7BA798" w14:textId="07EA7F92" w:rsidR="00306041" w:rsidRPr="00A9096D" w:rsidRDefault="00BA2F1A" w:rsidP="00306041">
      <w:pPr>
        <w:pStyle w:val="ListParagraph"/>
        <w:numPr>
          <w:ilvl w:val="0"/>
          <w:numId w:val="1"/>
        </w:numPr>
        <w:spacing w:line="480" w:lineRule="auto"/>
        <w:rPr>
          <w:rFonts w:ascii="Arial" w:hAnsi="Arial" w:cs="Arial"/>
          <w:b/>
          <w:bCs/>
          <w:color w:val="4C94D8" w:themeColor="text2" w:themeTint="80"/>
        </w:rPr>
      </w:pPr>
      <w:r w:rsidRPr="00A9096D">
        <w:rPr>
          <w:rFonts w:ascii="Arial" w:hAnsi="Arial" w:cs="Arial"/>
          <w:b/>
          <w:bCs/>
          <w:color w:val="4C94D8" w:themeColor="text2" w:themeTint="80"/>
        </w:rPr>
        <w:t>Future Financial Improvements and Sustainability Recommendations</w:t>
      </w:r>
    </w:p>
    <w:p w14:paraId="03E21CC7" w14:textId="5B9B6633" w:rsidR="00306041" w:rsidRPr="00A9096D" w:rsidRDefault="00BA2F1A" w:rsidP="00306041">
      <w:pPr>
        <w:pStyle w:val="ListParagraph"/>
        <w:numPr>
          <w:ilvl w:val="0"/>
          <w:numId w:val="3"/>
        </w:numPr>
        <w:spacing w:line="480" w:lineRule="auto"/>
        <w:rPr>
          <w:rFonts w:ascii="Arial" w:hAnsi="Arial" w:cs="Arial"/>
          <w:b/>
          <w:bCs/>
          <w:color w:val="4C94D8" w:themeColor="text2" w:themeTint="80"/>
        </w:rPr>
      </w:pPr>
      <w:r w:rsidRPr="00A9096D">
        <w:rPr>
          <w:rFonts w:ascii="Arial" w:hAnsi="Arial" w:cs="Arial"/>
          <w:b/>
          <w:bCs/>
          <w:color w:val="4C94D8" w:themeColor="text2" w:themeTint="80"/>
        </w:rPr>
        <w:t>Supply Chain Investment in Technologies</w:t>
      </w:r>
    </w:p>
    <w:p w14:paraId="13ECC3F0" w14:textId="0B4E511D" w:rsidR="00306041" w:rsidRDefault="00BA2F1A" w:rsidP="00306041">
      <w:pPr>
        <w:spacing w:line="480" w:lineRule="auto"/>
        <w:rPr>
          <w:rFonts w:ascii="Arial" w:hAnsi="Arial" w:cs="Arial"/>
        </w:rPr>
      </w:pPr>
      <w:r w:rsidRPr="00306041">
        <w:rPr>
          <w:rFonts w:ascii="Arial" w:hAnsi="Arial" w:cs="Arial"/>
        </w:rPr>
        <w:t xml:space="preserve">Improving supply chains efficiency through technology and analytics could reduce costs and promote better margins. </w:t>
      </w:r>
      <w:r w:rsidR="00306041">
        <w:rPr>
          <w:rFonts w:ascii="Arial" w:hAnsi="Arial" w:cs="Arial"/>
        </w:rPr>
        <w:t>T</w:t>
      </w:r>
      <w:r w:rsidRPr="00306041">
        <w:rPr>
          <w:rFonts w:ascii="Arial" w:hAnsi="Arial" w:cs="Arial"/>
        </w:rPr>
        <w:t>he use of data and technologies that will make logistics more efficient, including last mile delivery would secure major cost savings and efficiency</w:t>
      </w:r>
      <w:r w:rsidR="00306041">
        <w:rPr>
          <w:rFonts w:ascii="Arial" w:hAnsi="Arial" w:cs="Arial"/>
        </w:rPr>
        <w:t xml:space="preserve"> (</w:t>
      </w:r>
      <w:r w:rsidR="00306041" w:rsidRPr="00306041">
        <w:rPr>
          <w:rFonts w:ascii="Arial" w:hAnsi="Arial" w:cs="Arial"/>
        </w:rPr>
        <w:t xml:space="preserve">Li </w:t>
      </w:r>
      <w:r w:rsidR="00306041">
        <w:rPr>
          <w:rFonts w:ascii="Arial" w:hAnsi="Arial" w:cs="Arial"/>
        </w:rPr>
        <w:t>&amp;</w:t>
      </w:r>
      <w:r w:rsidR="00306041" w:rsidRPr="00306041">
        <w:rPr>
          <w:rFonts w:ascii="Arial" w:hAnsi="Arial" w:cs="Arial"/>
        </w:rPr>
        <w:t>Smith</w:t>
      </w:r>
      <w:r w:rsidR="00306041">
        <w:rPr>
          <w:rFonts w:ascii="Arial" w:hAnsi="Arial" w:cs="Arial"/>
        </w:rPr>
        <w:t>, 2003).</w:t>
      </w:r>
    </w:p>
    <w:p w14:paraId="70B0C6D7" w14:textId="3522865D" w:rsidR="00306041" w:rsidRPr="00A9096D" w:rsidRDefault="00BA2F1A" w:rsidP="00306041">
      <w:pPr>
        <w:pStyle w:val="ListParagraph"/>
        <w:numPr>
          <w:ilvl w:val="0"/>
          <w:numId w:val="3"/>
        </w:numPr>
        <w:spacing w:line="480" w:lineRule="auto"/>
        <w:rPr>
          <w:rFonts w:ascii="Arial" w:hAnsi="Arial" w:cs="Arial"/>
          <w:b/>
          <w:bCs/>
          <w:color w:val="4C94D8" w:themeColor="text2" w:themeTint="80"/>
        </w:rPr>
      </w:pPr>
      <w:r w:rsidRPr="00A9096D">
        <w:rPr>
          <w:rFonts w:ascii="Arial" w:hAnsi="Arial" w:cs="Arial"/>
          <w:b/>
          <w:bCs/>
          <w:color w:val="4C94D8" w:themeColor="text2" w:themeTint="80"/>
        </w:rPr>
        <w:t>Enhance Digital Transformation</w:t>
      </w:r>
    </w:p>
    <w:p w14:paraId="72247BC6" w14:textId="77777777" w:rsidR="00D0407A" w:rsidRDefault="00BA2F1A" w:rsidP="00306041">
      <w:pPr>
        <w:spacing w:line="480" w:lineRule="auto"/>
        <w:rPr>
          <w:rFonts w:ascii="Arial" w:hAnsi="Arial" w:cs="Arial"/>
        </w:rPr>
      </w:pPr>
      <w:r w:rsidRPr="00306041">
        <w:rPr>
          <w:rFonts w:ascii="Arial" w:hAnsi="Arial" w:cs="Arial"/>
        </w:rPr>
        <w:t xml:space="preserve">Tesco should continue investing in digital and online retail platforms to increase customer </w:t>
      </w:r>
      <w:r w:rsidR="00306041" w:rsidRPr="00306041">
        <w:rPr>
          <w:rFonts w:ascii="Arial" w:hAnsi="Arial" w:cs="Arial"/>
        </w:rPr>
        <w:t>engagement</w:t>
      </w:r>
      <w:r w:rsidR="00306041">
        <w:rPr>
          <w:rFonts w:ascii="Arial" w:hAnsi="Arial" w:cs="Arial"/>
        </w:rPr>
        <w:t>.</w:t>
      </w:r>
      <w:r w:rsidR="00306041" w:rsidRPr="00306041">
        <w:rPr>
          <w:rFonts w:ascii="Arial" w:hAnsi="Arial" w:cs="Arial"/>
        </w:rPr>
        <w:t xml:space="preserve"> A</w:t>
      </w:r>
      <w:r w:rsidRPr="00306041">
        <w:rPr>
          <w:rFonts w:ascii="Arial" w:hAnsi="Arial" w:cs="Arial"/>
        </w:rPr>
        <w:t xml:space="preserve"> concentration on digital transformation has been shown to enhance revenues and increase efficiencies in the retail sector (Rashid, 2018).</w:t>
      </w:r>
    </w:p>
    <w:p w14:paraId="1092F8BC" w14:textId="77777777" w:rsidR="00D0407A" w:rsidRPr="00D0407A" w:rsidRDefault="00BA2F1A" w:rsidP="00D0407A">
      <w:pPr>
        <w:pStyle w:val="ListParagraph"/>
        <w:numPr>
          <w:ilvl w:val="0"/>
          <w:numId w:val="4"/>
        </w:numPr>
        <w:spacing w:line="480" w:lineRule="auto"/>
        <w:rPr>
          <w:rFonts w:ascii="Arial" w:hAnsi="Arial" w:cs="Arial"/>
        </w:rPr>
      </w:pPr>
      <w:r w:rsidRPr="00D0407A">
        <w:rPr>
          <w:rFonts w:ascii="Arial" w:hAnsi="Arial" w:cs="Arial"/>
        </w:rPr>
        <w:lastRenderedPageBreak/>
        <w:t xml:space="preserve">Strengthen Cost Control </w:t>
      </w:r>
      <w:r w:rsidR="00D0407A" w:rsidRPr="00D0407A">
        <w:rPr>
          <w:rFonts w:ascii="Arial" w:hAnsi="Arial" w:cs="Arial"/>
        </w:rPr>
        <w:t>Initiatives: Maintaining</w:t>
      </w:r>
      <w:r w:rsidRPr="00D0407A">
        <w:rPr>
          <w:rFonts w:ascii="Arial" w:hAnsi="Arial" w:cs="Arial"/>
        </w:rPr>
        <w:t xml:space="preserve"> an ongoing view of and control over operating expenses is key. It might be worthwhile for Tesco to also explore the use of more sophisticated financial modelling to identify cost influences and appropriate intervention points for operational improvements (Kumar, Reddy &amp; Krishna, Performance Analysis through Financial Modelling; Dyson, 2010).</w:t>
      </w:r>
    </w:p>
    <w:p w14:paraId="1F8B87D5" w14:textId="77777777" w:rsidR="00D0407A" w:rsidRPr="00D0407A" w:rsidRDefault="00BA2F1A" w:rsidP="00D0407A">
      <w:pPr>
        <w:pStyle w:val="ListParagraph"/>
        <w:numPr>
          <w:ilvl w:val="0"/>
          <w:numId w:val="4"/>
        </w:numPr>
        <w:spacing w:line="480" w:lineRule="auto"/>
        <w:rPr>
          <w:rFonts w:ascii="Arial" w:hAnsi="Arial" w:cs="Arial"/>
        </w:rPr>
      </w:pPr>
      <w:r w:rsidRPr="00D0407A">
        <w:rPr>
          <w:rFonts w:ascii="Arial" w:hAnsi="Arial" w:cs="Arial"/>
        </w:rPr>
        <w:t xml:space="preserve">Focus on </w:t>
      </w:r>
      <w:r w:rsidR="00D0407A" w:rsidRPr="00D0407A">
        <w:rPr>
          <w:rFonts w:ascii="Arial" w:hAnsi="Arial" w:cs="Arial"/>
        </w:rPr>
        <w:t>Sustainability: Investment</w:t>
      </w:r>
      <w:r w:rsidRPr="00D0407A">
        <w:rPr>
          <w:rFonts w:ascii="Arial" w:hAnsi="Arial" w:cs="Arial"/>
        </w:rPr>
        <w:t xml:space="preserve"> in renewable energy, energy efficiency and waste reduction will support the environment and influence costs in the long run. Tesco should enhance its work on sustainability in their value chain beyond the cleaning and paper products market (</w:t>
      </w:r>
      <w:proofErr w:type="spellStart"/>
      <w:r w:rsidRPr="00D0407A">
        <w:rPr>
          <w:rFonts w:ascii="Arial" w:hAnsi="Arial" w:cs="Arial"/>
        </w:rPr>
        <w:t>Faccia</w:t>
      </w:r>
      <w:proofErr w:type="spellEnd"/>
      <w:r w:rsidRPr="00D0407A">
        <w:rPr>
          <w:rFonts w:ascii="Arial" w:hAnsi="Arial" w:cs="Arial"/>
        </w:rPr>
        <w:t>, McDonald &amp; George, 2023; Wood, 2015).</w:t>
      </w:r>
    </w:p>
    <w:p w14:paraId="2536F4BA" w14:textId="77777777" w:rsidR="00D0407A" w:rsidRPr="00D0407A" w:rsidRDefault="00BA2F1A" w:rsidP="00D0407A">
      <w:pPr>
        <w:pStyle w:val="ListParagraph"/>
        <w:numPr>
          <w:ilvl w:val="0"/>
          <w:numId w:val="4"/>
        </w:numPr>
        <w:spacing w:line="480" w:lineRule="auto"/>
        <w:rPr>
          <w:rFonts w:ascii="Arial" w:hAnsi="Arial" w:cs="Arial"/>
        </w:rPr>
      </w:pPr>
      <w:r w:rsidRPr="00D0407A">
        <w:rPr>
          <w:rFonts w:ascii="Arial" w:hAnsi="Arial" w:cs="Arial"/>
        </w:rPr>
        <w:t>Improve Employee Engagement and Talent Management</w:t>
      </w:r>
      <w:r w:rsidR="00D0407A" w:rsidRPr="00D0407A">
        <w:rPr>
          <w:rFonts w:ascii="Arial" w:hAnsi="Arial" w:cs="Arial"/>
        </w:rPr>
        <w:t xml:space="preserve">: </w:t>
      </w:r>
      <w:r w:rsidRPr="00D0407A">
        <w:rPr>
          <w:rFonts w:ascii="Arial" w:hAnsi="Arial" w:cs="Arial"/>
        </w:rPr>
        <w:t>Continued investment in, and fairness associated with, employee development will lead to higher productivity and enhanced customer service. This will ultimately be fundamental to maintaining a dominant position in a competitive sector such as retail (Ajibola, 2022; Choi &amp; Wang, 2009).</w:t>
      </w:r>
    </w:p>
    <w:p w14:paraId="0778CB73" w14:textId="77777777" w:rsidR="00D0407A" w:rsidRPr="00A9096D" w:rsidRDefault="00BA2F1A" w:rsidP="00D0407A">
      <w:pPr>
        <w:pStyle w:val="ListParagraph"/>
        <w:numPr>
          <w:ilvl w:val="0"/>
          <w:numId w:val="1"/>
        </w:numPr>
        <w:spacing w:line="480" w:lineRule="auto"/>
        <w:rPr>
          <w:rFonts w:ascii="Arial" w:hAnsi="Arial" w:cs="Arial"/>
          <w:b/>
          <w:bCs/>
          <w:color w:val="4C94D8" w:themeColor="text2" w:themeTint="80"/>
        </w:rPr>
      </w:pPr>
      <w:r w:rsidRPr="00A9096D">
        <w:rPr>
          <w:rFonts w:ascii="Arial" w:hAnsi="Arial" w:cs="Arial"/>
          <w:b/>
          <w:bCs/>
          <w:color w:val="4C94D8" w:themeColor="text2" w:themeTint="80"/>
        </w:rPr>
        <w:t>Conclusion</w:t>
      </w:r>
    </w:p>
    <w:p w14:paraId="34FD17B4" w14:textId="322B137D" w:rsidR="00BA2F1A" w:rsidRDefault="00BA2F1A" w:rsidP="00306041">
      <w:pPr>
        <w:spacing w:line="480" w:lineRule="auto"/>
        <w:rPr>
          <w:rFonts w:ascii="Arial" w:hAnsi="Arial" w:cs="Arial"/>
        </w:rPr>
      </w:pPr>
      <w:r w:rsidRPr="00306041">
        <w:rPr>
          <w:rFonts w:ascii="Arial" w:hAnsi="Arial" w:cs="Arial"/>
        </w:rPr>
        <w:t>In conclusion, the ratio analysis of Tesco’s financials for 2023 and 2024 has demonstrated a modest but meaningful rise in profitability and soundness. The increase in operating profit margin, earnings per share and decrease in net debt suggest that Tesco is managing its operational costs and resources efficiently. Although free cash flow decreased slightly</w:t>
      </w:r>
      <w:r w:rsidR="00D0407A">
        <w:rPr>
          <w:rFonts w:ascii="Arial" w:hAnsi="Arial" w:cs="Arial"/>
        </w:rPr>
        <w:t xml:space="preserve">, </w:t>
      </w:r>
      <w:r w:rsidRPr="00306041">
        <w:rPr>
          <w:rFonts w:ascii="Arial" w:hAnsi="Arial" w:cs="Arial"/>
        </w:rPr>
        <w:t>we suggest this is due to strategic commitments for reinvestmen</w:t>
      </w:r>
      <w:r w:rsidR="00D0407A">
        <w:rPr>
          <w:rFonts w:ascii="Arial" w:hAnsi="Arial" w:cs="Arial"/>
        </w:rPr>
        <w:t>t,</w:t>
      </w:r>
      <w:r w:rsidRPr="00306041">
        <w:rPr>
          <w:rFonts w:ascii="Arial" w:hAnsi="Arial" w:cs="Arial"/>
        </w:rPr>
        <w:t xml:space="preserve"> the overall performance is encouraging.</w:t>
      </w:r>
      <w:r w:rsidR="00D0407A">
        <w:rPr>
          <w:rFonts w:ascii="Arial" w:hAnsi="Arial" w:cs="Arial"/>
        </w:rPr>
        <w:t xml:space="preserve"> </w:t>
      </w:r>
      <w:r w:rsidRPr="00306041">
        <w:rPr>
          <w:rFonts w:ascii="Arial" w:hAnsi="Arial" w:cs="Arial"/>
        </w:rPr>
        <w:t xml:space="preserve">The analysis also suggests how financial ratios serve as important performance and sustainability indications for a company. They can highlight strengths in cost management and </w:t>
      </w:r>
      <w:r w:rsidRPr="00306041">
        <w:rPr>
          <w:rFonts w:ascii="Arial" w:hAnsi="Arial" w:cs="Arial"/>
        </w:rPr>
        <w:lastRenderedPageBreak/>
        <w:t>operational efficiency as well as simply demonstrating points of performance that require further strategic investment, in this case; a continued supply chain, digital transformation, cost control and sustainability aspects are suggested for Tesco continued performance and growth to sustain</w:t>
      </w:r>
      <w:r w:rsidR="00D0407A">
        <w:rPr>
          <w:rFonts w:ascii="Arial" w:hAnsi="Arial" w:cs="Arial"/>
        </w:rPr>
        <w:t xml:space="preserve">. </w:t>
      </w:r>
      <w:r w:rsidRPr="00306041">
        <w:rPr>
          <w:rFonts w:ascii="Arial" w:hAnsi="Arial" w:cs="Arial"/>
        </w:rPr>
        <w:t>Overall, this ratio analysis has provided clear and structured comparisons for a view of Tesco’s financial performance over 2023 and 2024, leading into key reflections and strategies for value addition for operational performance improvements for growth and sustainability in the future.</w:t>
      </w:r>
    </w:p>
    <w:p w14:paraId="2A502C2C" w14:textId="77777777" w:rsidR="00A9096D" w:rsidRDefault="00A9096D" w:rsidP="00306041">
      <w:pPr>
        <w:spacing w:line="480" w:lineRule="auto"/>
        <w:rPr>
          <w:rFonts w:ascii="Arial" w:hAnsi="Arial" w:cs="Arial"/>
        </w:rPr>
      </w:pPr>
    </w:p>
    <w:p w14:paraId="0D635804" w14:textId="77777777" w:rsidR="00A9096D" w:rsidRDefault="00A9096D" w:rsidP="00306041">
      <w:pPr>
        <w:spacing w:line="480" w:lineRule="auto"/>
        <w:rPr>
          <w:rFonts w:ascii="Arial" w:hAnsi="Arial" w:cs="Arial"/>
        </w:rPr>
      </w:pPr>
    </w:p>
    <w:p w14:paraId="69EF1F85" w14:textId="77777777" w:rsidR="00A9096D" w:rsidRDefault="00A9096D" w:rsidP="00306041">
      <w:pPr>
        <w:spacing w:line="480" w:lineRule="auto"/>
        <w:rPr>
          <w:rFonts w:ascii="Arial" w:hAnsi="Arial" w:cs="Arial"/>
        </w:rPr>
      </w:pPr>
    </w:p>
    <w:p w14:paraId="2FBD3C1F" w14:textId="77777777" w:rsidR="00A9096D" w:rsidRDefault="00A9096D" w:rsidP="00306041">
      <w:pPr>
        <w:spacing w:line="480" w:lineRule="auto"/>
        <w:rPr>
          <w:rFonts w:ascii="Arial" w:hAnsi="Arial" w:cs="Arial"/>
        </w:rPr>
      </w:pPr>
    </w:p>
    <w:p w14:paraId="7B997379" w14:textId="77777777" w:rsidR="00A9096D" w:rsidRDefault="00A9096D" w:rsidP="00306041">
      <w:pPr>
        <w:spacing w:line="480" w:lineRule="auto"/>
        <w:rPr>
          <w:rFonts w:ascii="Arial" w:hAnsi="Arial" w:cs="Arial"/>
        </w:rPr>
      </w:pPr>
    </w:p>
    <w:p w14:paraId="3335E53B" w14:textId="77777777" w:rsidR="00A9096D" w:rsidRDefault="00A9096D" w:rsidP="00306041">
      <w:pPr>
        <w:spacing w:line="480" w:lineRule="auto"/>
        <w:rPr>
          <w:rFonts w:ascii="Arial" w:hAnsi="Arial" w:cs="Arial"/>
        </w:rPr>
      </w:pPr>
    </w:p>
    <w:p w14:paraId="03AC1419" w14:textId="77777777" w:rsidR="00A9096D" w:rsidRDefault="00A9096D" w:rsidP="00306041">
      <w:pPr>
        <w:spacing w:line="480" w:lineRule="auto"/>
        <w:rPr>
          <w:rFonts w:ascii="Arial" w:hAnsi="Arial" w:cs="Arial"/>
        </w:rPr>
      </w:pPr>
    </w:p>
    <w:p w14:paraId="3A96B5BC" w14:textId="77777777" w:rsidR="00A9096D" w:rsidRDefault="00A9096D" w:rsidP="00306041">
      <w:pPr>
        <w:spacing w:line="480" w:lineRule="auto"/>
        <w:rPr>
          <w:rFonts w:ascii="Arial" w:hAnsi="Arial" w:cs="Arial"/>
        </w:rPr>
      </w:pPr>
    </w:p>
    <w:p w14:paraId="5B9680A2" w14:textId="77777777" w:rsidR="00A9096D" w:rsidRDefault="00A9096D" w:rsidP="00306041">
      <w:pPr>
        <w:spacing w:line="480" w:lineRule="auto"/>
        <w:rPr>
          <w:rFonts w:ascii="Arial" w:hAnsi="Arial" w:cs="Arial"/>
        </w:rPr>
      </w:pPr>
    </w:p>
    <w:p w14:paraId="7FA13CE2" w14:textId="77777777" w:rsidR="00A9096D" w:rsidRDefault="00A9096D" w:rsidP="00306041">
      <w:pPr>
        <w:spacing w:line="480" w:lineRule="auto"/>
        <w:rPr>
          <w:rFonts w:ascii="Arial" w:hAnsi="Arial" w:cs="Arial"/>
        </w:rPr>
      </w:pPr>
    </w:p>
    <w:p w14:paraId="735EBF6D" w14:textId="77777777" w:rsidR="00A9096D" w:rsidRDefault="00A9096D" w:rsidP="00306041">
      <w:pPr>
        <w:spacing w:line="480" w:lineRule="auto"/>
        <w:rPr>
          <w:rFonts w:ascii="Arial" w:hAnsi="Arial" w:cs="Arial"/>
        </w:rPr>
      </w:pPr>
    </w:p>
    <w:p w14:paraId="54D63076" w14:textId="77777777" w:rsidR="00A9096D" w:rsidRDefault="00A9096D" w:rsidP="00306041">
      <w:pPr>
        <w:spacing w:line="480" w:lineRule="auto"/>
        <w:rPr>
          <w:rFonts w:ascii="Arial" w:hAnsi="Arial" w:cs="Arial"/>
        </w:rPr>
      </w:pPr>
    </w:p>
    <w:p w14:paraId="6D4F1491" w14:textId="77777777" w:rsidR="00A9096D" w:rsidRDefault="00A9096D" w:rsidP="00306041">
      <w:pPr>
        <w:spacing w:line="480" w:lineRule="auto"/>
        <w:rPr>
          <w:rFonts w:ascii="Arial" w:hAnsi="Arial" w:cs="Arial"/>
        </w:rPr>
      </w:pPr>
    </w:p>
    <w:p w14:paraId="3D0C890A" w14:textId="47D9D317" w:rsidR="00A9096D" w:rsidRPr="00960DBC" w:rsidRDefault="00A9096D" w:rsidP="00306041">
      <w:pPr>
        <w:spacing w:line="480" w:lineRule="auto"/>
        <w:rPr>
          <w:rFonts w:ascii="Arial" w:hAnsi="Arial" w:cs="Arial"/>
          <w:b/>
          <w:bCs/>
          <w:color w:val="4C94D8" w:themeColor="text2" w:themeTint="80"/>
        </w:rPr>
      </w:pPr>
      <w:r w:rsidRPr="00960DBC">
        <w:rPr>
          <w:rFonts w:ascii="Arial" w:hAnsi="Arial" w:cs="Arial"/>
          <w:b/>
          <w:bCs/>
          <w:color w:val="4C94D8" w:themeColor="text2" w:themeTint="80"/>
        </w:rPr>
        <w:lastRenderedPageBreak/>
        <w:t xml:space="preserve">References </w:t>
      </w:r>
    </w:p>
    <w:p w14:paraId="19C2F294" w14:textId="77777777" w:rsidR="00A9096D" w:rsidRPr="00A9096D" w:rsidRDefault="00A9096D" w:rsidP="00A9096D">
      <w:pPr>
        <w:spacing w:line="480" w:lineRule="auto"/>
        <w:rPr>
          <w:rFonts w:ascii="Arial" w:hAnsi="Arial" w:cs="Arial"/>
        </w:rPr>
      </w:pPr>
      <w:r w:rsidRPr="00A9096D">
        <w:rPr>
          <w:rFonts w:ascii="Arial" w:hAnsi="Arial" w:cs="Arial"/>
        </w:rPr>
        <w:t xml:space="preserve">Ajibola, E. B. (2022). </w:t>
      </w:r>
      <w:r w:rsidRPr="00A9096D">
        <w:rPr>
          <w:rFonts w:ascii="Arial" w:hAnsi="Arial" w:cs="Arial"/>
          <w:i/>
          <w:iCs/>
        </w:rPr>
        <w:t xml:space="preserve">An investigation into talent management in the Irish retail sector: A case of Tesco, Aldi and Super Valu </w:t>
      </w:r>
      <w:r w:rsidRPr="00A9096D">
        <w:rPr>
          <w:rFonts w:ascii="Arial" w:hAnsi="Arial" w:cs="Arial"/>
        </w:rPr>
        <w:t>[Doctoral dissertation, National College of Ireland].</w:t>
      </w:r>
    </w:p>
    <w:p w14:paraId="5BAABB1F" w14:textId="77777777" w:rsidR="00A9096D" w:rsidRPr="00A9096D" w:rsidRDefault="00A9096D" w:rsidP="00A9096D">
      <w:pPr>
        <w:spacing w:line="480" w:lineRule="auto"/>
        <w:rPr>
          <w:rFonts w:ascii="Arial" w:hAnsi="Arial" w:cs="Arial"/>
        </w:rPr>
      </w:pPr>
      <w:r w:rsidRPr="00A9096D">
        <w:rPr>
          <w:rFonts w:ascii="Arial" w:hAnsi="Arial" w:cs="Arial"/>
        </w:rPr>
        <w:t>Choi, J., &amp; Wang, H. (2009). Stakeholder relations and the persistence of corporate financial performance.</w:t>
      </w:r>
      <w:r w:rsidRPr="00A9096D">
        <w:rPr>
          <w:rFonts w:ascii="Arial" w:hAnsi="Arial" w:cs="Arial"/>
          <w:i/>
          <w:iCs/>
        </w:rPr>
        <w:t> Strategic Management Journal, 30</w:t>
      </w:r>
      <w:r w:rsidRPr="00A9096D">
        <w:rPr>
          <w:rFonts w:ascii="Arial" w:hAnsi="Arial" w:cs="Arial"/>
        </w:rPr>
        <w:t>(8), 895–907.</w:t>
      </w:r>
    </w:p>
    <w:p w14:paraId="1561561A" w14:textId="77777777" w:rsidR="00A9096D" w:rsidRPr="00A9096D" w:rsidRDefault="00A9096D" w:rsidP="00A9096D">
      <w:pPr>
        <w:spacing w:line="480" w:lineRule="auto"/>
        <w:rPr>
          <w:rFonts w:ascii="Arial" w:hAnsi="Arial" w:cs="Arial"/>
        </w:rPr>
      </w:pPr>
      <w:r w:rsidRPr="00A9096D">
        <w:rPr>
          <w:rFonts w:ascii="Arial" w:hAnsi="Arial" w:cs="Arial"/>
        </w:rPr>
        <w:t>Dyson, J. R. (2010).</w:t>
      </w:r>
      <w:r w:rsidRPr="00A9096D">
        <w:rPr>
          <w:rFonts w:ascii="Arial" w:hAnsi="Arial" w:cs="Arial"/>
          <w:i/>
          <w:iCs/>
        </w:rPr>
        <w:t> Accounting for non</w:t>
      </w:r>
      <w:r w:rsidRPr="00A9096D">
        <w:rPr>
          <w:rFonts w:ascii="Cambria Math" w:hAnsi="Cambria Math" w:cs="Cambria Math"/>
          <w:i/>
          <w:iCs/>
        </w:rPr>
        <w:t>‐</w:t>
      </w:r>
      <w:r w:rsidRPr="00A9096D">
        <w:rPr>
          <w:rFonts w:ascii="Arial" w:hAnsi="Arial" w:cs="Arial"/>
          <w:i/>
          <w:iCs/>
        </w:rPr>
        <w:t>accounting students</w:t>
      </w:r>
      <w:r w:rsidRPr="00A9096D">
        <w:rPr>
          <w:rFonts w:ascii="Arial" w:hAnsi="Arial" w:cs="Arial"/>
        </w:rPr>
        <w:t xml:space="preserve"> (8th ed.). Pearson.</w:t>
      </w:r>
    </w:p>
    <w:p w14:paraId="35EE7634" w14:textId="77777777" w:rsidR="00A9096D" w:rsidRPr="00A9096D" w:rsidRDefault="00A9096D" w:rsidP="00A9096D">
      <w:pPr>
        <w:spacing w:line="480" w:lineRule="auto"/>
        <w:rPr>
          <w:rFonts w:ascii="Arial" w:hAnsi="Arial" w:cs="Arial"/>
        </w:rPr>
      </w:pPr>
      <w:proofErr w:type="spellStart"/>
      <w:r w:rsidRPr="00A9096D">
        <w:rPr>
          <w:rFonts w:ascii="Arial" w:hAnsi="Arial" w:cs="Arial"/>
        </w:rPr>
        <w:t>Effendie</w:t>
      </w:r>
      <w:proofErr w:type="spellEnd"/>
      <w:r w:rsidRPr="00A9096D">
        <w:rPr>
          <w:rFonts w:ascii="Arial" w:hAnsi="Arial" w:cs="Arial"/>
        </w:rPr>
        <w:t xml:space="preserve">, J. M., </w:t>
      </w:r>
      <w:proofErr w:type="spellStart"/>
      <w:r w:rsidRPr="00A9096D">
        <w:rPr>
          <w:rFonts w:ascii="Arial" w:hAnsi="Arial" w:cs="Arial"/>
        </w:rPr>
        <w:t>Manafe</w:t>
      </w:r>
      <w:proofErr w:type="spellEnd"/>
      <w:r w:rsidRPr="00A9096D">
        <w:rPr>
          <w:rFonts w:ascii="Arial" w:hAnsi="Arial" w:cs="Arial"/>
        </w:rPr>
        <w:t>, H. A., &amp; Man, S. (2022). Analysis of the effect of liquidity ratios, solvency and activity on the financial performance of the company (Literature Review of Corporate Financial Management).</w:t>
      </w:r>
      <w:r w:rsidRPr="00A9096D">
        <w:rPr>
          <w:rFonts w:ascii="Arial" w:hAnsi="Arial" w:cs="Arial"/>
          <w:i/>
          <w:iCs/>
        </w:rPr>
        <w:t> Dinasti International Journal of Economics, Finance &amp; Accounting (DIJEFA), 3</w:t>
      </w:r>
      <w:r w:rsidRPr="00A9096D">
        <w:rPr>
          <w:rFonts w:ascii="Arial" w:hAnsi="Arial" w:cs="Arial"/>
        </w:rPr>
        <w:t>(5).</w:t>
      </w:r>
    </w:p>
    <w:p w14:paraId="6D48806B" w14:textId="77777777" w:rsidR="00A9096D" w:rsidRPr="00A9096D" w:rsidRDefault="00A9096D" w:rsidP="00A9096D">
      <w:pPr>
        <w:spacing w:line="480" w:lineRule="auto"/>
        <w:rPr>
          <w:rFonts w:ascii="Arial" w:hAnsi="Arial" w:cs="Arial"/>
        </w:rPr>
      </w:pPr>
      <w:proofErr w:type="spellStart"/>
      <w:r w:rsidRPr="00A9096D">
        <w:rPr>
          <w:rFonts w:ascii="Arial" w:hAnsi="Arial" w:cs="Arial"/>
        </w:rPr>
        <w:t>Faccia</w:t>
      </w:r>
      <w:proofErr w:type="spellEnd"/>
      <w:r w:rsidRPr="00A9096D">
        <w:rPr>
          <w:rFonts w:ascii="Arial" w:hAnsi="Arial" w:cs="Arial"/>
        </w:rPr>
        <w:t>, A., McDonald, J., &amp; George, B. (2023). NLP sentiment analysis and accounting transparency: A new era of financial record keeping.</w:t>
      </w:r>
      <w:r w:rsidRPr="00A9096D">
        <w:rPr>
          <w:rFonts w:ascii="Arial" w:hAnsi="Arial" w:cs="Arial"/>
          <w:i/>
          <w:iCs/>
        </w:rPr>
        <w:t> Computers, 13(</w:t>
      </w:r>
      <w:r w:rsidRPr="00A9096D">
        <w:rPr>
          <w:rFonts w:ascii="Arial" w:hAnsi="Arial" w:cs="Arial"/>
        </w:rPr>
        <w:t>1), 5.</w:t>
      </w:r>
    </w:p>
    <w:p w14:paraId="17A677EE" w14:textId="77777777" w:rsidR="00A9096D" w:rsidRPr="00A9096D" w:rsidRDefault="00A9096D" w:rsidP="00A9096D">
      <w:pPr>
        <w:spacing w:line="480" w:lineRule="auto"/>
        <w:rPr>
          <w:rFonts w:ascii="Arial" w:hAnsi="Arial" w:cs="Arial"/>
          <w:i/>
          <w:iCs/>
        </w:rPr>
      </w:pPr>
      <w:proofErr w:type="spellStart"/>
      <w:r w:rsidRPr="00A9096D">
        <w:rPr>
          <w:rFonts w:ascii="Arial" w:hAnsi="Arial" w:cs="Arial"/>
        </w:rPr>
        <w:t>Hasidi</w:t>
      </w:r>
      <w:proofErr w:type="spellEnd"/>
      <w:r w:rsidRPr="00A9096D">
        <w:rPr>
          <w:rFonts w:ascii="Arial" w:hAnsi="Arial" w:cs="Arial"/>
        </w:rPr>
        <w:t xml:space="preserve">, M. H., </w:t>
      </w:r>
      <w:proofErr w:type="spellStart"/>
      <w:r w:rsidRPr="00A9096D">
        <w:rPr>
          <w:rFonts w:ascii="Arial" w:hAnsi="Arial" w:cs="Arial"/>
        </w:rPr>
        <w:t>Baheri</w:t>
      </w:r>
      <w:proofErr w:type="spellEnd"/>
      <w:r w:rsidRPr="00A9096D">
        <w:rPr>
          <w:rFonts w:ascii="Arial" w:hAnsi="Arial" w:cs="Arial"/>
        </w:rPr>
        <w:t xml:space="preserve">, J., &amp; Hajar, K. I. (2024). </w:t>
      </w:r>
      <w:r w:rsidRPr="00A9096D">
        <w:rPr>
          <w:rFonts w:ascii="Arial" w:hAnsi="Arial" w:cs="Arial"/>
          <w:i/>
          <w:iCs/>
        </w:rPr>
        <w:t>Financial performance evaluation using profitability and liquidity ratio analysis.</w:t>
      </w:r>
    </w:p>
    <w:p w14:paraId="6A611DE2" w14:textId="77777777" w:rsidR="00A9096D" w:rsidRPr="00A9096D" w:rsidRDefault="00A9096D" w:rsidP="00A9096D">
      <w:pPr>
        <w:spacing w:line="480" w:lineRule="auto"/>
        <w:rPr>
          <w:rFonts w:ascii="Arial" w:hAnsi="Arial" w:cs="Arial"/>
          <w:i/>
          <w:iCs/>
        </w:rPr>
      </w:pPr>
      <w:r w:rsidRPr="00A9096D">
        <w:rPr>
          <w:rFonts w:ascii="Arial" w:hAnsi="Arial" w:cs="Arial"/>
        </w:rPr>
        <w:t xml:space="preserve">Kumar, G. N., Reddy, P. S., &amp; Krishna, M. S. R. (n.d.). </w:t>
      </w:r>
      <w:r w:rsidRPr="00A9096D">
        <w:rPr>
          <w:rFonts w:ascii="Arial" w:hAnsi="Arial" w:cs="Arial"/>
          <w:i/>
          <w:iCs/>
        </w:rPr>
        <w:t>Performance analysis through financial modelling.</w:t>
      </w:r>
    </w:p>
    <w:p w14:paraId="48F5ECF3" w14:textId="3D45DCA4" w:rsidR="00A9096D" w:rsidRPr="00A9096D" w:rsidRDefault="00A9096D" w:rsidP="00A9096D">
      <w:pPr>
        <w:spacing w:line="480" w:lineRule="auto"/>
        <w:rPr>
          <w:rFonts w:ascii="Arial" w:hAnsi="Arial" w:cs="Arial"/>
        </w:rPr>
      </w:pPr>
      <w:r w:rsidRPr="00A9096D">
        <w:rPr>
          <w:rFonts w:ascii="Arial" w:hAnsi="Arial" w:cs="Arial"/>
        </w:rPr>
        <w:t>Li, S. (2023). Analysis of Tesco's financial status quo</w:t>
      </w:r>
      <w:r>
        <w:rPr>
          <w:rFonts w:ascii="Arial" w:hAnsi="Arial" w:cs="Arial"/>
        </w:rPr>
        <w:t>-</w:t>
      </w:r>
      <w:r w:rsidRPr="00A9096D">
        <w:rPr>
          <w:rFonts w:ascii="Arial" w:hAnsi="Arial" w:cs="Arial"/>
        </w:rPr>
        <w:t>Based on financial ratio analysis.</w:t>
      </w:r>
      <w:r w:rsidRPr="00A9096D">
        <w:rPr>
          <w:rFonts w:ascii="Arial" w:hAnsi="Arial" w:cs="Arial"/>
          <w:i/>
          <w:iCs/>
        </w:rPr>
        <w:t> Advances in Economics, Management and Political Sciences, 30</w:t>
      </w:r>
      <w:r w:rsidRPr="00A9096D">
        <w:rPr>
          <w:rFonts w:ascii="Arial" w:hAnsi="Arial" w:cs="Arial"/>
        </w:rPr>
        <w:t>, 103–109.</w:t>
      </w:r>
    </w:p>
    <w:p w14:paraId="32A80180" w14:textId="77777777" w:rsidR="00960DBC" w:rsidRDefault="00A9096D" w:rsidP="00A9096D">
      <w:pPr>
        <w:spacing w:line="480" w:lineRule="auto"/>
        <w:rPr>
          <w:rFonts w:ascii="Arial" w:hAnsi="Arial" w:cs="Arial"/>
        </w:rPr>
      </w:pPr>
      <w:r w:rsidRPr="00A9096D">
        <w:rPr>
          <w:rFonts w:ascii="Arial" w:hAnsi="Arial" w:cs="Arial"/>
        </w:rPr>
        <w:t>Lucey, T. (2009). </w:t>
      </w:r>
      <w:r w:rsidRPr="00960DBC">
        <w:rPr>
          <w:rFonts w:ascii="Arial" w:hAnsi="Arial" w:cs="Arial"/>
          <w:i/>
          <w:iCs/>
        </w:rPr>
        <w:t>Costing</w:t>
      </w:r>
      <w:r w:rsidRPr="00A9096D">
        <w:rPr>
          <w:rFonts w:ascii="Arial" w:hAnsi="Arial" w:cs="Arial"/>
        </w:rPr>
        <w:t xml:space="preserve"> (7th ed.). Cengage Learning.</w:t>
      </w:r>
    </w:p>
    <w:p w14:paraId="5B665253" w14:textId="33828EAB" w:rsidR="00A9096D" w:rsidRPr="00A9096D" w:rsidRDefault="00A9096D" w:rsidP="00A9096D">
      <w:pPr>
        <w:spacing w:line="480" w:lineRule="auto"/>
        <w:rPr>
          <w:rFonts w:ascii="Arial" w:hAnsi="Arial" w:cs="Arial"/>
        </w:rPr>
      </w:pPr>
      <w:r w:rsidRPr="00A9096D">
        <w:rPr>
          <w:rFonts w:ascii="Arial" w:hAnsi="Arial" w:cs="Arial"/>
        </w:rPr>
        <w:lastRenderedPageBreak/>
        <w:t>Madushanka, K. H., &amp; Jathurika, M. (2018). The impact of liquidity ratios on profitability.</w:t>
      </w:r>
      <w:r w:rsidRPr="00960DBC">
        <w:rPr>
          <w:rFonts w:ascii="Arial" w:hAnsi="Arial" w:cs="Arial"/>
          <w:i/>
          <w:iCs/>
        </w:rPr>
        <w:t> International Research Journal of Advanced Engineering and Science, 3</w:t>
      </w:r>
      <w:r w:rsidRPr="00A9096D">
        <w:rPr>
          <w:rFonts w:ascii="Arial" w:hAnsi="Arial" w:cs="Arial"/>
        </w:rPr>
        <w:t>(4), 157–161.</w:t>
      </w:r>
    </w:p>
    <w:p w14:paraId="30CDE0CD" w14:textId="77777777" w:rsidR="00A9096D" w:rsidRPr="00A9096D" w:rsidRDefault="00A9096D" w:rsidP="00A9096D">
      <w:pPr>
        <w:spacing w:line="480" w:lineRule="auto"/>
        <w:rPr>
          <w:rFonts w:ascii="Arial" w:hAnsi="Arial" w:cs="Arial"/>
        </w:rPr>
      </w:pPr>
      <w:r w:rsidRPr="00A9096D">
        <w:rPr>
          <w:rFonts w:ascii="Arial" w:hAnsi="Arial" w:cs="Arial"/>
        </w:rPr>
        <w:t>Rashid, C. A. (2018). Efficiency of financial ratios analysis for evaluating companies’ liquidity.</w:t>
      </w:r>
      <w:r w:rsidRPr="00960DBC">
        <w:rPr>
          <w:rFonts w:ascii="Arial" w:hAnsi="Arial" w:cs="Arial"/>
          <w:i/>
          <w:iCs/>
        </w:rPr>
        <w:t> International Journal of Social Sciences &amp; Educational Studies, 4</w:t>
      </w:r>
      <w:r w:rsidRPr="00A9096D">
        <w:rPr>
          <w:rFonts w:ascii="Arial" w:hAnsi="Arial" w:cs="Arial"/>
        </w:rPr>
        <w:t>(4), 110–123.</w:t>
      </w:r>
    </w:p>
    <w:p w14:paraId="5D25AC34" w14:textId="77777777" w:rsidR="00A9096D" w:rsidRPr="00A9096D" w:rsidRDefault="00A9096D" w:rsidP="00A9096D">
      <w:pPr>
        <w:spacing w:line="480" w:lineRule="auto"/>
        <w:rPr>
          <w:rFonts w:ascii="Arial" w:hAnsi="Arial" w:cs="Arial"/>
        </w:rPr>
      </w:pPr>
      <w:r w:rsidRPr="00A9096D">
        <w:rPr>
          <w:rFonts w:ascii="Arial" w:hAnsi="Arial" w:cs="Arial"/>
        </w:rPr>
        <w:t xml:space="preserve">Smith, D. (2023). </w:t>
      </w:r>
      <w:r w:rsidRPr="00960DBC">
        <w:rPr>
          <w:rFonts w:ascii="Arial" w:hAnsi="Arial" w:cs="Arial"/>
          <w:i/>
          <w:iCs/>
        </w:rPr>
        <w:t>Logistics in Tesco: Past, present and future. In Logistics and retail management insights into current practice and trends from leading experts (pp. 154–183).</w:t>
      </w:r>
      <w:r w:rsidRPr="00A9096D">
        <w:rPr>
          <w:rFonts w:ascii="Arial" w:hAnsi="Arial" w:cs="Arial"/>
        </w:rPr>
        <w:t xml:space="preserve"> CRC Press.</w:t>
      </w:r>
    </w:p>
    <w:p w14:paraId="4CD4C676" w14:textId="294FBA36" w:rsidR="00A9096D" w:rsidRPr="00A9096D" w:rsidRDefault="00A9096D" w:rsidP="00A9096D">
      <w:pPr>
        <w:spacing w:line="480" w:lineRule="auto"/>
        <w:rPr>
          <w:rFonts w:ascii="Arial" w:hAnsi="Arial" w:cs="Arial"/>
        </w:rPr>
      </w:pPr>
      <w:r w:rsidRPr="00A9096D">
        <w:rPr>
          <w:rFonts w:ascii="Arial" w:hAnsi="Arial" w:cs="Arial"/>
        </w:rPr>
        <w:t>Tesco PLC. (2023). Tesco PLC Annual Report &amp; Financial Statements 2023. Tesco PLC.</w:t>
      </w:r>
      <w:r w:rsidR="00960DBC">
        <w:rPr>
          <w:rFonts w:ascii="Arial" w:hAnsi="Arial" w:cs="Arial"/>
        </w:rPr>
        <w:t xml:space="preserve"> Retrieved from: </w:t>
      </w:r>
      <w:hyperlink r:id="rId10" w:history="1">
        <w:r w:rsidR="00960DBC" w:rsidRPr="007E3515">
          <w:rPr>
            <w:rStyle w:val="Hyperlink"/>
            <w:rFonts w:ascii="Arial" w:hAnsi="Arial" w:cs="Arial"/>
          </w:rPr>
          <w:t>https://www.tescoplc.com/media/u1wlq2qf/tesco-plc-annual-report-2023.pdf</w:t>
        </w:r>
      </w:hyperlink>
      <w:r w:rsidR="00960DBC">
        <w:rPr>
          <w:rFonts w:ascii="Arial" w:hAnsi="Arial" w:cs="Arial"/>
        </w:rPr>
        <w:t xml:space="preserve"> </w:t>
      </w:r>
    </w:p>
    <w:p w14:paraId="21A4044E" w14:textId="6550F53B" w:rsidR="00A9096D" w:rsidRPr="00A9096D" w:rsidRDefault="00A9096D" w:rsidP="00A9096D">
      <w:pPr>
        <w:spacing w:line="480" w:lineRule="auto"/>
        <w:rPr>
          <w:rFonts w:ascii="Arial" w:hAnsi="Arial" w:cs="Arial"/>
        </w:rPr>
      </w:pPr>
      <w:r w:rsidRPr="00A9096D">
        <w:rPr>
          <w:rFonts w:ascii="Arial" w:hAnsi="Arial" w:cs="Arial"/>
        </w:rPr>
        <w:t>Tesco PLC. (2024). Tesco PLC Annual Report and Financial Statements 2024. Tesco PLC.</w:t>
      </w:r>
      <w:r w:rsidR="00960DBC">
        <w:rPr>
          <w:rFonts w:ascii="Arial" w:hAnsi="Arial" w:cs="Arial"/>
        </w:rPr>
        <w:t xml:space="preserve"> Retrieved from: </w:t>
      </w:r>
      <w:hyperlink r:id="rId11" w:history="1">
        <w:r w:rsidR="00960DBC" w:rsidRPr="007E3515">
          <w:rPr>
            <w:rStyle w:val="Hyperlink"/>
            <w:rFonts w:ascii="Arial" w:hAnsi="Arial" w:cs="Arial"/>
          </w:rPr>
          <w:t>https://www.tescoplc.com/media/zgvhd0dn/tescos_ar24.pdf</w:t>
        </w:r>
      </w:hyperlink>
      <w:r w:rsidR="00960DBC">
        <w:rPr>
          <w:rFonts w:ascii="Arial" w:hAnsi="Arial" w:cs="Arial"/>
        </w:rPr>
        <w:t xml:space="preserve"> </w:t>
      </w:r>
    </w:p>
    <w:p w14:paraId="043AC9A6" w14:textId="12C4E694" w:rsidR="00A9096D" w:rsidRPr="00306041" w:rsidRDefault="00A9096D" w:rsidP="00A9096D">
      <w:pPr>
        <w:spacing w:line="480" w:lineRule="auto"/>
        <w:rPr>
          <w:rFonts w:ascii="Arial" w:hAnsi="Arial" w:cs="Arial"/>
        </w:rPr>
      </w:pPr>
      <w:r w:rsidRPr="00A9096D">
        <w:rPr>
          <w:rFonts w:ascii="Arial" w:hAnsi="Arial" w:cs="Arial"/>
        </w:rPr>
        <w:t>Wood, F. (2015).</w:t>
      </w:r>
      <w:r w:rsidRPr="00960DBC">
        <w:rPr>
          <w:rFonts w:ascii="Arial" w:hAnsi="Arial" w:cs="Arial"/>
          <w:i/>
          <w:iCs/>
        </w:rPr>
        <w:t xml:space="preserve"> Frank Wood’s Business Accounting 1 </w:t>
      </w:r>
      <w:r w:rsidRPr="00A9096D">
        <w:rPr>
          <w:rFonts w:ascii="Arial" w:hAnsi="Arial" w:cs="Arial"/>
        </w:rPr>
        <w:t>(13th ed.). FT Pitman Publications.</w:t>
      </w:r>
    </w:p>
    <w:sectPr w:rsidR="00A9096D" w:rsidRPr="00306041" w:rsidSect="00A9096D">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93EC6B" w14:textId="77777777" w:rsidR="003550B4" w:rsidRDefault="003550B4" w:rsidP="00A9096D">
      <w:pPr>
        <w:spacing w:after="0" w:line="240" w:lineRule="auto"/>
      </w:pPr>
      <w:r>
        <w:separator/>
      </w:r>
    </w:p>
  </w:endnote>
  <w:endnote w:type="continuationSeparator" w:id="0">
    <w:p w14:paraId="3597BB00" w14:textId="77777777" w:rsidR="003550B4" w:rsidRDefault="003550B4" w:rsidP="00A909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1154899"/>
      <w:docPartObj>
        <w:docPartGallery w:val="Page Numbers (Bottom of Page)"/>
        <w:docPartUnique/>
      </w:docPartObj>
    </w:sdtPr>
    <w:sdtEndPr>
      <w:rPr>
        <w:noProof/>
      </w:rPr>
    </w:sdtEndPr>
    <w:sdtContent>
      <w:p w14:paraId="2FDA234A" w14:textId="489A8E28" w:rsidR="00A9096D" w:rsidRDefault="00A909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EE0AAF" w14:textId="77777777" w:rsidR="00A9096D" w:rsidRDefault="00A909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225936" w14:textId="77777777" w:rsidR="003550B4" w:rsidRDefault="003550B4" w:rsidP="00A9096D">
      <w:pPr>
        <w:spacing w:after="0" w:line="240" w:lineRule="auto"/>
      </w:pPr>
      <w:r>
        <w:separator/>
      </w:r>
    </w:p>
  </w:footnote>
  <w:footnote w:type="continuationSeparator" w:id="0">
    <w:p w14:paraId="4D889887" w14:textId="77777777" w:rsidR="003550B4" w:rsidRDefault="003550B4" w:rsidP="00A909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574FA"/>
    <w:multiLevelType w:val="hybridMultilevel"/>
    <w:tmpl w:val="C3288952"/>
    <w:lvl w:ilvl="0" w:tplc="274880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620375"/>
    <w:multiLevelType w:val="hybridMultilevel"/>
    <w:tmpl w:val="99D03D74"/>
    <w:lvl w:ilvl="0" w:tplc="08090019">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F87472D"/>
    <w:multiLevelType w:val="hybridMultilevel"/>
    <w:tmpl w:val="7018AF14"/>
    <w:lvl w:ilvl="0" w:tplc="274880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C76E5E"/>
    <w:multiLevelType w:val="hybridMultilevel"/>
    <w:tmpl w:val="A928DA2C"/>
    <w:lvl w:ilvl="0" w:tplc="FFFFFFFF">
      <w:start w:val="1"/>
      <w:numFmt w:val="bullet"/>
      <w:lvlText w:val="o"/>
      <w:lvlJc w:val="left"/>
      <w:pPr>
        <w:ind w:left="720" w:hanging="360"/>
      </w:pPr>
      <w:rPr>
        <w:rFonts w:ascii="Courier New" w:hAnsi="Courier New" w:cs="Verdan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5D14C3"/>
    <w:multiLevelType w:val="hybridMultilevel"/>
    <w:tmpl w:val="6BA072D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164868"/>
    <w:multiLevelType w:val="hybridMultilevel"/>
    <w:tmpl w:val="ED22C5F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2443021">
    <w:abstractNumId w:val="4"/>
  </w:num>
  <w:num w:numId="2" w16cid:durableId="2015451091">
    <w:abstractNumId w:val="0"/>
  </w:num>
  <w:num w:numId="3" w16cid:durableId="630015240">
    <w:abstractNumId w:val="2"/>
  </w:num>
  <w:num w:numId="4" w16cid:durableId="1141117098">
    <w:abstractNumId w:val="5"/>
  </w:num>
  <w:num w:numId="5" w16cid:durableId="490028878">
    <w:abstractNumId w:val="3"/>
  </w:num>
  <w:num w:numId="6" w16cid:durableId="11414576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F1A"/>
    <w:rsid w:val="00306041"/>
    <w:rsid w:val="003550B4"/>
    <w:rsid w:val="00960DBC"/>
    <w:rsid w:val="009C75C5"/>
    <w:rsid w:val="00A9096D"/>
    <w:rsid w:val="00BA2F1A"/>
    <w:rsid w:val="00D040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F1DE8"/>
  <w15:chartTrackingRefBased/>
  <w15:docId w15:val="{9A5FB614-FA11-497C-8FE5-AD902FC505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2F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2F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2F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2F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2F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2F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2F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2F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2F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2F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2F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2F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2F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2F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2F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2F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2F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2F1A"/>
    <w:rPr>
      <w:rFonts w:eastAsiaTheme="majorEastAsia" w:cstheme="majorBidi"/>
      <w:color w:val="272727" w:themeColor="text1" w:themeTint="D8"/>
    </w:rPr>
  </w:style>
  <w:style w:type="paragraph" w:styleId="Title">
    <w:name w:val="Title"/>
    <w:basedOn w:val="Normal"/>
    <w:next w:val="Normal"/>
    <w:link w:val="TitleChar"/>
    <w:uiPriority w:val="10"/>
    <w:qFormat/>
    <w:rsid w:val="00BA2F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2F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2F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2F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2F1A"/>
    <w:pPr>
      <w:spacing w:before="160"/>
      <w:jc w:val="center"/>
    </w:pPr>
    <w:rPr>
      <w:i/>
      <w:iCs/>
      <w:color w:val="404040" w:themeColor="text1" w:themeTint="BF"/>
    </w:rPr>
  </w:style>
  <w:style w:type="character" w:customStyle="1" w:styleId="QuoteChar">
    <w:name w:val="Quote Char"/>
    <w:basedOn w:val="DefaultParagraphFont"/>
    <w:link w:val="Quote"/>
    <w:uiPriority w:val="29"/>
    <w:rsid w:val="00BA2F1A"/>
    <w:rPr>
      <w:i/>
      <w:iCs/>
      <w:color w:val="404040" w:themeColor="text1" w:themeTint="BF"/>
    </w:rPr>
  </w:style>
  <w:style w:type="paragraph" w:styleId="ListParagraph">
    <w:name w:val="List Paragraph"/>
    <w:basedOn w:val="Normal"/>
    <w:uiPriority w:val="34"/>
    <w:qFormat/>
    <w:rsid w:val="00BA2F1A"/>
    <w:pPr>
      <w:ind w:left="720"/>
      <w:contextualSpacing/>
    </w:pPr>
  </w:style>
  <w:style w:type="character" w:styleId="IntenseEmphasis">
    <w:name w:val="Intense Emphasis"/>
    <w:basedOn w:val="DefaultParagraphFont"/>
    <w:uiPriority w:val="21"/>
    <w:qFormat/>
    <w:rsid w:val="00BA2F1A"/>
    <w:rPr>
      <w:i/>
      <w:iCs/>
      <w:color w:val="0F4761" w:themeColor="accent1" w:themeShade="BF"/>
    </w:rPr>
  </w:style>
  <w:style w:type="paragraph" w:styleId="IntenseQuote">
    <w:name w:val="Intense Quote"/>
    <w:basedOn w:val="Normal"/>
    <w:next w:val="Normal"/>
    <w:link w:val="IntenseQuoteChar"/>
    <w:uiPriority w:val="30"/>
    <w:qFormat/>
    <w:rsid w:val="00BA2F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2F1A"/>
    <w:rPr>
      <w:i/>
      <w:iCs/>
      <w:color w:val="0F4761" w:themeColor="accent1" w:themeShade="BF"/>
    </w:rPr>
  </w:style>
  <w:style w:type="character" w:styleId="IntenseReference">
    <w:name w:val="Intense Reference"/>
    <w:basedOn w:val="DefaultParagraphFont"/>
    <w:uiPriority w:val="32"/>
    <w:qFormat/>
    <w:rsid w:val="00BA2F1A"/>
    <w:rPr>
      <w:b/>
      <w:bCs/>
      <w:smallCaps/>
      <w:color w:val="0F4761" w:themeColor="accent1" w:themeShade="BF"/>
      <w:spacing w:val="5"/>
    </w:rPr>
  </w:style>
  <w:style w:type="paragraph" w:styleId="Header">
    <w:name w:val="header"/>
    <w:basedOn w:val="Normal"/>
    <w:link w:val="HeaderChar"/>
    <w:uiPriority w:val="99"/>
    <w:unhideWhenUsed/>
    <w:rsid w:val="00A909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096D"/>
  </w:style>
  <w:style w:type="paragraph" w:styleId="Footer">
    <w:name w:val="footer"/>
    <w:basedOn w:val="Normal"/>
    <w:link w:val="FooterChar"/>
    <w:uiPriority w:val="99"/>
    <w:unhideWhenUsed/>
    <w:rsid w:val="00A909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096D"/>
  </w:style>
  <w:style w:type="paragraph" w:styleId="NoSpacing">
    <w:name w:val="No Spacing"/>
    <w:link w:val="NoSpacingChar"/>
    <w:uiPriority w:val="1"/>
    <w:qFormat/>
    <w:rsid w:val="00A9096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9096D"/>
    <w:rPr>
      <w:rFonts w:eastAsiaTheme="minorEastAsia"/>
      <w:kern w:val="0"/>
      <w:sz w:val="22"/>
      <w:szCs w:val="22"/>
      <w:lang w:val="en-US"/>
      <w14:ligatures w14:val="none"/>
    </w:rPr>
  </w:style>
  <w:style w:type="character" w:styleId="Hyperlink">
    <w:name w:val="Hyperlink"/>
    <w:basedOn w:val="DefaultParagraphFont"/>
    <w:uiPriority w:val="99"/>
    <w:unhideWhenUsed/>
    <w:rsid w:val="00960DBC"/>
    <w:rPr>
      <w:color w:val="467886" w:themeColor="hyperlink"/>
      <w:u w:val="single"/>
    </w:rPr>
  </w:style>
  <w:style w:type="character" w:styleId="UnresolvedMention">
    <w:name w:val="Unresolved Mention"/>
    <w:basedOn w:val="DefaultParagraphFont"/>
    <w:uiPriority w:val="99"/>
    <w:semiHidden/>
    <w:unhideWhenUsed/>
    <w:rsid w:val="00960D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scoplc.com/media/zgvhd0dn/tescos_ar24.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escoplc.com/media/u1wlq2qf/tesco-plc-annual-report-2023.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05DEEB836704CA9B5C9B4795968C546"/>
        <w:category>
          <w:name w:val="General"/>
          <w:gallery w:val="placeholder"/>
        </w:category>
        <w:types>
          <w:type w:val="bbPlcHdr"/>
        </w:types>
        <w:behaviors>
          <w:behavior w:val="content"/>
        </w:behaviors>
        <w:guid w:val="{3E03017C-E08B-4964-8F05-C518D6925FBE}"/>
      </w:docPartPr>
      <w:docPartBody>
        <w:p w:rsidR="00000000" w:rsidRDefault="009334B9" w:rsidP="009334B9">
          <w:pPr>
            <w:pStyle w:val="205DEEB836704CA9B5C9B4795968C546"/>
          </w:pPr>
          <w:r>
            <w:rPr>
              <w:rFonts w:asciiTheme="majorHAnsi" w:eastAsiaTheme="majorEastAsia" w:hAnsiTheme="majorHAnsi" w:cstheme="majorBidi"/>
              <w:caps/>
              <w:color w:val="156082" w:themeColor="accent1"/>
              <w:sz w:val="80"/>
              <w:szCs w:val="80"/>
            </w:rPr>
            <w:t>[Document title]</w:t>
          </w:r>
        </w:p>
      </w:docPartBody>
    </w:docPart>
    <w:docPart>
      <w:docPartPr>
        <w:name w:val="3F4E5618E18A44E3B628908861A28964"/>
        <w:category>
          <w:name w:val="General"/>
          <w:gallery w:val="placeholder"/>
        </w:category>
        <w:types>
          <w:type w:val="bbPlcHdr"/>
        </w:types>
        <w:behaviors>
          <w:behavior w:val="content"/>
        </w:behaviors>
        <w:guid w:val="{70057049-DDC6-4E65-9240-00C1761C1EAC}"/>
      </w:docPartPr>
      <w:docPartBody>
        <w:p w:rsidR="00000000" w:rsidRDefault="009334B9" w:rsidP="009334B9">
          <w:pPr>
            <w:pStyle w:val="3F4E5618E18A44E3B628908861A2896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4B9"/>
    <w:rsid w:val="00234FF1"/>
    <w:rsid w:val="009334B9"/>
    <w:rsid w:val="009C75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05DEEB836704CA9B5C9B4795968C546">
    <w:name w:val="205DEEB836704CA9B5C9B4795968C546"/>
    <w:rsid w:val="009334B9"/>
  </w:style>
  <w:style w:type="paragraph" w:customStyle="1" w:styleId="3F4E5618E18A44E3B628908861A28964">
    <w:name w:val="3F4E5618E18A44E3B628908861A28964"/>
    <w:rsid w:val="009334B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2025-04-11T00:00:00</PublishDate>
  <Abstract/>
  <CompanyAddress>Financial Management For Business Sustainability</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10</Pages>
  <Words>1842</Words>
  <Characters>10502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Student neme: Nicola Fabiola Stoian</Company>
  <LinksUpToDate>false</LinksUpToDate>
  <CharactersWithSpaces>12320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Analysis</dc:title>
  <dc:subject>TESCO: 2023-2024</dc:subject>
  <dc:creator>Mirabela Voican (1907947)</dc:creator>
  <cp:keywords/>
  <dc:description/>
  <cp:lastModifiedBy>Mirabela Voican (1907947)</cp:lastModifiedBy>
  <cp:revision>1</cp:revision>
  <dcterms:created xsi:type="dcterms:W3CDTF">2025-04-11T14:12:00Z</dcterms:created>
  <dcterms:modified xsi:type="dcterms:W3CDTF">2025-04-11T14:57:00Z</dcterms:modified>
</cp:coreProperties>
</file>