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14BD1E" w14:textId="5D108254" w:rsidR="00771091" w:rsidRDefault="00771091" w:rsidP="00E86974">
      <w:pPr>
        <w:rPr>
          <w:b/>
        </w:rPr>
      </w:pPr>
      <w:r>
        <w:rPr>
          <w:b/>
        </w:rPr>
        <w:t xml:space="preserve">    </w:t>
      </w:r>
      <w:r w:rsidRPr="00771091">
        <w:rPr>
          <w:b/>
        </w:rPr>
        <w:t>Christian belief in the Trinity shape a distinctly Christian understanding of the Old Testament</w:t>
      </w:r>
    </w:p>
    <w:p w14:paraId="54E32EAB" w14:textId="00D0BDF9" w:rsidR="00E86974" w:rsidRPr="00BF506B" w:rsidRDefault="00E86974" w:rsidP="00E86974">
      <w:pPr>
        <w:rPr>
          <w:b/>
        </w:rPr>
      </w:pPr>
      <w:r w:rsidRPr="00BF506B">
        <w:rPr>
          <w:b/>
        </w:rPr>
        <w:t>Introduction</w:t>
      </w:r>
    </w:p>
    <w:p w14:paraId="2A82447E" w14:textId="44F79D31" w:rsidR="00E86974" w:rsidRDefault="00B67FB9" w:rsidP="00E86974">
      <w:r w:rsidRPr="00B67FB9">
        <w:t>It is recognized that Christians believe in the trinity of God, but their efforts to establish this concept based on the Hebrew Bible must face the overwhelming stories of the Bible. The Hebrew Scriptures express God's uniqueness clearly and unequivocally and affirm one God unambiguously. The monotheistic faith in God is the hallmark of the Hebrew Bible. It is also</w:t>
      </w:r>
      <w:r w:rsidR="00BD3B42">
        <w:t xml:space="preserve"> </w:t>
      </w:r>
      <w:r w:rsidR="00BD3B42" w:rsidRPr="001C5100">
        <w:t>an</w:t>
      </w:r>
      <w:r w:rsidRPr="00B67FB9">
        <w:t xml:space="preserve"> affirmation of Judaism and the unshakable faith of the Jews. However, </w:t>
      </w:r>
      <w:r w:rsidR="00BD3B42" w:rsidRPr="001C5100">
        <w:t>despite</w:t>
      </w:r>
      <w:r w:rsidR="00BD3B42">
        <w:t xml:space="preserve"> </w:t>
      </w:r>
      <w:r w:rsidRPr="00B67FB9">
        <w:t>the nature of the Old Testament---monotheism supports the logic of the Trinity</w:t>
      </w:r>
      <w:r w:rsidRPr="008A3CA2">
        <w:t xml:space="preserve">. </w:t>
      </w:r>
      <w:r w:rsidRPr="001C5100">
        <w:t xml:space="preserve">The important traces of the Trinity </w:t>
      </w:r>
      <w:r w:rsidR="001D36EA" w:rsidRPr="008A3CA2">
        <w:t>can be found i</w:t>
      </w:r>
      <w:r w:rsidRPr="001C5100">
        <w:t>n the deep structure of the Old Testament theology</w:t>
      </w:r>
      <w:r w:rsidRPr="008A3CA2">
        <w:t>:</w:t>
      </w:r>
      <w:r w:rsidRPr="00B67FB9">
        <w:t xml:space="preserve"> the anthropomorphic character of revelation, the second commandment, the name of God as narrative self-identification and the tendenc</w:t>
      </w:r>
      <w:r>
        <w:t>y of God's coming to his people</w:t>
      </w:r>
      <w:r w:rsidR="00E86974">
        <w:t xml:space="preserve">. </w:t>
      </w:r>
      <w:r>
        <w:rPr>
          <w:rStyle w:val="FootnoteReference"/>
        </w:rPr>
        <w:footnoteReference w:id="1"/>
      </w:r>
    </w:p>
    <w:p w14:paraId="628A5E9A" w14:textId="0A4B31A9" w:rsidR="00C77263" w:rsidRDefault="008C5B6F" w:rsidP="00C77263">
      <w:r>
        <w:t xml:space="preserve">This article </w:t>
      </w:r>
      <w:r w:rsidR="00C77263">
        <w:t>begin</w:t>
      </w:r>
      <w:r>
        <w:t>s with the</w:t>
      </w:r>
      <w:r w:rsidR="00C77263">
        <w:t xml:space="preserve"> definition</w:t>
      </w:r>
      <w:r>
        <w:t xml:space="preserve"> of Trinity</w:t>
      </w:r>
      <w:r w:rsidR="00C77263">
        <w:t xml:space="preserve"> </w:t>
      </w:r>
      <w:r w:rsidR="00C77263">
        <w:rPr>
          <w:rFonts w:hint="eastAsia"/>
        </w:rPr>
        <w:t>from</w:t>
      </w:r>
      <w:r w:rsidR="00C77263">
        <w:t xml:space="preserve"> t</w:t>
      </w:r>
      <w:r>
        <w:t>he</w:t>
      </w:r>
      <w:r w:rsidR="001D36EA">
        <w:t xml:space="preserve"> biblical perspective and demonstrates</w:t>
      </w:r>
      <w:r w:rsidR="00C77263">
        <w:t xml:space="preserve"> some trace of Trinity in the Old Testament and the New Testament </w:t>
      </w:r>
      <w:r w:rsidR="008A3CA2" w:rsidRPr="008A3CA2">
        <w:t>to</w:t>
      </w:r>
      <w:r w:rsidR="00C77263" w:rsidRPr="001C5100">
        <w:t xml:space="preserve"> s</w:t>
      </w:r>
      <w:r w:rsidR="001D36EA" w:rsidRPr="008A3CA2">
        <w:t>tate</w:t>
      </w:r>
      <w:r w:rsidRPr="001C5100">
        <w:t xml:space="preserve"> that</w:t>
      </w:r>
      <w:r w:rsidR="00BD3B42" w:rsidRPr="001C5100">
        <w:t xml:space="preserve"> the</w:t>
      </w:r>
      <w:r w:rsidRPr="001C5100">
        <w:t xml:space="preserve"> Trinity is a </w:t>
      </w:r>
      <w:r w:rsidR="00C77263" w:rsidRPr="001C5100">
        <w:t xml:space="preserve">progressive </w:t>
      </w:r>
      <w:r w:rsidRPr="005B3F8E">
        <w:t>revelation in Christian</w:t>
      </w:r>
      <w:r w:rsidR="00C77263" w:rsidRPr="005B3F8E">
        <w:t xml:space="preserve"> theology:</w:t>
      </w:r>
      <w:r w:rsidR="00C77263">
        <w:t xml:space="preserve"> </w:t>
      </w:r>
      <w:r w:rsidR="00C77263" w:rsidRPr="00C77263">
        <w:rPr>
          <w:i/>
        </w:rPr>
        <w:t>the mystery that has been kept hidden for ages and generations, but is now</w:t>
      </w:r>
      <w:r w:rsidR="00C77263">
        <w:rPr>
          <w:i/>
        </w:rPr>
        <w:t xml:space="preserve"> disclosed to the Lord’s people </w:t>
      </w:r>
      <w:r w:rsidR="00C77263" w:rsidRPr="00C77263">
        <w:t>(Col. 1:26, NIV).</w:t>
      </w:r>
      <w:r>
        <w:t xml:space="preserve"> </w:t>
      </w:r>
      <w:r w:rsidR="001D36EA">
        <w:t xml:space="preserve">However, </w:t>
      </w:r>
      <w:r w:rsidR="003C18EE">
        <w:t xml:space="preserve">the aim of this article is not on trinitarian continuation between the OT and NT, but a focus on </w:t>
      </w:r>
      <w:r w:rsidR="003C18EE" w:rsidRPr="003C18EE">
        <w:t>how Christian belief in the Trinity shape a distinctly Christian understanding of the Old Testament</w:t>
      </w:r>
      <w:r w:rsidR="003C18EE">
        <w:t xml:space="preserve">. I will </w:t>
      </w:r>
      <w:r w:rsidR="003A2139">
        <w:t xml:space="preserve">narrate from three themes as follows to exemplify that the doctrine of Trinity is one of the most essential principle for Christian. </w:t>
      </w:r>
    </w:p>
    <w:p w14:paraId="667BA33F" w14:textId="1A1E571C" w:rsidR="006D171A" w:rsidRDefault="006D171A" w:rsidP="008C5B6F">
      <w:pPr>
        <w:pStyle w:val="ListParagraph"/>
        <w:numPr>
          <w:ilvl w:val="0"/>
          <w:numId w:val="1"/>
        </w:numPr>
      </w:pPr>
      <w:r w:rsidRPr="006D171A">
        <w:t>The servant and Messiah</w:t>
      </w:r>
    </w:p>
    <w:p w14:paraId="19009C4D" w14:textId="3038A94D" w:rsidR="006D171A" w:rsidRDefault="006D171A" w:rsidP="008C5B6F">
      <w:pPr>
        <w:pStyle w:val="ListParagraph"/>
        <w:numPr>
          <w:ilvl w:val="0"/>
          <w:numId w:val="1"/>
        </w:numPr>
      </w:pPr>
      <w:r w:rsidRPr="006D171A">
        <w:t>The kingdom of God</w:t>
      </w:r>
    </w:p>
    <w:p w14:paraId="202865E5" w14:textId="3B1B3382" w:rsidR="006D171A" w:rsidRDefault="006D171A" w:rsidP="008C5B6F">
      <w:pPr>
        <w:pStyle w:val="ListParagraph"/>
        <w:numPr>
          <w:ilvl w:val="0"/>
          <w:numId w:val="1"/>
        </w:numPr>
      </w:pPr>
      <w:bookmarkStart w:id="0" w:name="_Hlk511652394"/>
      <w:r>
        <w:t>OT</w:t>
      </w:r>
      <w:r w:rsidRPr="006D171A">
        <w:t xml:space="preserve"> Ritual Sa</w:t>
      </w:r>
      <w:r>
        <w:t>crifice Prefigures NT</w:t>
      </w:r>
      <w:r w:rsidRPr="006D171A">
        <w:t xml:space="preserve"> Sacrifice</w:t>
      </w:r>
    </w:p>
    <w:p w14:paraId="1D93E536" w14:textId="536B40E3" w:rsidR="0020428A" w:rsidRDefault="0020428A" w:rsidP="0020428A">
      <w:r>
        <w:t>T</w:t>
      </w:r>
      <w:r w:rsidR="0086469B">
        <w:t>he purpose o</w:t>
      </w:r>
      <w:r w:rsidR="00891049">
        <w:t>f choosing the above three theme</w:t>
      </w:r>
      <w:r w:rsidR="0086469B">
        <w:t>s is that they</w:t>
      </w:r>
      <w:r>
        <w:t xml:space="preserve"> reveal important lessons to Christians through a belief in the trinity: Jesus as</w:t>
      </w:r>
      <w:r w:rsidR="00362C50">
        <w:t xml:space="preserve"> </w:t>
      </w:r>
      <w:r w:rsidR="00F91A86">
        <w:t>all</w:t>
      </w:r>
      <w:r>
        <w:t xml:space="preserve"> the prophet Christ, the priest C</w:t>
      </w:r>
      <w:r w:rsidR="0086469B">
        <w:t>hrist, and the King's Christ is</w:t>
      </w:r>
      <w:r w:rsidR="00F91A86">
        <w:t xml:space="preserve"> </w:t>
      </w:r>
      <w:r>
        <w:t>in the humble state. After all, Christ came not to be served by men but to serve people; All the work of God’s salvation has a direct purpose, that is, the people who redeemed will become kings of the God’s kingdom and the holy nation; Sacrifice is an important biblical concept, which is offered by Jesus is the foundation of recovering the good relationship between God and Christian.</w:t>
      </w:r>
    </w:p>
    <w:bookmarkEnd w:id="0"/>
    <w:p w14:paraId="2514F53F" w14:textId="51E3509D" w:rsidR="00134CC4" w:rsidRDefault="00E86974" w:rsidP="00C77263">
      <w:r>
        <w:t>Of course, the e</w:t>
      </w:r>
      <w:r w:rsidR="006D171A">
        <w:t>mbodiment of the revelation</w:t>
      </w:r>
      <w:r>
        <w:t xml:space="preserve"> </w:t>
      </w:r>
      <w:r w:rsidR="006D171A">
        <w:t xml:space="preserve">of Trinity </w:t>
      </w:r>
      <w:r>
        <w:t>in the Old Testament is no</w:t>
      </w:r>
      <w:r w:rsidR="00C77263">
        <w:t>t merely reflected in these above</w:t>
      </w:r>
      <w:r>
        <w:t xml:space="preserve"> spheres. They are not found in solitude in the Old Testament passa</w:t>
      </w:r>
      <w:r w:rsidR="006D171A">
        <w:t>ges, however, they</w:t>
      </w:r>
      <w:r>
        <w:t xml:space="preserve"> are intertwined </w:t>
      </w:r>
      <w:r w:rsidRPr="008A3CA2">
        <w:t xml:space="preserve">and </w:t>
      </w:r>
      <w:r w:rsidRPr="001C5100">
        <w:t>interact</w:t>
      </w:r>
      <w:r w:rsidR="00BD3B42" w:rsidRPr="008A3CA2">
        <w:t xml:space="preserve"> </w:t>
      </w:r>
      <w:r>
        <w:t>with each other in which characters of dynamic fluctuations and oscillation are moving forward in</w:t>
      </w:r>
      <w:r w:rsidR="006D171A">
        <w:t xml:space="preserve"> the process of</w:t>
      </w:r>
      <w:r>
        <w:t xml:space="preserve"> theology studies.</w:t>
      </w:r>
    </w:p>
    <w:p w14:paraId="301125D0" w14:textId="513318AE" w:rsidR="000308BF" w:rsidRPr="00BF506B" w:rsidRDefault="00DC21A3" w:rsidP="00C77263">
      <w:pPr>
        <w:rPr>
          <w:b/>
        </w:rPr>
      </w:pPr>
      <w:r w:rsidRPr="00BF506B">
        <w:rPr>
          <w:b/>
        </w:rPr>
        <w:t>Definition</w:t>
      </w:r>
      <w:r w:rsidR="008C5B6F" w:rsidRPr="00BF506B">
        <w:rPr>
          <w:b/>
        </w:rPr>
        <w:t xml:space="preserve"> of </w:t>
      </w:r>
      <w:r w:rsidR="008C5B6F" w:rsidRPr="00BF506B">
        <w:rPr>
          <w:rFonts w:hint="eastAsia"/>
          <w:b/>
        </w:rPr>
        <w:t>Trinity</w:t>
      </w:r>
    </w:p>
    <w:p w14:paraId="2607A029" w14:textId="1E7664E6" w:rsidR="00EB1FFC" w:rsidRDefault="00EB1FFC" w:rsidP="00EB1FFC">
      <w:r>
        <w:t xml:space="preserve">What is God like? A general easy-to-understand answer is 'God is a living personal spirit'. The God in </w:t>
      </w:r>
      <w:r w:rsidR="00BD3B42" w:rsidRPr="001C5100">
        <w:t>the</w:t>
      </w:r>
      <w:r w:rsidR="00BD3B42">
        <w:t xml:space="preserve"> </w:t>
      </w:r>
      <w:r w:rsidR="00BF5387">
        <w:t>Bible is a living, emotional Lord</w:t>
      </w:r>
      <w:r>
        <w:t xml:space="preserve"> who is doing things. He has infinite power or energy unmatched by mankind, but at the same time he is a personal God with a unique character and nature. He is a spirit who transcends the entire world order, even though the order is completely dependent on him.</w:t>
      </w:r>
    </w:p>
    <w:p w14:paraId="3AD5DDCB" w14:textId="2EE4A5C0" w:rsidR="00DC21A3" w:rsidRDefault="00EB1FFC" w:rsidP="00EB1FFC">
      <w:r w:rsidRPr="008A3CA2">
        <w:t>From</w:t>
      </w:r>
      <w:r w:rsidR="00BD3B42" w:rsidRPr="008A3CA2">
        <w:t xml:space="preserve"> </w:t>
      </w:r>
      <w:r w:rsidR="00BD3B42" w:rsidRPr="001C5100">
        <w:t>the</w:t>
      </w:r>
      <w:r>
        <w:t xml:space="preserve"> Christian perspective, the Bible presents God as three distinguishable</w:t>
      </w:r>
      <w:r w:rsidR="00BF5387">
        <w:t xml:space="preserve"> persons, commonly referred to</w:t>
      </w:r>
      <w:r>
        <w:t xml:space="preserve"> </w:t>
      </w:r>
      <w:r w:rsidR="00BD3B42">
        <w:t xml:space="preserve">the </w:t>
      </w:r>
      <w:r>
        <w:t xml:space="preserve">Father, Son and Spirit. The technical term for this, Trinity, does not occur in the Bible, but belongs to that class of terms which are biblical in the sense of expressing clear biblical teaching. </w:t>
      </w:r>
      <w:r>
        <w:lastRenderedPageBreak/>
        <w:t>Wayne Grudem defines the doctrine of the Trinity as follows: God eternally exists as three persons, Father, Son, and Holy Spirit, and each person is fully God, and there is one God.</w:t>
      </w:r>
      <w:r>
        <w:rPr>
          <w:rStyle w:val="FootnoteReference"/>
        </w:rPr>
        <w:footnoteReference w:id="2"/>
      </w:r>
      <w:r w:rsidR="008B3A82">
        <w:t xml:space="preserve"> </w:t>
      </w:r>
    </w:p>
    <w:p w14:paraId="02BB0B69" w14:textId="503EB401" w:rsidR="008B3A82" w:rsidRPr="00BF506B" w:rsidRDefault="008B3A82" w:rsidP="00C77263">
      <w:pPr>
        <w:rPr>
          <w:b/>
        </w:rPr>
      </w:pPr>
      <w:r w:rsidRPr="00BF506B">
        <w:rPr>
          <w:b/>
        </w:rPr>
        <w:t>The doctrine of the Trinity is progressively revealed in the scriptures</w:t>
      </w:r>
    </w:p>
    <w:p w14:paraId="108C579E" w14:textId="30860D37" w:rsidR="008B3A82" w:rsidRDefault="008B3A82" w:rsidP="00C77263">
      <w:r>
        <w:t>1, Partial revelation in the Old Testament</w:t>
      </w:r>
    </w:p>
    <w:p w14:paraId="21B5CAC1" w14:textId="33E54EE5" w:rsidR="008B3A82" w:rsidRDefault="008B3A82" w:rsidP="00C77263">
      <w:r>
        <w:t xml:space="preserve">For </w:t>
      </w:r>
      <w:r w:rsidR="00817BA6">
        <w:t>Judaism,</w:t>
      </w:r>
      <w:r>
        <w:t xml:space="preserve"> the fundamental unity of God is an axiom, ‘Hear</w:t>
      </w:r>
      <w:r w:rsidR="00AA0748">
        <w:t>, O Israel: The Lord</w:t>
      </w:r>
      <w:r>
        <w:t xml:space="preserve"> our God</w:t>
      </w:r>
      <w:r w:rsidR="00AA0748">
        <w:t>, the Lord</w:t>
      </w:r>
      <w:r>
        <w:t xml:space="preserve"> is one’ (Dt. 6:4)</w:t>
      </w:r>
      <w:r w:rsidR="00AA0748">
        <w:t xml:space="preserve">. This insistence on the divine unity was most important because of the idolatrous, depraved polytheism of the surrounding nations. The Old Testament, however, contains intimations of a ‘fulness’ in the Godhead which foreshadow the New Testament trinitarian teaching. </w:t>
      </w:r>
    </w:p>
    <w:p w14:paraId="0A81B505" w14:textId="63367B69" w:rsidR="00AA0748" w:rsidRDefault="00AA0748" w:rsidP="00C77263">
      <w:r>
        <w:t xml:space="preserve">First, there are the occasions where God refers to himself in plural terms (Gen. 1:26;3:22;11:7;Isa. 6:8); the evangelist John treats the Isaiah passage as a vision of Jesus (John 12:41). Then, there are references to the Angel of the Lord who is identified with, yet distinct from, God (Ex.3:2-6; </w:t>
      </w:r>
      <w:r w:rsidR="006C7C44">
        <w:rPr>
          <w:rFonts w:hint="eastAsia"/>
        </w:rPr>
        <w:t>Ju</w:t>
      </w:r>
      <w:r w:rsidR="006C7C44">
        <w:t xml:space="preserve">g.13:2-22). The Old Testament also refers to the Spirit of God as God’s personal agent (Gen. 1:2; Neh. 9:20; Ps. 139:7; Isa. 63:10-14). It speaks of the wisdom of God, particularly in Proverbs 8, as a personalized outgoing of God to the world, and of the Word of God, the creative utterance of God (Ps. </w:t>
      </w:r>
      <w:r w:rsidR="00D424F0">
        <w:t>33:6,9; Gen. 1:26). There are also prophecies which identify the long-awaited Messiah with God (Ps. 2; Isa. 9:6). This clearly does not amount to the full doctrine of the Trinity, but in presenting plurality within God’s unity these Old Testament passages anticipate the fuller New Testament teaching.</w:t>
      </w:r>
      <w:r w:rsidR="00417CA7">
        <w:rPr>
          <w:rStyle w:val="FootnoteReference"/>
        </w:rPr>
        <w:footnoteReference w:id="3"/>
      </w:r>
    </w:p>
    <w:p w14:paraId="6D386645" w14:textId="62B70D93" w:rsidR="00D424F0" w:rsidRDefault="00D424F0" w:rsidP="00C77263">
      <w:r>
        <w:t>2, More complete revelation of the Trinity in the New Testament</w:t>
      </w:r>
    </w:p>
    <w:p w14:paraId="2390BC43" w14:textId="4043C12F" w:rsidR="00D424F0" w:rsidRDefault="00D424F0" w:rsidP="00C77263">
      <w:r>
        <w:t xml:space="preserve">The teaching latent in the Old Testament comes to the surface in the New Testament. Firstly, in coming to terms with the impact of Jesus’ life and character, claims and miracles, and above all his resurrection and ascension, the apostles found themselves increasingly led to worship him as God. Secondly, the reality and activity of the Holy Spirit among them was clearly the presence of God himself. Hence the trinitarian mould </w:t>
      </w:r>
      <w:r w:rsidRPr="008A3CA2">
        <w:t>given</w:t>
      </w:r>
      <w:r w:rsidR="002A58D9" w:rsidRPr="008A3CA2">
        <w:t xml:space="preserve"> </w:t>
      </w:r>
      <w:r w:rsidR="002A58D9" w:rsidRPr="001C5100">
        <w:t>to</w:t>
      </w:r>
      <w:r>
        <w:t xml:space="preserve"> them by Jesus (Matt. 28:19) determined their own understanding. God the Lord was one, yet distinguishable as three: God the Father, God the Son, and God the Spirit. </w:t>
      </w:r>
    </w:p>
    <w:p w14:paraId="4C62CA34" w14:textId="2AAA7FCB" w:rsidR="00D424F0" w:rsidRDefault="00D424F0" w:rsidP="00C77263">
      <w:r>
        <w:t xml:space="preserve">Several passages in the New Testament </w:t>
      </w:r>
      <w:r w:rsidR="00003E02">
        <w:t>presuppose, imply or state God’s triunity (Matt. 3:13-17, 28:19; John 14:15-23; Acts 2:23; 2Cor. 13:14; Eph. 1:1-14, 3:16-19). Each person of the Godhead is asserted to be divine: The Father is God (Matt. 6:8, 7:21; Gal. 1:1), The Son is God (John 1:1-18; Rom. 9:5; Col. 2:9; Tit. 2:13; Heb. 1:8-10), The Spirit is God (Mk. 3:29; John 15:26; 1Cor. 6:19; 2Cor. 3:17).</w:t>
      </w:r>
    </w:p>
    <w:p w14:paraId="69F54657" w14:textId="330CBAE3" w:rsidR="00003E02" w:rsidRDefault="00003E02" w:rsidP="00C77263">
      <w:r>
        <w:t xml:space="preserve">One way of understanding the distinctions between Father, Son and Spirit is to refer different functions to each. The </w:t>
      </w:r>
      <w:r w:rsidR="00DA064A">
        <w:t>most popular</w:t>
      </w:r>
      <w:r>
        <w:t xml:space="preserve"> form of this attributes creation to the Father, redemption to the Son and sanctification to the Spirit</w:t>
      </w:r>
      <w:r w:rsidR="00DA064A">
        <w:t>. (</w:t>
      </w:r>
      <w:r w:rsidR="00DA064A" w:rsidRPr="00753ECB">
        <w:t>Bruce Milne, Know the Truth, A handbook of Christian Belief, Inter-Varsity Press, 1982, p.60</w:t>
      </w:r>
      <w:r w:rsidR="00DA064A">
        <w:t xml:space="preserve">) Paul gives a modified form in Ephesians 1:3-14 where election is referred to the Father (vv. 4,5,11), redemption to the Son (3,7,8) and ‘sealing’ to the Spirit (13,14). Romans 11:36 has given rise to another understanding based on the prepositions used to refer to God’s activity with respect to the universe: </w:t>
      </w:r>
      <w:r w:rsidR="00DA064A" w:rsidRPr="00753ECB">
        <w:t>from him</w:t>
      </w:r>
      <w:r w:rsidR="00DA064A" w:rsidRPr="00DA064A">
        <w:t>(Father)</w:t>
      </w:r>
      <w:r w:rsidR="00DA064A" w:rsidRPr="00753ECB">
        <w:t xml:space="preserve"> and through him</w:t>
      </w:r>
      <w:r w:rsidR="00DA064A" w:rsidRPr="00DA064A">
        <w:t>(</w:t>
      </w:r>
      <w:r w:rsidR="00DA064A" w:rsidRPr="00753ECB">
        <w:t>Son) and to him</w:t>
      </w:r>
      <w:r w:rsidR="00DA064A" w:rsidRPr="00E153C2">
        <w:t>(S</w:t>
      </w:r>
      <w:r w:rsidR="00DA064A" w:rsidRPr="00DA064A">
        <w:t>pirit)</w:t>
      </w:r>
      <w:r w:rsidR="00E153C2">
        <w:t xml:space="preserve">. These distinctions must not obscure the fundamental truth of the divine unity whereby all three are involved </w:t>
      </w:r>
      <w:r w:rsidR="0085042B">
        <w:t>in the activity of any one, for example,</w:t>
      </w:r>
      <w:r w:rsidR="00E153C2">
        <w:t xml:space="preserve"> while </w:t>
      </w:r>
      <w:r w:rsidR="0085042B">
        <w:t xml:space="preserve">creation may particularly </w:t>
      </w:r>
      <w:r w:rsidR="008A3CA2">
        <w:t xml:space="preserve">be </w:t>
      </w:r>
      <w:r w:rsidR="008A3CA2">
        <w:lastRenderedPageBreak/>
        <w:t>assigned</w:t>
      </w:r>
      <w:r w:rsidR="0085042B">
        <w:t xml:space="preserve"> to the Father (Gen. 1:1; Rev. 4:11), it can equally be associated with the Son (John 1:3) and the Spirit (Isa. 40:13).</w:t>
      </w:r>
      <w:r w:rsidR="00417CA7">
        <w:rPr>
          <w:rStyle w:val="FootnoteReference"/>
        </w:rPr>
        <w:footnoteReference w:id="4"/>
      </w:r>
    </w:p>
    <w:p w14:paraId="715768F9" w14:textId="0B6F15B7" w:rsidR="00817BA6" w:rsidRDefault="00817BA6" w:rsidP="00C77263">
      <w:r w:rsidRPr="00817BA6">
        <w:t>Having examined the plurality of God</w:t>
      </w:r>
      <w:r w:rsidR="008A3CA2">
        <w:t xml:space="preserve"> from </w:t>
      </w:r>
      <w:r w:rsidR="008A3CA2">
        <w:rPr>
          <w:rFonts w:hint="eastAsia"/>
        </w:rPr>
        <w:t>some</w:t>
      </w:r>
      <w:r>
        <w:t xml:space="preserve"> texts</w:t>
      </w:r>
      <w:r w:rsidR="008A3CA2">
        <w:t xml:space="preserve"> </w:t>
      </w:r>
      <w:r w:rsidR="008A3CA2">
        <w:rPr>
          <w:rFonts w:hint="eastAsia"/>
        </w:rPr>
        <w:t>of</w:t>
      </w:r>
      <w:r w:rsidR="008A3CA2">
        <w:t xml:space="preserve"> </w:t>
      </w:r>
      <w:r w:rsidR="008A3CA2">
        <w:rPr>
          <w:rFonts w:hint="eastAsia"/>
        </w:rPr>
        <w:t>the</w:t>
      </w:r>
      <w:r w:rsidR="008A3CA2">
        <w:t xml:space="preserve"> </w:t>
      </w:r>
      <w:r w:rsidR="008A3CA2">
        <w:rPr>
          <w:rFonts w:hint="eastAsia"/>
        </w:rPr>
        <w:t>Bible</w:t>
      </w:r>
      <w:r w:rsidRPr="00817BA6">
        <w:t>, the next part</w:t>
      </w:r>
      <w:r w:rsidR="008A3CA2">
        <w:t xml:space="preserve"> of this </w:t>
      </w:r>
      <w:r w:rsidR="008A3CA2">
        <w:rPr>
          <w:rFonts w:hint="eastAsia"/>
        </w:rPr>
        <w:t>essay</w:t>
      </w:r>
      <w:r w:rsidR="00BF5387">
        <w:t xml:space="preserve"> will discuss</w:t>
      </w:r>
      <w:r w:rsidRPr="00817BA6">
        <w:t xml:space="preserve"> the significance of </w:t>
      </w:r>
      <w:r w:rsidR="00BF5387" w:rsidRPr="00BF5387">
        <w:t xml:space="preserve">Christian </w:t>
      </w:r>
      <w:r w:rsidRPr="00817BA6">
        <w:t xml:space="preserve">Trinitarian belief </w:t>
      </w:r>
      <w:r>
        <w:t>from three themes.</w:t>
      </w:r>
    </w:p>
    <w:p w14:paraId="6D82A3EC" w14:textId="7F74FA7F" w:rsidR="009627E8" w:rsidRPr="00CA17A3" w:rsidRDefault="00CA17A3" w:rsidP="00C77263">
      <w:pPr>
        <w:rPr>
          <w:b/>
        </w:rPr>
      </w:pPr>
      <w:r w:rsidRPr="00CA17A3">
        <w:rPr>
          <w:b/>
        </w:rPr>
        <w:t>Theme a</w:t>
      </w:r>
      <w:r w:rsidR="009627E8" w:rsidRPr="00CA17A3">
        <w:rPr>
          <w:b/>
        </w:rPr>
        <w:t>nalysis</w:t>
      </w:r>
    </w:p>
    <w:p w14:paraId="30B9F9CA" w14:textId="653A450F" w:rsidR="001B79E1" w:rsidRPr="000F687C" w:rsidRDefault="001B79E1" w:rsidP="00C77263">
      <w:pPr>
        <w:rPr>
          <w:b/>
        </w:rPr>
      </w:pPr>
      <w:bookmarkStart w:id="3" w:name="_Hlk511477438"/>
      <w:r w:rsidRPr="000F687C">
        <w:rPr>
          <w:b/>
        </w:rPr>
        <w:t>Th</w:t>
      </w:r>
      <w:r w:rsidR="00840E40">
        <w:rPr>
          <w:b/>
        </w:rPr>
        <w:t>e S</w:t>
      </w:r>
      <w:r w:rsidRPr="000F687C">
        <w:rPr>
          <w:b/>
        </w:rPr>
        <w:t>ervant and Messiah</w:t>
      </w:r>
    </w:p>
    <w:bookmarkEnd w:id="3"/>
    <w:p w14:paraId="652909A4" w14:textId="6AF3B5E6" w:rsidR="001B79E1" w:rsidRDefault="001B79E1" w:rsidP="001B79E1">
      <w:r>
        <w:t>It is almost impossible</w:t>
      </w:r>
      <w:r w:rsidR="00145664">
        <w:t xml:space="preserve"> to understand this verse if people</w:t>
      </w:r>
      <w:r>
        <w:t xml:space="preserve"> do not have a broader and deeper understanding of the concept of “the servant of the Lord” in </w:t>
      </w:r>
      <w:r w:rsidR="00840E40">
        <w:t xml:space="preserve">the Book of </w:t>
      </w:r>
      <w:r>
        <w:t xml:space="preserve">Isaiah. This is the fourth of a number of "servant songs" in Isaiah (Is. 42:1-6; 49:1-3; 50:4-9; 52:13 – 53:12). </w:t>
      </w:r>
      <w:r w:rsidR="00961426">
        <w:rPr>
          <w:rStyle w:val="FootnoteReference"/>
        </w:rPr>
        <w:footnoteReference w:id="5"/>
      </w:r>
    </w:p>
    <w:p w14:paraId="7263C7B2" w14:textId="3A07A99A" w:rsidR="001B79E1" w:rsidRDefault="001B79E1" w:rsidP="001B79E1">
      <w:r>
        <w:t xml:space="preserve">First of all, it's interesting that Servant passages seem to overlap </w:t>
      </w:r>
      <w:r w:rsidR="002A58D9" w:rsidRPr="001C5100">
        <w:t>with</w:t>
      </w:r>
      <w:r w:rsidR="002A58D9">
        <w:t xml:space="preserve"> </w:t>
      </w:r>
      <w:r>
        <w:t>each other. First, Isaiah 42:1-6 describes the servant's mission. In commenting on Isaiah 42:1-4, Blenkinsopp pointed out: "Here the speaker is Yahweh, who designates an individual as his servant and chosen one, endowing him with the spirit so that he may complete his mission of dispensing ju</w:t>
      </w:r>
      <w:r w:rsidR="00961426">
        <w:t xml:space="preserve">stice and Law to the nations." </w:t>
      </w:r>
      <w:r w:rsidR="00961426">
        <w:rPr>
          <w:rStyle w:val="FootnoteReference"/>
        </w:rPr>
        <w:footnoteReference w:id="6"/>
      </w:r>
    </w:p>
    <w:p w14:paraId="78F0DFD0" w14:textId="3FFE4CCC" w:rsidR="001B79E1" w:rsidRDefault="001B79E1" w:rsidP="001B79E1">
      <w:r>
        <w:t>Second, Isaiah 49:1-13 points out that this mission is accompanied by difficulties. Some people think that the text refers to Israel as a whole, while others refer to the prophet himself. In commenting, Blenkinsopp stated: "But the problem is that the mission assigned to the speaker includes the task of bringing Israel back to its God, which task must be ascribed to an individual or collectivity within</w:t>
      </w:r>
      <w:r w:rsidR="004A50BE">
        <w:t xml:space="preserve"> Israel, not to Israel itself. </w:t>
      </w:r>
      <w:r>
        <w:t xml:space="preserve"> It seems, then, that the passage has been expanded to allow for a certain identification between the prophet and Israel, while still describing the prophet’s o</w:t>
      </w:r>
      <w:r w:rsidR="00325E63">
        <w:t>wn sense of mission to Israel”</w:t>
      </w:r>
      <w:r w:rsidR="00961426">
        <w:rPr>
          <w:rStyle w:val="FootnoteReference"/>
        </w:rPr>
        <w:footnoteReference w:id="7"/>
      </w:r>
    </w:p>
    <w:p w14:paraId="4BC71AFC" w14:textId="18988376" w:rsidR="001B79E1" w:rsidRDefault="001B79E1" w:rsidP="001B79E1">
      <w:r>
        <w:t xml:space="preserve">Third, Isaiah 50: 4-9 shows that the servant experiences suffering and almost </w:t>
      </w:r>
      <w:r w:rsidR="00CA35B0">
        <w:rPr>
          <w:rFonts w:hint="eastAsia"/>
        </w:rPr>
        <w:t>death</w:t>
      </w:r>
      <w:r>
        <w:t xml:space="preserve">, but does not </w:t>
      </w:r>
      <w:r w:rsidRPr="001C5100">
        <w:t>state</w:t>
      </w:r>
      <w:r>
        <w:t xml:space="preserve"> why he encounters this suffering.</w:t>
      </w:r>
    </w:p>
    <w:p w14:paraId="325ED39B" w14:textId="39B4FF1A" w:rsidR="001B79E1" w:rsidRDefault="001B79E1" w:rsidP="001B79E1">
      <w:r>
        <w:t>Finally, Isaiah 52:13 - 53:12 shows that the servant's suffering leads to his death.</w:t>
      </w:r>
      <w:r w:rsidR="00921A03">
        <w:t xml:space="preserve"> </w:t>
      </w:r>
      <w:r w:rsidRPr="001B79E1">
        <w:t>This prophecy actually begins in the second half of Isaiah 52 (vv. 13-15), which is the summary of chapter 53. The three verses imply, in Christian perspective</w:t>
      </w:r>
      <w:r w:rsidRPr="00CA35B0">
        <w:t>,</w:t>
      </w:r>
      <w:r w:rsidR="00F51629" w:rsidRPr="00CA35B0">
        <w:t xml:space="preserve"> </w:t>
      </w:r>
      <w:r w:rsidR="00F51629" w:rsidRPr="001C5100">
        <w:t>the</w:t>
      </w:r>
      <w:r w:rsidRPr="001B79E1">
        <w:t xml:space="preserve"> Messiah's exaltation (v.13), humiliation (v.14) and his astonishing influence on the world. This roughly corresponds to Chapter 53 (</w:t>
      </w:r>
      <w:r w:rsidR="003F00E7">
        <w:t>although the order is different</w:t>
      </w:r>
      <w:r w:rsidRPr="001B79E1">
        <w:t>, which describes his irony (vv.1-2), his humiliation and suffering (vv.3-10a) and exaltation (vv.10b-12).</w:t>
      </w:r>
    </w:p>
    <w:p w14:paraId="4D14A4B8" w14:textId="3B496459" w:rsidR="00FD4385" w:rsidRDefault="00E57C5F" w:rsidP="001B79E1">
      <w:r w:rsidRPr="00E57C5F">
        <w:t>The</w:t>
      </w:r>
      <w:r w:rsidR="00921A03">
        <w:t xml:space="preserve">re are many reasons </w:t>
      </w:r>
      <w:r w:rsidRPr="00E57C5F">
        <w:t>of this verse to imply for the Messiah</w:t>
      </w:r>
      <w:r w:rsidR="004B44AE">
        <w:t>. Firstly</w:t>
      </w:r>
      <w:r w:rsidRPr="00E57C5F">
        <w:t>, this passage mentions a person, which the references are singular. Fruchtenbaum’s commentary points out on verse 8: "This One, who is Messiah, is quite distinct fro</w:t>
      </w:r>
      <w:r w:rsidR="003F00E7">
        <w:t>m 'my people,' who are Israel."</w:t>
      </w:r>
      <w:r w:rsidR="003F00E7">
        <w:rPr>
          <w:rStyle w:val="FootnoteReference"/>
        </w:rPr>
        <w:footnoteReference w:id="8"/>
      </w:r>
      <w:r w:rsidRPr="00E57C5F">
        <w:t xml:space="preserve"> Elwell states: </w:t>
      </w:r>
      <w:r w:rsidR="003F00E7" w:rsidRPr="003F00E7">
        <w:t>While it is true that Isaiah does not explicitly link the title Messiah with the Servant of the Lord, identifying both figures as one and the same person is justifiable.</w:t>
      </w:r>
      <w:r w:rsidR="003F00E7">
        <w:t>"</w:t>
      </w:r>
      <w:r w:rsidR="003F00E7">
        <w:rPr>
          <w:rStyle w:val="FootnoteReference"/>
        </w:rPr>
        <w:footnoteReference w:id="9"/>
      </w:r>
      <w:r w:rsidRPr="00E57C5F">
        <w:t xml:space="preserve">  Both are unique anointed ones (Isa. 61:1), bringing light to the Gentiles (Isa. 55: 4; cf. 49:6), which is not pretentious at the first appearance (Isa. 7:14-15; 11:1; cf. 42:3; 53:1). They both have the name of Davidic "branch". (Isa. 11:1-4), they </w:t>
      </w:r>
      <w:r w:rsidRPr="00CA35B0">
        <w:lastRenderedPageBreak/>
        <w:t xml:space="preserve">are </w:t>
      </w:r>
      <w:r w:rsidR="00F51629" w:rsidRPr="001C5100">
        <w:t>both</w:t>
      </w:r>
      <w:r w:rsidR="00F51629" w:rsidRPr="00E57C5F">
        <w:t xml:space="preserve"> </w:t>
      </w:r>
      <w:r w:rsidRPr="00E57C5F">
        <w:t>humiliated and exalted (Isa. 49:7; 52:13-15). In the Old Testament, “my people” is always figured to Israel. However,</w:t>
      </w:r>
      <w:r w:rsidR="00F51629">
        <w:t xml:space="preserve"> the</w:t>
      </w:r>
      <w:r w:rsidRPr="00E57C5F">
        <w:t xml:space="preserve"> Messiah will be killed for Israel’s sins.</w:t>
      </w:r>
      <w:r w:rsidR="00FD4385">
        <w:t xml:space="preserve">  </w:t>
      </w:r>
    </w:p>
    <w:p w14:paraId="2EC5E763" w14:textId="1AA8BB41" w:rsidR="001B79E1" w:rsidRDefault="00FD4385" w:rsidP="001B79E1">
      <w:r w:rsidRPr="00FD4385">
        <w:t>Second</w:t>
      </w:r>
      <w:r w:rsidR="003F00E7">
        <w:t>ly</w:t>
      </w:r>
      <w:r w:rsidRPr="00FD4385">
        <w:t>, not all servants of the Lord are referring to the Messiah. For example, the servant mentioned in Isaiah 20:3 is Isaiah himself. For example, Eliakim (22:20), David (37:35), Israel (41:8-10; 43:10; 44:1-2,21; 45: 4; 48:20), also an unnamed person (42:1-3; 52:13 - 53:12) are included the term ‘servant’ in these passages. Isaiah 54:17 even describes many servants of the Lord whom may be a reference to the prophets. Although some references in Isaiah seem to identify the servant as Israel or Isaiah, the best interpretation of Isaiah 53 is that the servant refers to Messiah.</w:t>
      </w:r>
      <w:r>
        <w:t xml:space="preserve"> </w:t>
      </w:r>
    </w:p>
    <w:p w14:paraId="2993033E" w14:textId="2C8A0B95" w:rsidR="0099390C" w:rsidRDefault="0099390C" w:rsidP="0099390C">
      <w:r>
        <w:t>Third</w:t>
      </w:r>
      <w:r w:rsidR="003F00E7">
        <w:t>ly</w:t>
      </w:r>
      <w:r>
        <w:t xml:space="preserve">, it must be admitted that from the passage of “He will see his offspring” (v.10), it is difficult to think of Jesus because he does not have descendants. However, offspring can be viewed from a more symbolic perspective. Although Blenkinsopp interprets this passage as applicable to a prophetic group, he uses </w:t>
      </w:r>
      <w:r w:rsidRPr="00CA35B0">
        <w:t xml:space="preserve">it </w:t>
      </w:r>
      <w:r w:rsidR="00F51629" w:rsidRPr="001C5100">
        <w:t xml:space="preserve">in </w:t>
      </w:r>
      <w:r w:rsidRPr="005B3F8E">
        <w:t>metaphor</w:t>
      </w:r>
      <w:r>
        <w:t xml:space="preserve">"...the final promise that he will see his offspring and that his work will bear fruit in the end would be imply that he lives on in The prophetic following dedicated to perpetuating his </w:t>
      </w:r>
      <w:r w:rsidR="004F51C4">
        <w:t>message. “</w:t>
      </w:r>
      <w:r w:rsidR="004F51C4">
        <w:rPr>
          <w:rStyle w:val="FootnoteReference"/>
        </w:rPr>
        <w:footnoteReference w:id="10"/>
      </w:r>
      <w:r>
        <w:t xml:space="preserve"> If Blenkinsopp can apply this to the prophetic group, why couldn’t one apply this to Jesus in the sense that people are children of God (cf. John 1:12)</w:t>
      </w:r>
      <w:r w:rsidR="004B44AE">
        <w:t>.</w:t>
      </w:r>
    </w:p>
    <w:p w14:paraId="6E0730BF" w14:textId="59BCD635" w:rsidR="0099390C" w:rsidRDefault="0099390C" w:rsidP="001B79E1">
      <w:r>
        <w:t>Fourth, the traditional Jewish interpretation was that this verse mentions the Messiah. The Jewish scholars in the early Christian era clearly believed that this verse was Messianic. They interpreted Isaiah 42:1 as “Behold my Servant Messiah” and Isaiah 53 as: “Behold, my s</w:t>
      </w:r>
      <w:r w:rsidR="004F51C4">
        <w:t xml:space="preserve">ervant Messiah will prosper.” </w:t>
      </w:r>
      <w:r w:rsidR="004F51C4">
        <w:rPr>
          <w:rStyle w:val="FootnoteReference"/>
        </w:rPr>
        <w:footnoteReference w:id="11"/>
      </w:r>
      <w:r>
        <w:t xml:space="preserve">  Fluchinbaum Point out: "All of the ancient Jewish wri</w:t>
      </w:r>
      <w:r w:rsidR="00956BF2">
        <w:t>tings – the Mishnah, the Gemara</w:t>
      </w:r>
      <w:r w:rsidR="00334FAB">
        <w:t>,</w:t>
      </w:r>
      <w:r>
        <w:t xml:space="preserve"> (the Talmud), the Midrashim and many others – all regard this portion of Scripture as relat</w:t>
      </w:r>
      <w:r w:rsidR="004F51C4">
        <w:t>ing to the Messianic Person. "</w:t>
      </w:r>
      <w:r w:rsidR="004F51C4">
        <w:rPr>
          <w:rStyle w:val="FootnoteReference"/>
        </w:rPr>
        <w:footnoteReference w:id="12"/>
      </w:r>
      <w:r>
        <w:t xml:space="preserve"> Around 1050 C.E., </w:t>
      </w:r>
      <w:proofErr w:type="spellStart"/>
      <w:r>
        <w:t>Rashi</w:t>
      </w:r>
      <w:proofErr w:type="spellEnd"/>
      <w:r>
        <w:t xml:space="preserve"> who first proposed it to refer to Israelis. However, </w:t>
      </w:r>
      <w:proofErr w:type="spellStart"/>
      <w:r>
        <w:t>Rashi's</w:t>
      </w:r>
      <w:proofErr w:type="spellEnd"/>
      <w:r>
        <w:t xml:space="preserve"> point of view provoked the strong opposition of the great rabbi Maimonides.</w:t>
      </w:r>
    </w:p>
    <w:p w14:paraId="237E1201" w14:textId="59293DF2" w:rsidR="00822F18" w:rsidRDefault="00822F18" w:rsidP="00822F18">
      <w:r>
        <w:t xml:space="preserve">With verses like Isaiah 53, the ancient Rabbis resolved the apparent conflict between dying-Messiah and reigning-Messiah by inventing two Messianic concepts. Fruchtenbaum summed up this point: "They taught that the first Messiah, whom they called 'Messiah son of Joseph,' who suffered in Egypt, would come to suffer and die in fulfilment of the servant passages, one of which they listed as Isaiah 53. The second Messiah, 'Messiah son of David,' would then come and raise the first Messiah back to life. He would then establish His </w:t>
      </w:r>
      <w:r w:rsidR="004F51C4">
        <w:t>Kingdom to rule and to reign "</w:t>
      </w:r>
      <w:r w:rsidR="004F51C4">
        <w:rPr>
          <w:rStyle w:val="FootnoteReference"/>
        </w:rPr>
        <w:footnoteReference w:id="13"/>
      </w:r>
      <w:r>
        <w:t xml:space="preserve"> However, they acknowledged the prophecy of Messiah's death and resurrection. </w:t>
      </w:r>
    </w:p>
    <w:p w14:paraId="04BCF36F" w14:textId="177DDCBF" w:rsidR="00E57C5F" w:rsidRDefault="00822F18" w:rsidP="00822F18">
      <w:r>
        <w:t>Fifth, Isaiah 53:10</w:t>
      </w:r>
      <w:r w:rsidR="006E239B">
        <w:t xml:space="preserve"> states: “and though the Lord makes his life an offering for</w:t>
      </w:r>
      <w:r>
        <w:t xml:space="preserve"> sin,</w:t>
      </w:r>
      <w:r w:rsidR="006E239B">
        <w:t xml:space="preserve"> he will see his offspring and prolong his days…” the same word of the offering</w:t>
      </w:r>
      <w:r>
        <w:t xml:space="preserve"> (asham) is the same word used in the law, where it must be perfect</w:t>
      </w:r>
      <w:r w:rsidR="004514B7" w:rsidRPr="004514B7">
        <w:t xml:space="preserve"> and without blemish</w:t>
      </w:r>
      <w:r>
        <w:t>. Luis Goldberg commented: "At this point, if our Jewish friend persists in saying that Isaiah 53 refers to the nation, we can raise the questions, can you say that Israel is without spot or blemish – perfect in every way?  Usually our</w:t>
      </w:r>
      <w:r w:rsidR="004F51C4">
        <w:t xml:space="preserve"> Jewish friends will say no. “</w:t>
      </w:r>
      <w:r w:rsidR="004F51C4">
        <w:rPr>
          <w:rStyle w:val="FootnoteReference"/>
        </w:rPr>
        <w:footnoteReference w:id="14"/>
      </w:r>
      <w:r>
        <w:t xml:space="preserve"> </w:t>
      </w:r>
      <w:r w:rsidR="004514B7">
        <w:t>Therefore</w:t>
      </w:r>
      <w:r>
        <w:t xml:space="preserve"> the servant that he </w:t>
      </w:r>
      <w:r w:rsidR="004514B7">
        <w:t xml:space="preserve">cannot be Israel’s conclusion. </w:t>
      </w:r>
      <w:r>
        <w:t xml:space="preserve">In the sequence of the chapter, we have thus been already informed that the </w:t>
      </w:r>
      <w:r w:rsidR="004514B7">
        <w:t>servant cannot be the nation.</w:t>
      </w:r>
      <w:r w:rsidR="003B1D63">
        <w:rPr>
          <w:rStyle w:val="FootnoteReference"/>
        </w:rPr>
        <w:footnoteReference w:id="15"/>
      </w:r>
    </w:p>
    <w:p w14:paraId="3497C050" w14:textId="25F81A67" w:rsidR="00DF518D" w:rsidRPr="00BF506B" w:rsidRDefault="00BE1DBD" w:rsidP="00822F18">
      <w:pPr>
        <w:rPr>
          <w:b/>
        </w:rPr>
      </w:pPr>
      <w:bookmarkStart w:id="5" w:name="_Hlk511477454"/>
      <w:r w:rsidRPr="00BF506B">
        <w:rPr>
          <w:b/>
        </w:rPr>
        <w:lastRenderedPageBreak/>
        <w:t>The kingdom of God</w:t>
      </w:r>
      <w:r w:rsidR="00E803F7" w:rsidRPr="00BF506B">
        <w:rPr>
          <w:b/>
        </w:rPr>
        <w:t xml:space="preserve"> </w:t>
      </w:r>
    </w:p>
    <w:bookmarkEnd w:id="5"/>
    <w:p w14:paraId="48B00A14" w14:textId="100656F9" w:rsidR="00951F26" w:rsidRPr="00951F26" w:rsidRDefault="00951F26" w:rsidP="00BE1DBD">
      <w:r w:rsidRPr="00951F26">
        <w:t>The theme of the Bible is to establish the kingdom of God. This is the place mentioned in the Bible from the beginning to the end.</w:t>
      </w:r>
      <w:r>
        <w:rPr>
          <w:rStyle w:val="FootnoteReference"/>
        </w:rPr>
        <w:footnoteReference w:id="16"/>
      </w:r>
      <w:r w:rsidRPr="00951F26">
        <w:t xml:space="preserve"> Salvation is God's means of bringing sinners into this kingdom as its willing and acceptable theme. When Jesus began to preach, he declared that the kingdom of </w:t>
      </w:r>
      <w:r w:rsidR="00C73D07">
        <w:t>God “has come near” (Matt.3:2).</w:t>
      </w:r>
      <w:r w:rsidRPr="00951F26">
        <w:t xml:space="preserve"> The term</w:t>
      </w:r>
      <w:r w:rsidR="00CA35B0">
        <w:t xml:space="preserve"> "kingdom of God" does not appear</w:t>
      </w:r>
      <w:r w:rsidRPr="00951F26">
        <w:t xml:space="preserve"> in the Old Testament,</w:t>
      </w:r>
      <w:r w:rsidR="00CA35B0">
        <w:t xml:space="preserve"> but this concept </w:t>
      </w:r>
      <w:r w:rsidR="00CA35B0">
        <w:rPr>
          <w:rFonts w:hint="eastAsia"/>
        </w:rPr>
        <w:t>exists</w:t>
      </w:r>
      <w:r w:rsidR="00CA35B0">
        <w:t>.</w:t>
      </w:r>
      <w:r w:rsidRPr="00951F26">
        <w:t xml:space="preserve"> Obviously, </w:t>
      </w:r>
      <w:r w:rsidR="008A7E28">
        <w:t>his</w:t>
      </w:r>
      <w:r w:rsidRPr="00951F26">
        <w:t xml:space="preserve"> listeners had some concept of the “ki</w:t>
      </w:r>
      <w:r w:rsidR="008A7E28">
        <w:t>ngdom” in the Old Testament by h</w:t>
      </w:r>
      <w:r w:rsidRPr="00951F26">
        <w:t xml:space="preserve">is preaching. They would </w:t>
      </w:r>
      <w:r w:rsidR="008A7E28">
        <w:t>recognize Jesus' words and confess that the expectation of Israel will be in his fulfilment</w:t>
      </w:r>
      <w:r w:rsidRPr="00951F26">
        <w:t>.</w:t>
      </w:r>
      <w:r w:rsidR="000F231B">
        <w:t xml:space="preserve"> </w:t>
      </w:r>
    </w:p>
    <w:p w14:paraId="027B77DA" w14:textId="3557DE88" w:rsidR="000227AF" w:rsidRPr="000227AF" w:rsidRDefault="000227AF" w:rsidP="00BE1DBD">
      <w:r w:rsidRPr="000227AF">
        <w:t>Although the New Testament provides a more diversified description of the kingdom and focuses on the spiritual realities, its basic structure is the same as that of the Old Testament. Due to the spiritual emp</w:t>
      </w:r>
      <w:r w:rsidR="008A7E28">
        <w:t>hasis of the New Testament,</w:t>
      </w:r>
      <w:r w:rsidRPr="000227AF">
        <w:t xml:space="preserve"> Christians believe that the kingdom in the New Testament is not the </w:t>
      </w:r>
      <w:r w:rsidR="006A4F51">
        <w:t xml:space="preserve">same </w:t>
      </w:r>
      <w:r w:rsidRPr="000227AF">
        <w:t>kingdom promised in the Old Testament. Therefore, they must rely o</w:t>
      </w:r>
      <w:r w:rsidR="006A4F51">
        <w:t>n the testimony of Jesus and his</w:t>
      </w:r>
      <w:r w:rsidRPr="000227AF">
        <w:t xml:space="preserve"> apostle</w:t>
      </w:r>
      <w:r w:rsidR="008A7E28">
        <w:t>s to decid</w:t>
      </w:r>
      <w:r w:rsidR="006A4F51">
        <w:t xml:space="preserve">e this. Meanwhile </w:t>
      </w:r>
      <w:r w:rsidRPr="000227AF">
        <w:t xml:space="preserve">firmly believe that the </w:t>
      </w:r>
      <w:r w:rsidR="006A4F51">
        <w:t>kingdom in the Gospel</w:t>
      </w:r>
      <w:r w:rsidRPr="000227AF">
        <w:t xml:space="preserve"> is declared as the </w:t>
      </w:r>
      <w:r w:rsidR="006A4F51" w:rsidRPr="006A4F51">
        <w:t>expectation</w:t>
      </w:r>
      <w:r w:rsidR="006A4F51">
        <w:t>’</w:t>
      </w:r>
      <w:r w:rsidR="006A4F51" w:rsidRPr="006A4F51">
        <w:t xml:space="preserve">s </w:t>
      </w:r>
      <w:r w:rsidR="006A4F51">
        <w:t>fulfilment in</w:t>
      </w:r>
      <w:r w:rsidRPr="000227AF">
        <w:t xml:space="preserve"> the Old Testament.</w:t>
      </w:r>
    </w:p>
    <w:p w14:paraId="6C8B07D6" w14:textId="5B21AEFA" w:rsidR="002F0AC7" w:rsidRPr="002F0AC7" w:rsidRDefault="002F0AC7" w:rsidP="002F0AC7">
      <w:r w:rsidRPr="00E3213B">
        <w:rPr>
          <w:b/>
        </w:rPr>
        <w:t xml:space="preserve">God’s </w:t>
      </w:r>
      <w:r w:rsidR="002B7F5D" w:rsidRPr="00E3213B">
        <w:rPr>
          <w:b/>
        </w:rPr>
        <w:t>people</w:t>
      </w:r>
      <w:r w:rsidR="002B7F5D">
        <w:t xml:space="preserve"> </w:t>
      </w:r>
      <w:r w:rsidR="002B7F5D" w:rsidRPr="002F0AC7">
        <w:t>We</w:t>
      </w:r>
      <w:r w:rsidRPr="002F0AC7">
        <w:t xml:space="preserve"> have already seen that this theme began with Adam, not Israel. Theologically, Adam in Ede</w:t>
      </w:r>
      <w:r w:rsidR="00E3213B">
        <w:t xml:space="preserve">n corresponds to Israel in the promised land. However, how </w:t>
      </w:r>
      <w:proofErr w:type="gramStart"/>
      <w:r w:rsidR="00E3213B">
        <w:t>do</w:t>
      </w:r>
      <w:proofErr w:type="gramEnd"/>
      <w:r w:rsidR="00E3213B">
        <w:t xml:space="preserve"> this element</w:t>
      </w:r>
      <w:r w:rsidRPr="002F0AC7">
        <w:t xml:space="preserve"> correspond in the New Testament? Adam is the son of God (Luke 3:38) and Israel is a people of God: "I will … be your God, and you will be my people."(Lev. 26:12, NIV). This covenant formula is personal representative of the king of the Israeli.  </w:t>
      </w:r>
      <w:r w:rsidR="00E3213B">
        <w:t xml:space="preserve">In addition, in 2 Sam.7:14: </w:t>
      </w:r>
      <w:r w:rsidRPr="002F0AC7">
        <w:t>"I will be his father, and he</w:t>
      </w:r>
      <w:r w:rsidR="00E3213B">
        <w:t xml:space="preserve"> will be my son”(NIV).</w:t>
      </w:r>
      <w:r w:rsidRPr="002F0AC7">
        <w:t xml:space="preserve"> Israel is also spoken of as God's son. </w:t>
      </w:r>
      <w:r w:rsidR="0026706E">
        <w:t>Whereas, the genealogy of Luke (Ch.3)</w:t>
      </w:r>
      <w:r w:rsidRPr="002F0AC7">
        <w:t xml:space="preserve"> makes it clear that Jesus is Adam's true son which is in line with the ter</w:t>
      </w:r>
      <w:r w:rsidR="0026706E">
        <w:t>m of "son of Adam"</w:t>
      </w:r>
      <w:r w:rsidRPr="002F0AC7">
        <w:t>. Indeed, Luke follows this baptismal declaration that the family tree shows th</w:t>
      </w:r>
      <w:r w:rsidR="0026706E">
        <w:t>at through Adam, Jesus was the s</w:t>
      </w:r>
      <w:r w:rsidRPr="002F0AC7">
        <w:t xml:space="preserve">on of God. Jesus is </w:t>
      </w:r>
      <w:r w:rsidRPr="001C5100">
        <w:t xml:space="preserve">seen as the </w:t>
      </w:r>
      <w:r w:rsidRPr="005B3F8E">
        <w:t>ideal</w:t>
      </w:r>
      <w:r w:rsidR="001B7714" w:rsidRPr="00CA35B0">
        <w:t xml:space="preserve"> </w:t>
      </w:r>
      <w:r w:rsidR="001B7714" w:rsidRPr="001C5100">
        <w:t>of both</w:t>
      </w:r>
      <w:r w:rsidRPr="002F0AC7">
        <w:t xml:space="preserve"> Adam and Israel—that is, he is the people of God, the seed of Abraham, and all the promises are fulfilled through him. (Gal. 3:16). Jesus, as the s</w:t>
      </w:r>
      <w:r w:rsidR="0026706E">
        <w:t>on of Adam (son of man), who finished</w:t>
      </w:r>
      <w:r w:rsidRPr="002F0AC7">
        <w:t xml:space="preserve"> what Adam failed to accomplish. Similarly, as a true Israelite, he did what Israel failed to do of which Adam was conquered in the Garden of Eden by the temptation of Satan as well as Israel in the wilderness. Jesus is the true people of God, the true Adam and the true Israel, then all the prophecies regarding the revival of Israel as the people of God must be fulfilled in him. Therefore, Paul preached the Gospel by praying to Christ for Israel's hope (Acts 26:6, 7; 28:20). The unanimous testimony of the apostle is to Christ as the fulfiller (2 Cor. 1:20). Christians cannot seek true Israel outside Christ, nor seek her revival beyo</w:t>
      </w:r>
      <w:r w:rsidR="0026706E">
        <w:t>nd the Gospels. To become</w:t>
      </w:r>
      <w:r w:rsidRPr="002F0AC7">
        <w:t xml:space="preserve"> the people of God, one must integrate into Christ by faith (John 1:12; 2 Cor. 5:17).</w:t>
      </w:r>
    </w:p>
    <w:p w14:paraId="3F085D14" w14:textId="5489EDCE" w:rsidR="002F0AC7" w:rsidRPr="00B33308" w:rsidRDefault="00B33308" w:rsidP="00BE1DBD">
      <w:r w:rsidRPr="00A1630F">
        <w:rPr>
          <w:rFonts w:hint="eastAsia"/>
          <w:b/>
        </w:rPr>
        <w:t xml:space="preserve">God's </w:t>
      </w:r>
      <w:r w:rsidR="002B7F5D" w:rsidRPr="00A1630F">
        <w:rPr>
          <w:b/>
        </w:rPr>
        <w:t>place</w:t>
      </w:r>
      <w:r w:rsidR="002B7F5D">
        <w:t xml:space="preserve"> </w:t>
      </w:r>
      <w:proofErr w:type="gramStart"/>
      <w:r w:rsidR="002B7F5D" w:rsidRPr="00B33308">
        <w:t>The</w:t>
      </w:r>
      <w:proofErr w:type="gramEnd"/>
      <w:r w:rsidRPr="00B33308">
        <w:rPr>
          <w:rFonts w:hint="eastAsia"/>
        </w:rPr>
        <w:t xml:space="preserve"> hope of the Israelites was to return to Zion, where God lived with them.  </w:t>
      </w:r>
      <w:r w:rsidRPr="00B33308">
        <w:rPr>
          <w:rFonts w:hint="eastAsia"/>
        </w:rPr>
        <w:t>“</w:t>
      </w:r>
      <w:r w:rsidRPr="00B33308">
        <w:rPr>
          <w:rFonts w:hint="eastAsia"/>
        </w:rPr>
        <w:t>you have come to Mount Zion, to the city of the living God, the heavenly Jerusalem.</w:t>
      </w:r>
      <w:r w:rsidRPr="00B33308">
        <w:rPr>
          <w:rFonts w:hint="eastAsia"/>
        </w:rPr>
        <w:t>”（</w:t>
      </w:r>
      <w:r w:rsidRPr="00B33308">
        <w:rPr>
          <w:rFonts w:hint="eastAsia"/>
        </w:rPr>
        <w:t>Heb. 12:22</w:t>
      </w:r>
      <w:r w:rsidR="00A1630F">
        <w:rPr>
          <w:rFonts w:hint="eastAsia"/>
        </w:rPr>
        <w:t>,</w:t>
      </w:r>
      <w:r w:rsidRPr="00B33308">
        <w:rPr>
          <w:rFonts w:hint="eastAsia"/>
        </w:rPr>
        <w:t>NIV</w:t>
      </w:r>
      <w:r w:rsidR="00A1630F">
        <w:rPr>
          <w:rFonts w:hint="eastAsia"/>
        </w:rPr>
        <w:t>）</w:t>
      </w:r>
      <w:r w:rsidRPr="00B33308">
        <w:rPr>
          <w:rFonts w:hint="eastAsia"/>
        </w:rPr>
        <w:t>Jesus is the desce</w:t>
      </w:r>
      <w:r w:rsidR="00A1630F">
        <w:rPr>
          <w:rFonts w:hint="eastAsia"/>
        </w:rPr>
        <w:t>ndant of David</w:t>
      </w:r>
      <w:r w:rsidRPr="00B33308">
        <w:rPr>
          <w:rFonts w:hint="eastAsia"/>
        </w:rPr>
        <w:t xml:space="preserve">, </w:t>
      </w:r>
      <w:r w:rsidR="00A1630F">
        <w:t xml:space="preserve">therefore, </w:t>
      </w:r>
      <w:r w:rsidRPr="00B33308">
        <w:rPr>
          <w:rFonts w:hint="eastAsia"/>
        </w:rPr>
        <w:t>the king</w:t>
      </w:r>
      <w:r w:rsidRPr="00B33308">
        <w:t>dom of God cannot be separated from Jesus. When thinking about the place of God, it is important not to be overly constrained by the concept of real estate on the ground. The land promised in the Old</w:t>
      </w:r>
      <w:r w:rsidR="004B397C">
        <w:t xml:space="preserve"> Testament should not be equal</w:t>
      </w:r>
      <w:r w:rsidRPr="00B33308">
        <w:t xml:space="preserve"> to </w:t>
      </w:r>
      <w:r w:rsidR="004B397C">
        <w:t xml:space="preserve">the concept </w:t>
      </w:r>
      <w:r w:rsidR="004B397C" w:rsidRPr="004B397C">
        <w:t xml:space="preserve">established </w:t>
      </w:r>
      <w:r w:rsidR="004B397C">
        <w:t xml:space="preserve">by </w:t>
      </w:r>
      <w:r w:rsidRPr="00B33308">
        <w:t>Christian, which should be considered that the promised land, Canaan, is an earthly expression of a reality which is narrativized in the garden of Eden</w:t>
      </w:r>
      <w:r w:rsidR="004B397C">
        <w:t>. However,</w:t>
      </w:r>
      <w:r w:rsidRPr="00B33308">
        <w:t xml:space="preserve"> where could not be Eden without the presence of God. For example, the tribe of Levi, which was selected as the priest </w:t>
      </w:r>
      <w:r w:rsidR="00C55D73">
        <w:t>representatives of Israel</w:t>
      </w:r>
      <w:r w:rsidRPr="00B33308">
        <w:t>.  God told Moses that he intended to establish a nation of priests (Ex. 19:6). The truth</w:t>
      </w:r>
      <w:r w:rsidR="00C55D73">
        <w:t xml:space="preserve"> was fulfilled in the priests for</w:t>
      </w:r>
      <w:r w:rsidRPr="00B33308">
        <w:t xml:space="preserve"> all believers. In this sense, they have the privilege of representing the people in receiving the ideal relationship </w:t>
      </w:r>
      <w:r w:rsidR="00C55D73">
        <w:t>with God himself</w:t>
      </w:r>
      <w:r w:rsidRPr="00B33308">
        <w:t xml:space="preserve">. Except for Levi, all </w:t>
      </w:r>
      <w:r w:rsidRPr="00B33308">
        <w:lastRenderedPageBreak/>
        <w:t xml:space="preserve">tribes are part assigned of their heritage. </w:t>
      </w:r>
      <w:r w:rsidR="003F0375">
        <w:t>However, the</w:t>
      </w:r>
      <w:r w:rsidRPr="00B33308">
        <w:t xml:space="preserve"> representative </w:t>
      </w:r>
      <w:r w:rsidR="003F0375">
        <w:t xml:space="preserve">of </w:t>
      </w:r>
      <w:r w:rsidRPr="00B33308">
        <w:t xml:space="preserve">Israel </w:t>
      </w:r>
      <w:r w:rsidR="003F0375">
        <w:t xml:space="preserve">(Levi) </w:t>
      </w:r>
      <w:r w:rsidRPr="00B33308">
        <w:t xml:space="preserve">has been given a far greater gift: "They shall have no inheritance among their fellow Israelites, the Lord is their inheritance, as he promised them." (Deut. 18:2 NIV). The real kingdom of priests is realized through preaching of Gospels. The ultimate legacy is related to the priests, not the </w:t>
      </w:r>
      <w:r w:rsidR="003F0375">
        <w:t>right of land</w:t>
      </w:r>
      <w:r w:rsidRPr="00B33308">
        <w:t xml:space="preserve">. </w:t>
      </w:r>
      <w:r w:rsidR="003F0375">
        <w:t xml:space="preserve">This promise </w:t>
      </w:r>
      <w:r w:rsidRPr="00B33308">
        <w:t>applies to Christians</w:t>
      </w:r>
      <w:r w:rsidR="003F0375" w:rsidRPr="003F0375">
        <w:t xml:space="preserve"> </w:t>
      </w:r>
      <w:r w:rsidR="003F0375">
        <w:t>in t</w:t>
      </w:r>
      <w:r w:rsidR="003F0375" w:rsidRPr="003F0375">
        <w:t>he New Testament</w:t>
      </w:r>
      <w:r w:rsidR="003F0375">
        <w:t xml:space="preserve"> </w:t>
      </w:r>
      <w:r w:rsidRPr="00B33308">
        <w:t>. This is the priesthood because they can come to God through Jesus Christ. The author of Hebrews used the final conclusions to describe Abraham’s faith. Abraham's faith is not the land of Canaan, but the home of heaven (Heb. 11:13-16).</w:t>
      </w:r>
      <w:r w:rsidR="003F0375">
        <w:t xml:space="preserve"> </w:t>
      </w:r>
      <w:r w:rsidR="003F0375" w:rsidRPr="003F0375">
        <w:t xml:space="preserve">The priesthood of Jesus ensures that Christians can live with him in </w:t>
      </w:r>
      <w:r w:rsidR="003F0375">
        <w:rPr>
          <w:rFonts w:hint="eastAsia"/>
        </w:rPr>
        <w:t>God</w:t>
      </w:r>
      <w:r w:rsidR="003F0375">
        <w:t>’</w:t>
      </w:r>
      <w:r w:rsidR="003F0375">
        <w:rPr>
          <w:rFonts w:hint="eastAsia"/>
        </w:rPr>
        <w:t>s</w:t>
      </w:r>
      <w:r w:rsidR="003F0375">
        <w:t xml:space="preserve"> place.</w:t>
      </w:r>
    </w:p>
    <w:p w14:paraId="001E124A" w14:textId="31B02616" w:rsidR="00675756" w:rsidRPr="00CA17A3" w:rsidRDefault="004D6B9E" w:rsidP="00974CAD">
      <w:r w:rsidRPr="0036385A">
        <w:rPr>
          <w:b/>
        </w:rPr>
        <w:t xml:space="preserve">God's </w:t>
      </w:r>
      <w:r w:rsidR="002B7F5D">
        <w:rPr>
          <w:b/>
        </w:rPr>
        <w:t>r</w:t>
      </w:r>
      <w:r w:rsidR="002B7F5D" w:rsidRPr="0036385A">
        <w:rPr>
          <w:b/>
        </w:rPr>
        <w:t>ule</w:t>
      </w:r>
      <w:r w:rsidR="002B7F5D">
        <w:t xml:space="preserve"> </w:t>
      </w:r>
      <w:proofErr w:type="gramStart"/>
      <w:r w:rsidR="002B7F5D" w:rsidRPr="004D6B9E">
        <w:t>The</w:t>
      </w:r>
      <w:proofErr w:type="gramEnd"/>
      <w:r w:rsidRPr="004D6B9E">
        <w:t xml:space="preserve"> concept of theocracy established in the selection of a nation as the covenant of the God’s people and the nation found its expression in the monarchy. The reign of </w:t>
      </w:r>
      <w:r w:rsidR="00050E99">
        <w:t>king anointed</w:t>
      </w:r>
      <w:r w:rsidRPr="004D6B9E">
        <w:t xml:space="preserve"> </w:t>
      </w:r>
      <w:r w:rsidR="00050E99">
        <w:t>by God and</w:t>
      </w:r>
      <w:r w:rsidRPr="004D6B9E">
        <w:t xml:space="preserve"> the temple expressed these basic kingdom ideas in Israel. When God “walks in the garden of Eden,”</w:t>
      </w:r>
      <w:r w:rsidR="00F14F7A">
        <w:t xml:space="preserve"> there is no need to symbolize h</w:t>
      </w:r>
      <w:r w:rsidRPr="004D6B9E">
        <w:t xml:space="preserve">is presence. But in a fallen world, sin separates man from God and a clear sign was </w:t>
      </w:r>
      <w:r w:rsidR="00F14F7A">
        <w:t>needed to provide</w:t>
      </w:r>
      <w:r w:rsidRPr="004D6B9E">
        <w:t xml:space="preserve">. The tabernacle was used to symbolize the presence of God and the separation between sacred and sinners. Solomon's temple became a fixed symbol of God's residence and reign, until it was destroyed in 586 B.C. Prophecy established hope in the restored Temple as the centre of God's rule in Zion. As far as the New Testament is concerned, the Old Testament prophecy about the reign of God and </w:t>
      </w:r>
      <w:r w:rsidR="00695410">
        <w:t>the temple was realized in the G</w:t>
      </w:r>
      <w:r w:rsidRPr="004D6B9E">
        <w:t>ospel</w:t>
      </w:r>
      <w:r w:rsidR="00695410">
        <w:t>s</w:t>
      </w:r>
      <w:r w:rsidRPr="004D6B9E">
        <w:t>.  The resurrection of Jesus is not only the restoration of the temple (John 2:19-22), but also the return of king David (Acts 2:30, 31). The real temple is in heaven where Jesus is there now (Acts 2:33, 36; Heb. 8:1, 2). When believers are separated from their</w:t>
      </w:r>
      <w:r w:rsidR="00695410">
        <w:t xml:space="preserve"> own</w:t>
      </w:r>
      <w:r w:rsidRPr="004D6B9E">
        <w:t xml:space="preserve"> Lord</w:t>
      </w:r>
      <w:r w:rsidR="00695410">
        <w:t>s</w:t>
      </w:r>
      <w:r w:rsidRPr="004D6B9E">
        <w:t xml:space="preserve"> (they are on the earth, and He is in heaven), there is another temple established by the Holy Spirit </w:t>
      </w:r>
      <w:r w:rsidRPr="00CA35B0">
        <w:t xml:space="preserve">who </w:t>
      </w:r>
      <w:r w:rsidR="001B7714" w:rsidRPr="001C5100">
        <w:t>unite</w:t>
      </w:r>
      <w:r w:rsidR="001B7714" w:rsidRPr="00CA35B0">
        <w:t xml:space="preserve"> </w:t>
      </w:r>
      <w:r w:rsidRPr="00CA35B0">
        <w:t>the</w:t>
      </w:r>
      <w:r w:rsidRPr="004D6B9E">
        <w:t xml:space="preserve"> believers with their ascending Lord (2 Cor. 6:16; Eph. 2:11 -22; 1 Peter 2:4-8). The New Testament developed Stephen's claim that the temple of God is not made by hand (Acts 7:47­50). In fact, the temple predicted the ultimate heaven, where the typology of Eden is answered in a face-to-face relationship. It does not require a symbolic sanctuary because God is the temple (Rev. 21:22).</w:t>
      </w:r>
    </w:p>
    <w:p w14:paraId="69D87387" w14:textId="0047FCF3" w:rsidR="00974CAD" w:rsidRPr="00BF506B" w:rsidRDefault="00BF506B" w:rsidP="00974CAD">
      <w:pPr>
        <w:rPr>
          <w:b/>
        </w:rPr>
      </w:pPr>
      <w:bookmarkStart w:id="6" w:name="_Hlk511477547"/>
      <w:r w:rsidRPr="00BF506B">
        <w:rPr>
          <w:b/>
        </w:rPr>
        <w:t xml:space="preserve">OT Ritual Sacrifice Prefigures NT </w:t>
      </w:r>
      <w:r w:rsidR="006D015F">
        <w:rPr>
          <w:b/>
        </w:rPr>
        <w:t xml:space="preserve">salvational </w:t>
      </w:r>
      <w:r w:rsidRPr="00BF506B">
        <w:rPr>
          <w:b/>
        </w:rPr>
        <w:t>Sacrifice</w:t>
      </w:r>
    </w:p>
    <w:bookmarkEnd w:id="6"/>
    <w:p w14:paraId="3DC3FF0D" w14:textId="3A92127F" w:rsidR="00057775" w:rsidRPr="00057775" w:rsidRDefault="00057775" w:rsidP="00974CAD">
      <w:r w:rsidRPr="00057775">
        <w:t xml:space="preserve">When Moses presented the law to the people of God at </w:t>
      </w:r>
      <w:r w:rsidR="006D015F">
        <w:t xml:space="preserve">Mount </w:t>
      </w:r>
      <w:r w:rsidRPr="00057775">
        <w:t>Sin</w:t>
      </w:r>
      <w:r w:rsidR="006D015F">
        <w:t>ai, the ritual sacrifice was no longer</w:t>
      </w:r>
      <w:r w:rsidRPr="00057775">
        <w:t xml:space="preserve"> a new concept. Archaeological evidence shows that the idea</w:t>
      </w:r>
      <w:r w:rsidR="00EF547F">
        <w:t xml:space="preserve"> of selecting valuable thing</w:t>
      </w:r>
      <w:r w:rsidRPr="00057775">
        <w:t xml:space="preserve"> and provid</w:t>
      </w:r>
      <w:r w:rsidR="006D015F">
        <w:t>ing it to appease some alleged great</w:t>
      </w:r>
      <w:r w:rsidRPr="00057775">
        <w:t xml:space="preserve"> power</w:t>
      </w:r>
      <w:r w:rsidR="00EF547F">
        <w:t xml:space="preserve"> is almost as old as the development</w:t>
      </w:r>
      <w:r w:rsidRPr="00057775">
        <w:t xml:space="preserve"> o</w:t>
      </w:r>
      <w:r w:rsidR="00EF547F">
        <w:t>f human history</w:t>
      </w:r>
      <w:r w:rsidRPr="00057775">
        <w:t>.</w:t>
      </w:r>
      <w:r w:rsidR="00E84B42">
        <w:rPr>
          <w:rStyle w:val="FootnoteReference"/>
        </w:rPr>
        <w:footnoteReference w:id="17"/>
      </w:r>
      <w:r w:rsidRPr="00057775">
        <w:t xml:space="preserve"> </w:t>
      </w:r>
      <w:proofErr w:type="gramStart"/>
      <w:r w:rsidRPr="00057775">
        <w:t>In order to</w:t>
      </w:r>
      <w:proofErr w:type="gramEnd"/>
      <w:r w:rsidRPr="00057775">
        <w:t xml:space="preserve"> </w:t>
      </w:r>
      <w:r w:rsidR="006D015F">
        <w:t>express the gratitude to g</w:t>
      </w:r>
      <w:r w:rsidR="00EF547F">
        <w:t>od</w:t>
      </w:r>
      <w:r w:rsidRPr="00057775">
        <w:t xml:space="preserve"> or </w:t>
      </w:r>
      <w:r w:rsidR="00EF547F" w:rsidRPr="00EF547F">
        <w:t xml:space="preserve">appease </w:t>
      </w:r>
      <w:r w:rsidRPr="00057775">
        <w:t xml:space="preserve">god's anger, people provided their </w:t>
      </w:r>
      <w:r w:rsidR="006D015F">
        <w:t xml:space="preserve">the </w:t>
      </w:r>
      <w:r w:rsidRPr="00057775">
        <w:t>most precious possessions, even their own children, to sacrifice on the al</w:t>
      </w:r>
      <w:r w:rsidR="00EF547F">
        <w:t>tar to s</w:t>
      </w:r>
      <w:r w:rsidR="00273524">
        <w:t>atisfy their imagined divinity</w:t>
      </w:r>
      <w:r w:rsidR="006D015F">
        <w:t xml:space="preserve"> that</w:t>
      </w:r>
      <w:r>
        <w:t xml:space="preserve"> they call it</w:t>
      </w:r>
      <w:r w:rsidRPr="00057775">
        <w:t xml:space="preserve"> " TO AN UNKNOWN GOD " (Acts 17:23).</w:t>
      </w:r>
    </w:p>
    <w:p w14:paraId="444FF95A" w14:textId="496D6CCE" w:rsidR="006306E8" w:rsidRPr="006306E8" w:rsidRDefault="00273524" w:rsidP="00974CAD">
      <w:proofErr w:type="gramStart"/>
      <w:r>
        <w:t>In order to</w:t>
      </w:r>
      <w:proofErr w:type="gramEnd"/>
      <w:r>
        <w:t xml:space="preserve"> establish the good relationship with some forces that may manipulate their destiny, human beings had formed completely a sacrifice culture in their traditions. It is inherent in their</w:t>
      </w:r>
      <w:r w:rsidR="00F96BE3">
        <w:t xml:space="preserve"> nature, which </w:t>
      </w:r>
      <w:r>
        <w:t>God embedd</w:t>
      </w:r>
      <w:r w:rsidR="006306E8" w:rsidRPr="006306E8">
        <w:t xml:space="preserve">ed this </w:t>
      </w:r>
      <w:r>
        <w:t>instinct their</w:t>
      </w:r>
      <w:r w:rsidR="006306E8" w:rsidRPr="006306E8">
        <w:t xml:space="preserve"> h</w:t>
      </w:r>
      <w:r w:rsidR="00F96BE3">
        <w:t>earts. In Moses</w:t>
      </w:r>
      <w:r w:rsidR="0066691B">
        <w:t>’</w:t>
      </w:r>
      <w:r>
        <w:t xml:space="preserve"> era</w:t>
      </w:r>
      <w:r w:rsidR="006306E8" w:rsidRPr="006306E8">
        <w:t>, God was preparing people's minds to accept the sa</w:t>
      </w:r>
      <w:r w:rsidR="0066691B">
        <w:t>crifices laid down in the Canon</w:t>
      </w:r>
      <w:r w:rsidR="006306E8" w:rsidRPr="006306E8">
        <w:t>. More importantly, God expects</w:t>
      </w:r>
      <w:r w:rsidR="00F96BE3">
        <w:t xml:space="preserve"> people to accept the sacrifice that he has provided to them</w:t>
      </w:r>
      <w:r w:rsidR="006306E8" w:rsidRPr="006306E8">
        <w:t xml:space="preserve"> in the</w:t>
      </w:r>
      <w:r w:rsidR="00F96BE3">
        <w:t xml:space="preserve"> period of the</w:t>
      </w:r>
      <w:r w:rsidR="006306E8" w:rsidRPr="006306E8">
        <w:t xml:space="preserve"> New Te</w:t>
      </w:r>
      <w:r w:rsidR="0066691B">
        <w:t>stament in which t</w:t>
      </w:r>
      <w:r w:rsidR="007F3664">
        <w:t>he greatest sacrifice</w:t>
      </w:r>
      <w:r w:rsidR="006306E8" w:rsidRPr="006306E8">
        <w:t xml:space="preserve"> is J</w:t>
      </w:r>
      <w:r w:rsidR="007F3664">
        <w:t xml:space="preserve">esus </w:t>
      </w:r>
      <w:r w:rsidR="0066691B">
        <w:t xml:space="preserve">--- God’s </w:t>
      </w:r>
      <w:r w:rsidR="007F3664">
        <w:t>only son</w:t>
      </w:r>
      <w:r w:rsidR="006306E8" w:rsidRPr="006306E8">
        <w:t xml:space="preserve">. The sacrifice of Jesus Christ on the cross was neither accidental nor </w:t>
      </w:r>
      <w:r w:rsidR="0066691B">
        <w:t>the</w:t>
      </w:r>
      <w:r w:rsidR="006306E8" w:rsidRPr="006306E8">
        <w:t xml:space="preserve"> aftermath. He is “the lamb who was slain from the creation of the world (Rev. 13:8). Skeptics certainly have the right to question this claim, but the evidence of the type and archetype will go beyond reasonable suspicion, proving that God inspired </w:t>
      </w:r>
      <w:r w:rsidR="007F3664">
        <w:t xml:space="preserve">the </w:t>
      </w:r>
      <w:r w:rsidR="006306E8" w:rsidRPr="006306E8">
        <w:t xml:space="preserve">Bible writing about these sacrifice from the very beginning. Although there was no description of sacrifice in the New Testament, people might see that every detail of the sacrifice in the law given on Mount Sinai was </w:t>
      </w:r>
      <w:r w:rsidR="006306E8" w:rsidRPr="006306E8">
        <w:lastRenderedPageBreak/>
        <w:t>for the foreseeing and teaching in the New Testament, which is an important aspect of the sacrifice as fulfilled.</w:t>
      </w:r>
    </w:p>
    <w:p w14:paraId="35FEFE40" w14:textId="15C10C79" w:rsidR="005C4705" w:rsidRPr="005C4705" w:rsidRDefault="005C4705" w:rsidP="00974CAD">
      <w:r w:rsidRPr="005C4705">
        <w:t>The ritual sacrifice</w:t>
      </w:r>
      <w:r w:rsidR="007F3664">
        <w:t xml:space="preserve"> system in the Old Testament is</w:t>
      </w:r>
      <w:r w:rsidRPr="005C4705">
        <w:t xml:space="preserve"> of great significance to Jews. They understand that they can maintain a proper relatio</w:t>
      </w:r>
      <w:r w:rsidR="0066691B">
        <w:t>nship with God by means of the</w:t>
      </w:r>
      <w:r w:rsidRPr="005C4705">
        <w:t xml:space="preserve"> sacrifices, and live a happy life under the protection of Yahweh. The offerings of the temple are the core value of Judaism. However, God has always wanted people to understand the greater things he foresaw, that is, to establish a </w:t>
      </w:r>
      <w:r w:rsidR="007F3664">
        <w:t>good relationship with him through</w:t>
      </w:r>
      <w:r w:rsidRPr="005C4705">
        <w:t xml:space="preserve"> the new covenant of Jesus Christ.</w:t>
      </w:r>
      <w:r w:rsidR="007F3664">
        <w:t xml:space="preserve"> </w:t>
      </w:r>
      <w:r w:rsidR="007F3664" w:rsidRPr="007F3664">
        <w:t xml:space="preserve">As </w:t>
      </w:r>
      <w:r w:rsidR="00364192">
        <w:t xml:space="preserve">the </w:t>
      </w:r>
      <w:r w:rsidR="007F3664">
        <w:t xml:space="preserve">Book of </w:t>
      </w:r>
      <w:r w:rsidR="0066691B">
        <w:t>Hebrews marked</w:t>
      </w:r>
      <w:r w:rsidR="00364192">
        <w:t>:</w:t>
      </w:r>
    </w:p>
    <w:p w14:paraId="1A213110" w14:textId="7EB9B919" w:rsidR="00974CAD" w:rsidRPr="005C4705" w:rsidRDefault="00974CAD" w:rsidP="007F3664">
      <w:pPr>
        <w:ind w:left="340"/>
        <w:rPr>
          <w:i/>
          <w:sz w:val="20"/>
          <w:szCs w:val="20"/>
        </w:rPr>
      </w:pPr>
      <w:r w:rsidRPr="005C4705">
        <w:rPr>
          <w:i/>
          <w:sz w:val="20"/>
          <w:szCs w:val="20"/>
        </w:rPr>
        <w:t>The blood of goats and bulls and the ashes of a heifer sprinkled on those who are ceremonially unclean sanctify them so that they are outwardly clean. How much more, then, will the blood of Christ, who through the eternal Spirit offered himself unblemished to God, cleanse our consciences from acts that lead to death, so that we may serve the living God! (Heb. 9:13,14 NIV).</w:t>
      </w:r>
    </w:p>
    <w:p w14:paraId="3B06B904" w14:textId="1CE8F89A" w:rsidR="00675756" w:rsidRPr="005C4705" w:rsidRDefault="005C4705" w:rsidP="00E86974">
      <w:r w:rsidRPr="005C4705">
        <w:t>If the sacrifice of the Mosaic is more meaningful to Christians than to</w:t>
      </w:r>
      <w:r w:rsidR="0066691B">
        <w:t xml:space="preserve"> Jews,</w:t>
      </w:r>
      <w:r w:rsidRPr="005C4705">
        <w:t xml:space="preserve"> it is certainly worth the effort to understand what G</w:t>
      </w:r>
      <w:r w:rsidR="00364192">
        <w:t xml:space="preserve">od is trying to reveal </w:t>
      </w:r>
      <w:r w:rsidR="0066691B">
        <w:t xml:space="preserve">to </w:t>
      </w:r>
      <w:r w:rsidR="00364192">
        <w:t>them</w:t>
      </w:r>
      <w:r w:rsidRPr="005C4705">
        <w:t>, even if it means to achieve the purpose through some details. Believe it or not, it will be easier</w:t>
      </w:r>
      <w:r w:rsidR="00364192">
        <w:t xml:space="preserve"> for </w:t>
      </w:r>
      <w:r w:rsidR="00364192" w:rsidRPr="00364192">
        <w:t>the followers of Jesus Christ</w:t>
      </w:r>
      <w:r w:rsidR="00364192">
        <w:t xml:space="preserve"> (Christians)</w:t>
      </w:r>
      <w:r w:rsidRPr="005C4705">
        <w:t xml:space="preserve"> to und</w:t>
      </w:r>
      <w:r w:rsidR="00364192">
        <w:t>erstand the sacrifice principles regulated</w:t>
      </w:r>
      <w:r w:rsidRPr="005C4705">
        <w:t xml:space="preserve"> in L</w:t>
      </w:r>
      <w:r w:rsidR="00364192">
        <w:t>eviticus and its significant meaningfulness</w:t>
      </w:r>
      <w:r w:rsidRPr="005C4705">
        <w:t>.</w:t>
      </w:r>
    </w:p>
    <w:p w14:paraId="2947808C" w14:textId="42BFF8EF" w:rsidR="00E86974" w:rsidRDefault="00E86974" w:rsidP="00E86974">
      <w:r w:rsidRPr="00BF506B">
        <w:rPr>
          <w:b/>
        </w:rPr>
        <w:t>Conclusion</w:t>
      </w:r>
    </w:p>
    <w:p w14:paraId="5222783A" w14:textId="027C568B" w:rsidR="00CA35B0" w:rsidRDefault="00826FE6" w:rsidP="00CA35B0">
      <w:r>
        <w:t xml:space="preserve">Although the Old Testament does </w:t>
      </w:r>
      <w:r w:rsidRPr="00826FE6">
        <w:t>not clearly show the advent of Christ as the New Testament does, it does provide the essential foundation</w:t>
      </w:r>
      <w:r>
        <w:t xml:space="preserve"> for the complete doctrine of Christianity, </w:t>
      </w:r>
      <w:r w:rsidR="00BA4374">
        <w:t>which</w:t>
      </w:r>
      <w:r>
        <w:t xml:space="preserve"> otherwise </w:t>
      </w:r>
      <w:r w:rsidRPr="00826FE6">
        <w:t>cannot exist.</w:t>
      </w:r>
      <w:r w:rsidR="00BA4374">
        <w:t xml:space="preserve"> </w:t>
      </w:r>
      <w:r w:rsidR="00CA35B0">
        <w:t xml:space="preserve"> </w:t>
      </w:r>
      <w:r w:rsidR="00CA35B0" w:rsidRPr="00CA35B0">
        <w:t>All Bible promises are fulfilled in Jesus Christ. As stated in the analysis, the Old Testament alludes to several themes, such as, the identity of the servant, the kingdom of God, and the sacrifice of Jesus Christ. Every element of the Old Testament's unfolding revelation leads to the Person of Jesus Christ come in the flesh. The purpose of God is fulfilled in Jesus who is the incarnation of God. His presence marks God's presence with Christians in different ways of revelation. His words become God's authority to rule the world. The New Testament pointed out a fact to Christians when it declared that the coming of Jesus is a consummation. But this consummation, such as is described in Revelation 21 and 22, is the outcome of the definitive work of Christ in the flesh, His living and dying. Understanding the gospel - Christ's life and death and resurrection for Christians - is the understanding of eschatology. The second coming of Christ and the entire Bible doctrine relate to the completion of the gospel. The first advent of Christ determined the nature of events in his second coming. When Christians used the Trinitarian perspective to understand the Old Testament, what they need is to create a necessary framework to understand the foundations of the Old Testament basis of the gospel. Most importantly, this framework can establish the objective and historical nature of the gospel and save them from the subjective interpretation of the Gospels in the New Testament. Since all the promises and hopes in the Old Testament are fulfilled through Jesus Christ, Christians recognize that the righteousness of God is fulfilled in Him.</w:t>
      </w:r>
    </w:p>
    <w:p w14:paraId="4C58CF24" w14:textId="0D96CA09" w:rsidR="00FA3B24" w:rsidRDefault="00FA3B24" w:rsidP="00CA35B0">
      <w:r>
        <w:t>The doctrine of Trinity is one of the most important doctrine</w:t>
      </w:r>
      <w:r w:rsidR="009835DA">
        <w:t>s of the Christian faith. To understand</w:t>
      </w:r>
      <w:r>
        <w:t xml:space="preserve"> the Bible’s teachings on the Trinity gives Christians great insig</w:t>
      </w:r>
      <w:r w:rsidR="00EB2AFF">
        <w:t xml:space="preserve">ht into the question that is </w:t>
      </w:r>
      <w:r>
        <w:t xml:space="preserve">the </w:t>
      </w:r>
      <w:r w:rsidR="00065CB7">
        <w:t>centre</w:t>
      </w:r>
      <w:r w:rsidR="00EB2AFF">
        <w:t xml:space="preserve"> of all during the process of seeking for</w:t>
      </w:r>
      <w:r>
        <w:t xml:space="preserve"> God: What is God like in him</w:t>
      </w:r>
      <w:r w:rsidR="0031726C">
        <w:t xml:space="preserve">self? In his very being, God exists in the persons of Father, Son, and Holy Spirit, yet he is one God. </w:t>
      </w:r>
      <w:r w:rsidR="0031726C">
        <w:rPr>
          <w:rStyle w:val="FootnoteReference"/>
        </w:rPr>
        <w:footnoteReference w:id="18"/>
      </w:r>
      <w:bookmarkStart w:id="8" w:name="_GoBack"/>
      <w:bookmarkEnd w:id="8"/>
    </w:p>
    <w:p w14:paraId="579434AE" w14:textId="140016F8" w:rsidR="0031726C" w:rsidRPr="00E46AC3" w:rsidRDefault="0031726C" w:rsidP="00E86974">
      <w:pPr>
        <w:rPr>
          <w:b/>
        </w:rPr>
      </w:pPr>
      <w:r w:rsidRPr="00E46AC3">
        <w:rPr>
          <w:b/>
        </w:rPr>
        <w:lastRenderedPageBreak/>
        <w:t>Bibliography</w:t>
      </w:r>
    </w:p>
    <w:p w14:paraId="605F5798" w14:textId="77777777" w:rsidR="00CA35B0" w:rsidRPr="00CA35B0" w:rsidRDefault="00CA35B0" w:rsidP="00CA35B0">
      <w:pPr>
        <w:rPr>
          <w:sz w:val="20"/>
          <w:szCs w:val="20"/>
        </w:rPr>
      </w:pPr>
      <w:r w:rsidRPr="00CA35B0">
        <w:rPr>
          <w:sz w:val="20"/>
          <w:szCs w:val="20"/>
        </w:rPr>
        <w:t>Blenkinsopp, Joseph, A History of Prophecy in Israel, Louisville: Westminster John Knox Press, 1996.</w:t>
      </w:r>
    </w:p>
    <w:p w14:paraId="44B046EC" w14:textId="77777777" w:rsidR="00CA35B0" w:rsidRPr="00CA35B0" w:rsidRDefault="00CA35B0" w:rsidP="00CA35B0">
      <w:pPr>
        <w:rPr>
          <w:sz w:val="20"/>
          <w:szCs w:val="20"/>
        </w:rPr>
      </w:pPr>
      <w:r w:rsidRPr="00CA35B0">
        <w:rPr>
          <w:sz w:val="20"/>
          <w:szCs w:val="20"/>
        </w:rPr>
        <w:t>Fruchtenbaum, Arnold G. Messianic Christology: A Study of Old Testament Prophecy Concerning the First Coming of the Messiah, Tustin, CA: Ariel Ministries, 1998.</w:t>
      </w:r>
    </w:p>
    <w:p w14:paraId="399DAA5F" w14:textId="77777777" w:rsidR="00CA35B0" w:rsidRPr="00CA35B0" w:rsidRDefault="00CA35B0" w:rsidP="00CA35B0">
      <w:pPr>
        <w:rPr>
          <w:sz w:val="20"/>
          <w:szCs w:val="20"/>
        </w:rPr>
      </w:pPr>
      <w:r w:rsidRPr="00CA35B0">
        <w:rPr>
          <w:sz w:val="20"/>
          <w:szCs w:val="20"/>
        </w:rPr>
        <w:t xml:space="preserve">Goldberg, Louis, Our Jewish Friends, Neptune, NJ: </w:t>
      </w:r>
      <w:proofErr w:type="spellStart"/>
      <w:r w:rsidRPr="00CA35B0">
        <w:rPr>
          <w:sz w:val="20"/>
          <w:szCs w:val="20"/>
        </w:rPr>
        <w:t>Loizeaux</w:t>
      </w:r>
      <w:proofErr w:type="spellEnd"/>
      <w:r w:rsidRPr="00CA35B0">
        <w:rPr>
          <w:sz w:val="20"/>
          <w:szCs w:val="20"/>
        </w:rPr>
        <w:t xml:space="preserve"> Brothers, 1983.</w:t>
      </w:r>
    </w:p>
    <w:p w14:paraId="709DC1CB" w14:textId="77777777" w:rsidR="00CA35B0" w:rsidRPr="00CA35B0" w:rsidRDefault="00CA35B0" w:rsidP="00CA35B0">
      <w:pPr>
        <w:rPr>
          <w:sz w:val="20"/>
          <w:szCs w:val="20"/>
        </w:rPr>
      </w:pPr>
      <w:r w:rsidRPr="00CA35B0">
        <w:rPr>
          <w:sz w:val="20"/>
          <w:szCs w:val="20"/>
        </w:rPr>
        <w:t>Goldsworthy, Graeme, The Kingdom of God and the Old Testament, Biblical Theology Articles, 2018.</w:t>
      </w:r>
    </w:p>
    <w:p w14:paraId="6F208D4B" w14:textId="77777777" w:rsidR="00CA35B0" w:rsidRPr="00CA35B0" w:rsidRDefault="00CA35B0" w:rsidP="00CA35B0">
      <w:pPr>
        <w:rPr>
          <w:sz w:val="20"/>
          <w:szCs w:val="20"/>
        </w:rPr>
      </w:pPr>
      <w:r w:rsidRPr="00CA35B0">
        <w:rPr>
          <w:sz w:val="20"/>
          <w:szCs w:val="20"/>
        </w:rPr>
        <w:t>Grudem, Wayne, Systematic Theology, An Introduction to Biblical Doctrine: Inter-Varsity Press, 1994.</w:t>
      </w:r>
    </w:p>
    <w:p w14:paraId="4ED95C86" w14:textId="77777777" w:rsidR="00CA35B0" w:rsidRPr="00CA35B0" w:rsidRDefault="00CA35B0" w:rsidP="00CA35B0">
      <w:pPr>
        <w:rPr>
          <w:sz w:val="20"/>
          <w:szCs w:val="20"/>
        </w:rPr>
      </w:pPr>
      <w:proofErr w:type="spellStart"/>
      <w:r w:rsidRPr="00CA35B0">
        <w:rPr>
          <w:sz w:val="20"/>
          <w:szCs w:val="20"/>
        </w:rPr>
        <w:t>Huijgen</w:t>
      </w:r>
      <w:proofErr w:type="spellEnd"/>
      <w:r w:rsidRPr="00CA35B0">
        <w:rPr>
          <w:sz w:val="20"/>
          <w:szCs w:val="20"/>
        </w:rPr>
        <w:t>, Arnold, Traces of the Trinity in the Old Testament: From Individual Texts to the Nature of Revelation: International Journal of Systematic Theology Volume 19, 2017.</w:t>
      </w:r>
    </w:p>
    <w:p w14:paraId="03BF5846" w14:textId="77777777" w:rsidR="00CA35B0" w:rsidRPr="00CA35B0" w:rsidRDefault="00CA35B0" w:rsidP="00CA35B0">
      <w:pPr>
        <w:rPr>
          <w:sz w:val="20"/>
          <w:szCs w:val="20"/>
        </w:rPr>
      </w:pPr>
      <w:r w:rsidRPr="00CA35B0">
        <w:rPr>
          <w:sz w:val="20"/>
          <w:szCs w:val="20"/>
        </w:rPr>
        <w:t>Milne, Bruce, Know The Truth, A Handbook Of Christian Belief: Inter-Varsity Press, 1982.</w:t>
      </w:r>
    </w:p>
    <w:p w14:paraId="5EAA35DE" w14:textId="77777777" w:rsidR="00CA35B0" w:rsidRPr="00CA35B0" w:rsidRDefault="00CA35B0" w:rsidP="00CA35B0">
      <w:pPr>
        <w:rPr>
          <w:sz w:val="20"/>
          <w:szCs w:val="20"/>
        </w:rPr>
      </w:pPr>
      <w:proofErr w:type="spellStart"/>
      <w:r w:rsidRPr="00CA35B0">
        <w:rPr>
          <w:sz w:val="20"/>
          <w:szCs w:val="20"/>
        </w:rPr>
        <w:t>Motyer</w:t>
      </w:r>
      <w:proofErr w:type="spellEnd"/>
      <w:r w:rsidRPr="00CA35B0">
        <w:rPr>
          <w:sz w:val="20"/>
          <w:szCs w:val="20"/>
        </w:rPr>
        <w:t>, J. A. “Messiah,” in The New Bible Dictionary, eds. D. R. W. Wood and I. Howard Marshall, Downers Gove: Inter-Varsity Press, 1996.</w:t>
      </w:r>
    </w:p>
    <w:p w14:paraId="42E16794" w14:textId="77777777" w:rsidR="00CA35B0" w:rsidRPr="00CA35B0" w:rsidRDefault="00CA35B0" w:rsidP="00CA35B0">
      <w:pPr>
        <w:rPr>
          <w:sz w:val="20"/>
          <w:szCs w:val="20"/>
        </w:rPr>
      </w:pPr>
      <w:r w:rsidRPr="00CA35B0">
        <w:rPr>
          <w:sz w:val="20"/>
          <w:szCs w:val="20"/>
        </w:rPr>
        <w:t>Oakes, John, Old Testament Ritual Sacrifice Prefigures New Testament Sacrifice, 2005</w:t>
      </w:r>
    </w:p>
    <w:p w14:paraId="44B83801" w14:textId="713F7B35" w:rsidR="00E46AC3" w:rsidRDefault="00CA35B0" w:rsidP="00CA35B0">
      <w:pPr>
        <w:rPr>
          <w:sz w:val="20"/>
          <w:szCs w:val="20"/>
        </w:rPr>
      </w:pPr>
      <w:r w:rsidRPr="00CA35B0">
        <w:rPr>
          <w:sz w:val="20"/>
          <w:szCs w:val="20"/>
        </w:rPr>
        <w:t>Walter A. Elwell, “Messiah.” In Tyndale Bible Dictionary. Ed. Philip W. Comfort, 882-86. Wheaton: Tyndale House Publishers, 2001.</w:t>
      </w:r>
    </w:p>
    <w:p w14:paraId="2B6696F1" w14:textId="77777777" w:rsidR="00CA35B0" w:rsidRPr="00E46AC3" w:rsidRDefault="00CA35B0" w:rsidP="00CA35B0">
      <w:pPr>
        <w:rPr>
          <w:sz w:val="20"/>
          <w:szCs w:val="20"/>
        </w:rPr>
      </w:pPr>
    </w:p>
    <w:p w14:paraId="37C616CD" w14:textId="77777777" w:rsidR="00E46AC3" w:rsidRPr="00E46AC3" w:rsidRDefault="00E46AC3" w:rsidP="00B30753">
      <w:pPr>
        <w:rPr>
          <w:sz w:val="20"/>
          <w:szCs w:val="20"/>
        </w:rPr>
      </w:pPr>
    </w:p>
    <w:sectPr w:rsidR="00E46AC3" w:rsidRPr="00E46A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CBFCE4" w14:textId="77777777" w:rsidR="000210F1" w:rsidRDefault="000210F1" w:rsidP="00B67FB9">
      <w:pPr>
        <w:spacing w:after="0" w:line="240" w:lineRule="auto"/>
      </w:pPr>
      <w:r>
        <w:separator/>
      </w:r>
    </w:p>
  </w:endnote>
  <w:endnote w:type="continuationSeparator" w:id="0">
    <w:p w14:paraId="18480403" w14:textId="77777777" w:rsidR="000210F1" w:rsidRDefault="000210F1" w:rsidP="00B67F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AB1BC9" w14:textId="77777777" w:rsidR="000210F1" w:rsidRDefault="000210F1" w:rsidP="00B67FB9">
      <w:pPr>
        <w:spacing w:after="0" w:line="240" w:lineRule="auto"/>
      </w:pPr>
      <w:r>
        <w:separator/>
      </w:r>
    </w:p>
  </w:footnote>
  <w:footnote w:type="continuationSeparator" w:id="0">
    <w:p w14:paraId="2E044115" w14:textId="77777777" w:rsidR="000210F1" w:rsidRDefault="000210F1" w:rsidP="00B67FB9">
      <w:pPr>
        <w:spacing w:after="0" w:line="240" w:lineRule="auto"/>
      </w:pPr>
      <w:r>
        <w:continuationSeparator/>
      </w:r>
    </w:p>
  </w:footnote>
  <w:footnote w:id="1">
    <w:p w14:paraId="66F2FA36" w14:textId="59958B2D" w:rsidR="000210F1" w:rsidRDefault="000210F1">
      <w:pPr>
        <w:pStyle w:val="FootnoteText"/>
        <w:rPr>
          <w:sz w:val="16"/>
          <w:szCs w:val="16"/>
        </w:rPr>
      </w:pPr>
      <w:r>
        <w:rPr>
          <w:rStyle w:val="FootnoteReference"/>
        </w:rPr>
        <w:footnoteRef/>
      </w:r>
      <w:r>
        <w:t xml:space="preserve"> </w:t>
      </w:r>
      <w:r w:rsidRPr="00B67FB9">
        <w:rPr>
          <w:sz w:val="16"/>
          <w:szCs w:val="16"/>
        </w:rPr>
        <w:t xml:space="preserve">Arnold </w:t>
      </w:r>
      <w:proofErr w:type="spellStart"/>
      <w:r w:rsidRPr="00B67FB9">
        <w:rPr>
          <w:sz w:val="16"/>
          <w:szCs w:val="16"/>
        </w:rPr>
        <w:t>Huijgen</w:t>
      </w:r>
      <w:proofErr w:type="spellEnd"/>
      <w:r w:rsidRPr="00B67FB9">
        <w:rPr>
          <w:sz w:val="16"/>
          <w:szCs w:val="16"/>
        </w:rPr>
        <w:t xml:space="preserve">, </w:t>
      </w:r>
      <w:r w:rsidRPr="00EB1FFC">
        <w:rPr>
          <w:i/>
          <w:sz w:val="16"/>
          <w:szCs w:val="16"/>
        </w:rPr>
        <w:t>Traces of the Trinity in the Old Testament: From Individual Texts to the Nature of Revelation</w:t>
      </w:r>
      <w:r>
        <w:rPr>
          <w:sz w:val="16"/>
          <w:szCs w:val="16"/>
        </w:rPr>
        <w:t>:</w:t>
      </w:r>
      <w:r w:rsidRPr="00B67FB9">
        <w:rPr>
          <w:sz w:val="16"/>
          <w:szCs w:val="16"/>
        </w:rPr>
        <w:t xml:space="preserve"> International Journal of </w:t>
      </w:r>
      <w:r>
        <w:rPr>
          <w:sz w:val="16"/>
          <w:szCs w:val="16"/>
        </w:rPr>
        <w:t xml:space="preserve"> </w:t>
      </w:r>
    </w:p>
    <w:p w14:paraId="4148E8AA" w14:textId="0DF22137" w:rsidR="000210F1" w:rsidRPr="00B67FB9" w:rsidRDefault="000210F1">
      <w:pPr>
        <w:pStyle w:val="FootnoteText"/>
        <w:rPr>
          <w:sz w:val="16"/>
          <w:szCs w:val="16"/>
        </w:rPr>
      </w:pPr>
      <w:r>
        <w:rPr>
          <w:sz w:val="16"/>
          <w:szCs w:val="16"/>
        </w:rPr>
        <w:t xml:space="preserve">   </w:t>
      </w:r>
      <w:r w:rsidRPr="00B67FB9">
        <w:rPr>
          <w:sz w:val="16"/>
          <w:szCs w:val="16"/>
        </w:rPr>
        <w:t>Systematic Theology Volume 19, 2017</w:t>
      </w:r>
    </w:p>
  </w:footnote>
  <w:footnote w:id="2">
    <w:p w14:paraId="51077510" w14:textId="77777777" w:rsidR="000210F1" w:rsidRDefault="000210F1">
      <w:pPr>
        <w:pStyle w:val="FootnoteText"/>
      </w:pPr>
      <w:r>
        <w:rPr>
          <w:rStyle w:val="FootnoteReference"/>
        </w:rPr>
        <w:footnoteRef/>
      </w:r>
      <w:r>
        <w:t xml:space="preserve"> </w:t>
      </w:r>
      <w:bookmarkStart w:id="1" w:name="_Hlk511728026"/>
      <w:r w:rsidRPr="00EB1FFC">
        <w:rPr>
          <w:sz w:val="16"/>
          <w:szCs w:val="16"/>
        </w:rPr>
        <w:t xml:space="preserve">Wayne Grudem, </w:t>
      </w:r>
      <w:r w:rsidRPr="00EB1FFC">
        <w:rPr>
          <w:i/>
          <w:sz w:val="16"/>
          <w:szCs w:val="16"/>
        </w:rPr>
        <w:t>Systematic Theology, An Introduction to Biblical Doctrine</w:t>
      </w:r>
      <w:r>
        <w:rPr>
          <w:sz w:val="16"/>
          <w:szCs w:val="16"/>
        </w:rPr>
        <w:t>:</w:t>
      </w:r>
      <w:r w:rsidRPr="00EB1FFC">
        <w:rPr>
          <w:sz w:val="16"/>
          <w:szCs w:val="16"/>
        </w:rPr>
        <w:t xml:space="preserve"> Inter-Varsity Press, 1994, p.226</w:t>
      </w:r>
    </w:p>
    <w:bookmarkEnd w:id="1"/>
  </w:footnote>
  <w:footnote w:id="3">
    <w:p w14:paraId="3C295060" w14:textId="174C8523" w:rsidR="000210F1" w:rsidRPr="00417CA7" w:rsidRDefault="000210F1">
      <w:pPr>
        <w:pStyle w:val="FootnoteText"/>
        <w:rPr>
          <w:sz w:val="16"/>
          <w:szCs w:val="16"/>
        </w:rPr>
      </w:pPr>
      <w:r>
        <w:rPr>
          <w:rStyle w:val="FootnoteReference"/>
        </w:rPr>
        <w:footnoteRef/>
      </w:r>
      <w:r>
        <w:t xml:space="preserve"> </w:t>
      </w:r>
      <w:bookmarkStart w:id="2" w:name="_Hlk513275797"/>
      <w:r w:rsidRPr="00417CA7">
        <w:rPr>
          <w:sz w:val="16"/>
          <w:szCs w:val="16"/>
        </w:rPr>
        <w:t xml:space="preserve">Bruce Milne, </w:t>
      </w:r>
      <w:r w:rsidRPr="00961426">
        <w:rPr>
          <w:i/>
          <w:sz w:val="16"/>
          <w:szCs w:val="16"/>
        </w:rPr>
        <w:t>Know The Truth, A Handbook Of Christian Belief</w:t>
      </w:r>
      <w:r>
        <w:rPr>
          <w:sz w:val="16"/>
          <w:szCs w:val="16"/>
        </w:rPr>
        <w:t>:</w:t>
      </w:r>
      <w:r w:rsidRPr="00417CA7">
        <w:rPr>
          <w:sz w:val="16"/>
          <w:szCs w:val="16"/>
        </w:rPr>
        <w:t xml:space="preserve"> Inter-Varsity Press, 1982</w:t>
      </w:r>
      <w:bookmarkEnd w:id="2"/>
      <w:r w:rsidRPr="00417CA7">
        <w:rPr>
          <w:sz w:val="16"/>
          <w:szCs w:val="16"/>
        </w:rPr>
        <w:t>, p.59</w:t>
      </w:r>
    </w:p>
  </w:footnote>
  <w:footnote w:id="4">
    <w:p w14:paraId="4443E880" w14:textId="3B5C2907" w:rsidR="000210F1" w:rsidRPr="00417CA7" w:rsidRDefault="000210F1">
      <w:pPr>
        <w:pStyle w:val="FootnoteText"/>
      </w:pPr>
      <w:r>
        <w:rPr>
          <w:rStyle w:val="FootnoteReference"/>
        </w:rPr>
        <w:footnoteRef/>
      </w:r>
      <w:r>
        <w:t xml:space="preserve"> </w:t>
      </w:r>
      <w:r w:rsidRPr="00417CA7">
        <w:rPr>
          <w:sz w:val="16"/>
          <w:szCs w:val="16"/>
        </w:rPr>
        <w:t xml:space="preserve">Bruce Milne, </w:t>
      </w:r>
      <w:r w:rsidRPr="00961426">
        <w:rPr>
          <w:i/>
          <w:sz w:val="16"/>
          <w:szCs w:val="16"/>
        </w:rPr>
        <w:t>Know The Truth, A Handbook Of Christian Belief</w:t>
      </w:r>
      <w:r>
        <w:rPr>
          <w:sz w:val="16"/>
          <w:szCs w:val="16"/>
        </w:rPr>
        <w:t>:</w:t>
      </w:r>
      <w:r w:rsidRPr="00417CA7">
        <w:rPr>
          <w:sz w:val="16"/>
          <w:szCs w:val="16"/>
        </w:rPr>
        <w:t xml:space="preserve"> Inter-Varsity Press, 1982</w:t>
      </w:r>
      <w:r w:rsidRPr="00961426">
        <w:rPr>
          <w:sz w:val="16"/>
          <w:szCs w:val="16"/>
        </w:rPr>
        <w:t>, p.60</w:t>
      </w:r>
    </w:p>
  </w:footnote>
  <w:footnote w:id="5">
    <w:p w14:paraId="0E327109" w14:textId="5DDE3221" w:rsidR="000210F1" w:rsidRPr="00961426" w:rsidRDefault="000210F1">
      <w:pPr>
        <w:pStyle w:val="FootnoteText"/>
      </w:pPr>
      <w:r>
        <w:rPr>
          <w:rStyle w:val="FootnoteReference"/>
        </w:rPr>
        <w:footnoteRef/>
      </w:r>
      <w:r>
        <w:t xml:space="preserve"> </w:t>
      </w:r>
      <w:r w:rsidRPr="00961426">
        <w:rPr>
          <w:sz w:val="16"/>
          <w:szCs w:val="16"/>
        </w:rPr>
        <w:t xml:space="preserve">Joseph Blenkinsopp, </w:t>
      </w:r>
      <w:r w:rsidRPr="00961426">
        <w:rPr>
          <w:i/>
          <w:sz w:val="16"/>
          <w:szCs w:val="16"/>
        </w:rPr>
        <w:t>A History of Prophecy in Israel, Louisville</w:t>
      </w:r>
      <w:r w:rsidRPr="00961426">
        <w:rPr>
          <w:sz w:val="16"/>
          <w:szCs w:val="16"/>
        </w:rPr>
        <w:t xml:space="preserve">: Westminster John Knox Press, 1996, </w:t>
      </w:r>
      <w:r>
        <w:rPr>
          <w:sz w:val="16"/>
          <w:szCs w:val="16"/>
        </w:rPr>
        <w:t>p.</w:t>
      </w:r>
      <w:r w:rsidRPr="00961426">
        <w:rPr>
          <w:sz w:val="16"/>
          <w:szCs w:val="16"/>
        </w:rPr>
        <w:t>101</w:t>
      </w:r>
      <w:r w:rsidRPr="00961426">
        <w:t>.</w:t>
      </w:r>
    </w:p>
  </w:footnote>
  <w:footnote w:id="6">
    <w:p w14:paraId="1C3B2F9D" w14:textId="596020D3" w:rsidR="000210F1" w:rsidRPr="00961426" w:rsidRDefault="000210F1">
      <w:pPr>
        <w:pStyle w:val="FootnoteText"/>
      </w:pPr>
      <w:r>
        <w:rPr>
          <w:rStyle w:val="FootnoteReference"/>
        </w:rPr>
        <w:footnoteRef/>
      </w:r>
      <w:r>
        <w:t xml:space="preserve"> </w:t>
      </w:r>
      <w:r>
        <w:rPr>
          <w:sz w:val="16"/>
          <w:szCs w:val="16"/>
        </w:rPr>
        <w:t>Ibid.</w:t>
      </w:r>
      <w:r w:rsidRPr="00961426">
        <w:rPr>
          <w:sz w:val="16"/>
          <w:szCs w:val="16"/>
        </w:rPr>
        <w:t xml:space="preserve">, </w:t>
      </w:r>
      <w:r>
        <w:rPr>
          <w:sz w:val="16"/>
          <w:szCs w:val="16"/>
        </w:rPr>
        <w:t>p.</w:t>
      </w:r>
      <w:r w:rsidRPr="00961426">
        <w:rPr>
          <w:sz w:val="16"/>
          <w:szCs w:val="16"/>
        </w:rPr>
        <w:t>101</w:t>
      </w:r>
      <w:r w:rsidRPr="00961426">
        <w:t>.</w:t>
      </w:r>
    </w:p>
  </w:footnote>
  <w:footnote w:id="7">
    <w:p w14:paraId="08DD4C0A" w14:textId="186495EF" w:rsidR="000210F1" w:rsidRPr="00961426" w:rsidRDefault="000210F1">
      <w:pPr>
        <w:pStyle w:val="FootnoteText"/>
      </w:pPr>
      <w:r>
        <w:rPr>
          <w:rStyle w:val="FootnoteReference"/>
        </w:rPr>
        <w:footnoteRef/>
      </w:r>
      <w:r>
        <w:t xml:space="preserve"> </w:t>
      </w:r>
      <w:r>
        <w:rPr>
          <w:sz w:val="16"/>
          <w:szCs w:val="16"/>
        </w:rPr>
        <w:t>I</w:t>
      </w:r>
      <w:r w:rsidRPr="00961426">
        <w:rPr>
          <w:sz w:val="16"/>
          <w:szCs w:val="16"/>
        </w:rPr>
        <w:t xml:space="preserve">bid., </w:t>
      </w:r>
      <w:r>
        <w:rPr>
          <w:sz w:val="16"/>
          <w:szCs w:val="16"/>
        </w:rPr>
        <w:t>p.</w:t>
      </w:r>
      <w:r w:rsidRPr="00961426">
        <w:rPr>
          <w:sz w:val="16"/>
          <w:szCs w:val="16"/>
        </w:rPr>
        <w:t>191</w:t>
      </w:r>
    </w:p>
  </w:footnote>
  <w:footnote w:id="8">
    <w:p w14:paraId="73EB692C" w14:textId="77777777" w:rsidR="000210F1" w:rsidRDefault="000210F1">
      <w:pPr>
        <w:pStyle w:val="FootnoteText"/>
        <w:rPr>
          <w:sz w:val="16"/>
          <w:szCs w:val="16"/>
        </w:rPr>
      </w:pPr>
      <w:r>
        <w:rPr>
          <w:rStyle w:val="FootnoteReference"/>
        </w:rPr>
        <w:footnoteRef/>
      </w:r>
      <w:r>
        <w:t xml:space="preserve"> </w:t>
      </w:r>
      <w:r w:rsidRPr="003F00E7">
        <w:rPr>
          <w:sz w:val="16"/>
          <w:szCs w:val="16"/>
        </w:rPr>
        <w:t xml:space="preserve">Arnold G. Fruchtenbaum, </w:t>
      </w:r>
      <w:r w:rsidRPr="003F00E7">
        <w:rPr>
          <w:i/>
          <w:sz w:val="16"/>
          <w:szCs w:val="16"/>
        </w:rPr>
        <w:t>Messianic Christology: A Study of Old Testament Prophecy Concerning the First Coming of the Messiah</w:t>
      </w:r>
      <w:r w:rsidRPr="003F00E7">
        <w:rPr>
          <w:sz w:val="16"/>
          <w:szCs w:val="16"/>
        </w:rPr>
        <w:t xml:space="preserve">, Tustin, </w:t>
      </w:r>
    </w:p>
    <w:p w14:paraId="1BEBCE6E" w14:textId="7DF1624B" w:rsidR="000210F1" w:rsidRPr="003F00E7" w:rsidRDefault="000210F1">
      <w:pPr>
        <w:pStyle w:val="FootnoteText"/>
        <w:rPr>
          <w:sz w:val="16"/>
          <w:szCs w:val="16"/>
        </w:rPr>
      </w:pPr>
      <w:r>
        <w:rPr>
          <w:sz w:val="16"/>
          <w:szCs w:val="16"/>
        </w:rPr>
        <w:t xml:space="preserve">   </w:t>
      </w:r>
      <w:r w:rsidRPr="003F00E7">
        <w:rPr>
          <w:sz w:val="16"/>
          <w:szCs w:val="16"/>
        </w:rPr>
        <w:t>C</w:t>
      </w:r>
      <w:r>
        <w:rPr>
          <w:sz w:val="16"/>
          <w:szCs w:val="16"/>
        </w:rPr>
        <w:t>A: Ariel Ministries, 1998, p. 56</w:t>
      </w:r>
      <w:r w:rsidRPr="003F00E7">
        <w:rPr>
          <w:sz w:val="16"/>
          <w:szCs w:val="16"/>
        </w:rPr>
        <w:t>.</w:t>
      </w:r>
    </w:p>
  </w:footnote>
  <w:footnote w:id="9">
    <w:p w14:paraId="4814D9F9" w14:textId="77777777" w:rsidR="000210F1" w:rsidRDefault="000210F1">
      <w:pPr>
        <w:pStyle w:val="FootnoteText"/>
        <w:rPr>
          <w:sz w:val="16"/>
          <w:szCs w:val="16"/>
        </w:rPr>
      </w:pPr>
      <w:r>
        <w:rPr>
          <w:rStyle w:val="FootnoteReference"/>
        </w:rPr>
        <w:footnoteRef/>
      </w:r>
      <w:r>
        <w:t xml:space="preserve"> </w:t>
      </w:r>
      <w:bookmarkStart w:id="4" w:name="_Hlk511580055"/>
      <w:r w:rsidRPr="003F00E7">
        <w:rPr>
          <w:sz w:val="16"/>
          <w:szCs w:val="16"/>
        </w:rPr>
        <w:t xml:space="preserve">Elwell, Walter A. </w:t>
      </w:r>
      <w:r w:rsidRPr="003F00E7">
        <w:rPr>
          <w:i/>
          <w:sz w:val="16"/>
          <w:szCs w:val="16"/>
        </w:rPr>
        <w:t>“Messiah.” In Tyndale Bible Dictionary</w:t>
      </w:r>
      <w:r w:rsidRPr="003F00E7">
        <w:rPr>
          <w:sz w:val="16"/>
          <w:szCs w:val="16"/>
        </w:rPr>
        <w:t>. Ed. Philip W. Comfort, 882-86. Wheaton: Tyndale House Publishers, 2001,</w:t>
      </w:r>
    </w:p>
    <w:p w14:paraId="75FC4281" w14:textId="11EA7079" w:rsidR="000210F1" w:rsidRPr="003F00E7" w:rsidRDefault="000210F1">
      <w:pPr>
        <w:pStyle w:val="FootnoteText"/>
        <w:rPr>
          <w:sz w:val="16"/>
          <w:szCs w:val="16"/>
        </w:rPr>
      </w:pPr>
      <w:r>
        <w:rPr>
          <w:sz w:val="16"/>
          <w:szCs w:val="16"/>
        </w:rPr>
        <w:t xml:space="preserve">   p.</w:t>
      </w:r>
      <w:r w:rsidRPr="003F00E7">
        <w:rPr>
          <w:sz w:val="16"/>
          <w:szCs w:val="16"/>
        </w:rPr>
        <w:t>884</w:t>
      </w:r>
      <w:bookmarkEnd w:id="4"/>
      <w:r w:rsidRPr="003F00E7">
        <w:rPr>
          <w:sz w:val="16"/>
          <w:szCs w:val="16"/>
        </w:rPr>
        <w:t>.</w:t>
      </w:r>
    </w:p>
  </w:footnote>
  <w:footnote w:id="10">
    <w:p w14:paraId="548D4436" w14:textId="17E3E677" w:rsidR="000210F1" w:rsidRPr="004F51C4" w:rsidRDefault="000210F1">
      <w:pPr>
        <w:pStyle w:val="FootnoteText"/>
      </w:pPr>
      <w:r>
        <w:rPr>
          <w:rStyle w:val="FootnoteReference"/>
        </w:rPr>
        <w:footnoteRef/>
      </w:r>
      <w:r>
        <w:t xml:space="preserve"> </w:t>
      </w:r>
      <w:r w:rsidRPr="004F51C4">
        <w:rPr>
          <w:sz w:val="16"/>
          <w:szCs w:val="16"/>
        </w:rPr>
        <w:t xml:space="preserve">Joseph Blenkinsopp, </w:t>
      </w:r>
      <w:r w:rsidRPr="004F51C4">
        <w:rPr>
          <w:i/>
          <w:sz w:val="16"/>
          <w:szCs w:val="16"/>
        </w:rPr>
        <w:t>A History of Prophecy in Israel, Louisville</w:t>
      </w:r>
      <w:r w:rsidRPr="004F51C4">
        <w:rPr>
          <w:sz w:val="16"/>
          <w:szCs w:val="16"/>
        </w:rPr>
        <w:t>: Westminster John Knox Press, 1996,</w:t>
      </w:r>
      <w:r>
        <w:rPr>
          <w:sz w:val="16"/>
          <w:szCs w:val="16"/>
        </w:rPr>
        <w:t xml:space="preserve"> p.193</w:t>
      </w:r>
      <w:r w:rsidRPr="004F51C4">
        <w:t>.</w:t>
      </w:r>
    </w:p>
  </w:footnote>
  <w:footnote w:id="11">
    <w:p w14:paraId="6386B689" w14:textId="77777777" w:rsidR="000210F1" w:rsidRDefault="000210F1">
      <w:pPr>
        <w:pStyle w:val="FootnoteText"/>
        <w:rPr>
          <w:sz w:val="16"/>
          <w:szCs w:val="16"/>
        </w:rPr>
      </w:pPr>
      <w:r>
        <w:rPr>
          <w:rStyle w:val="FootnoteReference"/>
        </w:rPr>
        <w:footnoteRef/>
      </w:r>
      <w:r>
        <w:t xml:space="preserve"> </w:t>
      </w:r>
      <w:r>
        <w:rPr>
          <w:sz w:val="16"/>
          <w:szCs w:val="16"/>
        </w:rPr>
        <w:t xml:space="preserve">Elwell, Walter A. </w:t>
      </w:r>
      <w:r w:rsidRPr="003B1D63">
        <w:rPr>
          <w:i/>
          <w:sz w:val="16"/>
          <w:szCs w:val="16"/>
        </w:rPr>
        <w:t>“Messiah.” In Tyndale Bible Dictionary. Ed. Philip W. Comfort, 882-86</w:t>
      </w:r>
      <w:r w:rsidRPr="004F51C4">
        <w:rPr>
          <w:sz w:val="16"/>
          <w:szCs w:val="16"/>
        </w:rPr>
        <w:t>. Wheaton: Tynd</w:t>
      </w:r>
      <w:r>
        <w:rPr>
          <w:sz w:val="16"/>
          <w:szCs w:val="16"/>
        </w:rPr>
        <w:t xml:space="preserve">ale House Publishers, 2001, </w:t>
      </w:r>
    </w:p>
    <w:p w14:paraId="7756B1D2" w14:textId="378F00BD" w:rsidR="000210F1" w:rsidRPr="004F51C4" w:rsidRDefault="000210F1">
      <w:pPr>
        <w:pStyle w:val="FootnoteText"/>
      </w:pPr>
      <w:r>
        <w:rPr>
          <w:sz w:val="16"/>
          <w:szCs w:val="16"/>
        </w:rPr>
        <w:t xml:space="preserve">     p.883</w:t>
      </w:r>
    </w:p>
  </w:footnote>
  <w:footnote w:id="12">
    <w:p w14:paraId="796B916A" w14:textId="77777777" w:rsidR="000210F1" w:rsidRDefault="000210F1">
      <w:pPr>
        <w:pStyle w:val="FootnoteText"/>
        <w:rPr>
          <w:sz w:val="16"/>
          <w:szCs w:val="16"/>
        </w:rPr>
      </w:pPr>
      <w:r>
        <w:rPr>
          <w:rStyle w:val="FootnoteReference"/>
        </w:rPr>
        <w:footnoteRef/>
      </w:r>
      <w:r>
        <w:t xml:space="preserve"> </w:t>
      </w:r>
      <w:r w:rsidRPr="004F51C4">
        <w:rPr>
          <w:sz w:val="16"/>
          <w:szCs w:val="16"/>
        </w:rPr>
        <w:t xml:space="preserve">Arnold G. Fruchtenbaum, </w:t>
      </w:r>
      <w:r w:rsidRPr="004F51C4">
        <w:rPr>
          <w:i/>
          <w:sz w:val="16"/>
          <w:szCs w:val="16"/>
        </w:rPr>
        <w:t>Messianic Christology: A Study of Old Testament Prophecy Concerning the First Coming of the Messiah</w:t>
      </w:r>
      <w:r w:rsidRPr="004F51C4">
        <w:rPr>
          <w:sz w:val="16"/>
          <w:szCs w:val="16"/>
        </w:rPr>
        <w:t xml:space="preserve">, </w:t>
      </w:r>
    </w:p>
    <w:p w14:paraId="1564A343" w14:textId="0157E17E" w:rsidR="000210F1" w:rsidRPr="00BD3B42" w:rsidRDefault="000210F1">
      <w:pPr>
        <w:pStyle w:val="FootnoteText"/>
        <w:rPr>
          <w:sz w:val="16"/>
          <w:szCs w:val="16"/>
          <w:lang w:val="it-IT"/>
        </w:rPr>
      </w:pPr>
      <w:r>
        <w:rPr>
          <w:sz w:val="16"/>
          <w:szCs w:val="16"/>
        </w:rPr>
        <w:t xml:space="preserve">     </w:t>
      </w:r>
      <w:r w:rsidRPr="00BD3B42">
        <w:rPr>
          <w:sz w:val="16"/>
          <w:szCs w:val="16"/>
          <w:lang w:val="it-IT"/>
        </w:rPr>
        <w:t>Tustin, CA: Ariel Ministries, 1998, p. 54.</w:t>
      </w:r>
    </w:p>
  </w:footnote>
  <w:footnote w:id="13">
    <w:p w14:paraId="1E3A5777" w14:textId="24E20661" w:rsidR="000210F1" w:rsidRPr="004F51C4" w:rsidRDefault="000210F1">
      <w:pPr>
        <w:pStyle w:val="FootnoteText"/>
      </w:pPr>
      <w:r>
        <w:rPr>
          <w:rStyle w:val="FootnoteReference"/>
        </w:rPr>
        <w:footnoteRef/>
      </w:r>
      <w:r>
        <w:t xml:space="preserve"> </w:t>
      </w:r>
      <w:r w:rsidRPr="004F51C4">
        <w:rPr>
          <w:sz w:val="16"/>
          <w:szCs w:val="16"/>
        </w:rPr>
        <w:t>Ibid., p.57</w:t>
      </w:r>
    </w:p>
  </w:footnote>
  <w:footnote w:id="14">
    <w:p w14:paraId="2DAF4391" w14:textId="545F843A" w:rsidR="000210F1" w:rsidRPr="004F51C4" w:rsidRDefault="000210F1">
      <w:pPr>
        <w:pStyle w:val="FootnoteText"/>
      </w:pPr>
      <w:r>
        <w:rPr>
          <w:rStyle w:val="FootnoteReference"/>
        </w:rPr>
        <w:footnoteRef/>
      </w:r>
      <w:r>
        <w:t xml:space="preserve"> </w:t>
      </w:r>
      <w:r w:rsidRPr="003B1D63">
        <w:rPr>
          <w:sz w:val="16"/>
          <w:szCs w:val="16"/>
        </w:rPr>
        <w:t xml:space="preserve">Louis Goldberg, </w:t>
      </w:r>
      <w:r w:rsidRPr="003B1D63">
        <w:rPr>
          <w:i/>
          <w:sz w:val="16"/>
          <w:szCs w:val="16"/>
        </w:rPr>
        <w:t>Our Jewish Friends, Neptune</w:t>
      </w:r>
      <w:r w:rsidRPr="003B1D63">
        <w:rPr>
          <w:sz w:val="16"/>
          <w:szCs w:val="16"/>
        </w:rPr>
        <w:t xml:space="preserve">, NJ: </w:t>
      </w:r>
      <w:proofErr w:type="spellStart"/>
      <w:r w:rsidRPr="003B1D63">
        <w:rPr>
          <w:sz w:val="16"/>
          <w:szCs w:val="16"/>
        </w:rPr>
        <w:t>Loizeaux</w:t>
      </w:r>
      <w:proofErr w:type="spellEnd"/>
      <w:r w:rsidRPr="003B1D63">
        <w:rPr>
          <w:sz w:val="16"/>
          <w:szCs w:val="16"/>
        </w:rPr>
        <w:t xml:space="preserve"> Brothers, 1983, p. 126.</w:t>
      </w:r>
    </w:p>
  </w:footnote>
  <w:footnote w:id="15">
    <w:p w14:paraId="21F3764E" w14:textId="77777777" w:rsidR="000210F1" w:rsidRDefault="000210F1">
      <w:pPr>
        <w:pStyle w:val="FootnoteText"/>
        <w:rPr>
          <w:sz w:val="16"/>
          <w:szCs w:val="16"/>
        </w:rPr>
      </w:pPr>
      <w:r>
        <w:rPr>
          <w:rStyle w:val="FootnoteReference"/>
        </w:rPr>
        <w:footnoteRef/>
      </w:r>
      <w:r>
        <w:t xml:space="preserve"> </w:t>
      </w:r>
      <w:proofErr w:type="spellStart"/>
      <w:r w:rsidRPr="003B1D63">
        <w:rPr>
          <w:sz w:val="16"/>
          <w:szCs w:val="16"/>
        </w:rPr>
        <w:t>Motyer</w:t>
      </w:r>
      <w:proofErr w:type="spellEnd"/>
      <w:r w:rsidRPr="003B1D63">
        <w:rPr>
          <w:sz w:val="16"/>
          <w:szCs w:val="16"/>
        </w:rPr>
        <w:t xml:space="preserve">, J. A. </w:t>
      </w:r>
      <w:r w:rsidRPr="003B1D63">
        <w:rPr>
          <w:i/>
          <w:sz w:val="16"/>
          <w:szCs w:val="16"/>
        </w:rPr>
        <w:t>“Messiah,” in The New Bible Dictionary</w:t>
      </w:r>
      <w:r w:rsidRPr="003B1D63">
        <w:rPr>
          <w:sz w:val="16"/>
          <w:szCs w:val="16"/>
        </w:rPr>
        <w:t xml:space="preserve">, electronic edition, eds. D. R. W. Wood and I. Howard Marshall, Downers Gove: </w:t>
      </w:r>
    </w:p>
    <w:p w14:paraId="4A3616BA" w14:textId="0007D0C4" w:rsidR="000210F1" w:rsidRPr="003B1D63" w:rsidRDefault="000210F1">
      <w:pPr>
        <w:pStyle w:val="FootnoteText"/>
        <w:rPr>
          <w:sz w:val="16"/>
          <w:szCs w:val="16"/>
        </w:rPr>
      </w:pPr>
      <w:r>
        <w:rPr>
          <w:sz w:val="16"/>
          <w:szCs w:val="16"/>
        </w:rPr>
        <w:t xml:space="preserve">     </w:t>
      </w:r>
      <w:r w:rsidRPr="003B1D63">
        <w:rPr>
          <w:sz w:val="16"/>
          <w:szCs w:val="16"/>
        </w:rPr>
        <w:t>Inter-Varsity Press, 1996, p. 747.</w:t>
      </w:r>
    </w:p>
  </w:footnote>
  <w:footnote w:id="16">
    <w:p w14:paraId="4B96B5FA" w14:textId="1CDF4039" w:rsidR="000210F1" w:rsidRDefault="000210F1">
      <w:pPr>
        <w:pStyle w:val="FootnoteText"/>
      </w:pPr>
      <w:r>
        <w:rPr>
          <w:rStyle w:val="FootnoteReference"/>
        </w:rPr>
        <w:footnoteRef/>
      </w:r>
      <w:r>
        <w:t xml:space="preserve"> </w:t>
      </w:r>
      <w:r w:rsidRPr="00951F26">
        <w:rPr>
          <w:sz w:val="16"/>
          <w:szCs w:val="16"/>
        </w:rPr>
        <w:t xml:space="preserve">Graeme Goldsworthy, </w:t>
      </w:r>
      <w:r w:rsidRPr="00951F26">
        <w:rPr>
          <w:i/>
          <w:sz w:val="16"/>
          <w:szCs w:val="16"/>
        </w:rPr>
        <w:t>The Kingdom of God and the Old Testament, Biblical Theology Articles</w:t>
      </w:r>
      <w:r w:rsidRPr="00951F26">
        <w:rPr>
          <w:sz w:val="16"/>
          <w:szCs w:val="16"/>
        </w:rPr>
        <w:t>, 2018</w:t>
      </w:r>
    </w:p>
  </w:footnote>
  <w:footnote w:id="17">
    <w:p w14:paraId="7C7D2DB5" w14:textId="5D60A770" w:rsidR="000210F1" w:rsidRPr="00E84B42" w:rsidRDefault="000210F1" w:rsidP="001A77DD">
      <w:pPr>
        <w:pStyle w:val="FootnoteText"/>
      </w:pPr>
      <w:r>
        <w:rPr>
          <w:rStyle w:val="FootnoteReference"/>
        </w:rPr>
        <w:footnoteRef/>
      </w:r>
      <w:r>
        <w:t xml:space="preserve"> </w:t>
      </w:r>
      <w:bookmarkStart w:id="7" w:name="_Hlk511730320"/>
      <w:r w:rsidRPr="00096406">
        <w:rPr>
          <w:sz w:val="16"/>
          <w:szCs w:val="16"/>
        </w:rPr>
        <w:t xml:space="preserve">John Oakes, </w:t>
      </w:r>
      <w:r w:rsidRPr="00096406">
        <w:rPr>
          <w:i/>
          <w:sz w:val="16"/>
          <w:szCs w:val="16"/>
        </w:rPr>
        <w:t>Old Testament Ritual Sacrifice Prefigures New Testament Sacrifice</w:t>
      </w:r>
      <w:r w:rsidRPr="00096406">
        <w:rPr>
          <w:sz w:val="16"/>
          <w:szCs w:val="16"/>
        </w:rPr>
        <w:t>, 2005</w:t>
      </w:r>
      <w:bookmarkEnd w:id="7"/>
    </w:p>
  </w:footnote>
  <w:footnote w:id="18">
    <w:p w14:paraId="795971C1" w14:textId="576B64A5" w:rsidR="000210F1" w:rsidRPr="0031726C" w:rsidRDefault="000210F1" w:rsidP="0031726C">
      <w:pPr>
        <w:pStyle w:val="FootnoteText"/>
        <w:rPr>
          <w:sz w:val="16"/>
          <w:szCs w:val="16"/>
        </w:rPr>
      </w:pPr>
      <w:r>
        <w:rPr>
          <w:rStyle w:val="FootnoteReference"/>
        </w:rPr>
        <w:footnoteRef/>
      </w:r>
      <w:r>
        <w:t xml:space="preserve"> </w:t>
      </w:r>
      <w:r w:rsidRPr="00EB1FFC">
        <w:rPr>
          <w:sz w:val="16"/>
          <w:szCs w:val="16"/>
        </w:rPr>
        <w:t xml:space="preserve">Wayne Grudem, </w:t>
      </w:r>
      <w:r w:rsidRPr="00EB1FFC">
        <w:rPr>
          <w:i/>
          <w:sz w:val="16"/>
          <w:szCs w:val="16"/>
        </w:rPr>
        <w:t>Systematic Theology, An Introduction to Biblical Doctrine</w:t>
      </w:r>
      <w:r>
        <w:rPr>
          <w:sz w:val="16"/>
          <w:szCs w:val="16"/>
        </w:rPr>
        <w:t>:</w:t>
      </w:r>
      <w:r w:rsidRPr="00EB1FFC">
        <w:rPr>
          <w:sz w:val="16"/>
          <w:szCs w:val="16"/>
        </w:rPr>
        <w:t xml:space="preserve"> Inter-Varsity Press, 1994, p.226</w:t>
      </w:r>
    </w:p>
    <w:p w14:paraId="08D841A2" w14:textId="0B4FDB81" w:rsidR="000210F1" w:rsidRDefault="000210F1">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6575B1"/>
    <w:multiLevelType w:val="hybridMultilevel"/>
    <w:tmpl w:val="A1BC25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027BF5"/>
    <w:multiLevelType w:val="hybridMultilevel"/>
    <w:tmpl w:val="86FE27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4F0A9D"/>
    <w:multiLevelType w:val="hybridMultilevel"/>
    <w:tmpl w:val="98B4D7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activeWritingStyle w:appName="MSWord" w:lang="it-IT" w:vendorID="64" w:dllVersion="6" w:nlCheck="1" w:checkStyle="0"/>
  <w:activeWritingStyle w:appName="MSWord" w:lang="en-GB" w:vendorID="64" w:dllVersion="6" w:nlCheck="1" w:checkStyle="1"/>
  <w:activeWritingStyle w:appName="MSWord" w:lang="en-GB" w:vendorID="64" w:dllVersion="0" w:nlCheck="1" w:checkStyle="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6974"/>
    <w:rsid w:val="00003E02"/>
    <w:rsid w:val="000210F1"/>
    <w:rsid w:val="000227AF"/>
    <w:rsid w:val="000308BF"/>
    <w:rsid w:val="00050E99"/>
    <w:rsid w:val="00057775"/>
    <w:rsid w:val="00065CB7"/>
    <w:rsid w:val="00096406"/>
    <w:rsid w:val="000E2D8E"/>
    <w:rsid w:val="000F231B"/>
    <w:rsid w:val="000F687C"/>
    <w:rsid w:val="00110202"/>
    <w:rsid w:val="00134CC4"/>
    <w:rsid w:val="00145664"/>
    <w:rsid w:val="001A77DD"/>
    <w:rsid w:val="001B7714"/>
    <w:rsid w:val="001B79E1"/>
    <w:rsid w:val="001C5100"/>
    <w:rsid w:val="001D36EA"/>
    <w:rsid w:val="0020428A"/>
    <w:rsid w:val="002425E6"/>
    <w:rsid w:val="002438DC"/>
    <w:rsid w:val="0026706E"/>
    <w:rsid w:val="00273524"/>
    <w:rsid w:val="00273958"/>
    <w:rsid w:val="002A58D9"/>
    <w:rsid w:val="002B7F5D"/>
    <w:rsid w:val="002F0AC7"/>
    <w:rsid w:val="0031726C"/>
    <w:rsid w:val="003207FF"/>
    <w:rsid w:val="00325E63"/>
    <w:rsid w:val="00334FAB"/>
    <w:rsid w:val="00362C50"/>
    <w:rsid w:val="0036385A"/>
    <w:rsid w:val="00364192"/>
    <w:rsid w:val="003A2139"/>
    <w:rsid w:val="003B1D63"/>
    <w:rsid w:val="003C18EE"/>
    <w:rsid w:val="003F00E7"/>
    <w:rsid w:val="003F0375"/>
    <w:rsid w:val="00417CA7"/>
    <w:rsid w:val="004514B7"/>
    <w:rsid w:val="004A50BE"/>
    <w:rsid w:val="004B397C"/>
    <w:rsid w:val="004B44AE"/>
    <w:rsid w:val="004D6B9E"/>
    <w:rsid w:val="004E3026"/>
    <w:rsid w:val="004F51C4"/>
    <w:rsid w:val="00524894"/>
    <w:rsid w:val="005B3F8E"/>
    <w:rsid w:val="005C4705"/>
    <w:rsid w:val="006306E8"/>
    <w:rsid w:val="0066691B"/>
    <w:rsid w:val="00667955"/>
    <w:rsid w:val="00675756"/>
    <w:rsid w:val="00695410"/>
    <w:rsid w:val="006A4F51"/>
    <w:rsid w:val="006B6BD6"/>
    <w:rsid w:val="006C7C44"/>
    <w:rsid w:val="006D015F"/>
    <w:rsid w:val="006D171A"/>
    <w:rsid w:val="006E239B"/>
    <w:rsid w:val="0075213A"/>
    <w:rsid w:val="00753ECB"/>
    <w:rsid w:val="00771091"/>
    <w:rsid w:val="007E394D"/>
    <w:rsid w:val="007F3664"/>
    <w:rsid w:val="00817BA6"/>
    <w:rsid w:val="00822F18"/>
    <w:rsid w:val="00826FE6"/>
    <w:rsid w:val="00840E40"/>
    <w:rsid w:val="0085042B"/>
    <w:rsid w:val="0086469B"/>
    <w:rsid w:val="00877EF3"/>
    <w:rsid w:val="00891049"/>
    <w:rsid w:val="008A3CA2"/>
    <w:rsid w:val="008A7E28"/>
    <w:rsid w:val="008B3A82"/>
    <w:rsid w:val="008C5B6F"/>
    <w:rsid w:val="008D3F78"/>
    <w:rsid w:val="00921A03"/>
    <w:rsid w:val="009301D4"/>
    <w:rsid w:val="009316E4"/>
    <w:rsid w:val="00951F26"/>
    <w:rsid w:val="00956BF2"/>
    <w:rsid w:val="00961426"/>
    <w:rsid w:val="009627E8"/>
    <w:rsid w:val="00974CAD"/>
    <w:rsid w:val="009835DA"/>
    <w:rsid w:val="0099390C"/>
    <w:rsid w:val="00A1630F"/>
    <w:rsid w:val="00AA0748"/>
    <w:rsid w:val="00AD0EFA"/>
    <w:rsid w:val="00B30753"/>
    <w:rsid w:val="00B33308"/>
    <w:rsid w:val="00B52644"/>
    <w:rsid w:val="00B67FB9"/>
    <w:rsid w:val="00B92E61"/>
    <w:rsid w:val="00BA4374"/>
    <w:rsid w:val="00BD3B42"/>
    <w:rsid w:val="00BE1DBD"/>
    <w:rsid w:val="00BF506B"/>
    <w:rsid w:val="00BF5387"/>
    <w:rsid w:val="00C2329D"/>
    <w:rsid w:val="00C55D73"/>
    <w:rsid w:val="00C73D07"/>
    <w:rsid w:val="00C77263"/>
    <w:rsid w:val="00CA17A3"/>
    <w:rsid w:val="00CA35B0"/>
    <w:rsid w:val="00D424F0"/>
    <w:rsid w:val="00DA064A"/>
    <w:rsid w:val="00DC21A3"/>
    <w:rsid w:val="00DF518D"/>
    <w:rsid w:val="00E153C2"/>
    <w:rsid w:val="00E3213B"/>
    <w:rsid w:val="00E46AC3"/>
    <w:rsid w:val="00E57C5F"/>
    <w:rsid w:val="00E803F7"/>
    <w:rsid w:val="00E84B42"/>
    <w:rsid w:val="00E86974"/>
    <w:rsid w:val="00E947E5"/>
    <w:rsid w:val="00EB1FFC"/>
    <w:rsid w:val="00EB2AFF"/>
    <w:rsid w:val="00EF547F"/>
    <w:rsid w:val="00F14F7A"/>
    <w:rsid w:val="00F177D5"/>
    <w:rsid w:val="00F3271A"/>
    <w:rsid w:val="00F51629"/>
    <w:rsid w:val="00F91A86"/>
    <w:rsid w:val="00F96BE3"/>
    <w:rsid w:val="00FA3B24"/>
    <w:rsid w:val="00FD4385"/>
    <w:rsid w:val="00FF7E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7885A769"/>
  <w15:chartTrackingRefBased/>
  <w15:docId w15:val="{A4FF6EAD-870D-4C02-87A7-DA0CE25A0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67FB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67FB9"/>
    <w:rPr>
      <w:sz w:val="20"/>
      <w:szCs w:val="20"/>
    </w:rPr>
  </w:style>
  <w:style w:type="character" w:styleId="FootnoteReference">
    <w:name w:val="footnote reference"/>
    <w:basedOn w:val="DefaultParagraphFont"/>
    <w:uiPriority w:val="99"/>
    <w:semiHidden/>
    <w:unhideWhenUsed/>
    <w:rsid w:val="00B67FB9"/>
    <w:rPr>
      <w:vertAlign w:val="superscript"/>
    </w:rPr>
  </w:style>
  <w:style w:type="paragraph" w:styleId="ListParagraph">
    <w:name w:val="List Paragraph"/>
    <w:basedOn w:val="Normal"/>
    <w:uiPriority w:val="34"/>
    <w:qFormat/>
    <w:rsid w:val="008C5B6F"/>
    <w:pPr>
      <w:ind w:left="720"/>
      <w:contextualSpacing/>
    </w:pPr>
  </w:style>
  <w:style w:type="paragraph" w:styleId="Header">
    <w:name w:val="header"/>
    <w:basedOn w:val="Normal"/>
    <w:link w:val="HeaderChar"/>
    <w:uiPriority w:val="99"/>
    <w:unhideWhenUsed/>
    <w:rsid w:val="00B307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0753"/>
  </w:style>
  <w:style w:type="paragraph" w:styleId="Footer">
    <w:name w:val="footer"/>
    <w:basedOn w:val="Normal"/>
    <w:link w:val="FooterChar"/>
    <w:uiPriority w:val="99"/>
    <w:unhideWhenUsed/>
    <w:rsid w:val="00B307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0753"/>
  </w:style>
  <w:style w:type="character" w:styleId="CommentReference">
    <w:name w:val="annotation reference"/>
    <w:basedOn w:val="DefaultParagraphFont"/>
    <w:uiPriority w:val="99"/>
    <w:semiHidden/>
    <w:unhideWhenUsed/>
    <w:rsid w:val="00BD3B42"/>
    <w:rPr>
      <w:sz w:val="16"/>
      <w:szCs w:val="16"/>
    </w:rPr>
  </w:style>
  <w:style w:type="paragraph" w:styleId="CommentText">
    <w:name w:val="annotation text"/>
    <w:basedOn w:val="Normal"/>
    <w:link w:val="CommentTextChar"/>
    <w:uiPriority w:val="99"/>
    <w:semiHidden/>
    <w:unhideWhenUsed/>
    <w:rsid w:val="00BD3B42"/>
    <w:pPr>
      <w:spacing w:line="240" w:lineRule="auto"/>
    </w:pPr>
    <w:rPr>
      <w:sz w:val="20"/>
      <w:szCs w:val="20"/>
    </w:rPr>
  </w:style>
  <w:style w:type="character" w:customStyle="1" w:styleId="CommentTextChar">
    <w:name w:val="Comment Text Char"/>
    <w:basedOn w:val="DefaultParagraphFont"/>
    <w:link w:val="CommentText"/>
    <w:uiPriority w:val="99"/>
    <w:semiHidden/>
    <w:rsid w:val="00BD3B42"/>
    <w:rPr>
      <w:sz w:val="20"/>
      <w:szCs w:val="20"/>
    </w:rPr>
  </w:style>
  <w:style w:type="paragraph" w:styleId="CommentSubject">
    <w:name w:val="annotation subject"/>
    <w:basedOn w:val="CommentText"/>
    <w:next w:val="CommentText"/>
    <w:link w:val="CommentSubjectChar"/>
    <w:uiPriority w:val="99"/>
    <w:semiHidden/>
    <w:unhideWhenUsed/>
    <w:rsid w:val="00BD3B42"/>
    <w:rPr>
      <w:b/>
      <w:bCs/>
    </w:rPr>
  </w:style>
  <w:style w:type="character" w:customStyle="1" w:styleId="CommentSubjectChar">
    <w:name w:val="Comment Subject Char"/>
    <w:basedOn w:val="CommentTextChar"/>
    <w:link w:val="CommentSubject"/>
    <w:uiPriority w:val="99"/>
    <w:semiHidden/>
    <w:rsid w:val="00BD3B42"/>
    <w:rPr>
      <w:b/>
      <w:bCs/>
      <w:sz w:val="20"/>
      <w:szCs w:val="20"/>
    </w:rPr>
  </w:style>
  <w:style w:type="paragraph" w:styleId="BalloonText">
    <w:name w:val="Balloon Text"/>
    <w:basedOn w:val="Normal"/>
    <w:link w:val="BalloonTextChar"/>
    <w:uiPriority w:val="99"/>
    <w:semiHidden/>
    <w:unhideWhenUsed/>
    <w:rsid w:val="00BD3B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3B4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771653-80B6-4518-9437-8717442C2B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TotalTime>
  <Pages>8</Pages>
  <Words>3937</Words>
  <Characters>22442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Blaine Tang</dc:creator>
  <cp:keywords/>
  <dc:description/>
  <cp:lastModifiedBy>Blaine Tang</cp:lastModifiedBy>
  <cp:revision>27</cp:revision>
  <dcterms:created xsi:type="dcterms:W3CDTF">2018-04-19T11:14:00Z</dcterms:created>
  <dcterms:modified xsi:type="dcterms:W3CDTF">2018-05-06T18:56:00Z</dcterms:modified>
</cp:coreProperties>
</file>