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8E77B" w14:textId="77777777" w:rsidR="0060135A" w:rsidRDefault="0060135A">
      <w:pPr>
        <w:jc w:val="center"/>
        <w:rPr>
          <w:rFonts w:ascii="Arial" w:eastAsia="Arial" w:hAnsi="Arial" w:cs="Arial"/>
          <w:b/>
          <w:bCs/>
          <w:sz w:val="28"/>
          <w:szCs w:val="28"/>
        </w:rPr>
      </w:pPr>
    </w:p>
    <w:p w14:paraId="6F48E77C" w14:textId="77777777" w:rsidR="0060135A" w:rsidRDefault="0060135A">
      <w:pPr>
        <w:jc w:val="center"/>
        <w:rPr>
          <w:rFonts w:ascii="Arial" w:eastAsia="Arial" w:hAnsi="Arial" w:cs="Arial"/>
          <w:b/>
          <w:bCs/>
          <w:sz w:val="28"/>
          <w:szCs w:val="28"/>
        </w:rPr>
      </w:pPr>
    </w:p>
    <w:p w14:paraId="6F48E77D" w14:textId="77777777" w:rsidR="0060135A" w:rsidRDefault="001B3665">
      <w:pPr>
        <w:jc w:val="center"/>
        <w:rPr>
          <w:rFonts w:ascii="Arial" w:eastAsia="Arial" w:hAnsi="Arial" w:cs="Arial"/>
          <w:b/>
          <w:bCs/>
          <w:sz w:val="28"/>
          <w:szCs w:val="28"/>
        </w:rPr>
      </w:pPr>
      <w:r>
        <w:rPr>
          <w:rFonts w:ascii="Arial" w:eastAsia="Arial" w:hAnsi="Arial" w:cs="Arial"/>
          <w:noProof/>
          <w:lang w:val="en-IN"/>
        </w:rPr>
        <w:drawing>
          <wp:inline distT="0" distB="0" distL="114300" distR="114300" wp14:anchorId="6F48E81E" wp14:editId="6F48E81F">
            <wp:extent cx="1511300" cy="6667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7"/>
                    <a:srcRect/>
                    <a:stretch>
                      <a:fillRect/>
                    </a:stretch>
                  </pic:blipFill>
                  <pic:spPr>
                    <a:xfrm>
                      <a:off x="0" y="0"/>
                      <a:ext cx="1511300" cy="666750"/>
                    </a:xfrm>
                    <a:prstGeom prst="rect">
                      <a:avLst/>
                    </a:prstGeom>
                  </pic:spPr>
                </pic:pic>
              </a:graphicData>
            </a:graphic>
          </wp:inline>
        </w:drawing>
      </w:r>
    </w:p>
    <w:p w14:paraId="6F48E77E" w14:textId="77777777" w:rsidR="0060135A" w:rsidRDefault="001B3665">
      <w:pPr>
        <w:spacing w:before="240" w:after="240"/>
        <w:jc w:val="center"/>
        <w:rPr>
          <w:rFonts w:ascii="Arial" w:eastAsia="Arial" w:hAnsi="Arial" w:cs="Arial"/>
          <w:b/>
          <w:bCs/>
        </w:rPr>
      </w:pPr>
      <w:r>
        <w:rPr>
          <w:rFonts w:ascii="Arial" w:eastAsia="Arial" w:hAnsi="Arial" w:cs="Arial"/>
          <w:b/>
          <w:bCs/>
        </w:rPr>
        <w:t>Programme:</w:t>
      </w:r>
      <w:r>
        <w:rPr>
          <w:rFonts w:ascii="Arial" w:eastAsia="Arial" w:hAnsi="Arial" w:cs="Arial"/>
          <w:b/>
          <w:bCs/>
        </w:rPr>
        <w:tab/>
        <w:t>MSc Public Health and Social Care in Practice</w:t>
      </w:r>
    </w:p>
    <w:p w14:paraId="6F48E77F" w14:textId="77777777" w:rsidR="0060135A" w:rsidRDefault="001B3665">
      <w:pPr>
        <w:spacing w:before="240" w:after="240"/>
        <w:jc w:val="center"/>
        <w:rPr>
          <w:rFonts w:ascii="Arial" w:eastAsia="Arial" w:hAnsi="Arial" w:cs="Arial"/>
          <w:b/>
          <w:bCs/>
        </w:rPr>
      </w:pPr>
      <w:r>
        <w:rPr>
          <w:rFonts w:ascii="Arial" w:eastAsia="Arial" w:hAnsi="Arial" w:cs="Arial"/>
          <w:b/>
          <w:bCs/>
        </w:rPr>
        <w:t>Module: Quality Assurance and Service Improvements</w:t>
      </w:r>
    </w:p>
    <w:p w14:paraId="6F48E780" w14:textId="77777777" w:rsidR="0060135A" w:rsidRDefault="001B3665">
      <w:pPr>
        <w:spacing w:before="240" w:after="240"/>
        <w:jc w:val="center"/>
        <w:rPr>
          <w:rFonts w:ascii="Arial" w:eastAsia="Arial" w:hAnsi="Arial" w:cs="Arial"/>
          <w:b/>
          <w:bCs/>
        </w:rPr>
      </w:pPr>
      <w:r>
        <w:rPr>
          <w:rFonts w:ascii="Arial" w:eastAsia="Arial" w:hAnsi="Arial" w:cs="Arial"/>
          <w:b/>
          <w:bCs/>
        </w:rPr>
        <w:t>Module code: LCHS7006</w:t>
      </w:r>
      <w:r>
        <w:rPr>
          <w:rFonts w:ascii="Arial" w:eastAsia="Arial" w:hAnsi="Arial" w:cs="Arial"/>
          <w:b/>
          <w:bCs/>
        </w:rPr>
        <w:tab/>
      </w:r>
    </w:p>
    <w:p w14:paraId="6F48E781" w14:textId="77777777" w:rsidR="0060135A" w:rsidRDefault="001B3665">
      <w:pPr>
        <w:spacing w:before="240" w:after="240"/>
        <w:jc w:val="center"/>
        <w:rPr>
          <w:rFonts w:ascii="Arial" w:eastAsia="Arial" w:hAnsi="Arial" w:cs="Arial"/>
          <w:b/>
          <w:bCs/>
        </w:rPr>
      </w:pPr>
      <w:r>
        <w:rPr>
          <w:rFonts w:ascii="Arial" w:eastAsia="Arial" w:hAnsi="Arial" w:cs="Arial"/>
          <w:b/>
          <w:bCs/>
        </w:rPr>
        <w:t>Assignment Title: Component 2 Service Improvement Report</w:t>
      </w:r>
    </w:p>
    <w:p w14:paraId="6F48E782" w14:textId="77777777" w:rsidR="0060135A" w:rsidRDefault="001B3665">
      <w:pPr>
        <w:spacing w:before="240" w:after="240"/>
        <w:jc w:val="center"/>
        <w:rPr>
          <w:rFonts w:ascii="Arial" w:eastAsia="Arial" w:hAnsi="Arial" w:cs="Arial"/>
          <w:b/>
          <w:bCs/>
          <w:lang w:val="en-IN"/>
        </w:rPr>
      </w:pPr>
      <w:r>
        <w:rPr>
          <w:rFonts w:ascii="Arial" w:eastAsia="Arial" w:hAnsi="Arial" w:cs="Arial"/>
          <w:b/>
          <w:bCs/>
          <w:lang w:val="en-IN"/>
        </w:rPr>
        <w:t xml:space="preserve">Case organisation: </w:t>
      </w:r>
      <w:r>
        <w:rPr>
          <w:rFonts w:ascii="Arial" w:eastAsia="Arial" w:hAnsi="Arial" w:cs="Arial"/>
          <w:b/>
          <w:bCs/>
        </w:rPr>
        <w:t>Shrewsbury Hospital and Princess Royal Hospital</w:t>
      </w:r>
    </w:p>
    <w:p w14:paraId="6F48E783" w14:textId="04BA0D1F" w:rsidR="0060135A" w:rsidRPr="0057346B" w:rsidRDefault="001B3665">
      <w:pPr>
        <w:spacing w:before="240" w:after="240"/>
        <w:jc w:val="center"/>
        <w:rPr>
          <w:rFonts w:ascii="Arial" w:eastAsia="Arial" w:hAnsi="Arial" w:cs="Arial"/>
          <w:b/>
          <w:bCs/>
          <w:lang w:val="en-IN"/>
        </w:rPr>
      </w:pPr>
      <w:bookmarkStart w:id="0" w:name="_heading=h.sb06ttm3j04g" w:colFirst="0" w:colLast="0"/>
      <w:bookmarkEnd w:id="0"/>
      <w:r>
        <w:rPr>
          <w:rFonts w:ascii="Arial" w:eastAsia="Arial" w:hAnsi="Arial" w:cs="Arial"/>
          <w:b/>
          <w:bCs/>
        </w:rPr>
        <w:t>Student Name:</w:t>
      </w:r>
      <w:r w:rsidR="0057346B">
        <w:rPr>
          <w:rFonts w:ascii="Arial" w:eastAsia="Arial" w:hAnsi="Arial" w:cs="Arial"/>
          <w:b/>
          <w:bCs/>
          <w:lang w:val="en-IN"/>
        </w:rPr>
        <w:t xml:space="preserve"> </w:t>
      </w:r>
      <w:r w:rsidR="005D22F2">
        <w:rPr>
          <w:rFonts w:ascii="Arial" w:eastAsia="Arial" w:hAnsi="Arial" w:cs="Arial"/>
          <w:b/>
          <w:bCs/>
          <w:lang w:val="en-IN"/>
        </w:rPr>
        <w:t>Nidhi Dhavalkumar Kachhia</w:t>
      </w:r>
    </w:p>
    <w:p w14:paraId="6F48E784" w14:textId="067AF871" w:rsidR="0060135A" w:rsidRDefault="001B3665">
      <w:pPr>
        <w:jc w:val="center"/>
        <w:rPr>
          <w:rFonts w:ascii="Arial" w:eastAsia="Arial" w:hAnsi="Arial" w:cs="Arial"/>
          <w:b/>
          <w:bCs/>
        </w:rPr>
      </w:pPr>
      <w:r>
        <w:rPr>
          <w:rFonts w:ascii="Arial" w:eastAsia="Arial" w:hAnsi="Arial" w:cs="Arial"/>
          <w:b/>
          <w:bCs/>
        </w:rPr>
        <w:t>Student ID:</w:t>
      </w:r>
      <w:r w:rsidR="005D22F2">
        <w:rPr>
          <w:rFonts w:ascii="Arial" w:eastAsia="Arial" w:hAnsi="Arial" w:cs="Arial"/>
          <w:b/>
          <w:bCs/>
          <w:lang w:val="en-IN"/>
        </w:rPr>
        <w:t xml:space="preserve"> 2527220</w:t>
      </w:r>
      <w:r>
        <w:br w:type="page"/>
      </w:r>
    </w:p>
    <w:p w14:paraId="6F48E785" w14:textId="77777777" w:rsidR="0060135A" w:rsidRDefault="001B3665">
      <w:pPr>
        <w:jc w:val="left"/>
        <w:rPr>
          <w:rFonts w:ascii="Arial" w:eastAsia="Arial" w:hAnsi="Arial" w:cs="Arial"/>
          <w:b/>
          <w:bCs/>
        </w:rPr>
      </w:pPr>
      <w:r>
        <w:rPr>
          <w:rFonts w:ascii="Arial" w:eastAsia="Arial" w:hAnsi="Arial" w:cs="Arial"/>
          <w:b/>
          <w:bCs/>
        </w:rPr>
        <w:lastRenderedPageBreak/>
        <w:t>List of Abbreviations</w:t>
      </w:r>
    </w:p>
    <w:p w14:paraId="6F48E786" w14:textId="77777777" w:rsidR="0060135A" w:rsidRDefault="001B3665">
      <w:pPr>
        <w:jc w:val="left"/>
        <w:rPr>
          <w:rFonts w:ascii="Arial" w:eastAsia="Arial" w:hAnsi="Arial" w:cs="Arial"/>
        </w:rPr>
      </w:pPr>
      <w:r>
        <w:rPr>
          <w:rFonts w:ascii="Arial" w:eastAsia="Arial" w:hAnsi="Arial" w:cs="Arial"/>
        </w:rPr>
        <w:t>AI: Artificial Intelligence</w:t>
      </w:r>
    </w:p>
    <w:p w14:paraId="6F48E787" w14:textId="77777777" w:rsidR="0060135A" w:rsidRDefault="001B3665">
      <w:pPr>
        <w:jc w:val="left"/>
        <w:rPr>
          <w:rFonts w:ascii="Arial" w:eastAsia="Arial" w:hAnsi="Arial" w:cs="Arial"/>
        </w:rPr>
      </w:pPr>
      <w:r>
        <w:rPr>
          <w:rFonts w:ascii="Arial" w:eastAsia="Arial" w:hAnsi="Arial" w:cs="Arial"/>
        </w:rPr>
        <w:t>CQC: Care Quality Commission</w:t>
      </w:r>
    </w:p>
    <w:p w14:paraId="6F48E788" w14:textId="77777777" w:rsidR="0060135A" w:rsidRDefault="001B3665">
      <w:pPr>
        <w:jc w:val="left"/>
        <w:rPr>
          <w:rFonts w:ascii="Arial" w:eastAsia="Arial" w:hAnsi="Arial" w:cs="Arial"/>
        </w:rPr>
      </w:pPr>
      <w:r>
        <w:rPr>
          <w:rFonts w:ascii="Arial" w:eastAsia="Arial" w:hAnsi="Arial" w:cs="Arial"/>
        </w:rPr>
        <w:t>CQI: Continuous Quality Improvement</w:t>
      </w:r>
    </w:p>
    <w:p w14:paraId="6F48E789" w14:textId="77777777" w:rsidR="0060135A" w:rsidRDefault="001B3665">
      <w:pPr>
        <w:jc w:val="left"/>
        <w:rPr>
          <w:rFonts w:ascii="Arial" w:eastAsia="Arial" w:hAnsi="Arial" w:cs="Arial"/>
        </w:rPr>
      </w:pPr>
      <w:r>
        <w:rPr>
          <w:rFonts w:ascii="Arial" w:eastAsia="Arial" w:hAnsi="Arial" w:cs="Arial"/>
        </w:rPr>
        <w:t>KPI: Key Performance Indicator</w:t>
      </w:r>
    </w:p>
    <w:p w14:paraId="6F48E78A" w14:textId="77777777" w:rsidR="0060135A" w:rsidRDefault="001B3665">
      <w:pPr>
        <w:jc w:val="left"/>
        <w:rPr>
          <w:rFonts w:ascii="Arial" w:eastAsia="Arial" w:hAnsi="Arial" w:cs="Arial"/>
        </w:rPr>
      </w:pPr>
      <w:r>
        <w:rPr>
          <w:rFonts w:ascii="Arial" w:eastAsia="Arial" w:hAnsi="Arial" w:cs="Arial"/>
        </w:rPr>
        <w:t>KPIs: Key Performance Indicators</w:t>
      </w:r>
    </w:p>
    <w:p w14:paraId="6F48E78B" w14:textId="77777777" w:rsidR="0060135A" w:rsidRDefault="001B3665">
      <w:pPr>
        <w:jc w:val="left"/>
        <w:rPr>
          <w:rFonts w:ascii="Arial" w:eastAsia="Arial" w:hAnsi="Arial" w:cs="Arial"/>
        </w:rPr>
      </w:pPr>
      <w:r>
        <w:rPr>
          <w:rFonts w:ascii="Arial" w:eastAsia="Arial" w:hAnsi="Arial" w:cs="Arial"/>
        </w:rPr>
        <w:t>MNSI: Maternity and Newborn Safety Investigations</w:t>
      </w:r>
    </w:p>
    <w:p w14:paraId="6F48E78C" w14:textId="77777777" w:rsidR="0060135A" w:rsidRDefault="001B3665">
      <w:pPr>
        <w:jc w:val="left"/>
        <w:rPr>
          <w:rFonts w:ascii="Arial" w:eastAsia="Arial" w:hAnsi="Arial" w:cs="Arial"/>
        </w:rPr>
      </w:pPr>
      <w:r>
        <w:rPr>
          <w:rFonts w:ascii="Arial" w:eastAsia="Arial" w:hAnsi="Arial" w:cs="Arial"/>
        </w:rPr>
        <w:t>NHS: National Health Service</w:t>
      </w:r>
    </w:p>
    <w:p w14:paraId="6F48E78D" w14:textId="77777777" w:rsidR="0060135A" w:rsidRDefault="001B3665">
      <w:pPr>
        <w:jc w:val="left"/>
        <w:rPr>
          <w:rFonts w:ascii="Arial" w:eastAsia="Arial" w:hAnsi="Arial" w:cs="Arial"/>
        </w:rPr>
      </w:pPr>
      <w:r>
        <w:rPr>
          <w:rFonts w:ascii="Arial" w:eastAsia="Arial" w:hAnsi="Arial" w:cs="Arial"/>
        </w:rPr>
        <w:t>PDSA: Plan–Do–Study–Act</w:t>
      </w:r>
    </w:p>
    <w:p w14:paraId="6F48E78E" w14:textId="77777777" w:rsidR="0060135A" w:rsidRDefault="001B3665">
      <w:pPr>
        <w:jc w:val="left"/>
        <w:rPr>
          <w:rFonts w:ascii="Arial" w:eastAsia="Arial" w:hAnsi="Arial" w:cs="Arial"/>
        </w:rPr>
      </w:pPr>
      <w:r>
        <w:rPr>
          <w:rFonts w:ascii="Arial" w:eastAsia="Arial" w:hAnsi="Arial" w:cs="Arial"/>
        </w:rPr>
        <w:t>PDCA: Plan–Do–Check–Act</w:t>
      </w:r>
    </w:p>
    <w:p w14:paraId="6F48E78F" w14:textId="77777777" w:rsidR="0060135A" w:rsidRDefault="001B3665">
      <w:pPr>
        <w:jc w:val="left"/>
        <w:rPr>
          <w:rFonts w:ascii="Arial" w:eastAsia="Arial" w:hAnsi="Arial" w:cs="Arial"/>
        </w:rPr>
      </w:pPr>
      <w:r>
        <w:rPr>
          <w:rFonts w:ascii="Arial" w:eastAsia="Arial" w:hAnsi="Arial" w:cs="Arial"/>
        </w:rPr>
        <w:t>PSIRF: Patient Safety Incident Response Framework</w:t>
      </w:r>
    </w:p>
    <w:p w14:paraId="6F48E790" w14:textId="77777777" w:rsidR="0060135A" w:rsidRDefault="001B3665">
      <w:pPr>
        <w:jc w:val="left"/>
        <w:rPr>
          <w:rFonts w:ascii="Arial" w:eastAsia="Arial" w:hAnsi="Arial" w:cs="Arial"/>
        </w:rPr>
      </w:pPr>
      <w:r>
        <w:rPr>
          <w:rFonts w:ascii="Arial" w:eastAsia="Arial" w:hAnsi="Arial" w:cs="Arial"/>
        </w:rPr>
        <w:t>SaTH: The Shrewsbury and Telford Hospital NHS Trust</w:t>
      </w:r>
    </w:p>
    <w:p w14:paraId="6F48E791" w14:textId="77777777" w:rsidR="0060135A" w:rsidRDefault="001B3665">
      <w:pPr>
        <w:jc w:val="left"/>
        <w:rPr>
          <w:rFonts w:ascii="Arial" w:eastAsia="Arial" w:hAnsi="Arial" w:cs="Arial"/>
          <w:b/>
          <w:bCs/>
          <w:sz w:val="28"/>
          <w:szCs w:val="28"/>
        </w:rPr>
      </w:pPr>
      <w:r>
        <w:rPr>
          <w:rFonts w:ascii="Arial" w:eastAsia="Arial" w:hAnsi="Arial" w:cs="Arial"/>
        </w:rPr>
        <w:t xml:space="preserve">SWOT: Strengths, Weaknesses, Opportunities and Threats </w:t>
      </w:r>
      <w:r>
        <w:br w:type="page"/>
      </w:r>
    </w:p>
    <w:p w14:paraId="6F48E792" w14:textId="77777777" w:rsidR="0060135A" w:rsidRDefault="001B3665">
      <w:pPr>
        <w:keepNext/>
        <w:keepLines/>
        <w:spacing w:before="240" w:after="240"/>
        <w:jc w:val="center"/>
        <w:rPr>
          <w:rFonts w:ascii="Arial" w:eastAsia="Arial" w:hAnsi="Arial" w:cs="Arial"/>
          <w:b/>
          <w:bCs/>
          <w:color w:val="000000"/>
        </w:rPr>
      </w:pPr>
      <w:bookmarkStart w:id="1" w:name="_heading=h.2dehtp45t4kl" w:colFirst="0" w:colLast="0"/>
      <w:bookmarkEnd w:id="1"/>
      <w:r>
        <w:rPr>
          <w:rFonts w:ascii="Arial" w:eastAsia="Arial" w:hAnsi="Arial" w:cs="Arial"/>
          <w:b/>
          <w:bCs/>
          <w:color w:val="000000"/>
        </w:rPr>
        <w:lastRenderedPageBreak/>
        <w:t>Table of Contents</w:t>
      </w:r>
    </w:p>
    <w:sdt>
      <w:sdtPr>
        <w:id w:val="674481463"/>
        <w:docPartObj>
          <w:docPartGallery w:val="Table of Contents"/>
          <w:docPartUnique/>
        </w:docPartObj>
      </w:sdtPr>
      <w:sdtEndPr/>
      <w:sdtContent>
        <w:p w14:paraId="6F48E793" w14:textId="77777777" w:rsidR="004453C3" w:rsidRDefault="001B3665">
          <w:pPr>
            <w:pStyle w:val="TOC1"/>
            <w:tabs>
              <w:tab w:val="right" w:leader="dot" w:pos="9019"/>
            </w:tabs>
            <w:rPr>
              <w:rFonts w:cs="Mangal"/>
              <w:noProof/>
              <w:sz w:val="22"/>
              <w:szCs w:val="20"/>
              <w:lang w:val="en-IN"/>
            </w:rPr>
          </w:pPr>
          <w:r>
            <w:fldChar w:fldCharType="begin"/>
          </w:r>
          <w:r>
            <w:instrText xml:space="preserve"> TOC \h \u \z \t "Heading 1,1,Heading 2,2,Heading 3,3,"</w:instrText>
          </w:r>
          <w:r>
            <w:fldChar w:fldCharType="separate"/>
          </w:r>
          <w:hyperlink w:anchor="_Toc237460961" w:history="1">
            <w:r w:rsidR="004453C3" w:rsidRPr="003065C4">
              <w:rPr>
                <w:rStyle w:val="Hyperlink"/>
                <w:rFonts w:ascii="Arial" w:eastAsia="Arial" w:hAnsi="Arial" w:cs="Arial"/>
                <w:noProof/>
              </w:rPr>
              <w:t>1. Introduction</w:t>
            </w:r>
            <w:r w:rsidR="004453C3">
              <w:rPr>
                <w:noProof/>
                <w:webHidden/>
              </w:rPr>
              <w:tab/>
            </w:r>
            <w:r w:rsidR="004453C3">
              <w:rPr>
                <w:noProof/>
                <w:webHidden/>
              </w:rPr>
              <w:fldChar w:fldCharType="begin"/>
            </w:r>
            <w:r w:rsidR="004453C3">
              <w:rPr>
                <w:noProof/>
                <w:webHidden/>
              </w:rPr>
              <w:instrText xml:space="preserve"> PAGEREF _Toc237460961 \h </w:instrText>
            </w:r>
            <w:r w:rsidR="004453C3">
              <w:rPr>
                <w:noProof/>
                <w:webHidden/>
              </w:rPr>
            </w:r>
            <w:r w:rsidR="004453C3">
              <w:rPr>
                <w:noProof/>
                <w:webHidden/>
              </w:rPr>
              <w:fldChar w:fldCharType="separate"/>
            </w:r>
            <w:r w:rsidR="004453C3">
              <w:rPr>
                <w:noProof/>
                <w:webHidden/>
              </w:rPr>
              <w:t>4</w:t>
            </w:r>
            <w:r w:rsidR="004453C3">
              <w:rPr>
                <w:noProof/>
                <w:webHidden/>
              </w:rPr>
              <w:fldChar w:fldCharType="end"/>
            </w:r>
          </w:hyperlink>
        </w:p>
        <w:p w14:paraId="6F48E794" w14:textId="77777777" w:rsidR="004453C3" w:rsidRDefault="004453C3">
          <w:pPr>
            <w:pStyle w:val="TOC1"/>
            <w:tabs>
              <w:tab w:val="right" w:leader="dot" w:pos="9019"/>
            </w:tabs>
            <w:rPr>
              <w:rFonts w:cs="Mangal"/>
              <w:noProof/>
              <w:sz w:val="22"/>
              <w:szCs w:val="20"/>
              <w:lang w:val="en-IN"/>
            </w:rPr>
          </w:pPr>
          <w:hyperlink w:anchor="_Toc237460962" w:history="1">
            <w:r w:rsidRPr="003065C4">
              <w:rPr>
                <w:rStyle w:val="Hyperlink"/>
                <w:rFonts w:ascii="Arial" w:eastAsia="Arial" w:hAnsi="Arial" w:cs="Arial"/>
                <w:noProof/>
              </w:rPr>
              <w:t>2. Main Body</w:t>
            </w:r>
            <w:r>
              <w:rPr>
                <w:noProof/>
                <w:webHidden/>
              </w:rPr>
              <w:tab/>
            </w:r>
            <w:r>
              <w:rPr>
                <w:noProof/>
                <w:webHidden/>
              </w:rPr>
              <w:fldChar w:fldCharType="begin"/>
            </w:r>
            <w:r>
              <w:rPr>
                <w:noProof/>
                <w:webHidden/>
              </w:rPr>
              <w:instrText xml:space="preserve"> PAGEREF _Toc237460962 \h </w:instrText>
            </w:r>
            <w:r>
              <w:rPr>
                <w:noProof/>
                <w:webHidden/>
              </w:rPr>
            </w:r>
            <w:r>
              <w:rPr>
                <w:noProof/>
                <w:webHidden/>
              </w:rPr>
              <w:fldChar w:fldCharType="separate"/>
            </w:r>
            <w:r>
              <w:rPr>
                <w:noProof/>
                <w:webHidden/>
              </w:rPr>
              <w:t>6</w:t>
            </w:r>
            <w:r>
              <w:rPr>
                <w:noProof/>
                <w:webHidden/>
              </w:rPr>
              <w:fldChar w:fldCharType="end"/>
            </w:r>
          </w:hyperlink>
        </w:p>
        <w:p w14:paraId="6F48E795" w14:textId="77777777" w:rsidR="004453C3" w:rsidRDefault="004453C3">
          <w:pPr>
            <w:pStyle w:val="TOC2"/>
            <w:tabs>
              <w:tab w:val="right" w:leader="dot" w:pos="9019"/>
            </w:tabs>
            <w:rPr>
              <w:rFonts w:cs="Mangal"/>
              <w:noProof/>
              <w:sz w:val="22"/>
              <w:szCs w:val="20"/>
              <w:lang w:val="en-IN"/>
            </w:rPr>
          </w:pPr>
          <w:hyperlink w:anchor="_Toc237460963" w:history="1">
            <w:r w:rsidRPr="003065C4">
              <w:rPr>
                <w:rStyle w:val="Hyperlink"/>
                <w:rFonts w:ascii="Arial" w:eastAsia="Arial" w:hAnsi="Arial" w:cs="Arial"/>
                <w:noProof/>
              </w:rPr>
              <w:t>2.1 Nature of the Quality Problem</w:t>
            </w:r>
            <w:r>
              <w:rPr>
                <w:noProof/>
                <w:webHidden/>
              </w:rPr>
              <w:tab/>
            </w:r>
            <w:r>
              <w:rPr>
                <w:noProof/>
                <w:webHidden/>
              </w:rPr>
              <w:fldChar w:fldCharType="begin"/>
            </w:r>
            <w:r>
              <w:rPr>
                <w:noProof/>
                <w:webHidden/>
              </w:rPr>
              <w:instrText xml:space="preserve"> PAGEREF _Toc237460963 \h </w:instrText>
            </w:r>
            <w:r>
              <w:rPr>
                <w:noProof/>
                <w:webHidden/>
              </w:rPr>
            </w:r>
            <w:r>
              <w:rPr>
                <w:noProof/>
                <w:webHidden/>
              </w:rPr>
              <w:fldChar w:fldCharType="separate"/>
            </w:r>
            <w:r>
              <w:rPr>
                <w:noProof/>
                <w:webHidden/>
              </w:rPr>
              <w:t>6</w:t>
            </w:r>
            <w:r>
              <w:rPr>
                <w:noProof/>
                <w:webHidden/>
              </w:rPr>
              <w:fldChar w:fldCharType="end"/>
            </w:r>
          </w:hyperlink>
        </w:p>
        <w:p w14:paraId="6F48E796" w14:textId="77777777" w:rsidR="004453C3" w:rsidRDefault="004453C3">
          <w:pPr>
            <w:pStyle w:val="TOC2"/>
            <w:tabs>
              <w:tab w:val="right" w:leader="dot" w:pos="9019"/>
            </w:tabs>
            <w:rPr>
              <w:rFonts w:cs="Mangal"/>
              <w:noProof/>
              <w:sz w:val="22"/>
              <w:szCs w:val="20"/>
              <w:lang w:val="en-IN"/>
            </w:rPr>
          </w:pPr>
          <w:hyperlink w:anchor="_Toc237460964" w:history="1">
            <w:r w:rsidRPr="003065C4">
              <w:rPr>
                <w:rStyle w:val="Hyperlink"/>
                <w:rFonts w:ascii="Arial" w:eastAsia="Arial" w:hAnsi="Arial" w:cs="Arial"/>
                <w:noProof/>
              </w:rPr>
              <w:t>2.2 Fishbone Diagram Analysis</w:t>
            </w:r>
            <w:r>
              <w:rPr>
                <w:noProof/>
                <w:webHidden/>
              </w:rPr>
              <w:tab/>
            </w:r>
            <w:r>
              <w:rPr>
                <w:noProof/>
                <w:webHidden/>
              </w:rPr>
              <w:fldChar w:fldCharType="begin"/>
            </w:r>
            <w:r>
              <w:rPr>
                <w:noProof/>
                <w:webHidden/>
              </w:rPr>
              <w:instrText xml:space="preserve"> PAGEREF _Toc237460964 \h </w:instrText>
            </w:r>
            <w:r>
              <w:rPr>
                <w:noProof/>
                <w:webHidden/>
              </w:rPr>
            </w:r>
            <w:r>
              <w:rPr>
                <w:noProof/>
                <w:webHidden/>
              </w:rPr>
              <w:fldChar w:fldCharType="separate"/>
            </w:r>
            <w:r>
              <w:rPr>
                <w:noProof/>
                <w:webHidden/>
              </w:rPr>
              <w:t>7</w:t>
            </w:r>
            <w:r>
              <w:rPr>
                <w:noProof/>
                <w:webHidden/>
              </w:rPr>
              <w:fldChar w:fldCharType="end"/>
            </w:r>
          </w:hyperlink>
        </w:p>
        <w:p w14:paraId="6F48E797" w14:textId="77777777" w:rsidR="004453C3" w:rsidRDefault="004453C3">
          <w:pPr>
            <w:pStyle w:val="TOC2"/>
            <w:tabs>
              <w:tab w:val="right" w:leader="dot" w:pos="9019"/>
            </w:tabs>
            <w:rPr>
              <w:rFonts w:cs="Mangal"/>
              <w:noProof/>
              <w:sz w:val="22"/>
              <w:szCs w:val="20"/>
              <w:lang w:val="en-IN"/>
            </w:rPr>
          </w:pPr>
          <w:hyperlink w:anchor="_Toc237460965" w:history="1">
            <w:r w:rsidRPr="003065C4">
              <w:rPr>
                <w:rStyle w:val="Hyperlink"/>
                <w:rFonts w:ascii="Arial" w:eastAsia="Arial" w:hAnsi="Arial" w:cs="Arial"/>
                <w:noProof/>
              </w:rPr>
              <w:t>2.3. 5 Whys Analysis</w:t>
            </w:r>
            <w:r>
              <w:rPr>
                <w:noProof/>
                <w:webHidden/>
              </w:rPr>
              <w:tab/>
            </w:r>
            <w:r>
              <w:rPr>
                <w:noProof/>
                <w:webHidden/>
              </w:rPr>
              <w:fldChar w:fldCharType="begin"/>
            </w:r>
            <w:r>
              <w:rPr>
                <w:noProof/>
                <w:webHidden/>
              </w:rPr>
              <w:instrText xml:space="preserve"> PAGEREF _Toc237460965 \h </w:instrText>
            </w:r>
            <w:r>
              <w:rPr>
                <w:noProof/>
                <w:webHidden/>
              </w:rPr>
            </w:r>
            <w:r>
              <w:rPr>
                <w:noProof/>
                <w:webHidden/>
              </w:rPr>
              <w:fldChar w:fldCharType="separate"/>
            </w:r>
            <w:r>
              <w:rPr>
                <w:noProof/>
                <w:webHidden/>
              </w:rPr>
              <w:t>8</w:t>
            </w:r>
            <w:r>
              <w:rPr>
                <w:noProof/>
                <w:webHidden/>
              </w:rPr>
              <w:fldChar w:fldCharType="end"/>
            </w:r>
          </w:hyperlink>
        </w:p>
        <w:p w14:paraId="6F48E798" w14:textId="77777777" w:rsidR="004453C3" w:rsidRDefault="004453C3">
          <w:pPr>
            <w:pStyle w:val="TOC2"/>
            <w:tabs>
              <w:tab w:val="right" w:leader="dot" w:pos="9019"/>
            </w:tabs>
            <w:rPr>
              <w:rFonts w:cs="Mangal"/>
              <w:noProof/>
              <w:sz w:val="22"/>
              <w:szCs w:val="20"/>
              <w:lang w:val="en-IN"/>
            </w:rPr>
          </w:pPr>
          <w:hyperlink w:anchor="_Toc237460966" w:history="1">
            <w:r w:rsidRPr="003065C4">
              <w:rPr>
                <w:rStyle w:val="Hyperlink"/>
                <w:rFonts w:ascii="Arial" w:eastAsia="Arial" w:hAnsi="Arial" w:cs="Arial"/>
                <w:noProof/>
              </w:rPr>
              <w:t>2.4 Donabedian Model Analysis</w:t>
            </w:r>
            <w:r>
              <w:rPr>
                <w:noProof/>
                <w:webHidden/>
              </w:rPr>
              <w:tab/>
            </w:r>
            <w:r>
              <w:rPr>
                <w:noProof/>
                <w:webHidden/>
              </w:rPr>
              <w:fldChar w:fldCharType="begin"/>
            </w:r>
            <w:r>
              <w:rPr>
                <w:noProof/>
                <w:webHidden/>
              </w:rPr>
              <w:instrText xml:space="preserve"> PAGEREF _Toc237460966 \h </w:instrText>
            </w:r>
            <w:r>
              <w:rPr>
                <w:noProof/>
                <w:webHidden/>
              </w:rPr>
            </w:r>
            <w:r>
              <w:rPr>
                <w:noProof/>
                <w:webHidden/>
              </w:rPr>
              <w:fldChar w:fldCharType="separate"/>
            </w:r>
            <w:r>
              <w:rPr>
                <w:noProof/>
                <w:webHidden/>
              </w:rPr>
              <w:t>10</w:t>
            </w:r>
            <w:r>
              <w:rPr>
                <w:noProof/>
                <w:webHidden/>
              </w:rPr>
              <w:fldChar w:fldCharType="end"/>
            </w:r>
          </w:hyperlink>
        </w:p>
        <w:p w14:paraId="6F48E799" w14:textId="77777777" w:rsidR="004453C3" w:rsidRDefault="004453C3">
          <w:pPr>
            <w:pStyle w:val="TOC2"/>
            <w:tabs>
              <w:tab w:val="right" w:leader="dot" w:pos="9019"/>
            </w:tabs>
            <w:rPr>
              <w:rFonts w:cs="Mangal"/>
              <w:noProof/>
              <w:sz w:val="22"/>
              <w:szCs w:val="20"/>
              <w:lang w:val="en-IN"/>
            </w:rPr>
          </w:pPr>
          <w:hyperlink w:anchor="_Toc237460967" w:history="1">
            <w:r w:rsidRPr="003065C4">
              <w:rPr>
                <w:rStyle w:val="Hyperlink"/>
                <w:rFonts w:ascii="Arial" w:eastAsia="Arial" w:hAnsi="Arial" w:cs="Arial"/>
                <w:noProof/>
              </w:rPr>
              <w:t>2.5 SWOT Analysis</w:t>
            </w:r>
            <w:r>
              <w:rPr>
                <w:noProof/>
                <w:webHidden/>
              </w:rPr>
              <w:tab/>
            </w:r>
            <w:r>
              <w:rPr>
                <w:noProof/>
                <w:webHidden/>
              </w:rPr>
              <w:fldChar w:fldCharType="begin"/>
            </w:r>
            <w:r>
              <w:rPr>
                <w:noProof/>
                <w:webHidden/>
              </w:rPr>
              <w:instrText xml:space="preserve"> PAGEREF _Toc237460967 \h </w:instrText>
            </w:r>
            <w:r>
              <w:rPr>
                <w:noProof/>
                <w:webHidden/>
              </w:rPr>
            </w:r>
            <w:r>
              <w:rPr>
                <w:noProof/>
                <w:webHidden/>
              </w:rPr>
              <w:fldChar w:fldCharType="separate"/>
            </w:r>
            <w:r>
              <w:rPr>
                <w:noProof/>
                <w:webHidden/>
              </w:rPr>
              <w:t>12</w:t>
            </w:r>
            <w:r>
              <w:rPr>
                <w:noProof/>
                <w:webHidden/>
              </w:rPr>
              <w:fldChar w:fldCharType="end"/>
            </w:r>
          </w:hyperlink>
        </w:p>
        <w:p w14:paraId="6F48E79A" w14:textId="77777777" w:rsidR="004453C3" w:rsidRDefault="004453C3">
          <w:pPr>
            <w:pStyle w:val="TOC1"/>
            <w:tabs>
              <w:tab w:val="right" w:leader="dot" w:pos="9019"/>
            </w:tabs>
            <w:rPr>
              <w:rFonts w:cs="Mangal"/>
              <w:noProof/>
              <w:sz w:val="22"/>
              <w:szCs w:val="20"/>
              <w:lang w:val="en-IN"/>
            </w:rPr>
          </w:pPr>
          <w:hyperlink w:anchor="_Toc237460968" w:history="1">
            <w:r w:rsidRPr="003065C4">
              <w:rPr>
                <w:rStyle w:val="Hyperlink"/>
                <w:rFonts w:ascii="Arial" w:eastAsia="Arial" w:hAnsi="Arial" w:cs="Arial"/>
                <w:noProof/>
              </w:rPr>
              <w:t>3. Recommendation</w:t>
            </w:r>
            <w:r>
              <w:rPr>
                <w:noProof/>
                <w:webHidden/>
              </w:rPr>
              <w:tab/>
            </w:r>
            <w:r>
              <w:rPr>
                <w:noProof/>
                <w:webHidden/>
              </w:rPr>
              <w:fldChar w:fldCharType="begin"/>
            </w:r>
            <w:r>
              <w:rPr>
                <w:noProof/>
                <w:webHidden/>
              </w:rPr>
              <w:instrText xml:space="preserve"> PAGEREF _Toc237460968 \h </w:instrText>
            </w:r>
            <w:r>
              <w:rPr>
                <w:noProof/>
                <w:webHidden/>
              </w:rPr>
            </w:r>
            <w:r>
              <w:rPr>
                <w:noProof/>
                <w:webHidden/>
              </w:rPr>
              <w:fldChar w:fldCharType="separate"/>
            </w:r>
            <w:r>
              <w:rPr>
                <w:noProof/>
                <w:webHidden/>
              </w:rPr>
              <w:t>12</w:t>
            </w:r>
            <w:r>
              <w:rPr>
                <w:noProof/>
                <w:webHidden/>
              </w:rPr>
              <w:fldChar w:fldCharType="end"/>
            </w:r>
          </w:hyperlink>
        </w:p>
        <w:p w14:paraId="6F48E79B" w14:textId="77777777" w:rsidR="004453C3" w:rsidRDefault="004453C3">
          <w:pPr>
            <w:pStyle w:val="TOC2"/>
            <w:tabs>
              <w:tab w:val="right" w:leader="dot" w:pos="9019"/>
            </w:tabs>
            <w:rPr>
              <w:rFonts w:cs="Mangal"/>
              <w:noProof/>
              <w:sz w:val="22"/>
              <w:szCs w:val="20"/>
              <w:lang w:val="en-IN"/>
            </w:rPr>
          </w:pPr>
          <w:hyperlink w:anchor="_Toc237460969" w:history="1">
            <w:r w:rsidRPr="003065C4">
              <w:rPr>
                <w:rStyle w:val="Hyperlink"/>
                <w:rFonts w:ascii="Arial" w:eastAsia="Arial" w:hAnsi="Arial" w:cs="Arial"/>
                <w:noProof/>
              </w:rPr>
              <w:t>3.1. Recommendation 1: Strengthen Governance Through Structured Quality Improvement Frameworks</w:t>
            </w:r>
            <w:r>
              <w:rPr>
                <w:noProof/>
                <w:webHidden/>
              </w:rPr>
              <w:tab/>
            </w:r>
            <w:r>
              <w:rPr>
                <w:noProof/>
                <w:webHidden/>
              </w:rPr>
              <w:fldChar w:fldCharType="begin"/>
            </w:r>
            <w:r>
              <w:rPr>
                <w:noProof/>
                <w:webHidden/>
              </w:rPr>
              <w:instrText xml:space="preserve"> PAGEREF _Toc237460969 \h </w:instrText>
            </w:r>
            <w:r>
              <w:rPr>
                <w:noProof/>
                <w:webHidden/>
              </w:rPr>
            </w:r>
            <w:r>
              <w:rPr>
                <w:noProof/>
                <w:webHidden/>
              </w:rPr>
              <w:fldChar w:fldCharType="separate"/>
            </w:r>
            <w:r>
              <w:rPr>
                <w:noProof/>
                <w:webHidden/>
              </w:rPr>
              <w:t>12</w:t>
            </w:r>
            <w:r>
              <w:rPr>
                <w:noProof/>
                <w:webHidden/>
              </w:rPr>
              <w:fldChar w:fldCharType="end"/>
            </w:r>
          </w:hyperlink>
        </w:p>
        <w:p w14:paraId="6F48E79C" w14:textId="77777777" w:rsidR="004453C3" w:rsidRDefault="004453C3">
          <w:pPr>
            <w:pStyle w:val="TOC2"/>
            <w:tabs>
              <w:tab w:val="right" w:leader="dot" w:pos="9019"/>
            </w:tabs>
            <w:rPr>
              <w:rFonts w:cs="Mangal"/>
              <w:noProof/>
              <w:sz w:val="22"/>
              <w:szCs w:val="20"/>
              <w:lang w:val="en-IN"/>
            </w:rPr>
          </w:pPr>
          <w:hyperlink w:anchor="_Toc237460970" w:history="1">
            <w:r w:rsidRPr="003065C4">
              <w:rPr>
                <w:rStyle w:val="Hyperlink"/>
                <w:rFonts w:ascii="Arial" w:eastAsia="Arial" w:hAnsi="Arial" w:cs="Arial"/>
                <w:noProof/>
              </w:rPr>
              <w:t>3.2. Recommendation 2: Improve Incident Reporting Culture Through Just Culture Principles</w:t>
            </w:r>
            <w:r>
              <w:rPr>
                <w:noProof/>
                <w:webHidden/>
              </w:rPr>
              <w:tab/>
            </w:r>
            <w:r>
              <w:rPr>
                <w:noProof/>
                <w:webHidden/>
              </w:rPr>
              <w:fldChar w:fldCharType="begin"/>
            </w:r>
            <w:r>
              <w:rPr>
                <w:noProof/>
                <w:webHidden/>
              </w:rPr>
              <w:instrText xml:space="preserve"> PAGEREF _Toc237460970 \h </w:instrText>
            </w:r>
            <w:r>
              <w:rPr>
                <w:noProof/>
                <w:webHidden/>
              </w:rPr>
            </w:r>
            <w:r>
              <w:rPr>
                <w:noProof/>
                <w:webHidden/>
              </w:rPr>
              <w:fldChar w:fldCharType="separate"/>
            </w:r>
            <w:r>
              <w:rPr>
                <w:noProof/>
                <w:webHidden/>
              </w:rPr>
              <w:t>13</w:t>
            </w:r>
            <w:r>
              <w:rPr>
                <w:noProof/>
                <w:webHidden/>
              </w:rPr>
              <w:fldChar w:fldCharType="end"/>
            </w:r>
          </w:hyperlink>
        </w:p>
        <w:p w14:paraId="6F48E79D" w14:textId="77777777" w:rsidR="004453C3" w:rsidRDefault="004453C3">
          <w:pPr>
            <w:pStyle w:val="TOC2"/>
            <w:tabs>
              <w:tab w:val="right" w:leader="dot" w:pos="9019"/>
            </w:tabs>
            <w:rPr>
              <w:rFonts w:cs="Mangal"/>
              <w:noProof/>
              <w:sz w:val="22"/>
              <w:szCs w:val="20"/>
              <w:lang w:val="en-IN"/>
            </w:rPr>
          </w:pPr>
          <w:hyperlink w:anchor="_Toc237460971" w:history="1">
            <w:r w:rsidRPr="003065C4">
              <w:rPr>
                <w:rStyle w:val="Hyperlink"/>
                <w:rFonts w:ascii="Arial" w:eastAsia="Arial" w:hAnsi="Arial" w:cs="Arial"/>
                <w:noProof/>
              </w:rPr>
              <w:t>3.3. Recommendation 3: Introduce Mandatory Multidisciplinary Simulation Training</w:t>
            </w:r>
            <w:r>
              <w:rPr>
                <w:noProof/>
                <w:webHidden/>
              </w:rPr>
              <w:tab/>
            </w:r>
            <w:r>
              <w:rPr>
                <w:noProof/>
                <w:webHidden/>
              </w:rPr>
              <w:fldChar w:fldCharType="begin"/>
            </w:r>
            <w:r>
              <w:rPr>
                <w:noProof/>
                <w:webHidden/>
              </w:rPr>
              <w:instrText xml:space="preserve"> PAGEREF _Toc237460971 \h </w:instrText>
            </w:r>
            <w:r>
              <w:rPr>
                <w:noProof/>
                <w:webHidden/>
              </w:rPr>
            </w:r>
            <w:r>
              <w:rPr>
                <w:noProof/>
                <w:webHidden/>
              </w:rPr>
              <w:fldChar w:fldCharType="separate"/>
            </w:r>
            <w:r>
              <w:rPr>
                <w:noProof/>
                <w:webHidden/>
              </w:rPr>
              <w:t>14</w:t>
            </w:r>
            <w:r>
              <w:rPr>
                <w:noProof/>
                <w:webHidden/>
              </w:rPr>
              <w:fldChar w:fldCharType="end"/>
            </w:r>
          </w:hyperlink>
        </w:p>
        <w:p w14:paraId="6F48E79E" w14:textId="77777777" w:rsidR="004453C3" w:rsidRDefault="004453C3">
          <w:pPr>
            <w:pStyle w:val="TOC2"/>
            <w:tabs>
              <w:tab w:val="right" w:leader="dot" w:pos="9019"/>
            </w:tabs>
            <w:rPr>
              <w:rFonts w:cs="Mangal"/>
              <w:noProof/>
              <w:sz w:val="22"/>
              <w:szCs w:val="20"/>
              <w:lang w:val="en-IN"/>
            </w:rPr>
          </w:pPr>
          <w:hyperlink w:anchor="_Toc237460972" w:history="1">
            <w:r w:rsidRPr="003065C4">
              <w:rPr>
                <w:rStyle w:val="Hyperlink"/>
                <w:rFonts w:ascii="Arial" w:eastAsia="Arial" w:hAnsi="Arial" w:cs="Arial"/>
                <w:noProof/>
              </w:rPr>
              <w:t>3.4. Recommendation 4: Implement Digital Monitoring and AI-Supported Decision Systems</w:t>
            </w:r>
            <w:r>
              <w:rPr>
                <w:noProof/>
                <w:webHidden/>
              </w:rPr>
              <w:tab/>
            </w:r>
            <w:r>
              <w:rPr>
                <w:noProof/>
                <w:webHidden/>
              </w:rPr>
              <w:fldChar w:fldCharType="begin"/>
            </w:r>
            <w:r>
              <w:rPr>
                <w:noProof/>
                <w:webHidden/>
              </w:rPr>
              <w:instrText xml:space="preserve"> PAGEREF _Toc237460972 \h </w:instrText>
            </w:r>
            <w:r>
              <w:rPr>
                <w:noProof/>
                <w:webHidden/>
              </w:rPr>
            </w:r>
            <w:r>
              <w:rPr>
                <w:noProof/>
                <w:webHidden/>
              </w:rPr>
              <w:fldChar w:fldCharType="separate"/>
            </w:r>
            <w:r>
              <w:rPr>
                <w:noProof/>
                <w:webHidden/>
              </w:rPr>
              <w:t>14</w:t>
            </w:r>
            <w:r>
              <w:rPr>
                <w:noProof/>
                <w:webHidden/>
              </w:rPr>
              <w:fldChar w:fldCharType="end"/>
            </w:r>
          </w:hyperlink>
        </w:p>
        <w:p w14:paraId="6F48E79F" w14:textId="77777777" w:rsidR="004453C3" w:rsidRDefault="004453C3">
          <w:pPr>
            <w:pStyle w:val="TOC2"/>
            <w:tabs>
              <w:tab w:val="right" w:leader="dot" w:pos="9019"/>
            </w:tabs>
            <w:rPr>
              <w:rFonts w:cs="Mangal"/>
              <w:noProof/>
              <w:sz w:val="22"/>
              <w:szCs w:val="20"/>
              <w:lang w:val="en-IN"/>
            </w:rPr>
          </w:pPr>
          <w:hyperlink w:anchor="_Toc237460973" w:history="1">
            <w:r w:rsidRPr="003065C4">
              <w:rPr>
                <w:rStyle w:val="Hyperlink"/>
                <w:rFonts w:ascii="Arial" w:eastAsia="Arial" w:hAnsi="Arial" w:cs="Arial"/>
                <w:noProof/>
              </w:rPr>
              <w:t>3.5. Recommendation 5: Improve Workforce Wellbeing and Leadership Support</w:t>
            </w:r>
            <w:r>
              <w:rPr>
                <w:noProof/>
                <w:webHidden/>
              </w:rPr>
              <w:tab/>
            </w:r>
            <w:r>
              <w:rPr>
                <w:noProof/>
                <w:webHidden/>
              </w:rPr>
              <w:fldChar w:fldCharType="begin"/>
            </w:r>
            <w:r>
              <w:rPr>
                <w:noProof/>
                <w:webHidden/>
              </w:rPr>
              <w:instrText xml:space="preserve"> PAGEREF _Toc237460973 \h </w:instrText>
            </w:r>
            <w:r>
              <w:rPr>
                <w:noProof/>
                <w:webHidden/>
              </w:rPr>
            </w:r>
            <w:r>
              <w:rPr>
                <w:noProof/>
                <w:webHidden/>
              </w:rPr>
              <w:fldChar w:fldCharType="separate"/>
            </w:r>
            <w:r>
              <w:rPr>
                <w:noProof/>
                <w:webHidden/>
              </w:rPr>
              <w:t>15</w:t>
            </w:r>
            <w:r>
              <w:rPr>
                <w:noProof/>
                <w:webHidden/>
              </w:rPr>
              <w:fldChar w:fldCharType="end"/>
            </w:r>
          </w:hyperlink>
        </w:p>
        <w:p w14:paraId="6F48E7A0" w14:textId="77777777" w:rsidR="004453C3" w:rsidRDefault="004453C3">
          <w:pPr>
            <w:pStyle w:val="TOC2"/>
            <w:tabs>
              <w:tab w:val="right" w:leader="dot" w:pos="9019"/>
            </w:tabs>
            <w:rPr>
              <w:rFonts w:cs="Mangal"/>
              <w:noProof/>
              <w:sz w:val="22"/>
              <w:szCs w:val="20"/>
              <w:lang w:val="en-IN"/>
            </w:rPr>
          </w:pPr>
          <w:hyperlink w:anchor="_Toc237460974" w:history="1">
            <w:r w:rsidRPr="003065C4">
              <w:rPr>
                <w:rStyle w:val="Hyperlink"/>
                <w:rFonts w:ascii="Arial" w:eastAsia="Arial" w:hAnsi="Arial" w:cs="Arial"/>
                <w:noProof/>
              </w:rPr>
              <w:t>3.6. Recommendation 6: Establish a Continuous Quality Improvement Programme</w:t>
            </w:r>
            <w:r>
              <w:rPr>
                <w:noProof/>
                <w:webHidden/>
              </w:rPr>
              <w:tab/>
            </w:r>
            <w:r>
              <w:rPr>
                <w:noProof/>
                <w:webHidden/>
              </w:rPr>
              <w:fldChar w:fldCharType="begin"/>
            </w:r>
            <w:r>
              <w:rPr>
                <w:noProof/>
                <w:webHidden/>
              </w:rPr>
              <w:instrText xml:space="preserve"> PAGEREF _Toc237460974 \h </w:instrText>
            </w:r>
            <w:r>
              <w:rPr>
                <w:noProof/>
                <w:webHidden/>
              </w:rPr>
            </w:r>
            <w:r>
              <w:rPr>
                <w:noProof/>
                <w:webHidden/>
              </w:rPr>
              <w:fldChar w:fldCharType="separate"/>
            </w:r>
            <w:r>
              <w:rPr>
                <w:noProof/>
                <w:webHidden/>
              </w:rPr>
              <w:t>15</w:t>
            </w:r>
            <w:r>
              <w:rPr>
                <w:noProof/>
                <w:webHidden/>
              </w:rPr>
              <w:fldChar w:fldCharType="end"/>
            </w:r>
          </w:hyperlink>
        </w:p>
        <w:p w14:paraId="6F48E7A1" w14:textId="77777777" w:rsidR="004453C3" w:rsidRDefault="004453C3">
          <w:pPr>
            <w:pStyle w:val="TOC1"/>
            <w:tabs>
              <w:tab w:val="right" w:leader="dot" w:pos="9019"/>
            </w:tabs>
            <w:rPr>
              <w:rFonts w:cs="Mangal"/>
              <w:noProof/>
              <w:sz w:val="22"/>
              <w:szCs w:val="20"/>
              <w:lang w:val="en-IN"/>
            </w:rPr>
          </w:pPr>
          <w:hyperlink w:anchor="_Toc237460975" w:history="1">
            <w:r w:rsidRPr="003065C4">
              <w:rPr>
                <w:rStyle w:val="Hyperlink"/>
                <w:rFonts w:ascii="Arial" w:eastAsia="Arial" w:hAnsi="Arial" w:cs="Arial"/>
                <w:noProof/>
              </w:rPr>
              <w:t>4. Conclusion</w:t>
            </w:r>
            <w:r>
              <w:rPr>
                <w:noProof/>
                <w:webHidden/>
              </w:rPr>
              <w:tab/>
            </w:r>
            <w:r>
              <w:rPr>
                <w:noProof/>
                <w:webHidden/>
              </w:rPr>
              <w:fldChar w:fldCharType="begin"/>
            </w:r>
            <w:r>
              <w:rPr>
                <w:noProof/>
                <w:webHidden/>
              </w:rPr>
              <w:instrText xml:space="preserve"> PAGEREF _Toc237460975 \h </w:instrText>
            </w:r>
            <w:r>
              <w:rPr>
                <w:noProof/>
                <w:webHidden/>
              </w:rPr>
            </w:r>
            <w:r>
              <w:rPr>
                <w:noProof/>
                <w:webHidden/>
              </w:rPr>
              <w:fldChar w:fldCharType="separate"/>
            </w:r>
            <w:r>
              <w:rPr>
                <w:noProof/>
                <w:webHidden/>
              </w:rPr>
              <w:t>16</w:t>
            </w:r>
            <w:r>
              <w:rPr>
                <w:noProof/>
                <w:webHidden/>
              </w:rPr>
              <w:fldChar w:fldCharType="end"/>
            </w:r>
          </w:hyperlink>
        </w:p>
        <w:p w14:paraId="6F48E7A2" w14:textId="77777777" w:rsidR="004453C3" w:rsidRDefault="004453C3">
          <w:pPr>
            <w:pStyle w:val="TOC1"/>
            <w:tabs>
              <w:tab w:val="right" w:leader="dot" w:pos="9019"/>
            </w:tabs>
            <w:rPr>
              <w:rFonts w:cs="Mangal"/>
              <w:noProof/>
              <w:sz w:val="22"/>
              <w:szCs w:val="20"/>
              <w:lang w:val="en-IN"/>
            </w:rPr>
          </w:pPr>
          <w:hyperlink w:anchor="_Toc237460976" w:history="1">
            <w:r w:rsidRPr="003065C4">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_Toc237460976 \h </w:instrText>
            </w:r>
            <w:r>
              <w:rPr>
                <w:noProof/>
                <w:webHidden/>
              </w:rPr>
            </w:r>
            <w:r>
              <w:rPr>
                <w:noProof/>
                <w:webHidden/>
              </w:rPr>
              <w:fldChar w:fldCharType="separate"/>
            </w:r>
            <w:r>
              <w:rPr>
                <w:noProof/>
                <w:webHidden/>
              </w:rPr>
              <w:t>18</w:t>
            </w:r>
            <w:r>
              <w:rPr>
                <w:noProof/>
                <w:webHidden/>
              </w:rPr>
              <w:fldChar w:fldCharType="end"/>
            </w:r>
          </w:hyperlink>
        </w:p>
        <w:p w14:paraId="6F48E7A3" w14:textId="77777777" w:rsidR="0060135A" w:rsidRDefault="001B3665">
          <w:pPr>
            <w:rPr>
              <w:rFonts w:ascii="Arial" w:eastAsia="Arial" w:hAnsi="Arial" w:cs="Arial"/>
            </w:rPr>
          </w:pPr>
          <w:r>
            <w:fldChar w:fldCharType="end"/>
          </w:r>
        </w:p>
      </w:sdtContent>
    </w:sdt>
    <w:p w14:paraId="6F48E7A4" w14:textId="77777777" w:rsidR="0060135A" w:rsidRDefault="001B3665">
      <w:pPr>
        <w:rPr>
          <w:rFonts w:ascii="Arial" w:eastAsia="Arial" w:hAnsi="Arial" w:cs="Arial"/>
          <w:b/>
          <w:bCs/>
        </w:rPr>
      </w:pPr>
      <w:r>
        <w:br w:type="page"/>
      </w:r>
    </w:p>
    <w:p w14:paraId="6F48E7A5" w14:textId="77777777" w:rsidR="0060135A" w:rsidRDefault="001B3665">
      <w:pPr>
        <w:pStyle w:val="Heading1"/>
        <w:rPr>
          <w:rFonts w:ascii="Arial" w:eastAsia="Arial" w:hAnsi="Arial" w:cs="Arial"/>
        </w:rPr>
      </w:pPr>
      <w:bookmarkStart w:id="2" w:name="_Toc237460961"/>
      <w:r>
        <w:rPr>
          <w:rFonts w:ascii="Arial" w:eastAsia="Arial" w:hAnsi="Arial" w:cs="Arial"/>
        </w:rPr>
        <w:lastRenderedPageBreak/>
        <w:t>1. Introduction</w:t>
      </w:r>
      <w:bookmarkEnd w:id="2"/>
    </w:p>
    <w:p w14:paraId="6F48E7A6" w14:textId="77777777" w:rsidR="0060135A" w:rsidRDefault="001B3665">
      <w:pPr>
        <w:rPr>
          <w:rFonts w:ascii="Arial" w:eastAsia="Arial" w:hAnsi="Arial" w:cs="Arial"/>
        </w:rPr>
      </w:pPr>
      <w:r>
        <w:rPr>
          <w:rFonts w:ascii="Arial" w:eastAsia="Arial" w:hAnsi="Arial" w:cs="Arial"/>
        </w:rPr>
        <w:t>The objective of the National Health Service (NHS) is to ensure that all care is safe, effective, and patient-centered through continuous improvement and evidence-based practice. Shrewsbury and Telford Hospital NHS Trust (SaTH) is a health organisation in the National Health Service offering acute and specialised healthcare services within Shropshire, Telford and Wrekin, including maternity services at Royal Shrewsbury Hospital and Princess Royal Hospital. Maternity care is considered one of the riskiest specialties of the healthcare system due to its high risk of causing life-long problems for women and infants as a result of failure in clinical practices. Some major issues concerning quality and safety of maternity services at SaTH prompted conducting the Independent Maternity Review, also called the Ockenden Review (Balogun</w:t>
      </w:r>
      <w:r>
        <w:rPr>
          <w:rFonts w:ascii="Arial" w:eastAsia="Arial" w:hAnsi="Arial" w:cs="Arial"/>
          <w:i/>
          <w:iCs/>
        </w:rPr>
        <w:t xml:space="preserve"> et al</w:t>
      </w:r>
      <w:r>
        <w:rPr>
          <w:rFonts w:ascii="Arial" w:eastAsia="Arial" w:hAnsi="Arial" w:cs="Arial"/>
        </w:rPr>
        <w:t>., 2025).</w:t>
      </w:r>
    </w:p>
    <w:p w14:paraId="6F48E7A7" w14:textId="77777777" w:rsidR="0060135A" w:rsidRDefault="001B3665">
      <w:pPr>
        <w:rPr>
          <w:rFonts w:ascii="Arial" w:eastAsia="Arial" w:hAnsi="Arial" w:cs="Arial"/>
        </w:rPr>
      </w:pPr>
      <w:r>
        <w:rPr>
          <w:rFonts w:ascii="Arial" w:eastAsia="Arial" w:hAnsi="Arial" w:cs="Arial"/>
        </w:rPr>
        <w:t>The Ockenden Review (Department of Health and Social Care, 2022) highlights that avoidable deaths of mothers, newborns, stillbirths, and severe birth injury cases were linked to weak leadership, ineffective governance, poor risk assessment, poor communication, and culture not conducive to learning from incidents. Despite the focus of the report on SaTH, the recent national evidence shows that the safety of the maternity system continues to be an issue across England. As revealed by the House of Commons Library (2025), 47% of the maternity services were rated as requiring improvements or inadequate regarding safety; around two-thirds of the recently inspected maternity services did not get a 'Good' safety rating. Moreover, the national stillbirth rate is 3.9 per 1,000 births, demonstrating that the NHS aim of reducing the number of preventable maternity harm is yet to be accomplished. In a similar vein, the independent Nottingham Maternity Review, which considered more than 2,500 family cases, has found similar issues in relation to leadership, organisational culture, and patient safety (Department of Health and Social Care, 2026). National concerns also persist because according to the CQC National Review of Maternity Services 2022-2024, 47% of maternity units in England had been rated as needing improvements in terms of safety (Balogun</w:t>
      </w:r>
      <w:r>
        <w:rPr>
          <w:rFonts w:ascii="Arial" w:eastAsia="Arial" w:hAnsi="Arial" w:cs="Arial"/>
          <w:i/>
          <w:iCs/>
        </w:rPr>
        <w:t xml:space="preserve"> et al</w:t>
      </w:r>
      <w:r>
        <w:rPr>
          <w:rFonts w:ascii="Arial" w:eastAsia="Arial" w:hAnsi="Arial" w:cs="Arial"/>
        </w:rPr>
        <w:t>., 2025).</w:t>
      </w:r>
    </w:p>
    <w:p w14:paraId="6F48E7A8" w14:textId="77777777" w:rsidR="0060135A" w:rsidRDefault="001B3665">
      <w:pPr>
        <w:rPr>
          <w:rFonts w:ascii="Arial" w:eastAsia="Arial" w:hAnsi="Arial" w:cs="Arial"/>
        </w:rPr>
      </w:pPr>
      <w:r>
        <w:rPr>
          <w:rFonts w:ascii="Arial" w:eastAsia="Arial" w:hAnsi="Arial" w:cs="Arial"/>
        </w:rPr>
        <w:t xml:space="preserve">In this report, the issues relating to quality in the maternity services in the Shrewsbury and Telford Hospital NHS Trust will be critiqued through an exploration of the fundamental reasons for service failure. Root cause analysis using Fishbone and Five </w:t>
      </w:r>
      <w:r>
        <w:rPr>
          <w:rFonts w:ascii="Arial" w:eastAsia="Arial" w:hAnsi="Arial" w:cs="Arial"/>
        </w:rPr>
        <w:lastRenderedPageBreak/>
        <w:t>Whys techniques will be undertaken to examine the causes for failure, while the Donabedian Structure-Process-Outcome Model will be employed to study the influence of organisational structures on care quality. A SWOT analysis will be undertaken to identify the strategic considerations that have influenced service improvement. Using current research, NHS policies, and national reports, recommendations based on the best practices of quality improvement such as PDSA, PDCA, Lean, and Six Sigma will be made.</w:t>
      </w:r>
    </w:p>
    <w:p w14:paraId="6F48E7A9" w14:textId="77777777" w:rsidR="0060135A" w:rsidRDefault="001B3665">
      <w:pPr>
        <w:pStyle w:val="Heading1"/>
        <w:rPr>
          <w:rFonts w:ascii="Arial" w:eastAsia="Arial" w:hAnsi="Arial" w:cs="Arial"/>
        </w:rPr>
      </w:pPr>
      <w:bookmarkStart w:id="3" w:name="_heading=h.dtaw92wo1egk" w:colFirst="0" w:colLast="0"/>
      <w:bookmarkEnd w:id="3"/>
      <w:r>
        <w:rPr>
          <w:rFonts w:ascii="Arial" w:hAnsi="Arial" w:cs="Arial"/>
        </w:rPr>
        <w:br w:type="page"/>
      </w:r>
    </w:p>
    <w:p w14:paraId="6F48E7AA" w14:textId="77777777" w:rsidR="0060135A" w:rsidRDefault="001B3665">
      <w:pPr>
        <w:pStyle w:val="Heading1"/>
        <w:rPr>
          <w:rFonts w:ascii="Arial" w:eastAsia="Arial" w:hAnsi="Arial" w:cs="Arial"/>
        </w:rPr>
      </w:pPr>
      <w:bookmarkStart w:id="4" w:name="_Toc237460962"/>
      <w:r>
        <w:rPr>
          <w:rFonts w:ascii="Arial" w:eastAsia="Arial" w:hAnsi="Arial" w:cs="Arial"/>
        </w:rPr>
        <w:lastRenderedPageBreak/>
        <w:t>2. Main Body</w:t>
      </w:r>
      <w:bookmarkEnd w:id="4"/>
    </w:p>
    <w:p w14:paraId="6F48E7AB" w14:textId="77777777" w:rsidR="0060135A" w:rsidRDefault="001B3665">
      <w:pPr>
        <w:pStyle w:val="Heading2"/>
        <w:rPr>
          <w:rFonts w:ascii="Arial" w:eastAsia="Arial" w:hAnsi="Arial" w:cs="Arial"/>
        </w:rPr>
      </w:pPr>
      <w:bookmarkStart w:id="5" w:name="_Toc237460963"/>
      <w:r>
        <w:rPr>
          <w:rFonts w:ascii="Arial" w:eastAsia="Arial" w:hAnsi="Arial" w:cs="Arial"/>
        </w:rPr>
        <w:t>2.1 Nature of the Quality Problem</w:t>
      </w:r>
      <w:bookmarkEnd w:id="5"/>
      <w:r>
        <w:rPr>
          <w:rFonts w:ascii="Arial" w:eastAsia="Arial" w:hAnsi="Arial" w:cs="Arial"/>
        </w:rPr>
        <w:t xml:space="preserve"> </w:t>
      </w:r>
    </w:p>
    <w:p w14:paraId="6F48E7AC" w14:textId="77777777" w:rsidR="0060135A" w:rsidRDefault="001B3665">
      <w:pPr>
        <w:rPr>
          <w:rFonts w:ascii="Arial" w:eastAsia="Arial" w:hAnsi="Arial" w:cs="Arial"/>
        </w:rPr>
      </w:pPr>
      <w:r>
        <w:rPr>
          <w:rFonts w:ascii="Arial" w:eastAsia="Arial" w:hAnsi="Arial" w:cs="Arial"/>
        </w:rPr>
        <w:t>Patient safety is an important aspect of healthcare quality which focuses on preventing harm while providing safe, efficient and people-centred care (NHS England, 2019). In maternity care settings, patient safety is especially important since any mistake in the process of clinical evaluation, communication or decision-making can cause maternal death, infant death, miscarriage and permanent disability. The Independent Maternity Review into the care provided at The Shrewsbury and Telford Hospital NHS Trust (2026) has revealed significant shortcomings in clinical governance, leadership, multi-disciplinary communication and organisational learning showing that there was an opportunity to avoid many of the adverse events rather than dealing with them as an inevitable complication of clinical practice (Department of Health and Social Care, 2022).</w:t>
      </w:r>
    </w:p>
    <w:p w14:paraId="6F48E7AD" w14:textId="77777777" w:rsidR="0060135A" w:rsidRDefault="001B3665">
      <w:pPr>
        <w:rPr>
          <w:rFonts w:ascii="Arial" w:eastAsia="Arial" w:hAnsi="Arial" w:cs="Arial"/>
        </w:rPr>
      </w:pPr>
      <w:r>
        <w:rPr>
          <w:rFonts w:ascii="Arial" w:eastAsia="Arial" w:hAnsi="Arial" w:cs="Arial"/>
        </w:rPr>
        <w:t>The latest national data shows that these problems are still prevalent in the NHS maternity services. According to the House of Commons Library (2025), 47% of maternity services in England were assessed as needing improvement or being inadequate in terms of safety. This shows ongoing issues with governance and quality assurance. Moreover, Maternity and Newborn Safety Investigations (MNSI, 2025) undertook 613 investigations in April 2024-March 2025, and issued 1,122 safety recommendations to 126 organisations, out of which 107 were acute NHS trusts. The main themes included clinical assessment, escalation, communication, guidance, and clinical oversight. These national data show that the problem is systematic rather than random, and highlights the importance of governance, organisational learning, and quality improvement efforts. In addition to poor governance, staffing problems have added to the risks that have been seen in maternity services. According to NHS England (2023), it was reported that the maternity and neonatal services had not yet had enough midwives, neonatal nurses, doctors, and other health care professionals needed for providing safe care.</w:t>
      </w:r>
    </w:p>
    <w:p w14:paraId="6F48E7AE" w14:textId="77777777" w:rsidR="0060135A" w:rsidRDefault="001B3665">
      <w:pPr>
        <w:pStyle w:val="Heading2"/>
        <w:rPr>
          <w:rFonts w:ascii="Arial" w:eastAsia="Arial" w:hAnsi="Arial" w:cs="Arial"/>
        </w:rPr>
      </w:pPr>
      <w:bookmarkStart w:id="6" w:name="_heading=h.is52zubdx69b" w:colFirst="0" w:colLast="0"/>
      <w:bookmarkEnd w:id="6"/>
      <w:r>
        <w:rPr>
          <w:rFonts w:ascii="Arial" w:hAnsi="Arial" w:cs="Arial"/>
        </w:rPr>
        <w:br w:type="page"/>
      </w:r>
    </w:p>
    <w:p w14:paraId="6F48E7AF" w14:textId="77777777" w:rsidR="0060135A" w:rsidRDefault="001B3665">
      <w:pPr>
        <w:pStyle w:val="Heading2"/>
        <w:rPr>
          <w:rFonts w:ascii="Arial" w:eastAsia="Arial" w:hAnsi="Arial" w:cs="Arial"/>
        </w:rPr>
      </w:pPr>
      <w:bookmarkStart w:id="7" w:name="_Toc237460964"/>
      <w:r>
        <w:rPr>
          <w:rFonts w:ascii="Arial" w:eastAsia="Arial" w:hAnsi="Arial" w:cs="Arial"/>
        </w:rPr>
        <w:lastRenderedPageBreak/>
        <w:t>2.2 Fishbone Diagram Analysis</w:t>
      </w:r>
      <w:bookmarkEnd w:id="7"/>
      <w:r>
        <w:rPr>
          <w:rFonts w:ascii="Arial" w:eastAsia="Arial" w:hAnsi="Arial" w:cs="Arial"/>
        </w:rPr>
        <w:t xml:space="preserve"> </w:t>
      </w:r>
    </w:p>
    <w:p w14:paraId="6F48E7B0" w14:textId="77777777" w:rsidR="0060135A" w:rsidRDefault="001B3665">
      <w:pPr>
        <w:rPr>
          <w:rFonts w:ascii="Arial" w:eastAsia="Arial" w:hAnsi="Arial" w:cs="Arial"/>
        </w:rPr>
      </w:pPr>
      <w:r>
        <w:rPr>
          <w:rFonts w:ascii="Arial" w:eastAsia="Arial" w:hAnsi="Arial" w:cs="Arial"/>
        </w:rPr>
        <w:t xml:space="preserve">The Fishbone Diagram or the Ishikawa Cause-and-effect Model is a quality improvement method that involves the identification and categorisation of underlying causes associated with the problem, rather than concentrating on the visible effects alone. Kumah </w:t>
      </w:r>
      <w:r>
        <w:rPr>
          <w:rFonts w:ascii="Arial" w:eastAsia="Arial" w:hAnsi="Arial" w:cs="Arial"/>
          <w:i/>
          <w:iCs/>
        </w:rPr>
        <w:t xml:space="preserve">et al. </w:t>
      </w:r>
      <w:r>
        <w:rPr>
          <w:rFonts w:ascii="Arial" w:eastAsia="Arial" w:hAnsi="Arial" w:cs="Arial"/>
        </w:rPr>
        <w:t>(2024) suggest that the method helps health organisations understand the complexity of failure by considering several factors working simultaneously. This helps them develop strategies for intervention. The causes of the bad outcomes associated with maternity care in Shrewsbury and Telford Hospital NHS Trust can be considered using leadership, people, process, environment, policies, and technology.</w:t>
      </w:r>
    </w:p>
    <w:p w14:paraId="6F48E7B1" w14:textId="77777777" w:rsidR="0060135A" w:rsidRDefault="001B3665">
      <w:pPr>
        <w:jc w:val="center"/>
        <w:rPr>
          <w:rFonts w:ascii="Arial" w:eastAsia="Arial" w:hAnsi="Arial" w:cs="Arial"/>
        </w:rPr>
      </w:pPr>
      <w:r>
        <w:rPr>
          <w:rFonts w:ascii="Arial" w:eastAsia="Arial" w:hAnsi="Arial" w:cs="Arial"/>
          <w:noProof/>
          <w:lang w:val="en-IN"/>
        </w:rPr>
        <w:drawing>
          <wp:inline distT="19050" distB="19050" distL="19050" distR="19050" wp14:anchorId="6F48E820" wp14:editId="6F48E821">
            <wp:extent cx="5030470" cy="3006725"/>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referRelativeResize="0"/>
                  </pic:nvPicPr>
                  <pic:blipFill>
                    <a:blip r:embed="rId8"/>
                    <a:srcRect/>
                    <a:stretch>
                      <a:fillRect/>
                    </a:stretch>
                  </pic:blipFill>
                  <pic:spPr>
                    <a:xfrm>
                      <a:off x="0" y="0"/>
                      <a:ext cx="5030492" cy="3006918"/>
                    </a:xfrm>
                    <a:prstGeom prst="rect">
                      <a:avLst/>
                    </a:prstGeom>
                    <a:ln w="25400">
                      <a:solidFill>
                        <a:srgbClr val="000000"/>
                      </a:solidFill>
                      <a:prstDash val="solid"/>
                    </a:ln>
                  </pic:spPr>
                </pic:pic>
              </a:graphicData>
            </a:graphic>
          </wp:inline>
        </w:drawing>
      </w:r>
    </w:p>
    <w:p w14:paraId="6F48E7B2" w14:textId="77777777" w:rsidR="0060135A" w:rsidRDefault="001B3665">
      <w:pPr>
        <w:widowControl w:val="0"/>
        <w:jc w:val="center"/>
        <w:rPr>
          <w:rFonts w:ascii="Arial" w:eastAsia="Arial" w:hAnsi="Arial" w:cs="Arial"/>
          <w:b/>
          <w:bCs/>
        </w:rPr>
      </w:pPr>
      <w:r>
        <w:rPr>
          <w:rFonts w:ascii="Arial" w:eastAsia="Arial" w:hAnsi="Arial" w:cs="Arial"/>
          <w:b/>
          <w:bCs/>
        </w:rPr>
        <w:t>Figure 1. Fishbone Diagram</w:t>
      </w:r>
    </w:p>
    <w:p w14:paraId="6F48E7B3" w14:textId="77777777" w:rsidR="0060135A" w:rsidRDefault="001B3665">
      <w:pPr>
        <w:widowControl w:val="0"/>
        <w:jc w:val="center"/>
        <w:rPr>
          <w:rFonts w:ascii="Arial" w:eastAsia="Arial" w:hAnsi="Arial" w:cs="Arial"/>
        </w:rPr>
      </w:pPr>
      <w:r>
        <w:rPr>
          <w:rFonts w:ascii="Arial" w:eastAsia="Arial" w:hAnsi="Arial" w:cs="Arial"/>
        </w:rPr>
        <w:t>(Source: Self-Developed)</w:t>
      </w:r>
    </w:p>
    <w:p w14:paraId="6F48E7B4" w14:textId="77777777" w:rsidR="0060135A" w:rsidRDefault="001B3665">
      <w:pPr>
        <w:rPr>
          <w:rFonts w:ascii="Arial" w:eastAsia="Arial" w:hAnsi="Arial" w:cs="Arial"/>
        </w:rPr>
      </w:pPr>
      <w:r>
        <w:rPr>
          <w:rFonts w:ascii="Arial" w:eastAsia="Arial" w:hAnsi="Arial" w:cs="Arial"/>
        </w:rPr>
        <w:t xml:space="preserve">A major factor leading to poor outcomes was leadership failure. This is due to the lack of clinical leadership, proper accountability mechanisms, and poor governance which let the dangerous practices continue. According to Ahmed </w:t>
      </w:r>
      <w:r>
        <w:rPr>
          <w:rFonts w:ascii="Arial" w:eastAsia="Arial" w:hAnsi="Arial" w:cs="Arial"/>
          <w:i/>
          <w:iCs/>
        </w:rPr>
        <w:t>et al.</w:t>
      </w:r>
      <w:r>
        <w:rPr>
          <w:rFonts w:ascii="Arial" w:eastAsia="Arial" w:hAnsi="Arial" w:cs="Arial"/>
        </w:rPr>
        <w:t xml:space="preserve"> (2024), poor leadership diminishes the impact of patient safety systems because of reduced transparency, learning, and responsibility for improvement. Another way people were involved was through insufficient staff training and lack of recognition of the signs of clinical deterioration, thus impacting decision-making. The processes were impacted </w:t>
      </w:r>
      <w:r>
        <w:rPr>
          <w:rFonts w:ascii="Arial" w:eastAsia="Arial" w:hAnsi="Arial" w:cs="Arial"/>
        </w:rPr>
        <w:lastRenderedPageBreak/>
        <w:t>by issues such as poor escalation, monitoring and learning, thus leading to intervention delays. Implementation of policies was suboptimal in that the set safety standards did not impact practices (Toulany and Shojania, 2025). The environment was impacted by the organisational culture where issues raised could not be effectively challenged or communicated. Lastly, there could have been some inadequacies in technology and information system management thus impacting recording and communication of clinical information. In all cases, the diagram shows how harm occurred due to organisational and clinical inadequacies.</w:t>
      </w:r>
    </w:p>
    <w:p w14:paraId="6F48E7B5" w14:textId="77777777" w:rsidR="0060135A" w:rsidRDefault="001B3665">
      <w:pPr>
        <w:pStyle w:val="Heading2"/>
        <w:rPr>
          <w:rFonts w:ascii="Arial" w:eastAsia="Arial" w:hAnsi="Arial" w:cs="Arial"/>
        </w:rPr>
      </w:pPr>
      <w:bookmarkStart w:id="8" w:name="_Toc237460965"/>
      <w:r>
        <w:rPr>
          <w:rFonts w:ascii="Arial" w:eastAsia="Arial" w:hAnsi="Arial" w:cs="Arial"/>
        </w:rPr>
        <w:t>2.3. 5 Whys Analysis</w:t>
      </w:r>
      <w:bookmarkEnd w:id="8"/>
      <w:r>
        <w:rPr>
          <w:rFonts w:ascii="Arial" w:eastAsia="Arial" w:hAnsi="Arial" w:cs="Arial"/>
        </w:rPr>
        <w:t xml:space="preserve"> </w:t>
      </w:r>
    </w:p>
    <w:p w14:paraId="6F48E7B6" w14:textId="77777777" w:rsidR="0060135A" w:rsidRDefault="001B3665">
      <w:pPr>
        <w:rPr>
          <w:rFonts w:ascii="Arial" w:eastAsia="Arial" w:hAnsi="Arial" w:cs="Arial"/>
        </w:rPr>
      </w:pPr>
      <w:r>
        <w:rPr>
          <w:rFonts w:ascii="Arial" w:eastAsia="Arial" w:hAnsi="Arial" w:cs="Arial"/>
        </w:rPr>
        <w:t xml:space="preserve">5 Whys analysis is one of the root cause analysis methods aimed at uncovering the underlying causes of the occurrence of the quality problem through asking why. According to Singh </w:t>
      </w:r>
      <w:r>
        <w:rPr>
          <w:rFonts w:ascii="Arial" w:eastAsia="Arial" w:hAnsi="Arial" w:cs="Arial"/>
          <w:i/>
          <w:iCs/>
        </w:rPr>
        <w:t>et al</w:t>
      </w:r>
      <w:r>
        <w:rPr>
          <w:rFonts w:ascii="Arial" w:eastAsia="Arial" w:hAnsi="Arial" w:cs="Arial"/>
        </w:rPr>
        <w:t>. (2024), this technique is useful when applying it to the healthcare context because it goes beyond simple error identification and helps to uncover broader organisational causes of patient harm. For the Shrewsbury and Telford Hospital NHS Trust maternity failures, the basic problem would be identified as avoidable harm to women.</w:t>
      </w:r>
    </w:p>
    <w:p w14:paraId="6F48E7B7" w14:textId="77777777" w:rsidR="0060135A" w:rsidRDefault="001B3665">
      <w:pPr>
        <w:rPr>
          <w:rFonts w:ascii="Arial" w:eastAsia="Arial" w:hAnsi="Arial" w:cs="Arial"/>
          <w:b/>
          <w:bCs/>
        </w:rPr>
      </w:pPr>
      <w:r>
        <w:rPr>
          <w:rFonts w:ascii="Arial" w:eastAsia="Arial" w:hAnsi="Arial" w:cs="Arial"/>
          <w:b/>
          <w:bCs/>
        </w:rPr>
        <w:t>Why 1: Why was there an avoidable harm to women under maternity care in Shrewsbury and Telford Hospital NHS Trust?</w:t>
      </w:r>
    </w:p>
    <w:p w14:paraId="6F48E7B8" w14:textId="77777777" w:rsidR="0060135A" w:rsidRDefault="001B3665">
      <w:pPr>
        <w:rPr>
          <w:rFonts w:ascii="Arial" w:eastAsia="Arial" w:hAnsi="Arial" w:cs="Arial"/>
        </w:rPr>
      </w:pPr>
      <w:r>
        <w:rPr>
          <w:rFonts w:ascii="Arial" w:eastAsia="Arial" w:hAnsi="Arial" w:cs="Arial"/>
        </w:rPr>
        <w:t xml:space="preserve">There was an avoidable harm to women as a result of poor decision-making in terms of assessment of the condition of women and provision of appropriate clinical interventions (Bhati </w:t>
      </w:r>
      <w:r>
        <w:rPr>
          <w:rFonts w:ascii="Arial" w:eastAsia="Arial" w:hAnsi="Arial" w:cs="Arial"/>
          <w:i/>
          <w:iCs/>
        </w:rPr>
        <w:t>et al.</w:t>
      </w:r>
      <w:r>
        <w:rPr>
          <w:rFonts w:ascii="Arial" w:eastAsia="Arial" w:hAnsi="Arial" w:cs="Arial"/>
        </w:rPr>
        <w:t>, 2023).</w:t>
      </w:r>
    </w:p>
    <w:p w14:paraId="6F48E7B9" w14:textId="77777777" w:rsidR="0060135A" w:rsidRDefault="001B3665">
      <w:pPr>
        <w:rPr>
          <w:rFonts w:ascii="Arial" w:eastAsia="Arial" w:hAnsi="Arial" w:cs="Arial"/>
          <w:b/>
          <w:bCs/>
        </w:rPr>
      </w:pPr>
      <w:r>
        <w:rPr>
          <w:rFonts w:ascii="Arial" w:eastAsia="Arial" w:hAnsi="Arial" w:cs="Arial"/>
          <w:b/>
          <w:bCs/>
        </w:rPr>
        <w:t>Why 2: Why did clinical risks go unrecognised and unaddressed in time?</w:t>
      </w:r>
    </w:p>
    <w:p w14:paraId="6F48E7BA" w14:textId="77777777" w:rsidR="0060135A" w:rsidRDefault="001B3665">
      <w:pPr>
        <w:rPr>
          <w:rFonts w:ascii="Arial" w:eastAsia="Arial" w:hAnsi="Arial" w:cs="Arial"/>
        </w:rPr>
      </w:pPr>
      <w:r>
        <w:rPr>
          <w:rFonts w:ascii="Arial" w:eastAsia="Arial" w:hAnsi="Arial" w:cs="Arial"/>
        </w:rPr>
        <w:t xml:space="preserve">The risks did not receive due consideration because of weak escalation procedures. Healthcare professionals were sometimes unable to recognise the deteriorating risk and escalate them properly, thereby failing to get appropriate clinical help (Kumah </w:t>
      </w:r>
      <w:r>
        <w:rPr>
          <w:rFonts w:ascii="Arial" w:eastAsia="Arial" w:hAnsi="Arial" w:cs="Arial"/>
          <w:i/>
          <w:iCs/>
        </w:rPr>
        <w:t>et al.</w:t>
      </w:r>
      <w:r>
        <w:rPr>
          <w:rFonts w:ascii="Arial" w:eastAsia="Arial" w:hAnsi="Arial" w:cs="Arial"/>
        </w:rPr>
        <w:t>, 2024).</w:t>
      </w:r>
    </w:p>
    <w:p w14:paraId="6F48E7BB" w14:textId="77777777" w:rsidR="0060135A" w:rsidRDefault="001B3665">
      <w:pPr>
        <w:rPr>
          <w:rFonts w:ascii="Arial" w:eastAsia="Arial" w:hAnsi="Arial" w:cs="Arial"/>
          <w:b/>
          <w:bCs/>
        </w:rPr>
      </w:pPr>
      <w:r>
        <w:rPr>
          <w:rFonts w:ascii="Arial" w:eastAsia="Arial" w:hAnsi="Arial" w:cs="Arial"/>
          <w:b/>
          <w:bCs/>
        </w:rPr>
        <w:t>Why 3: Why did healthcare professionals fail to identify and escalate deteriorating risks?</w:t>
      </w:r>
    </w:p>
    <w:p w14:paraId="6F48E7BC" w14:textId="77777777" w:rsidR="0060135A" w:rsidRDefault="001B3665">
      <w:pPr>
        <w:rPr>
          <w:rFonts w:ascii="Arial" w:eastAsia="Arial" w:hAnsi="Arial" w:cs="Arial"/>
        </w:rPr>
      </w:pPr>
      <w:r>
        <w:rPr>
          <w:rFonts w:ascii="Arial" w:eastAsia="Arial" w:hAnsi="Arial" w:cs="Arial"/>
        </w:rPr>
        <w:lastRenderedPageBreak/>
        <w:t>Answer: This is partly due to poor staff training. Poor staff training lowered the readiness of the staff in dealing with complicated and challenging maternity cases especially where quick recognition and escalation were necessary.</w:t>
      </w:r>
    </w:p>
    <w:p w14:paraId="6F48E7BD" w14:textId="77777777" w:rsidR="0060135A" w:rsidRDefault="001B3665">
      <w:pPr>
        <w:rPr>
          <w:rFonts w:ascii="Arial" w:eastAsia="Arial" w:hAnsi="Arial" w:cs="Arial"/>
          <w:b/>
          <w:bCs/>
        </w:rPr>
      </w:pPr>
      <w:r>
        <w:rPr>
          <w:rFonts w:ascii="Arial" w:eastAsia="Arial" w:hAnsi="Arial" w:cs="Arial"/>
          <w:b/>
          <w:bCs/>
        </w:rPr>
        <w:t>Why 4: Why did staff training prove inadequate in managing complicated maternity situations?</w:t>
      </w:r>
    </w:p>
    <w:p w14:paraId="6F48E7BE" w14:textId="77777777" w:rsidR="0060135A" w:rsidRDefault="001B3665">
      <w:pPr>
        <w:rPr>
          <w:rFonts w:ascii="Arial" w:eastAsia="Arial" w:hAnsi="Arial" w:cs="Arial"/>
        </w:rPr>
      </w:pPr>
      <w:r>
        <w:rPr>
          <w:rFonts w:ascii="Arial" w:eastAsia="Arial" w:hAnsi="Arial" w:cs="Arial"/>
        </w:rPr>
        <w:t xml:space="preserve">Answer: Poor staff training was due to poor clinical governance such as inadequate staff competence monitoring and learning from incidents (Bhati </w:t>
      </w:r>
      <w:r>
        <w:rPr>
          <w:rFonts w:ascii="Arial" w:eastAsia="Arial" w:hAnsi="Arial" w:cs="Arial"/>
          <w:i/>
          <w:iCs/>
        </w:rPr>
        <w:t>et al.</w:t>
      </w:r>
      <w:r>
        <w:rPr>
          <w:rFonts w:ascii="Arial" w:eastAsia="Arial" w:hAnsi="Arial" w:cs="Arial"/>
        </w:rPr>
        <w:t>, 2023).</w:t>
      </w:r>
    </w:p>
    <w:p w14:paraId="6F48E7BF" w14:textId="77777777" w:rsidR="0060135A" w:rsidRDefault="001B3665">
      <w:pPr>
        <w:rPr>
          <w:rFonts w:ascii="Arial" w:eastAsia="Arial" w:hAnsi="Arial" w:cs="Arial"/>
          <w:b/>
          <w:bCs/>
        </w:rPr>
      </w:pPr>
      <w:r>
        <w:rPr>
          <w:rFonts w:ascii="Arial" w:eastAsia="Arial" w:hAnsi="Arial" w:cs="Arial"/>
          <w:b/>
          <w:bCs/>
        </w:rPr>
        <w:t>Why 5: Why were there weaknesses in the areas of staff competency, learning and development from incidents and clinical practice?</w:t>
      </w:r>
    </w:p>
    <w:p w14:paraId="6F48E7C0" w14:textId="77777777" w:rsidR="0060135A" w:rsidRDefault="001B3665">
      <w:pPr>
        <w:rPr>
          <w:rFonts w:ascii="Arial" w:eastAsia="Arial" w:hAnsi="Arial" w:cs="Arial"/>
        </w:rPr>
      </w:pPr>
      <w:r>
        <w:rPr>
          <w:rFonts w:ascii="Arial" w:eastAsia="Arial" w:hAnsi="Arial" w:cs="Arial"/>
        </w:rPr>
        <w:t xml:space="preserve">The lack of accountability resulted in the inability to take past adverse events and convert them into lessons for maternity practices (Patterson </w:t>
      </w:r>
      <w:r>
        <w:rPr>
          <w:rFonts w:ascii="Arial" w:eastAsia="Arial" w:hAnsi="Arial" w:cs="Arial"/>
          <w:i/>
          <w:iCs/>
        </w:rPr>
        <w:t>et al</w:t>
      </w:r>
      <w:r>
        <w:rPr>
          <w:rFonts w:ascii="Arial" w:eastAsia="Arial" w:hAnsi="Arial" w:cs="Arial"/>
        </w:rPr>
        <w:t>., 2022).</w:t>
      </w:r>
    </w:p>
    <w:p w14:paraId="6F48E7C1" w14:textId="77777777" w:rsidR="0060135A" w:rsidRDefault="001B3665">
      <w:pPr>
        <w:rPr>
          <w:rFonts w:ascii="Arial" w:eastAsia="Arial" w:hAnsi="Arial" w:cs="Arial"/>
        </w:rPr>
      </w:pPr>
      <w:r>
        <w:rPr>
          <w:rFonts w:ascii="Arial" w:eastAsia="Arial" w:hAnsi="Arial" w:cs="Arial"/>
        </w:rPr>
        <w:t>It is evident from the Five Whys analysis above that the issue of harm caused in Shrewsbury and Telford maternity is not an issue arising from the clinical decisions made by individuals but it is one resulting from interconnected weaknesses</w:t>
      </w:r>
      <w:r>
        <w:rPr>
          <w:rFonts w:ascii="Arial" w:eastAsia="Arial" w:hAnsi="Arial" w:cs="Arial"/>
          <w:lang w:val="en-IN"/>
        </w:rPr>
        <w:t xml:space="preserve"> </w:t>
      </w:r>
      <w:r>
        <w:rPr>
          <w:rFonts w:ascii="Arial" w:eastAsia="Arial" w:hAnsi="Arial" w:cs="Arial"/>
        </w:rPr>
        <w:t xml:space="preserve"> (Patterson </w:t>
      </w:r>
      <w:r>
        <w:rPr>
          <w:rFonts w:ascii="Arial" w:eastAsia="Arial" w:hAnsi="Arial" w:cs="Arial"/>
          <w:i/>
          <w:iCs/>
        </w:rPr>
        <w:t>et al</w:t>
      </w:r>
      <w:r>
        <w:rPr>
          <w:rFonts w:ascii="Arial" w:eastAsia="Arial" w:hAnsi="Arial" w:cs="Arial"/>
        </w:rPr>
        <w:t xml:space="preserve">., 2022). </w:t>
      </w:r>
    </w:p>
    <w:p w14:paraId="6F48E7C2" w14:textId="77777777" w:rsidR="0060135A" w:rsidRDefault="0060135A">
      <w:pPr>
        <w:rPr>
          <w:rFonts w:ascii="Arial" w:eastAsia="Arial" w:hAnsi="Arial" w:cs="Arial"/>
        </w:rPr>
      </w:pPr>
    </w:p>
    <w:p w14:paraId="6F48E7C3" w14:textId="77777777" w:rsidR="0060135A" w:rsidRDefault="001B3665">
      <w:pPr>
        <w:pStyle w:val="Heading2"/>
        <w:rPr>
          <w:rFonts w:ascii="Arial" w:eastAsia="Arial" w:hAnsi="Arial" w:cs="Arial"/>
        </w:rPr>
      </w:pPr>
      <w:bookmarkStart w:id="9" w:name="_heading=h.hrklf5gsqyuu" w:colFirst="0" w:colLast="0"/>
      <w:bookmarkEnd w:id="9"/>
      <w:r>
        <w:rPr>
          <w:rFonts w:ascii="Arial" w:hAnsi="Arial" w:cs="Arial"/>
        </w:rPr>
        <w:br w:type="page"/>
      </w:r>
    </w:p>
    <w:p w14:paraId="6F48E7C4" w14:textId="77777777" w:rsidR="0060135A" w:rsidRDefault="001B3665">
      <w:pPr>
        <w:pStyle w:val="Heading2"/>
        <w:rPr>
          <w:rFonts w:ascii="Arial" w:eastAsia="Arial" w:hAnsi="Arial" w:cs="Arial"/>
        </w:rPr>
      </w:pPr>
      <w:bookmarkStart w:id="10" w:name="_Toc237460966"/>
      <w:r>
        <w:rPr>
          <w:rFonts w:ascii="Arial" w:eastAsia="Arial" w:hAnsi="Arial" w:cs="Arial"/>
        </w:rPr>
        <w:lastRenderedPageBreak/>
        <w:t>2.4 Donabedian Model Analysis</w:t>
      </w:r>
      <w:bookmarkEnd w:id="10"/>
      <w:r>
        <w:rPr>
          <w:rFonts w:ascii="Arial" w:eastAsia="Arial" w:hAnsi="Arial" w:cs="Arial"/>
        </w:rPr>
        <w:t xml:space="preserve"> </w:t>
      </w:r>
    </w:p>
    <w:p w14:paraId="6F48E7C5" w14:textId="77777777" w:rsidR="0060135A" w:rsidRDefault="001B3665">
      <w:pPr>
        <w:rPr>
          <w:rFonts w:ascii="Arial" w:eastAsia="Arial" w:hAnsi="Arial" w:cs="Arial"/>
        </w:rPr>
      </w:pPr>
      <w:r>
        <w:rPr>
          <w:rFonts w:ascii="Arial" w:eastAsia="Arial" w:hAnsi="Arial" w:cs="Arial"/>
        </w:rPr>
        <w:t>The Donabedian model gives a thorough approach in the assessment of quality of healthcare by analysing three interrelated aspects: structure, process, and outcome (Donabedian, 1988). Failures in care processes remain evident, as the CQC (2024) stated that significant variation in maternity triage, such as cases where staffing pressures and poor processes delayed timely assessment of women. Using the model to evaluate the Shrewsbury and Telford Hospital NHS Trust maternity failures highlights structural deficits existing at all three dimensions.</w:t>
      </w:r>
    </w:p>
    <w:p w14:paraId="6F48E7C6" w14:textId="77777777" w:rsidR="0060135A" w:rsidRDefault="001B3665">
      <w:pPr>
        <w:jc w:val="center"/>
        <w:rPr>
          <w:rFonts w:ascii="Arial" w:eastAsia="Arial" w:hAnsi="Arial" w:cs="Arial"/>
        </w:rPr>
      </w:pPr>
      <w:r>
        <w:rPr>
          <w:rFonts w:ascii="Arial" w:eastAsia="Arial" w:hAnsi="Arial" w:cs="Arial"/>
          <w:noProof/>
          <w:lang w:val="en-IN"/>
        </w:rPr>
        <w:drawing>
          <wp:inline distT="114300" distB="114300" distL="114300" distR="114300" wp14:anchorId="6F48E822" wp14:editId="6F48E823">
            <wp:extent cx="5730875" cy="3225800"/>
            <wp:effectExtent l="25400" t="25400" r="25400" b="2540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referRelativeResize="0"/>
                  </pic:nvPicPr>
                  <pic:blipFill>
                    <a:blip r:embed="rId9"/>
                    <a:srcRect/>
                    <a:stretch>
                      <a:fillRect/>
                    </a:stretch>
                  </pic:blipFill>
                  <pic:spPr>
                    <a:xfrm>
                      <a:off x="0" y="0"/>
                      <a:ext cx="5731200" cy="3225800"/>
                    </a:xfrm>
                    <a:prstGeom prst="rect">
                      <a:avLst/>
                    </a:prstGeom>
                    <a:ln w="25400">
                      <a:solidFill>
                        <a:srgbClr val="000000"/>
                      </a:solidFill>
                      <a:prstDash val="solid"/>
                    </a:ln>
                  </pic:spPr>
                </pic:pic>
              </a:graphicData>
            </a:graphic>
          </wp:inline>
        </w:drawing>
      </w:r>
    </w:p>
    <w:p w14:paraId="6F48E7C7" w14:textId="77777777" w:rsidR="0060135A" w:rsidRDefault="001B3665">
      <w:pPr>
        <w:jc w:val="center"/>
        <w:rPr>
          <w:rFonts w:ascii="Arial" w:eastAsia="Arial" w:hAnsi="Arial" w:cs="Arial"/>
          <w:b/>
          <w:bCs/>
        </w:rPr>
      </w:pPr>
      <w:r>
        <w:rPr>
          <w:rFonts w:ascii="Arial" w:eastAsia="Arial" w:hAnsi="Arial" w:cs="Arial"/>
          <w:b/>
          <w:bCs/>
        </w:rPr>
        <w:t>Figure 2. Donabedian’s Model</w:t>
      </w:r>
    </w:p>
    <w:p w14:paraId="6F48E7C8" w14:textId="77777777" w:rsidR="0060135A" w:rsidRDefault="001B3665">
      <w:pPr>
        <w:jc w:val="center"/>
        <w:rPr>
          <w:rFonts w:ascii="Arial" w:eastAsia="Arial" w:hAnsi="Arial" w:cs="Arial"/>
        </w:rPr>
      </w:pPr>
      <w:r>
        <w:rPr>
          <w:rFonts w:ascii="Arial" w:eastAsia="Arial" w:hAnsi="Arial" w:cs="Arial"/>
        </w:rPr>
        <w:t>(Source: Bhati et al. (2023)</w:t>
      </w:r>
    </w:p>
    <w:p w14:paraId="6F48E7C9" w14:textId="77777777" w:rsidR="0060135A" w:rsidRDefault="001B3665">
      <w:pPr>
        <w:rPr>
          <w:rFonts w:ascii="Arial" w:eastAsia="Arial" w:hAnsi="Arial" w:cs="Arial"/>
        </w:rPr>
      </w:pPr>
      <w:r>
        <w:rPr>
          <w:rFonts w:ascii="Arial" w:eastAsia="Arial" w:hAnsi="Arial" w:cs="Arial"/>
        </w:rPr>
        <w:t xml:space="preserve">Structure concerns organisational structures necessary for delivering safe healthcare. Structural weaknesses at Shrewsbury and Telford Hospital NHS Trust were ineffective leadership, poor workforce capacity, poor infrastructure, lack of technological support, and poor governance (Care Quality Commission (CQC), 2025), Bhati </w:t>
      </w:r>
      <w:r>
        <w:rPr>
          <w:rFonts w:ascii="Arial" w:eastAsia="Arial" w:hAnsi="Arial" w:cs="Arial"/>
          <w:i/>
          <w:iCs/>
        </w:rPr>
        <w:t>et al.</w:t>
      </w:r>
      <w:r>
        <w:rPr>
          <w:rFonts w:ascii="Arial" w:eastAsia="Arial" w:hAnsi="Arial" w:cs="Arial"/>
        </w:rPr>
        <w:t xml:space="preserve"> (2023) posit that there is a strong connection between healthcare quality and organisational structures since leadership and resource availability determine behaviors of employees and safety processes. Workforce issues were especially relevant as </w:t>
      </w:r>
      <w:r>
        <w:rPr>
          <w:rFonts w:ascii="Arial" w:eastAsia="Arial" w:hAnsi="Arial" w:cs="Arial"/>
        </w:rPr>
        <w:lastRenderedPageBreak/>
        <w:t>maternity care was characterised by deficiencies and overload, leading to such risks as fatigue and poor capacity (Draganović and Offermanns, 2022).</w:t>
      </w:r>
    </w:p>
    <w:p w14:paraId="6F48E7CA" w14:textId="77777777" w:rsidR="0060135A" w:rsidRDefault="001B3665">
      <w:pPr>
        <w:rPr>
          <w:rFonts w:ascii="Arial" w:eastAsia="Arial" w:hAnsi="Arial" w:cs="Arial"/>
        </w:rPr>
      </w:pPr>
      <w:r>
        <w:rPr>
          <w:rFonts w:ascii="Arial" w:eastAsia="Arial" w:hAnsi="Arial" w:cs="Arial"/>
        </w:rPr>
        <w:t>In addition, the Ockenden review found deficiencies in governance frameworks, which included monitoring of safety indicators and lack of an effective response to the complaints of women and their families (Department of Health and Social Care, 2022). Another evidence of persisting maternity safety problems at national level was given by the House of Commons (2025).</w:t>
      </w:r>
    </w:p>
    <w:p w14:paraId="6F48E7CB" w14:textId="77777777" w:rsidR="0060135A" w:rsidRDefault="001B3665">
      <w:pPr>
        <w:rPr>
          <w:rFonts w:ascii="Arial" w:eastAsia="Arial" w:hAnsi="Arial" w:cs="Arial"/>
        </w:rPr>
      </w:pPr>
      <w:r>
        <w:rPr>
          <w:rFonts w:ascii="Arial" w:eastAsia="Arial" w:hAnsi="Arial" w:cs="Arial"/>
        </w:rPr>
        <w:t xml:space="preserve">The process dimension refers to the way care is provided, which includes communication, escalation, incidents' reporting and clinical decision-making. At Shrewsbury Hospital, the failure to detect risks, escalation of problems and learning from incidents led to preventable harm. Kelly </w:t>
      </w:r>
      <w:r>
        <w:rPr>
          <w:rFonts w:ascii="Arial" w:eastAsia="Arial" w:hAnsi="Arial" w:cs="Arial"/>
          <w:i/>
          <w:iCs/>
        </w:rPr>
        <w:t>et al.</w:t>
      </w:r>
      <w:r>
        <w:rPr>
          <w:rFonts w:ascii="Arial" w:eastAsia="Arial" w:hAnsi="Arial" w:cs="Arial"/>
        </w:rPr>
        <w:t xml:space="preserve"> (2023) point out that ineffective communication among multidisciplinary team members increases the probability of late interventions and safety incidents. Lee </w:t>
      </w:r>
      <w:r>
        <w:rPr>
          <w:rFonts w:ascii="Arial" w:eastAsia="Arial" w:hAnsi="Arial" w:cs="Arial"/>
          <w:i/>
          <w:iCs/>
        </w:rPr>
        <w:t>et al.</w:t>
      </w:r>
      <w:r>
        <w:rPr>
          <w:rFonts w:ascii="Arial" w:eastAsia="Arial" w:hAnsi="Arial" w:cs="Arial"/>
        </w:rPr>
        <w:t xml:space="preserve"> (2023) refer to human factors such as teamwork, decision-making and situational awareness as important determinants of healthcare reliability. According to Patterson </w:t>
      </w:r>
      <w:r>
        <w:rPr>
          <w:rFonts w:ascii="Arial" w:eastAsia="Arial" w:hAnsi="Arial" w:cs="Arial"/>
          <w:i/>
          <w:iCs/>
        </w:rPr>
        <w:t>et al</w:t>
      </w:r>
      <w:r>
        <w:rPr>
          <w:rFonts w:ascii="Arial" w:eastAsia="Arial" w:hAnsi="Arial" w:cs="Arial"/>
        </w:rPr>
        <w:t>. (2022), an efficient system of incident reporting should foster learning rather than blaming, but deficiencies in reporting and investigations hindered learning in the case organisation.</w:t>
      </w:r>
    </w:p>
    <w:p w14:paraId="6F48E7CC" w14:textId="77777777" w:rsidR="0060135A" w:rsidRDefault="001B3665">
      <w:pPr>
        <w:rPr>
          <w:rFonts w:ascii="Arial" w:eastAsia="Arial" w:hAnsi="Arial" w:cs="Arial"/>
        </w:rPr>
      </w:pPr>
      <w:r>
        <w:rPr>
          <w:rFonts w:ascii="Arial" w:eastAsia="Arial" w:hAnsi="Arial" w:cs="Arial"/>
        </w:rPr>
        <w:t xml:space="preserve">The dimension of outcomes shows the impacts of healthcare quality failure. According to the Ockenden Review, there have been many negative outcomes of the quality failure, such as the preventable deaths of mothers, stillbirths, neonatal deaths, and severe injuries of babies from 1970 to 2019 (Department of Health and Social Care, 2022). More recently, according to the Maternity and Newborn Safety Investigations (MNSI) programme, 613 maternity investigations were conducted between April 2024 and March 2025 (MNSI, 2025). </w:t>
      </w:r>
    </w:p>
    <w:p w14:paraId="6F48E7CD" w14:textId="77777777" w:rsidR="0060135A" w:rsidRDefault="001B3665">
      <w:pPr>
        <w:rPr>
          <w:rFonts w:ascii="Arial" w:eastAsia="Arial" w:hAnsi="Arial" w:cs="Arial"/>
        </w:rPr>
      </w:pPr>
      <w:r>
        <w:rPr>
          <w:rFonts w:ascii="Arial" w:eastAsia="Arial" w:hAnsi="Arial" w:cs="Arial"/>
        </w:rPr>
        <w:t>One of the strengths of the Donabedian model is that the model can help conduct the holistic view of healthcare quality improvement because of its link between organisational input, care process, and outcome</w:t>
      </w:r>
      <w:r>
        <w:rPr>
          <w:rFonts w:ascii="Arial" w:eastAsia="Arial" w:hAnsi="Arial" w:cs="Arial"/>
          <w:lang w:val="en-IN"/>
        </w:rPr>
        <w:t xml:space="preserve"> </w:t>
      </w:r>
      <w:r>
        <w:rPr>
          <w:rFonts w:ascii="Arial" w:eastAsia="Arial" w:hAnsi="Arial" w:cs="Arial"/>
        </w:rPr>
        <w:t>(Braithwaite, 2018).. One of the limitations is that it oversimplifies the complex healthcare environment because it describes quality as the linear relationship, which does not take into account interaction of factors such as culture and pressure</w:t>
      </w:r>
      <w:r>
        <w:rPr>
          <w:rFonts w:ascii="Arial" w:eastAsia="Arial" w:hAnsi="Arial" w:cs="Arial"/>
          <w:lang w:val="en-IN"/>
        </w:rPr>
        <w:t xml:space="preserve"> </w:t>
      </w:r>
      <w:r>
        <w:rPr>
          <w:rFonts w:ascii="Arial" w:eastAsia="Arial" w:hAnsi="Arial" w:cs="Arial"/>
        </w:rPr>
        <w:t>(Braithwaite, 2018).</w:t>
      </w:r>
    </w:p>
    <w:p w14:paraId="6F48E7CE" w14:textId="77777777" w:rsidR="0060135A" w:rsidRDefault="001B3665">
      <w:pPr>
        <w:pStyle w:val="Heading2"/>
        <w:rPr>
          <w:rFonts w:ascii="Arial" w:eastAsia="Arial" w:hAnsi="Arial" w:cs="Arial"/>
        </w:rPr>
      </w:pPr>
      <w:bookmarkStart w:id="11" w:name="_heading=h.se5cjps3sdmn" w:colFirst="0" w:colLast="0"/>
      <w:bookmarkEnd w:id="11"/>
      <w:r>
        <w:rPr>
          <w:rFonts w:ascii="Arial" w:hAnsi="Arial" w:cs="Arial"/>
        </w:rPr>
        <w:br w:type="page"/>
      </w:r>
    </w:p>
    <w:p w14:paraId="6F48E7CF" w14:textId="77777777" w:rsidR="0060135A" w:rsidRDefault="001B3665">
      <w:pPr>
        <w:pStyle w:val="Heading2"/>
        <w:rPr>
          <w:rFonts w:ascii="Arial" w:eastAsia="Arial" w:hAnsi="Arial" w:cs="Arial"/>
        </w:rPr>
      </w:pPr>
      <w:bookmarkStart w:id="12" w:name="_Toc237460967"/>
      <w:r>
        <w:rPr>
          <w:rFonts w:ascii="Arial" w:eastAsia="Arial" w:hAnsi="Arial" w:cs="Arial"/>
        </w:rPr>
        <w:lastRenderedPageBreak/>
        <w:t>2.5 SWOT Analysis</w:t>
      </w:r>
      <w:bookmarkEnd w:id="12"/>
      <w:r>
        <w:rPr>
          <w:rFonts w:ascii="Arial" w:eastAsia="Arial" w:hAnsi="Arial" w:cs="Arial"/>
        </w:rPr>
        <w:t xml:space="preserve"> </w:t>
      </w:r>
    </w:p>
    <w:p w14:paraId="6F48E7D0" w14:textId="77777777" w:rsidR="0060135A" w:rsidRDefault="001B3665">
      <w:pPr>
        <w:rPr>
          <w:rFonts w:ascii="Arial" w:eastAsia="Arial" w:hAnsi="Arial" w:cs="Arial"/>
        </w:rPr>
      </w:pPr>
      <w:r>
        <w:rPr>
          <w:rFonts w:ascii="Arial" w:eastAsia="Arial" w:hAnsi="Arial" w:cs="Arial"/>
        </w:rPr>
        <w:t xml:space="preserve">SWOT analysis refers to a strategy for evaluating internal strengths and weaknesses together with external opportunities and threats for quality improvement in healthcare. </w:t>
      </w:r>
    </w:p>
    <w:p w14:paraId="6F48E7D1" w14:textId="77777777" w:rsidR="0060135A" w:rsidRDefault="001B3665">
      <w:pPr>
        <w:rPr>
          <w:rFonts w:ascii="Arial" w:eastAsia="Arial" w:hAnsi="Arial" w:cs="Arial"/>
        </w:rPr>
      </w:pPr>
      <w:r>
        <w:rPr>
          <w:rFonts w:ascii="Arial" w:eastAsia="Arial" w:hAnsi="Arial" w:cs="Arial"/>
        </w:rPr>
        <w:t xml:space="preserve">Strengths in this context include the presence of policies related to safety in maternity, skills, and organisational support within the NHS. The examples of national frameworks for safety in maternity care are Maternity Incentive Scheme and Patient Safety Incident Response Framework (PSIRF). Moralee </w:t>
      </w:r>
      <w:r>
        <w:rPr>
          <w:rFonts w:ascii="Arial" w:eastAsia="Arial" w:hAnsi="Arial" w:cs="Arial"/>
          <w:i/>
          <w:iCs/>
        </w:rPr>
        <w:t>et al.</w:t>
      </w:r>
      <w:r>
        <w:rPr>
          <w:rFonts w:ascii="Arial" w:eastAsia="Arial" w:hAnsi="Arial" w:cs="Arial"/>
        </w:rPr>
        <w:t xml:space="preserve"> (2025) state that good safety frameworks can help improve accountability if there is good leadership and implementation mechanisms. The presence of experience among the multidisciplinary team of clinicians can be another strength (Toulany and Shojania, 2025).</w:t>
      </w:r>
    </w:p>
    <w:p w14:paraId="6F48E7D2" w14:textId="77777777" w:rsidR="0060135A" w:rsidRDefault="001B3665">
      <w:pPr>
        <w:rPr>
          <w:rFonts w:ascii="Arial" w:eastAsia="Arial" w:hAnsi="Arial" w:cs="Arial"/>
        </w:rPr>
      </w:pPr>
      <w:r>
        <w:rPr>
          <w:rFonts w:ascii="Arial" w:eastAsia="Arial" w:hAnsi="Arial" w:cs="Arial"/>
        </w:rPr>
        <w:t xml:space="preserve">Weaknesses arise due to culture issues, governance gaps, workforce challenges, and communication problems. According to the Ockenden Review, the failures were not due to individual clinical errors but rather resulted from long-term weakness in leadership, investigation of incidents, and failure to listen to women and families (Department of Health and Social Care, 2022). Bhati </w:t>
      </w:r>
      <w:r>
        <w:rPr>
          <w:rFonts w:ascii="Arial" w:eastAsia="Arial" w:hAnsi="Arial" w:cs="Arial"/>
          <w:i/>
          <w:iCs/>
        </w:rPr>
        <w:t>et al.</w:t>
      </w:r>
      <w:r>
        <w:rPr>
          <w:rFonts w:ascii="Arial" w:eastAsia="Arial" w:hAnsi="Arial" w:cs="Arial"/>
        </w:rPr>
        <w:t xml:space="preserve"> (2023) note that poor governance frameworks limit healthcare institutions' capacities to identify risks and make changes. Workforce challenges and burnout exacerbate risks as well.</w:t>
      </w:r>
    </w:p>
    <w:p w14:paraId="6F48E7D3" w14:textId="77777777" w:rsidR="0060135A" w:rsidRDefault="001B3665">
      <w:pPr>
        <w:rPr>
          <w:rFonts w:ascii="Arial" w:eastAsia="Arial" w:hAnsi="Arial" w:cs="Arial"/>
        </w:rPr>
      </w:pPr>
      <w:r>
        <w:rPr>
          <w:rFonts w:ascii="Arial" w:eastAsia="Arial" w:hAnsi="Arial" w:cs="Arial"/>
        </w:rPr>
        <w:t xml:space="preserve">There are numerous opportunities such as technological advancements that include innovations in maternal monitoring technology, use of artificial intelligence (AI) to enhance decision-making, development of simulation training methods, and clinical audit processes. According to Hassan </w:t>
      </w:r>
      <w:r>
        <w:rPr>
          <w:rFonts w:ascii="Arial" w:eastAsia="Arial" w:hAnsi="Arial" w:cs="Arial"/>
          <w:i/>
          <w:iCs/>
        </w:rPr>
        <w:t>et al.</w:t>
      </w:r>
      <w:r>
        <w:rPr>
          <w:rFonts w:ascii="Arial" w:eastAsia="Arial" w:hAnsi="Arial" w:cs="Arial"/>
        </w:rPr>
        <w:t xml:space="preserve"> (2024), AI and digital tools could contribute to risk detection and decision-making.</w:t>
      </w:r>
    </w:p>
    <w:p w14:paraId="6F48E7D4" w14:textId="77777777" w:rsidR="0060135A" w:rsidRDefault="001B3665">
      <w:pPr>
        <w:rPr>
          <w:rFonts w:ascii="Arial" w:eastAsia="Arial" w:hAnsi="Arial" w:cs="Arial"/>
        </w:rPr>
      </w:pPr>
      <w:r>
        <w:rPr>
          <w:rFonts w:ascii="Arial" w:eastAsia="Arial" w:hAnsi="Arial" w:cs="Arial"/>
        </w:rPr>
        <w:t xml:space="preserve">However, threats also exist and include financial concerns, rising complexity of clinical work, workforce burnout, recruitment issues, and increased litigation. Olden and Erwin (2023) point out that healthcare organisations should tackle not only operational problems but also cultural ones in order to maintain quality improvement efforts. </w:t>
      </w:r>
    </w:p>
    <w:p w14:paraId="6F48E7D5" w14:textId="77777777" w:rsidR="0060135A" w:rsidRDefault="001B3665">
      <w:pPr>
        <w:pStyle w:val="Heading1"/>
        <w:keepNext w:val="0"/>
        <w:keepLines w:val="0"/>
        <w:spacing w:before="360" w:after="80"/>
        <w:rPr>
          <w:rFonts w:ascii="Arial" w:eastAsia="Arial" w:hAnsi="Arial" w:cs="Arial"/>
        </w:rPr>
      </w:pPr>
      <w:bookmarkStart w:id="13" w:name="_Toc237460968"/>
      <w:r>
        <w:rPr>
          <w:rFonts w:ascii="Arial" w:eastAsia="Arial" w:hAnsi="Arial" w:cs="Arial"/>
        </w:rPr>
        <w:t>3. Recommendation</w:t>
      </w:r>
      <w:bookmarkEnd w:id="13"/>
      <w:r>
        <w:rPr>
          <w:rFonts w:ascii="Arial" w:eastAsia="Arial" w:hAnsi="Arial" w:cs="Arial"/>
        </w:rPr>
        <w:t xml:space="preserve"> </w:t>
      </w:r>
    </w:p>
    <w:p w14:paraId="6F48E7D6" w14:textId="77777777" w:rsidR="0060135A" w:rsidRDefault="001B3665">
      <w:pPr>
        <w:pStyle w:val="Heading2"/>
        <w:keepNext w:val="0"/>
        <w:keepLines w:val="0"/>
        <w:spacing w:before="280"/>
        <w:rPr>
          <w:rFonts w:ascii="Arial" w:eastAsia="Arial" w:hAnsi="Arial" w:cs="Arial"/>
        </w:rPr>
      </w:pPr>
      <w:bookmarkStart w:id="14" w:name="_Toc237460969"/>
      <w:r>
        <w:rPr>
          <w:rFonts w:ascii="Arial" w:eastAsia="Arial" w:hAnsi="Arial" w:cs="Arial"/>
        </w:rPr>
        <w:t>3.1. Recommendation 1: Strengthen Governance Through Structured Quality Improvement Frameworks</w:t>
      </w:r>
      <w:bookmarkEnd w:id="14"/>
      <w:r>
        <w:rPr>
          <w:rFonts w:ascii="Arial" w:eastAsia="Arial" w:hAnsi="Arial" w:cs="Arial"/>
        </w:rPr>
        <w:t xml:space="preserve"> </w:t>
      </w:r>
    </w:p>
    <w:p w14:paraId="6F48E7D7" w14:textId="77777777" w:rsidR="0060135A" w:rsidRDefault="001B3665">
      <w:pPr>
        <w:rPr>
          <w:rFonts w:ascii="Arial" w:eastAsia="Arial" w:hAnsi="Arial" w:cs="Arial"/>
        </w:rPr>
      </w:pPr>
      <w:r>
        <w:rPr>
          <w:rFonts w:ascii="Arial" w:eastAsia="Arial" w:hAnsi="Arial" w:cs="Arial"/>
        </w:rPr>
        <w:lastRenderedPageBreak/>
        <w:t xml:space="preserve">The shortcomings that emerged in the Shrewsbury case revealed that the governance structures had problems in terms of identifying risks, investigating occurrences, and taking corrective actions. Moralee </w:t>
      </w:r>
      <w:r>
        <w:rPr>
          <w:rFonts w:ascii="Arial" w:eastAsia="Arial" w:hAnsi="Arial" w:cs="Arial"/>
          <w:i/>
          <w:iCs/>
        </w:rPr>
        <w:t xml:space="preserve">et al. </w:t>
      </w:r>
      <w:r>
        <w:rPr>
          <w:rFonts w:ascii="Arial" w:eastAsia="Arial" w:hAnsi="Arial" w:cs="Arial"/>
        </w:rPr>
        <w:t>(2025) stress that good governance in health care systems demands defined roles, clear reporting systems, and ongoing monitoring of safety indicators. For that reason, the PDSA (Plan–Do–Study–Act) improvement cycle can be applied to assess and improve governance procedures. According to NHS England, there should be enhanced governance through frequent safety reviews, governance meetings involving multi-disciplinary teams, and goals for improvement. Key Performance Indicators (KPIs), including incident trends, compliance with escalation, staffing, and maternal outcomes should be monitored on a regular basis (Kumah</w:t>
      </w:r>
      <w:r>
        <w:rPr>
          <w:rFonts w:ascii="Arial" w:eastAsia="Arial" w:hAnsi="Arial" w:cs="Arial"/>
          <w:i/>
          <w:iCs/>
        </w:rPr>
        <w:t xml:space="preserve"> et al.,</w:t>
      </w:r>
      <w:r>
        <w:rPr>
          <w:rFonts w:ascii="Arial" w:eastAsia="Arial" w:hAnsi="Arial" w:cs="Arial"/>
        </w:rPr>
        <w:t xml:space="preserve"> 2024).</w:t>
      </w:r>
    </w:p>
    <w:p w14:paraId="6F48E7D8" w14:textId="77777777" w:rsidR="0060135A" w:rsidRDefault="001B3665">
      <w:pPr>
        <w:jc w:val="center"/>
        <w:rPr>
          <w:rFonts w:ascii="Arial" w:eastAsia="Arial" w:hAnsi="Arial" w:cs="Arial"/>
        </w:rPr>
      </w:pPr>
      <w:r>
        <w:rPr>
          <w:rFonts w:ascii="Arial" w:eastAsia="Arial" w:hAnsi="Arial" w:cs="Arial"/>
          <w:noProof/>
          <w:lang w:val="en-IN"/>
        </w:rPr>
        <w:drawing>
          <wp:inline distT="19050" distB="19050" distL="19050" distR="19050" wp14:anchorId="6F48E824" wp14:editId="6F48E825">
            <wp:extent cx="2752725" cy="2752725"/>
            <wp:effectExtent l="25400" t="25400" r="25400" b="25400"/>
            <wp:docPr id="8" name="image4.png" descr="The PDSA Cycle"/>
            <wp:cNvGraphicFramePr/>
            <a:graphic xmlns:a="http://schemas.openxmlformats.org/drawingml/2006/main">
              <a:graphicData uri="http://schemas.openxmlformats.org/drawingml/2006/picture">
                <pic:pic xmlns:pic="http://schemas.openxmlformats.org/drawingml/2006/picture">
                  <pic:nvPicPr>
                    <pic:cNvPr id="8" name="image4.png" descr="The PDSA Cycle"/>
                    <pic:cNvPicPr preferRelativeResize="0"/>
                  </pic:nvPicPr>
                  <pic:blipFill>
                    <a:blip r:embed="rId10"/>
                    <a:srcRect/>
                    <a:stretch>
                      <a:fillRect/>
                    </a:stretch>
                  </pic:blipFill>
                  <pic:spPr>
                    <a:xfrm>
                      <a:off x="0" y="0"/>
                      <a:ext cx="2752725" cy="2752725"/>
                    </a:xfrm>
                    <a:prstGeom prst="rect">
                      <a:avLst/>
                    </a:prstGeom>
                    <a:ln w="25400">
                      <a:solidFill>
                        <a:srgbClr val="000000"/>
                      </a:solidFill>
                      <a:prstDash val="solid"/>
                    </a:ln>
                  </pic:spPr>
                </pic:pic>
              </a:graphicData>
            </a:graphic>
          </wp:inline>
        </w:drawing>
      </w:r>
    </w:p>
    <w:p w14:paraId="6F48E7D9" w14:textId="77777777" w:rsidR="0060135A" w:rsidRDefault="001B3665">
      <w:pPr>
        <w:jc w:val="center"/>
        <w:rPr>
          <w:rFonts w:ascii="Arial" w:eastAsia="Arial" w:hAnsi="Arial" w:cs="Arial"/>
          <w:b/>
          <w:bCs/>
        </w:rPr>
      </w:pPr>
      <w:r>
        <w:rPr>
          <w:rFonts w:ascii="Arial" w:eastAsia="Arial" w:hAnsi="Arial" w:cs="Arial"/>
          <w:b/>
          <w:bCs/>
        </w:rPr>
        <w:t>Figure 3. PDSA Cycle</w:t>
      </w:r>
    </w:p>
    <w:p w14:paraId="6F48E7DA" w14:textId="77777777" w:rsidR="0060135A" w:rsidRDefault="001B3665">
      <w:pPr>
        <w:widowControl w:val="0"/>
        <w:spacing w:after="0"/>
        <w:jc w:val="center"/>
        <w:rPr>
          <w:rFonts w:ascii="Arial" w:eastAsia="Arial" w:hAnsi="Arial" w:cs="Arial"/>
        </w:rPr>
      </w:pPr>
      <w:r>
        <w:rPr>
          <w:rFonts w:ascii="Arial" w:eastAsia="Arial" w:hAnsi="Arial" w:cs="Arial"/>
        </w:rPr>
        <w:t>(Source: Western Regional Educator Network, 2024)</w:t>
      </w:r>
    </w:p>
    <w:p w14:paraId="6F48E7DB" w14:textId="77777777" w:rsidR="0060135A" w:rsidRDefault="001B3665">
      <w:pPr>
        <w:pStyle w:val="Heading2"/>
        <w:rPr>
          <w:rFonts w:ascii="Arial" w:eastAsia="Arial" w:hAnsi="Arial" w:cs="Arial"/>
        </w:rPr>
      </w:pPr>
      <w:bookmarkStart w:id="15" w:name="_Toc237460970"/>
      <w:r>
        <w:rPr>
          <w:rFonts w:ascii="Arial" w:eastAsia="Arial" w:hAnsi="Arial" w:cs="Arial"/>
        </w:rPr>
        <w:t>3.2. Recommendation 2: Improve Incident Reporting Culture Through Just Culture Principles</w:t>
      </w:r>
      <w:bookmarkEnd w:id="15"/>
      <w:r>
        <w:rPr>
          <w:rFonts w:ascii="Arial" w:eastAsia="Arial" w:hAnsi="Arial" w:cs="Arial"/>
        </w:rPr>
        <w:t xml:space="preserve"> </w:t>
      </w:r>
    </w:p>
    <w:p w14:paraId="6F48E7DC" w14:textId="77777777" w:rsidR="0060135A" w:rsidRDefault="001B3665">
      <w:pPr>
        <w:rPr>
          <w:rFonts w:ascii="Arial" w:eastAsia="Arial" w:hAnsi="Arial" w:cs="Arial"/>
        </w:rPr>
      </w:pPr>
      <w:r>
        <w:rPr>
          <w:rFonts w:ascii="Arial" w:eastAsia="Arial" w:hAnsi="Arial" w:cs="Arial"/>
        </w:rPr>
        <w:t xml:space="preserve">Another recommendation would be to foster a more robust reporting and learning culture by adopting a Just Culture model rather than an approach which is oriented towards blaming. In the case of the Shrewsbury investigation, it was evident that issues raised by staff members, women, and families were largely ignored, thus preventing any possibility of learning within the organisation. Lee </w:t>
      </w:r>
      <w:r>
        <w:rPr>
          <w:rFonts w:ascii="Arial" w:eastAsia="Arial" w:hAnsi="Arial" w:cs="Arial"/>
          <w:i/>
          <w:iCs/>
        </w:rPr>
        <w:t>et al</w:t>
      </w:r>
      <w:r>
        <w:rPr>
          <w:rFonts w:ascii="Arial" w:eastAsia="Arial" w:hAnsi="Arial" w:cs="Arial"/>
        </w:rPr>
        <w:t xml:space="preserve">. (2023) point out that psychological safety and communication are vital parts of a good patient safety </w:t>
      </w:r>
      <w:r>
        <w:rPr>
          <w:rFonts w:ascii="Arial" w:eastAsia="Arial" w:hAnsi="Arial" w:cs="Arial"/>
        </w:rPr>
        <w:lastRenderedPageBreak/>
        <w:t xml:space="preserve">system since staff members are much more likely to report hazards when feeling supported. Vikan </w:t>
      </w:r>
      <w:r>
        <w:rPr>
          <w:rFonts w:ascii="Arial" w:eastAsia="Arial" w:hAnsi="Arial" w:cs="Arial"/>
          <w:i/>
          <w:iCs/>
        </w:rPr>
        <w:t>et al.</w:t>
      </w:r>
      <w:r>
        <w:rPr>
          <w:rFonts w:ascii="Arial" w:eastAsia="Arial" w:hAnsi="Arial" w:cs="Arial"/>
        </w:rPr>
        <w:t xml:space="preserve"> (2023) also note that there is a direct relationship between positive safety culture and better reporting outcomes and fewer accidents. To make sure that the incidents result in changes, structured learning reviews have to be performed using the Patient Safety Incident Response Framework (PSIRF), PDSA cycles, and feedback has to be provided to the staff and patients.</w:t>
      </w:r>
    </w:p>
    <w:p w14:paraId="6F48E7DD" w14:textId="77777777" w:rsidR="0060135A" w:rsidRDefault="001B3665">
      <w:pPr>
        <w:pStyle w:val="Heading2"/>
        <w:rPr>
          <w:rFonts w:ascii="Arial" w:eastAsia="Arial" w:hAnsi="Arial" w:cs="Arial"/>
        </w:rPr>
      </w:pPr>
      <w:bookmarkStart w:id="16" w:name="_Toc237460971"/>
      <w:r>
        <w:rPr>
          <w:rFonts w:ascii="Arial" w:eastAsia="Arial" w:hAnsi="Arial" w:cs="Arial"/>
        </w:rPr>
        <w:t>3.3. Recommendation 3: Introduce Mandatory Multidisciplinary Simulation Training</w:t>
      </w:r>
      <w:bookmarkEnd w:id="16"/>
      <w:r>
        <w:rPr>
          <w:rFonts w:ascii="Arial" w:eastAsia="Arial" w:hAnsi="Arial" w:cs="Arial"/>
        </w:rPr>
        <w:t xml:space="preserve"> </w:t>
      </w:r>
    </w:p>
    <w:p w14:paraId="6F48E7DE" w14:textId="77777777" w:rsidR="0060135A" w:rsidRDefault="001B3665">
      <w:pPr>
        <w:rPr>
          <w:rFonts w:ascii="Arial" w:eastAsia="Arial" w:hAnsi="Arial" w:cs="Arial"/>
        </w:rPr>
      </w:pPr>
      <w:r>
        <w:rPr>
          <w:rFonts w:ascii="Arial" w:eastAsia="Arial" w:hAnsi="Arial" w:cs="Arial"/>
        </w:rPr>
        <w:t xml:space="preserve">The implementation of mandatory simulation-based multidisciplinary training for maternity care teams composed of midwives, obstetricians, anaesthetists, and other health care professionals would render effectiveness. It was evident from the case of the Shrewsbury failure in the recognition of patient deterioration, escalation, and decisions made in an emergency situation. According to Agbar </w:t>
      </w:r>
      <w:r>
        <w:rPr>
          <w:rFonts w:ascii="Arial" w:eastAsia="Arial" w:hAnsi="Arial" w:cs="Arial"/>
          <w:i/>
          <w:iCs/>
        </w:rPr>
        <w:t xml:space="preserve">et al. </w:t>
      </w:r>
      <w:r>
        <w:rPr>
          <w:rFonts w:ascii="Arial" w:eastAsia="Arial" w:hAnsi="Arial" w:cs="Arial"/>
        </w:rPr>
        <w:t xml:space="preserve">(2023), simulation training is one of the effective methods that can help in increasing clinical skills, collaboration, and communication in the event of a high-risk situation. The same view is provided by Kelly </w:t>
      </w:r>
      <w:r>
        <w:rPr>
          <w:rFonts w:ascii="Arial" w:eastAsia="Arial" w:hAnsi="Arial" w:cs="Arial"/>
          <w:i/>
          <w:iCs/>
        </w:rPr>
        <w:t xml:space="preserve">et al. </w:t>
      </w:r>
      <w:r>
        <w:rPr>
          <w:rFonts w:ascii="Arial" w:eastAsia="Arial" w:hAnsi="Arial" w:cs="Arial"/>
        </w:rPr>
        <w:t>(2023) who stress that collaboration and human factor training are vital in preventing adverse healthcare events. Scenarios covered under the simulation programs should include obstetric emergencies, deterioration of the fetus, communication errors, and escalation process.</w:t>
      </w:r>
    </w:p>
    <w:p w14:paraId="6F48E7DF" w14:textId="77777777" w:rsidR="0060135A" w:rsidRDefault="001B3665">
      <w:pPr>
        <w:pStyle w:val="Heading2"/>
        <w:rPr>
          <w:rFonts w:ascii="Arial" w:eastAsia="Arial" w:hAnsi="Arial" w:cs="Arial"/>
        </w:rPr>
      </w:pPr>
      <w:bookmarkStart w:id="17" w:name="_Toc237460972"/>
      <w:r>
        <w:rPr>
          <w:rFonts w:ascii="Arial" w:eastAsia="Arial" w:hAnsi="Arial" w:cs="Arial"/>
        </w:rPr>
        <w:t>3.4. Recommendation 4: Implement Digital Monitoring and AI-Supported Decision Systems</w:t>
      </w:r>
      <w:bookmarkEnd w:id="17"/>
      <w:r>
        <w:rPr>
          <w:rFonts w:ascii="Arial" w:eastAsia="Arial" w:hAnsi="Arial" w:cs="Arial"/>
        </w:rPr>
        <w:t xml:space="preserve"> </w:t>
      </w:r>
    </w:p>
    <w:p w14:paraId="6F48E7E0" w14:textId="77777777" w:rsidR="0060135A" w:rsidRDefault="001B3665">
      <w:pPr>
        <w:rPr>
          <w:rFonts w:ascii="Arial" w:eastAsia="Arial" w:hAnsi="Arial" w:cs="Arial"/>
        </w:rPr>
      </w:pPr>
      <w:r>
        <w:rPr>
          <w:rFonts w:ascii="Arial" w:eastAsia="Arial" w:hAnsi="Arial" w:cs="Arial"/>
        </w:rPr>
        <w:t xml:space="preserve">The fourth recommendation for action is for the improvement of maternity monitoring through the use of digital technology in terms of more advanced electronic records, electronic fetal monitoring technology, and decision-making processes supported by artificial intelligence. Lack of technological means can be one of the factors that can delay the identification of risk because the lack of integration of data may make the information fragmented in different healthcare professionals involved in the treatment process. According to Hassan </w:t>
      </w:r>
      <w:r>
        <w:rPr>
          <w:rFonts w:ascii="Arial" w:eastAsia="Arial" w:hAnsi="Arial" w:cs="Arial"/>
          <w:i/>
          <w:iCs/>
        </w:rPr>
        <w:t>et al</w:t>
      </w:r>
      <w:r>
        <w:rPr>
          <w:rFonts w:ascii="Arial" w:eastAsia="Arial" w:hAnsi="Arial" w:cs="Arial"/>
        </w:rPr>
        <w:t>. (2024), the systems based on AI have the potential to help in the early detection of clinical deterioration through the analysis of the patient’s information.</w:t>
      </w:r>
    </w:p>
    <w:p w14:paraId="6F48E7E1" w14:textId="77777777" w:rsidR="0060135A" w:rsidRDefault="001B3665">
      <w:pPr>
        <w:pStyle w:val="Heading2"/>
        <w:rPr>
          <w:rFonts w:ascii="Arial" w:eastAsia="Arial" w:hAnsi="Arial" w:cs="Arial"/>
        </w:rPr>
      </w:pPr>
      <w:bookmarkStart w:id="18" w:name="_Toc237460973"/>
      <w:r>
        <w:rPr>
          <w:rFonts w:ascii="Arial" w:eastAsia="Arial" w:hAnsi="Arial" w:cs="Arial"/>
        </w:rPr>
        <w:lastRenderedPageBreak/>
        <w:t>3.5. Recommendation 5: Improve Workforce Wellbeing and Leadership Support</w:t>
      </w:r>
      <w:bookmarkEnd w:id="18"/>
      <w:r>
        <w:rPr>
          <w:rFonts w:ascii="Arial" w:eastAsia="Arial" w:hAnsi="Arial" w:cs="Arial"/>
        </w:rPr>
        <w:t xml:space="preserve"> </w:t>
      </w:r>
    </w:p>
    <w:p w14:paraId="6F48E7E2" w14:textId="77777777" w:rsidR="0060135A" w:rsidRDefault="001B3665">
      <w:pPr>
        <w:rPr>
          <w:rFonts w:ascii="Arial" w:eastAsia="Arial" w:hAnsi="Arial" w:cs="Arial"/>
        </w:rPr>
      </w:pPr>
      <w:r>
        <w:rPr>
          <w:rFonts w:ascii="Arial" w:eastAsia="Arial" w:hAnsi="Arial" w:cs="Arial"/>
        </w:rPr>
        <w:t xml:space="preserve">The fifth recommendation is about enhancing workforce well-being through good leadership, workload, and burnout management. Lack of maternity staff, heavy workload, and emotional pressure could adversely impact decision-making and communication and affect patients' safety. According to Ahmed </w:t>
      </w:r>
      <w:r>
        <w:rPr>
          <w:rFonts w:ascii="Arial" w:eastAsia="Arial" w:hAnsi="Arial" w:cs="Arial"/>
          <w:i/>
          <w:iCs/>
        </w:rPr>
        <w:t>et al.</w:t>
      </w:r>
      <w:r>
        <w:rPr>
          <w:rFonts w:ascii="Arial" w:eastAsia="Arial" w:hAnsi="Arial" w:cs="Arial"/>
        </w:rPr>
        <w:t xml:space="preserve"> (2024), leadership is one of the crucial factors in creating positive work environments where well-being and safety of workers are taken care of. Hardy (2025) states that workforce challenges are still among the key issues impacting healthcare quality. Thus, there is a need for NHS trusts to implement such measures as regular workforce well-being assessments, protected learning time, better staffing solutions, and compassionate leadership. Bhati </w:t>
      </w:r>
      <w:r>
        <w:rPr>
          <w:rFonts w:ascii="Arial" w:eastAsia="Arial" w:hAnsi="Arial" w:cs="Arial"/>
          <w:i/>
          <w:iCs/>
        </w:rPr>
        <w:t>et al</w:t>
      </w:r>
      <w:r>
        <w:rPr>
          <w:rFonts w:ascii="Arial" w:eastAsia="Arial" w:hAnsi="Arial" w:cs="Arial"/>
        </w:rPr>
        <w:t>. (2023) state that leadership contributes to organisational resilience because it helps workers become more engaged in quality improvement initiatives.</w:t>
      </w:r>
    </w:p>
    <w:p w14:paraId="6F48E7E3" w14:textId="77777777" w:rsidR="0060135A" w:rsidRDefault="001B3665">
      <w:pPr>
        <w:pStyle w:val="Heading2"/>
        <w:rPr>
          <w:rFonts w:ascii="Arial" w:eastAsia="Arial" w:hAnsi="Arial" w:cs="Arial"/>
        </w:rPr>
      </w:pPr>
      <w:bookmarkStart w:id="19" w:name="_Toc237460974"/>
      <w:r>
        <w:rPr>
          <w:rFonts w:ascii="Arial" w:eastAsia="Arial" w:hAnsi="Arial" w:cs="Arial"/>
        </w:rPr>
        <w:t>3.6. Recommendation 6: Establish a Continuous Quality Improvement Programme</w:t>
      </w:r>
      <w:bookmarkEnd w:id="19"/>
      <w:r>
        <w:rPr>
          <w:rFonts w:ascii="Arial" w:eastAsia="Arial" w:hAnsi="Arial" w:cs="Arial"/>
        </w:rPr>
        <w:t xml:space="preserve"> </w:t>
      </w:r>
    </w:p>
    <w:p w14:paraId="6F48E7E4" w14:textId="77777777" w:rsidR="0060135A" w:rsidRDefault="001B3665">
      <w:pPr>
        <w:rPr>
          <w:rFonts w:ascii="Arial" w:eastAsia="Arial" w:hAnsi="Arial" w:cs="Arial"/>
        </w:rPr>
      </w:pPr>
      <w:r>
        <w:rPr>
          <w:rFonts w:ascii="Arial" w:eastAsia="Arial" w:hAnsi="Arial" w:cs="Arial"/>
        </w:rPr>
        <w:t xml:space="preserve">Recommendation six is the implementation of a continuous quality improvement (CQI) initiative incorporating the use of Lean concepts, Six Sigma tools, clinical audit, patient feedback, and benchmarking of best-performing maternity services. In this case, the Shrewsbury experience indicates that quality improvement cannot simply be achieved through the identification of failure in the event of harm, but there is a need for active monitoring. According to Endalamaw </w:t>
      </w:r>
      <w:r>
        <w:rPr>
          <w:rFonts w:ascii="Arial" w:eastAsia="Arial" w:hAnsi="Arial" w:cs="Arial"/>
          <w:i/>
          <w:iCs/>
        </w:rPr>
        <w:t>et al.</w:t>
      </w:r>
      <w:r>
        <w:rPr>
          <w:rFonts w:ascii="Arial" w:eastAsia="Arial" w:hAnsi="Arial" w:cs="Arial"/>
        </w:rPr>
        <w:t xml:space="preserve"> (2024), the adoption of CQI techniques improves healthcare service delivery through the achievement of systematic assessment and change driven by evidence. Lorts </w:t>
      </w:r>
      <w:r>
        <w:rPr>
          <w:rFonts w:ascii="Arial" w:eastAsia="Arial" w:hAnsi="Arial" w:cs="Arial"/>
          <w:i/>
          <w:iCs/>
        </w:rPr>
        <w:t>et al.</w:t>
      </w:r>
      <w:r>
        <w:rPr>
          <w:rFonts w:ascii="Arial" w:eastAsia="Arial" w:hAnsi="Arial" w:cs="Arial"/>
        </w:rPr>
        <w:t xml:space="preserve"> (2024) point out the significance of improvement through measurement in reducing variations in healthcare delivery. In addition, according to The Health Foundation (2016), sustained improvement necessitates the building of learning organisations through the use of data, experiences, and patient viewpoints in decision making.</w:t>
      </w:r>
    </w:p>
    <w:p w14:paraId="6F48E7E5" w14:textId="77777777" w:rsidR="0060135A" w:rsidRDefault="001B3665">
      <w:pPr>
        <w:rPr>
          <w:rFonts w:ascii="Arial" w:eastAsia="Arial" w:hAnsi="Arial" w:cs="Arial"/>
        </w:rPr>
      </w:pPr>
      <w:r>
        <w:rPr>
          <w:rFonts w:ascii="Arial" w:eastAsia="Arial" w:hAnsi="Arial" w:cs="Arial"/>
          <w:b/>
          <w:bCs/>
        </w:rPr>
        <w:t xml:space="preserve">Table 1. Implementation Strategy: PDSA Improvement Cycle </w:t>
      </w:r>
    </w:p>
    <w:tbl>
      <w:tblPr>
        <w:tblStyle w:val="Style22"/>
        <w:tblW w:w="9025" w:type="dxa"/>
        <w:tblInd w:w="0" w:type="dxa"/>
        <w:tblLayout w:type="fixed"/>
        <w:tblCellMar>
          <w:top w:w="0" w:type="dxa"/>
          <w:left w:w="108" w:type="dxa"/>
          <w:bottom w:w="0" w:type="dxa"/>
          <w:right w:w="108" w:type="dxa"/>
        </w:tblCellMar>
        <w:tblLook w:val="04A0" w:firstRow="1" w:lastRow="0" w:firstColumn="1" w:lastColumn="0" w:noHBand="0" w:noVBand="1"/>
      </w:tblPr>
      <w:tblGrid>
        <w:gridCol w:w="1046"/>
        <w:gridCol w:w="7979"/>
      </w:tblGrid>
      <w:tr w:rsidR="0060135A" w14:paraId="6F48E7E8" w14:textId="77777777">
        <w:trPr>
          <w:trHeight w:val="500"/>
        </w:trPr>
        <w:tc>
          <w:tcPr>
            <w:tcW w:w="104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E6" w14:textId="77777777" w:rsidR="0060135A" w:rsidRDefault="001B3665">
            <w:pPr>
              <w:jc w:val="center"/>
              <w:rPr>
                <w:rFonts w:ascii="Arial" w:eastAsia="Arial" w:hAnsi="Arial" w:cs="Arial"/>
              </w:rPr>
            </w:pPr>
            <w:r>
              <w:rPr>
                <w:rFonts w:ascii="Arial" w:eastAsia="Arial" w:hAnsi="Arial" w:cs="Arial"/>
                <w:b/>
                <w:bCs/>
              </w:rPr>
              <w:t>Stage</w:t>
            </w:r>
          </w:p>
        </w:tc>
        <w:tc>
          <w:tcPr>
            <w:tcW w:w="797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E7" w14:textId="77777777" w:rsidR="0060135A" w:rsidRDefault="001B3665">
            <w:pPr>
              <w:jc w:val="center"/>
              <w:rPr>
                <w:rFonts w:ascii="Arial" w:eastAsia="Arial" w:hAnsi="Arial" w:cs="Arial"/>
              </w:rPr>
            </w:pPr>
            <w:r>
              <w:rPr>
                <w:rFonts w:ascii="Arial" w:eastAsia="Arial" w:hAnsi="Arial" w:cs="Arial"/>
                <w:b/>
                <w:bCs/>
              </w:rPr>
              <w:t>Activities</w:t>
            </w:r>
          </w:p>
        </w:tc>
      </w:tr>
      <w:tr w:rsidR="0060135A" w14:paraId="6F48E7EB" w14:textId="77777777">
        <w:trPr>
          <w:trHeight w:val="1040"/>
        </w:trPr>
        <w:tc>
          <w:tcPr>
            <w:tcW w:w="104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E9" w14:textId="77777777" w:rsidR="0060135A" w:rsidRDefault="001B3665">
            <w:pPr>
              <w:rPr>
                <w:rFonts w:ascii="Arial" w:eastAsia="Arial" w:hAnsi="Arial" w:cs="Arial"/>
              </w:rPr>
            </w:pPr>
            <w:r>
              <w:rPr>
                <w:rFonts w:ascii="Arial" w:eastAsia="Arial" w:hAnsi="Arial" w:cs="Arial"/>
                <w:b/>
                <w:bCs/>
              </w:rPr>
              <w:lastRenderedPageBreak/>
              <w:t>Plan</w:t>
            </w:r>
          </w:p>
        </w:tc>
        <w:tc>
          <w:tcPr>
            <w:tcW w:w="797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EA" w14:textId="77777777" w:rsidR="0060135A" w:rsidRDefault="001B3665">
            <w:pPr>
              <w:rPr>
                <w:rFonts w:ascii="Arial" w:eastAsia="Arial" w:hAnsi="Arial" w:cs="Arial"/>
              </w:rPr>
            </w:pPr>
            <w:r>
              <w:rPr>
                <w:rFonts w:ascii="Arial" w:eastAsia="Arial" w:hAnsi="Arial" w:cs="Arial"/>
              </w:rPr>
              <w:t>Analyse maternity incidents, identify improvement priorities, establish a multidisciplinary improvement team, and define baseline KPIs, including maternal outcomes, incident reporting rates, staffing indicators, and patient feedback (Blankenship, 2024).</w:t>
            </w:r>
          </w:p>
        </w:tc>
      </w:tr>
      <w:tr w:rsidR="0060135A" w14:paraId="6F48E7EE" w14:textId="77777777">
        <w:trPr>
          <w:trHeight w:val="1040"/>
        </w:trPr>
        <w:tc>
          <w:tcPr>
            <w:tcW w:w="104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EC" w14:textId="77777777" w:rsidR="0060135A" w:rsidRDefault="001B3665">
            <w:pPr>
              <w:rPr>
                <w:rFonts w:ascii="Arial" w:eastAsia="Arial" w:hAnsi="Arial" w:cs="Arial"/>
              </w:rPr>
            </w:pPr>
            <w:r>
              <w:rPr>
                <w:rFonts w:ascii="Arial" w:eastAsia="Arial" w:hAnsi="Arial" w:cs="Arial"/>
                <w:b/>
                <w:bCs/>
              </w:rPr>
              <w:t>Do</w:t>
            </w:r>
          </w:p>
        </w:tc>
        <w:tc>
          <w:tcPr>
            <w:tcW w:w="797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ED" w14:textId="77777777" w:rsidR="0060135A" w:rsidRDefault="001B3665">
            <w:pPr>
              <w:rPr>
                <w:rFonts w:ascii="Arial" w:eastAsia="Arial" w:hAnsi="Arial" w:cs="Arial"/>
              </w:rPr>
            </w:pPr>
            <w:r>
              <w:rPr>
                <w:rFonts w:ascii="Arial" w:eastAsia="Arial" w:hAnsi="Arial" w:cs="Arial"/>
              </w:rPr>
              <w:t xml:space="preserve">Pilot improved escalation pathways, multidisciplinary simulation training, digital monitoring systems, and strengthened governance processes within maternity services (Jayaprada </w:t>
            </w:r>
            <w:r>
              <w:rPr>
                <w:rFonts w:ascii="Arial" w:eastAsia="Arial" w:hAnsi="Arial" w:cs="Arial"/>
                <w:i/>
                <w:iCs/>
              </w:rPr>
              <w:t>et al.,</w:t>
            </w:r>
            <w:r>
              <w:rPr>
                <w:rFonts w:ascii="Arial" w:eastAsia="Arial" w:hAnsi="Arial" w:cs="Arial"/>
              </w:rPr>
              <w:t xml:space="preserve"> 2022).</w:t>
            </w:r>
          </w:p>
        </w:tc>
      </w:tr>
      <w:tr w:rsidR="0060135A" w14:paraId="6F48E7F1" w14:textId="77777777">
        <w:trPr>
          <w:trHeight w:val="770"/>
        </w:trPr>
        <w:tc>
          <w:tcPr>
            <w:tcW w:w="104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EF" w14:textId="77777777" w:rsidR="0060135A" w:rsidRDefault="001B3665">
            <w:pPr>
              <w:rPr>
                <w:rFonts w:ascii="Arial" w:eastAsia="Arial" w:hAnsi="Arial" w:cs="Arial"/>
              </w:rPr>
            </w:pPr>
            <w:r>
              <w:rPr>
                <w:rFonts w:ascii="Arial" w:eastAsia="Arial" w:hAnsi="Arial" w:cs="Arial"/>
                <w:b/>
                <w:bCs/>
              </w:rPr>
              <w:t>Study</w:t>
            </w:r>
          </w:p>
        </w:tc>
        <w:tc>
          <w:tcPr>
            <w:tcW w:w="797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F0" w14:textId="77777777" w:rsidR="0060135A" w:rsidRDefault="001B3665">
            <w:pPr>
              <w:rPr>
                <w:rFonts w:ascii="Arial" w:eastAsia="Arial" w:hAnsi="Arial" w:cs="Arial"/>
              </w:rPr>
            </w:pPr>
            <w:r>
              <w:rPr>
                <w:rFonts w:ascii="Arial" w:eastAsia="Arial" w:hAnsi="Arial" w:cs="Arial"/>
              </w:rPr>
              <w:t>Evaluate audit outcomes, patient experiences, staff surveys, incident reports, and clinical performance data against predefined KPIs to determine effectiveness.</w:t>
            </w:r>
          </w:p>
        </w:tc>
      </w:tr>
      <w:tr w:rsidR="0060135A" w14:paraId="6F48E7F4" w14:textId="77777777">
        <w:trPr>
          <w:trHeight w:val="1040"/>
        </w:trPr>
        <w:tc>
          <w:tcPr>
            <w:tcW w:w="104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F2" w14:textId="77777777" w:rsidR="0060135A" w:rsidRDefault="001B3665">
            <w:pPr>
              <w:rPr>
                <w:rFonts w:ascii="Arial" w:eastAsia="Arial" w:hAnsi="Arial" w:cs="Arial"/>
              </w:rPr>
            </w:pPr>
            <w:r>
              <w:rPr>
                <w:rFonts w:ascii="Arial" w:eastAsia="Arial" w:hAnsi="Arial" w:cs="Arial"/>
                <w:b/>
                <w:bCs/>
              </w:rPr>
              <w:t>Act</w:t>
            </w:r>
          </w:p>
        </w:tc>
        <w:tc>
          <w:tcPr>
            <w:tcW w:w="797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48E7F3" w14:textId="77777777" w:rsidR="0060135A" w:rsidRDefault="001B3665">
            <w:pPr>
              <w:rPr>
                <w:rFonts w:ascii="Arial" w:eastAsia="Arial" w:hAnsi="Arial" w:cs="Arial"/>
              </w:rPr>
            </w:pPr>
            <w:r>
              <w:rPr>
                <w:rFonts w:ascii="Arial" w:eastAsia="Arial" w:hAnsi="Arial" w:cs="Arial"/>
              </w:rPr>
              <w:t xml:space="preserve">Embed successful interventions across the Trust, update policies, provide continuous workforce education, and repeat the improvement cycle to support long-term learning and safety improvement (Mistri </w:t>
            </w:r>
            <w:r>
              <w:rPr>
                <w:rFonts w:ascii="Arial" w:eastAsia="Arial" w:hAnsi="Arial" w:cs="Arial"/>
                <w:i/>
                <w:iCs/>
              </w:rPr>
              <w:t>et al.,</w:t>
            </w:r>
            <w:r>
              <w:rPr>
                <w:rFonts w:ascii="Arial" w:eastAsia="Arial" w:hAnsi="Arial" w:cs="Arial"/>
              </w:rPr>
              <w:t xml:space="preserve"> 2023).</w:t>
            </w:r>
          </w:p>
        </w:tc>
      </w:tr>
    </w:tbl>
    <w:p w14:paraId="6F48E7F5" w14:textId="77777777" w:rsidR="0060135A" w:rsidRDefault="0060135A">
      <w:pPr>
        <w:rPr>
          <w:rFonts w:ascii="Arial" w:eastAsia="Arial" w:hAnsi="Arial" w:cs="Arial"/>
        </w:rPr>
      </w:pPr>
    </w:p>
    <w:p w14:paraId="6F48E7F6" w14:textId="77777777" w:rsidR="0060135A" w:rsidRDefault="001B3665">
      <w:pPr>
        <w:pStyle w:val="Heading1"/>
        <w:rPr>
          <w:rFonts w:ascii="Arial" w:eastAsia="Arial" w:hAnsi="Arial" w:cs="Arial"/>
        </w:rPr>
      </w:pPr>
      <w:bookmarkStart w:id="20" w:name="_Toc237460975"/>
      <w:r>
        <w:rPr>
          <w:rFonts w:ascii="Arial" w:eastAsia="Arial" w:hAnsi="Arial" w:cs="Arial"/>
        </w:rPr>
        <w:t>4. Conclusion</w:t>
      </w:r>
      <w:bookmarkEnd w:id="20"/>
    </w:p>
    <w:p w14:paraId="6F48E7F7" w14:textId="77777777" w:rsidR="0060135A" w:rsidRDefault="001B3665">
      <w:pPr>
        <w:rPr>
          <w:rFonts w:ascii="Arial" w:eastAsia="Arial" w:hAnsi="Arial" w:cs="Arial"/>
        </w:rPr>
      </w:pPr>
      <w:r>
        <w:rPr>
          <w:rFonts w:ascii="Arial" w:eastAsia="Arial" w:hAnsi="Arial" w:cs="Arial"/>
        </w:rPr>
        <w:t>The maternity scandal at Shrewsbury and Telford Hospital NHS Trust can be seen as an example of serious quality failure due to systemic problems in terms of organisational, cultural and systemic issues rather than merely the fault of clinical errors. The Fishbone analysis showed multiple areas of failure in terms of leadership, workforce, processes, environment, policies and technology, proving that there were many aspects of failure related to unsafe practices. In its turn, the 5 Whys analysis indicated the fact that preventable harm could be caused by the lack of proper clinical decision-making, poor escalation process, improper training, weak governance, and the lack of good safety culture. As well, the Donabedian model demonstrated several areas of weakness in terms of structural conditions, care process, and outcomes which included deaths of women, stillbirths, neonatal harm, litigation cases, and low public trust.</w:t>
      </w:r>
    </w:p>
    <w:p w14:paraId="6F48E7F8" w14:textId="77777777" w:rsidR="0060135A" w:rsidRDefault="001B3665">
      <w:pPr>
        <w:rPr>
          <w:rFonts w:ascii="Arial" w:eastAsia="Arial" w:hAnsi="Arial" w:cs="Arial"/>
        </w:rPr>
      </w:pPr>
      <w:r>
        <w:rPr>
          <w:rFonts w:ascii="Arial" w:eastAsia="Arial" w:hAnsi="Arial" w:cs="Arial"/>
        </w:rPr>
        <w:lastRenderedPageBreak/>
        <w:t xml:space="preserve">The SWOT analysis indicated that NHS maternity services have several strengths in terms of frameworks, expertise, and innovation via digitalisation; however, they face challenges in terms of workforce and culture. Thus, in order to improve, the enhancement of governance, promotion of psychological safety, development of workforce capability, and continuous quality improvement are necessary. </w:t>
      </w:r>
    </w:p>
    <w:p w14:paraId="6F48E7F9" w14:textId="77777777" w:rsidR="0060135A" w:rsidRDefault="0060135A">
      <w:pPr>
        <w:rPr>
          <w:rFonts w:ascii="Arial" w:eastAsia="Arial" w:hAnsi="Arial" w:cs="Arial"/>
        </w:rPr>
      </w:pPr>
    </w:p>
    <w:p w14:paraId="6F48E7FA" w14:textId="77777777" w:rsidR="0060135A" w:rsidRDefault="0060135A">
      <w:pPr>
        <w:rPr>
          <w:rFonts w:ascii="Arial" w:eastAsia="Arial" w:hAnsi="Arial" w:cs="Arial"/>
        </w:rPr>
      </w:pPr>
    </w:p>
    <w:p w14:paraId="6F48E7FB" w14:textId="77777777" w:rsidR="0060135A" w:rsidRDefault="0060135A">
      <w:pPr>
        <w:rPr>
          <w:rFonts w:ascii="Arial" w:eastAsia="Arial" w:hAnsi="Arial" w:cs="Arial"/>
        </w:rPr>
      </w:pPr>
    </w:p>
    <w:p w14:paraId="6F48E7FC" w14:textId="77777777" w:rsidR="0060135A" w:rsidRDefault="001B3665">
      <w:pPr>
        <w:rPr>
          <w:rFonts w:ascii="Arial" w:eastAsia="Arial" w:hAnsi="Arial" w:cs="Arial"/>
          <w:b/>
          <w:bCs/>
        </w:rPr>
      </w:pPr>
      <w:r>
        <w:br w:type="page"/>
      </w:r>
    </w:p>
    <w:p w14:paraId="6F48E7FD" w14:textId="77777777" w:rsidR="0060135A" w:rsidRDefault="001B3665">
      <w:pPr>
        <w:pStyle w:val="Heading1"/>
        <w:rPr>
          <w:rFonts w:ascii="Arial" w:eastAsia="Arial" w:hAnsi="Arial" w:cs="Arial"/>
        </w:rPr>
      </w:pPr>
      <w:bookmarkStart w:id="21" w:name="_Toc237460976"/>
      <w:r>
        <w:rPr>
          <w:rFonts w:ascii="Arial" w:eastAsia="Arial" w:hAnsi="Arial" w:cs="Arial"/>
        </w:rPr>
        <w:lastRenderedPageBreak/>
        <w:t>References</w:t>
      </w:r>
      <w:bookmarkEnd w:id="21"/>
    </w:p>
    <w:p w14:paraId="6F48E7FE" w14:textId="77777777" w:rsidR="0060135A" w:rsidRDefault="001B3665">
      <w:pPr>
        <w:spacing w:before="240" w:after="240"/>
        <w:rPr>
          <w:rFonts w:ascii="Arial" w:eastAsia="Arial" w:hAnsi="Arial" w:cs="Arial"/>
        </w:rPr>
      </w:pPr>
      <w:r>
        <w:rPr>
          <w:rFonts w:ascii="Arial" w:eastAsia="Arial" w:hAnsi="Arial" w:cs="Arial"/>
        </w:rPr>
        <w:t xml:space="preserve">Agbar, F., Zhang, S., Wu, Y. and Mustafa, M. (2023) ‘Effect of patient safety education interventions on patient safety culture of health care professionals: Systematic review and meta-analysis’, </w:t>
      </w:r>
      <w:r>
        <w:rPr>
          <w:rFonts w:ascii="Arial" w:eastAsia="Arial" w:hAnsi="Arial" w:cs="Arial"/>
          <w:i/>
          <w:iCs/>
        </w:rPr>
        <w:t>Nurse Education in Practice</w:t>
      </w:r>
      <w:r>
        <w:rPr>
          <w:rFonts w:ascii="Arial" w:eastAsia="Arial" w:hAnsi="Arial" w:cs="Arial"/>
        </w:rPr>
        <w:t>, 67, p. 103565.</w:t>
      </w:r>
    </w:p>
    <w:p w14:paraId="6F48E7FF" w14:textId="77777777" w:rsidR="0060135A" w:rsidRDefault="001B3665">
      <w:pPr>
        <w:spacing w:before="240" w:after="240"/>
        <w:rPr>
          <w:rFonts w:ascii="Arial" w:eastAsia="Arial" w:hAnsi="Arial" w:cs="Arial"/>
        </w:rPr>
      </w:pPr>
      <w:r>
        <w:rPr>
          <w:rFonts w:ascii="Arial" w:eastAsia="Arial" w:hAnsi="Arial" w:cs="Arial"/>
        </w:rPr>
        <w:t xml:space="preserve">Ahmed, Z., Ellahham, S., Soomro, M., Shams, S. and Latif, K. (2024) ‘Exploring the impact of compassion and leadership on patient safety and quality in healthcare systems: A narrative review’, </w:t>
      </w:r>
      <w:r>
        <w:rPr>
          <w:rFonts w:ascii="Arial" w:eastAsia="Arial" w:hAnsi="Arial" w:cs="Arial"/>
          <w:i/>
          <w:iCs/>
        </w:rPr>
        <w:t>BMJ Open Quality</w:t>
      </w:r>
      <w:r>
        <w:rPr>
          <w:rFonts w:ascii="Arial" w:eastAsia="Arial" w:hAnsi="Arial" w:cs="Arial"/>
        </w:rPr>
        <w:t>, 13(Suppl. 2).</w:t>
      </w:r>
    </w:p>
    <w:p w14:paraId="6F48E800" w14:textId="77777777" w:rsidR="0060135A" w:rsidRDefault="001B3665">
      <w:pPr>
        <w:spacing w:before="240" w:after="240"/>
        <w:rPr>
          <w:rFonts w:ascii="Arial" w:eastAsia="Arial" w:hAnsi="Arial" w:cs="Arial"/>
        </w:rPr>
      </w:pPr>
      <w:r>
        <w:rPr>
          <w:rFonts w:ascii="Arial" w:eastAsia="Arial" w:hAnsi="Arial" w:cs="Arial"/>
        </w:rPr>
        <w:t xml:space="preserve">Balogun, B., Gheera, M., Parkin, E., Harker, R. and Garratt, K. (2025) </w:t>
      </w:r>
      <w:r>
        <w:rPr>
          <w:rFonts w:ascii="Arial" w:eastAsia="Arial" w:hAnsi="Arial" w:cs="Arial"/>
          <w:i/>
          <w:iCs/>
        </w:rPr>
        <w:t>Quality and safety of maternity care (England).</w:t>
      </w:r>
      <w:r>
        <w:rPr>
          <w:rFonts w:ascii="Arial" w:eastAsia="Arial" w:hAnsi="Arial" w:cs="Arial"/>
        </w:rPr>
        <w:t xml:space="preserve"> House of Commons Library Research Briefing. London: House of Commons Library. Available at:</w:t>
      </w:r>
      <w:hyperlink r:id="rId11">
        <w:r>
          <w:rPr>
            <w:rFonts w:ascii="Arial" w:eastAsia="Arial" w:hAnsi="Arial" w:cs="Arial"/>
          </w:rPr>
          <w:t xml:space="preserve"> </w:t>
        </w:r>
      </w:hyperlink>
      <w:hyperlink r:id="rId12">
        <w:r>
          <w:rPr>
            <w:rFonts w:ascii="Arial" w:eastAsia="Arial" w:hAnsi="Arial" w:cs="Arial"/>
            <w:color w:val="1155CC"/>
            <w:u w:val="single"/>
          </w:rPr>
          <w:t>https://commonslibrary.parliament.uk/research-briefings/cdp-2025-0041/</w:t>
        </w:r>
      </w:hyperlink>
      <w:r>
        <w:rPr>
          <w:rFonts w:ascii="Arial" w:eastAsia="Arial" w:hAnsi="Arial" w:cs="Arial"/>
        </w:rPr>
        <w:t xml:space="preserve"> (Accessed on 06.08.26).</w:t>
      </w:r>
    </w:p>
    <w:p w14:paraId="6F48E801" w14:textId="77777777" w:rsidR="0060135A" w:rsidRDefault="001B3665">
      <w:pPr>
        <w:spacing w:before="240" w:after="240"/>
        <w:rPr>
          <w:rFonts w:ascii="Arial" w:eastAsia="Arial" w:hAnsi="Arial" w:cs="Arial"/>
        </w:rPr>
      </w:pPr>
      <w:r>
        <w:rPr>
          <w:rFonts w:ascii="Arial" w:eastAsia="Arial" w:hAnsi="Arial" w:cs="Arial"/>
        </w:rPr>
        <w:t xml:space="preserve">Bhati, D., Deogade, M.S. and Kanyal, D. (2023) ‘Improving patient outcomes through effective hospital administration: a comprehensive review’, </w:t>
      </w:r>
      <w:r>
        <w:rPr>
          <w:rFonts w:ascii="Arial" w:eastAsia="Arial" w:hAnsi="Arial" w:cs="Arial"/>
          <w:i/>
          <w:iCs/>
        </w:rPr>
        <w:t>Cureus</w:t>
      </w:r>
      <w:r>
        <w:rPr>
          <w:rFonts w:ascii="Arial" w:eastAsia="Arial" w:hAnsi="Arial" w:cs="Arial"/>
        </w:rPr>
        <w:t>, 15(10).</w:t>
      </w:r>
    </w:p>
    <w:p w14:paraId="6F48E802" w14:textId="77777777" w:rsidR="0060135A" w:rsidRDefault="001B3665">
      <w:pPr>
        <w:spacing w:before="240" w:after="240"/>
        <w:rPr>
          <w:rFonts w:ascii="Arial" w:eastAsia="Arial" w:hAnsi="Arial" w:cs="Arial"/>
        </w:rPr>
      </w:pPr>
      <w:r>
        <w:rPr>
          <w:rFonts w:ascii="Arial" w:eastAsia="Arial" w:hAnsi="Arial" w:cs="Arial"/>
        </w:rPr>
        <w:t xml:space="preserve">Braithwaite, J. (2018) ‘Changing how we think about healthcare improvement’, </w:t>
      </w:r>
      <w:r>
        <w:rPr>
          <w:rFonts w:ascii="Arial" w:eastAsia="Arial" w:hAnsi="Arial" w:cs="Arial"/>
          <w:i/>
          <w:iCs/>
        </w:rPr>
        <w:t>BMJ</w:t>
      </w:r>
      <w:r>
        <w:rPr>
          <w:rFonts w:ascii="Arial" w:eastAsia="Arial" w:hAnsi="Arial" w:cs="Arial"/>
        </w:rPr>
        <w:t>, 361.</w:t>
      </w:r>
    </w:p>
    <w:p w14:paraId="6F48E803" w14:textId="77777777" w:rsidR="0060135A" w:rsidRDefault="001B3665">
      <w:pPr>
        <w:spacing w:before="240" w:after="240"/>
        <w:rPr>
          <w:rFonts w:ascii="Arial" w:eastAsia="Arial" w:hAnsi="Arial" w:cs="Arial"/>
        </w:rPr>
      </w:pPr>
      <w:r>
        <w:rPr>
          <w:rFonts w:ascii="Arial" w:eastAsia="Arial" w:hAnsi="Arial" w:cs="Arial"/>
        </w:rPr>
        <w:t xml:space="preserve">Care Quality Commission (CQC) (2024) </w:t>
      </w:r>
      <w:r>
        <w:rPr>
          <w:rFonts w:ascii="Arial" w:eastAsia="Arial" w:hAnsi="Arial" w:cs="Arial"/>
          <w:i/>
          <w:iCs/>
        </w:rPr>
        <w:t>National review of maternity services in England 2022 to 2024.</w:t>
      </w:r>
      <w:r>
        <w:rPr>
          <w:rFonts w:ascii="Arial" w:eastAsia="Arial" w:hAnsi="Arial" w:cs="Arial"/>
        </w:rPr>
        <w:t xml:space="preserve"> Newcastle upon Tyne: Care Quality Commission. Available at:</w:t>
      </w:r>
      <w:hyperlink r:id="rId13">
        <w:r>
          <w:rPr>
            <w:rFonts w:ascii="Arial" w:eastAsia="Arial" w:hAnsi="Arial" w:cs="Arial"/>
          </w:rPr>
          <w:t xml:space="preserve"> </w:t>
        </w:r>
      </w:hyperlink>
      <w:hyperlink r:id="rId14">
        <w:r>
          <w:rPr>
            <w:rFonts w:ascii="Arial" w:eastAsia="Arial" w:hAnsi="Arial" w:cs="Arial"/>
            <w:color w:val="1155CC"/>
            <w:u w:val="single"/>
          </w:rPr>
          <w:t>https://www.cqc.org.uk/publications/themed-work/national-review-maternity-services-england-2022-2024</w:t>
        </w:r>
      </w:hyperlink>
      <w:r>
        <w:rPr>
          <w:rFonts w:ascii="Arial" w:eastAsia="Arial" w:hAnsi="Arial" w:cs="Arial"/>
        </w:rPr>
        <w:t xml:space="preserve"> (Accessed on 06.08.26).</w:t>
      </w:r>
    </w:p>
    <w:p w14:paraId="6F48E804" w14:textId="77777777" w:rsidR="0060135A" w:rsidRDefault="001B3665">
      <w:pPr>
        <w:spacing w:before="240" w:after="240"/>
        <w:rPr>
          <w:rFonts w:ascii="Arial" w:eastAsia="Arial" w:hAnsi="Arial" w:cs="Arial"/>
        </w:rPr>
      </w:pPr>
      <w:r>
        <w:rPr>
          <w:rFonts w:ascii="Arial" w:eastAsia="Arial" w:hAnsi="Arial" w:cs="Arial"/>
        </w:rPr>
        <w:t xml:space="preserve">Care Quality Commission (CQC) (2025) </w:t>
      </w:r>
      <w:r>
        <w:rPr>
          <w:rFonts w:ascii="Arial" w:eastAsia="Arial" w:hAnsi="Arial" w:cs="Arial"/>
          <w:i/>
          <w:iCs/>
        </w:rPr>
        <w:t>The state of health care and adult social care in England 2024/25: Focus on maternity.</w:t>
      </w:r>
      <w:r>
        <w:rPr>
          <w:rFonts w:ascii="Arial" w:eastAsia="Arial" w:hAnsi="Arial" w:cs="Arial"/>
        </w:rPr>
        <w:t xml:space="preserve"> Newcastle upon Tyne: Care Quality Commission. Available at:</w:t>
      </w:r>
      <w:hyperlink r:id="rId15">
        <w:r>
          <w:rPr>
            <w:rFonts w:ascii="Arial" w:eastAsia="Arial" w:hAnsi="Arial" w:cs="Arial"/>
          </w:rPr>
          <w:t xml:space="preserve"> </w:t>
        </w:r>
      </w:hyperlink>
      <w:hyperlink r:id="rId16">
        <w:r>
          <w:rPr>
            <w:rFonts w:ascii="Arial" w:eastAsia="Arial" w:hAnsi="Arial" w:cs="Arial"/>
            <w:color w:val="1155CC"/>
            <w:u w:val="single"/>
          </w:rPr>
          <w:t>https://www.cqc.org.uk/publications/state-care/state-health-care-and-adult-social-care-england-2024-25</w:t>
        </w:r>
      </w:hyperlink>
      <w:r>
        <w:rPr>
          <w:rFonts w:ascii="Arial" w:eastAsia="Arial" w:hAnsi="Arial" w:cs="Arial"/>
        </w:rPr>
        <w:t xml:space="preserve"> (Accessed on 06.08.26).</w:t>
      </w:r>
    </w:p>
    <w:p w14:paraId="6F48E805" w14:textId="77777777" w:rsidR="0060135A" w:rsidRDefault="001B3665">
      <w:pPr>
        <w:spacing w:before="240" w:after="240"/>
        <w:rPr>
          <w:rFonts w:ascii="Arial" w:eastAsia="Arial" w:hAnsi="Arial" w:cs="Arial"/>
        </w:rPr>
      </w:pPr>
      <w:r>
        <w:rPr>
          <w:rFonts w:ascii="Arial" w:eastAsia="Arial" w:hAnsi="Arial" w:cs="Arial"/>
        </w:rPr>
        <w:t xml:space="preserve">Department of Health and Social Care (2022) </w:t>
      </w:r>
      <w:r>
        <w:rPr>
          <w:rFonts w:ascii="Arial" w:eastAsia="Arial" w:hAnsi="Arial" w:cs="Arial"/>
          <w:i/>
          <w:iCs/>
        </w:rPr>
        <w:t>Final report of the Ockenden Review.</w:t>
      </w:r>
      <w:r>
        <w:rPr>
          <w:rFonts w:ascii="Arial" w:eastAsia="Arial" w:hAnsi="Arial" w:cs="Arial"/>
        </w:rPr>
        <w:t xml:space="preserve"> Available at:</w:t>
      </w:r>
      <w:hyperlink r:id="rId17">
        <w:r>
          <w:rPr>
            <w:rFonts w:ascii="Arial" w:eastAsia="Arial" w:hAnsi="Arial" w:cs="Arial"/>
          </w:rPr>
          <w:t xml:space="preserve"> </w:t>
        </w:r>
      </w:hyperlink>
      <w:hyperlink r:id="rId18">
        <w:r>
          <w:rPr>
            <w:rFonts w:ascii="Arial" w:eastAsia="Arial" w:hAnsi="Arial" w:cs="Arial"/>
            <w:color w:val="1155CC"/>
            <w:u w:val="single"/>
          </w:rPr>
          <w:t>https://www.gov.uk/government/publications/final-report-of-the-ockenden-review</w:t>
        </w:r>
      </w:hyperlink>
      <w:r>
        <w:rPr>
          <w:rFonts w:ascii="Arial" w:eastAsia="Arial" w:hAnsi="Arial" w:cs="Arial"/>
        </w:rPr>
        <w:t xml:space="preserve"> (Accessed on 06.08.26).</w:t>
      </w:r>
    </w:p>
    <w:p w14:paraId="6F48E806" w14:textId="77777777" w:rsidR="0060135A" w:rsidRDefault="001B3665">
      <w:pPr>
        <w:spacing w:before="240" w:after="240"/>
        <w:rPr>
          <w:rFonts w:ascii="Arial" w:eastAsia="Arial" w:hAnsi="Arial" w:cs="Arial"/>
        </w:rPr>
      </w:pPr>
      <w:r>
        <w:rPr>
          <w:rFonts w:ascii="Arial" w:eastAsia="Arial" w:hAnsi="Arial" w:cs="Arial"/>
        </w:rPr>
        <w:lastRenderedPageBreak/>
        <w:t xml:space="preserve">Donabedian, A. (1988) ‘The quality of care: How can it be assessed?’, </w:t>
      </w:r>
      <w:r>
        <w:rPr>
          <w:rFonts w:ascii="Arial" w:eastAsia="Arial" w:hAnsi="Arial" w:cs="Arial"/>
          <w:i/>
          <w:iCs/>
        </w:rPr>
        <w:t>JAMA</w:t>
      </w:r>
      <w:r>
        <w:rPr>
          <w:rFonts w:ascii="Arial" w:eastAsia="Arial" w:hAnsi="Arial" w:cs="Arial"/>
        </w:rPr>
        <w:t>, 260(12), pp. 1743–1748.</w:t>
      </w:r>
    </w:p>
    <w:p w14:paraId="6F48E807" w14:textId="77777777" w:rsidR="0060135A" w:rsidRDefault="001B3665">
      <w:pPr>
        <w:spacing w:before="240" w:after="240"/>
        <w:rPr>
          <w:rFonts w:ascii="Arial" w:eastAsia="Arial" w:hAnsi="Arial" w:cs="Arial"/>
        </w:rPr>
      </w:pPr>
      <w:r>
        <w:rPr>
          <w:rFonts w:ascii="Arial" w:eastAsia="Arial" w:hAnsi="Arial" w:cs="Arial"/>
        </w:rPr>
        <w:t xml:space="preserve">Draganović, Š. and Offermanns, G. (2022) ‘Patient safety culture in Austria and recommendations of evidence-based instruments for improving patient safety’, </w:t>
      </w:r>
      <w:r>
        <w:rPr>
          <w:rFonts w:ascii="Arial" w:eastAsia="Arial" w:hAnsi="Arial" w:cs="Arial"/>
          <w:i/>
          <w:iCs/>
        </w:rPr>
        <w:t>PLOS ONE</w:t>
      </w:r>
      <w:r>
        <w:rPr>
          <w:rFonts w:ascii="Arial" w:eastAsia="Arial" w:hAnsi="Arial" w:cs="Arial"/>
        </w:rPr>
        <w:t>, 17(10), p. e0274805.</w:t>
      </w:r>
    </w:p>
    <w:p w14:paraId="6F48E808" w14:textId="77777777" w:rsidR="0060135A" w:rsidRDefault="001B3665">
      <w:pPr>
        <w:spacing w:before="240" w:after="240"/>
        <w:rPr>
          <w:rFonts w:ascii="Arial" w:eastAsia="Arial" w:hAnsi="Arial" w:cs="Arial"/>
        </w:rPr>
      </w:pPr>
      <w:r>
        <w:rPr>
          <w:rFonts w:ascii="Arial" w:eastAsia="Arial" w:hAnsi="Arial" w:cs="Arial"/>
        </w:rPr>
        <w:t xml:space="preserve">Endalamaw, A., Khatri, R.B., Mengistu, T.S., Erku, D., Wolka, E., Zewdie, A. and Assefa, Y. (2024) ‘A scoping review of continuous quality improvement in healthcare system: conceptualization, models and tools, barriers and facilitators, and impact’, </w:t>
      </w:r>
      <w:r>
        <w:rPr>
          <w:rFonts w:ascii="Arial" w:eastAsia="Arial" w:hAnsi="Arial" w:cs="Arial"/>
          <w:i/>
          <w:iCs/>
        </w:rPr>
        <w:t>BMC Health Services Research</w:t>
      </w:r>
      <w:r>
        <w:rPr>
          <w:rFonts w:ascii="Arial" w:eastAsia="Arial" w:hAnsi="Arial" w:cs="Arial"/>
        </w:rPr>
        <w:t>, 24(1), p. 487.</w:t>
      </w:r>
    </w:p>
    <w:p w14:paraId="6F48E809" w14:textId="77777777" w:rsidR="0060135A" w:rsidRDefault="001B3665">
      <w:pPr>
        <w:spacing w:before="240" w:after="240"/>
        <w:rPr>
          <w:rFonts w:ascii="Arial" w:eastAsia="Arial" w:hAnsi="Arial" w:cs="Arial"/>
        </w:rPr>
      </w:pPr>
      <w:r>
        <w:rPr>
          <w:rFonts w:ascii="Arial" w:eastAsia="Arial" w:hAnsi="Arial" w:cs="Arial"/>
        </w:rPr>
        <w:t xml:space="preserve">Hassan, M., Kushniruk, A. and Borycki, E. (2024) ‘Barriers to and facilitators of artificial intelligence adoption in health care: Scoping review’, </w:t>
      </w:r>
      <w:r>
        <w:rPr>
          <w:rFonts w:ascii="Arial" w:eastAsia="Arial" w:hAnsi="Arial" w:cs="Arial"/>
          <w:i/>
          <w:iCs/>
        </w:rPr>
        <w:t>JMIR Human Factors</w:t>
      </w:r>
      <w:r>
        <w:rPr>
          <w:rFonts w:ascii="Arial" w:eastAsia="Arial" w:hAnsi="Arial" w:cs="Arial"/>
        </w:rPr>
        <w:t>, 11, e48633.</w:t>
      </w:r>
    </w:p>
    <w:p w14:paraId="6F48E80A" w14:textId="77777777" w:rsidR="0060135A" w:rsidRDefault="001B3665">
      <w:pPr>
        <w:spacing w:before="240" w:after="240"/>
        <w:rPr>
          <w:rFonts w:ascii="Arial" w:eastAsia="Arial" w:hAnsi="Arial" w:cs="Arial"/>
        </w:rPr>
      </w:pPr>
      <w:r>
        <w:rPr>
          <w:rFonts w:ascii="Arial" w:eastAsia="Arial" w:hAnsi="Arial" w:cs="Arial"/>
        </w:rPr>
        <w:t xml:space="preserve">Hardy, S. ed. (2025) </w:t>
      </w:r>
      <w:r>
        <w:rPr>
          <w:rFonts w:ascii="Arial" w:eastAsia="Arial" w:hAnsi="Arial" w:cs="Arial"/>
          <w:i/>
          <w:iCs/>
        </w:rPr>
        <w:t>Workplace Well-being for Nurses, Health and Care Professionals.</w:t>
      </w:r>
      <w:r>
        <w:rPr>
          <w:rFonts w:ascii="Arial" w:eastAsia="Arial" w:hAnsi="Arial" w:cs="Arial"/>
        </w:rPr>
        <w:t xml:space="preserve"> London: Taylor &amp; Francis.</w:t>
      </w:r>
    </w:p>
    <w:p w14:paraId="6F48E80B" w14:textId="77777777" w:rsidR="0060135A" w:rsidRDefault="001B3665">
      <w:pPr>
        <w:spacing w:before="240" w:after="240"/>
        <w:rPr>
          <w:rFonts w:ascii="Arial" w:eastAsia="Arial" w:hAnsi="Arial" w:cs="Arial"/>
        </w:rPr>
      </w:pPr>
      <w:r>
        <w:rPr>
          <w:rFonts w:ascii="Arial" w:eastAsia="Arial" w:hAnsi="Arial" w:cs="Arial"/>
        </w:rPr>
        <w:t xml:space="preserve">Jayaprada, R., Vineela, K., Ramakrishna, N., Yamini, S. and Bhargav, K.M. (2022) ‘A study of needle-stick injury incidence amongst healthcare workers and its root cause analysis in a tertiary care teaching hospital’, </w:t>
      </w:r>
      <w:r>
        <w:rPr>
          <w:rFonts w:ascii="Arial" w:eastAsia="Arial" w:hAnsi="Arial" w:cs="Arial"/>
          <w:i/>
          <w:iCs/>
        </w:rPr>
        <w:t>Journal of Clinical and Scientific Research</w:t>
      </w:r>
      <w:r>
        <w:rPr>
          <w:rFonts w:ascii="Arial" w:eastAsia="Arial" w:hAnsi="Arial" w:cs="Arial"/>
        </w:rPr>
        <w:t>, 11(2), pp. 72–76.</w:t>
      </w:r>
    </w:p>
    <w:p w14:paraId="6F48E80C" w14:textId="77777777" w:rsidR="0060135A" w:rsidRDefault="001B3665">
      <w:pPr>
        <w:spacing w:before="240" w:after="240"/>
        <w:rPr>
          <w:rFonts w:ascii="Arial" w:eastAsia="Arial" w:hAnsi="Arial" w:cs="Arial"/>
        </w:rPr>
      </w:pPr>
      <w:r>
        <w:rPr>
          <w:rFonts w:ascii="Arial" w:eastAsia="Arial" w:hAnsi="Arial" w:cs="Arial"/>
        </w:rPr>
        <w:t xml:space="preserve">Kelly, F.E., Frerk, C., Bailey, C.R., Cook, T.M., Ferguson, K., Flin, R., Fong, K., Groom, P., John, C., Lang, A.R. and Meek, T. (2023) ‘Human factors in anaesthesia: A narrative review’, </w:t>
      </w:r>
      <w:r>
        <w:rPr>
          <w:rFonts w:ascii="Arial" w:eastAsia="Arial" w:hAnsi="Arial" w:cs="Arial"/>
          <w:i/>
          <w:iCs/>
        </w:rPr>
        <w:t>Anaesthesia</w:t>
      </w:r>
      <w:r>
        <w:rPr>
          <w:rFonts w:ascii="Arial" w:eastAsia="Arial" w:hAnsi="Arial" w:cs="Arial"/>
        </w:rPr>
        <w:t>, 78(4), pp. 479–490.</w:t>
      </w:r>
    </w:p>
    <w:p w14:paraId="6F48E80D" w14:textId="77777777" w:rsidR="0060135A" w:rsidRDefault="001B3665">
      <w:pPr>
        <w:spacing w:before="240" w:after="240"/>
        <w:rPr>
          <w:rFonts w:ascii="Arial" w:eastAsia="Arial" w:hAnsi="Arial" w:cs="Arial"/>
        </w:rPr>
      </w:pPr>
      <w:r>
        <w:rPr>
          <w:rFonts w:ascii="Arial" w:eastAsia="Arial" w:hAnsi="Arial" w:cs="Arial"/>
        </w:rPr>
        <w:t xml:space="preserve">Kumah, A., Nwogu, C.N., Issah, A.R., Obot, E., Kanamitie, D.T., Sifa, J.S. and Aidoo, L.A. (2024) ‘Cause-and-effect (fishbone) diagram: A tool for generating and organizing quality improvement ideas’, </w:t>
      </w:r>
      <w:r>
        <w:rPr>
          <w:rFonts w:ascii="Arial" w:eastAsia="Arial" w:hAnsi="Arial" w:cs="Arial"/>
          <w:i/>
          <w:iCs/>
        </w:rPr>
        <w:t>Global Journal on Quality and Safety in Healthcare</w:t>
      </w:r>
      <w:r>
        <w:rPr>
          <w:rFonts w:ascii="Arial" w:eastAsia="Arial" w:hAnsi="Arial" w:cs="Arial"/>
        </w:rPr>
        <w:t>, 7(2), pp. 85–87.</w:t>
      </w:r>
    </w:p>
    <w:p w14:paraId="6F48E80E" w14:textId="77777777" w:rsidR="0060135A" w:rsidRDefault="001B3665">
      <w:pPr>
        <w:spacing w:before="240" w:after="240"/>
        <w:rPr>
          <w:rFonts w:ascii="Arial" w:eastAsia="Arial" w:hAnsi="Arial" w:cs="Arial"/>
        </w:rPr>
      </w:pPr>
      <w:r>
        <w:rPr>
          <w:rFonts w:ascii="Arial" w:eastAsia="Arial" w:hAnsi="Arial" w:cs="Arial"/>
        </w:rPr>
        <w:t xml:space="preserve">Lee, S.E., Dahinten, V.S. and Lee, J.H. (2023) ‘Testing the association between the enabling and enacting factors of patient safety culture and patient safety: Structural equation modelling’, </w:t>
      </w:r>
      <w:r>
        <w:rPr>
          <w:rFonts w:ascii="Arial" w:eastAsia="Arial" w:hAnsi="Arial" w:cs="Arial"/>
          <w:i/>
          <w:iCs/>
        </w:rPr>
        <w:t>BMC Nursing</w:t>
      </w:r>
      <w:r>
        <w:rPr>
          <w:rFonts w:ascii="Arial" w:eastAsia="Arial" w:hAnsi="Arial" w:cs="Arial"/>
        </w:rPr>
        <w:t>, 22(1), p. 32.</w:t>
      </w:r>
    </w:p>
    <w:p w14:paraId="6F48E80F" w14:textId="77777777" w:rsidR="0060135A" w:rsidRDefault="001B3665">
      <w:pPr>
        <w:spacing w:before="240" w:after="240"/>
        <w:rPr>
          <w:rFonts w:ascii="Arial" w:eastAsia="Arial" w:hAnsi="Arial" w:cs="Arial"/>
        </w:rPr>
      </w:pPr>
      <w:r>
        <w:rPr>
          <w:rFonts w:ascii="Arial" w:eastAsia="Arial" w:hAnsi="Arial" w:cs="Arial"/>
        </w:rPr>
        <w:lastRenderedPageBreak/>
        <w:t xml:space="preserve">Lorts, A., Smyth, L., Gajarski, R.J., VanderPluym, C.J., Mehegan, M., Villa, C.R., Murray, J.M., Niebler, R.A., Almond, C.S., Thrush, P. and O’Connor, M. (2024) ‘The creation of a pediatric health care learning network: the ACTION quality improvement collaborative’, in </w:t>
      </w:r>
      <w:r>
        <w:rPr>
          <w:rFonts w:ascii="Arial" w:eastAsia="Arial" w:hAnsi="Arial" w:cs="Arial"/>
          <w:i/>
          <w:iCs/>
        </w:rPr>
        <w:t>American Society for Artificial Internal Organs (ASAIO) Platinum 70th Anniversary Special Edition</w:t>
      </w:r>
      <w:r>
        <w:rPr>
          <w:rFonts w:ascii="Arial" w:eastAsia="Arial" w:hAnsi="Arial" w:cs="Arial"/>
        </w:rPr>
        <w:t>, pp. 375–380. CRC Press.</w:t>
      </w:r>
    </w:p>
    <w:p w14:paraId="6F48E810" w14:textId="77777777" w:rsidR="0060135A" w:rsidRDefault="001B3665">
      <w:pPr>
        <w:spacing w:before="240" w:after="240"/>
        <w:rPr>
          <w:rFonts w:ascii="Arial" w:eastAsia="Arial" w:hAnsi="Arial" w:cs="Arial"/>
        </w:rPr>
      </w:pPr>
      <w:r>
        <w:rPr>
          <w:rFonts w:ascii="Arial" w:eastAsia="Arial" w:hAnsi="Arial" w:cs="Arial"/>
        </w:rPr>
        <w:t xml:space="preserve">Maternity and Newborn Safety Investigations (MNSI) (2025) </w:t>
      </w:r>
      <w:r>
        <w:rPr>
          <w:rFonts w:ascii="Arial" w:eastAsia="Arial" w:hAnsi="Arial" w:cs="Arial"/>
          <w:i/>
          <w:iCs/>
        </w:rPr>
        <w:t>Annual publication of MNSI safety recommendations 2024–25.</w:t>
      </w:r>
      <w:r>
        <w:rPr>
          <w:rFonts w:ascii="Arial" w:eastAsia="Arial" w:hAnsi="Arial" w:cs="Arial"/>
        </w:rPr>
        <w:t xml:space="preserve"> Available at:</w:t>
      </w:r>
      <w:hyperlink r:id="rId19">
        <w:r>
          <w:rPr>
            <w:rFonts w:ascii="Arial" w:eastAsia="Arial" w:hAnsi="Arial" w:cs="Arial"/>
          </w:rPr>
          <w:t xml:space="preserve"> </w:t>
        </w:r>
      </w:hyperlink>
      <w:hyperlink r:id="rId20">
        <w:r>
          <w:rPr>
            <w:rFonts w:ascii="Arial" w:eastAsia="Arial" w:hAnsi="Arial" w:cs="Arial"/>
            <w:color w:val="1155CC"/>
            <w:u w:val="single"/>
          </w:rPr>
          <w:t>https://www.mnsi.org.uk/publications/annual-publication-of-mnsi-safety-recommendations-2024-25/</w:t>
        </w:r>
      </w:hyperlink>
      <w:r>
        <w:rPr>
          <w:rFonts w:ascii="Arial" w:eastAsia="Arial" w:hAnsi="Arial" w:cs="Arial"/>
        </w:rPr>
        <w:t xml:space="preserve"> (Accessed on 06.08.26).</w:t>
      </w:r>
    </w:p>
    <w:p w14:paraId="6F48E811" w14:textId="77777777" w:rsidR="0060135A" w:rsidRDefault="001B3665">
      <w:pPr>
        <w:spacing w:before="240" w:after="240"/>
        <w:rPr>
          <w:rFonts w:ascii="Arial" w:eastAsia="Arial" w:hAnsi="Arial" w:cs="Arial"/>
        </w:rPr>
      </w:pPr>
      <w:r>
        <w:rPr>
          <w:rFonts w:ascii="Arial" w:eastAsia="Arial" w:hAnsi="Arial" w:cs="Arial"/>
        </w:rPr>
        <w:t xml:space="preserve">Mistri, I.U., Badge, A. and Shahu, S. (2023) ‘Enhancing patient safety culture in hospitals’, </w:t>
      </w:r>
      <w:r>
        <w:rPr>
          <w:rFonts w:ascii="Arial" w:eastAsia="Arial" w:hAnsi="Arial" w:cs="Arial"/>
          <w:i/>
          <w:iCs/>
        </w:rPr>
        <w:t>Cureus</w:t>
      </w:r>
      <w:r>
        <w:rPr>
          <w:rFonts w:ascii="Arial" w:eastAsia="Arial" w:hAnsi="Arial" w:cs="Arial"/>
        </w:rPr>
        <w:t>, 15(12), e51159.</w:t>
      </w:r>
    </w:p>
    <w:p w14:paraId="6F48E812" w14:textId="77777777" w:rsidR="0060135A" w:rsidRDefault="001B3665">
      <w:pPr>
        <w:spacing w:before="240" w:after="240"/>
        <w:rPr>
          <w:rFonts w:ascii="Arial" w:eastAsia="Arial" w:hAnsi="Arial" w:cs="Arial"/>
        </w:rPr>
      </w:pPr>
      <w:r>
        <w:rPr>
          <w:rFonts w:ascii="Arial" w:eastAsia="Arial" w:hAnsi="Arial" w:cs="Arial"/>
        </w:rPr>
        <w:t xml:space="preserve">Moralee, S., Sidhu, M., Smith, J. and Walshe, K. (2025) </w:t>
      </w:r>
      <w:r>
        <w:rPr>
          <w:rFonts w:ascii="Arial" w:eastAsia="Arial" w:hAnsi="Arial" w:cs="Arial"/>
          <w:i/>
          <w:iCs/>
        </w:rPr>
        <w:t>Healthcare Management.</w:t>
      </w:r>
      <w:r>
        <w:rPr>
          <w:rFonts w:ascii="Arial" w:eastAsia="Arial" w:hAnsi="Arial" w:cs="Arial"/>
        </w:rPr>
        <w:t xml:space="preserve"> 4th edn. London: McGraw-Hill Education (UK).</w:t>
      </w:r>
    </w:p>
    <w:p w14:paraId="6F48E813" w14:textId="77777777" w:rsidR="0060135A" w:rsidRDefault="001B3665">
      <w:pPr>
        <w:spacing w:before="240" w:after="240"/>
        <w:rPr>
          <w:rFonts w:ascii="Arial" w:eastAsia="Arial" w:hAnsi="Arial" w:cs="Arial"/>
        </w:rPr>
      </w:pPr>
      <w:r>
        <w:rPr>
          <w:rFonts w:ascii="Arial" w:eastAsia="Arial" w:hAnsi="Arial" w:cs="Arial"/>
        </w:rPr>
        <w:t xml:space="preserve">NHS England (2023) </w:t>
      </w:r>
      <w:r>
        <w:rPr>
          <w:rFonts w:ascii="Arial" w:eastAsia="Arial" w:hAnsi="Arial" w:cs="Arial"/>
          <w:i/>
          <w:iCs/>
        </w:rPr>
        <w:t>Three year delivery plan for maternity and neonatal services.</w:t>
      </w:r>
      <w:r>
        <w:rPr>
          <w:rFonts w:ascii="Arial" w:eastAsia="Arial" w:hAnsi="Arial" w:cs="Arial"/>
        </w:rPr>
        <w:t xml:space="preserve"> Available at:</w:t>
      </w:r>
      <w:hyperlink r:id="rId21">
        <w:r>
          <w:rPr>
            <w:rFonts w:ascii="Arial" w:eastAsia="Arial" w:hAnsi="Arial" w:cs="Arial"/>
          </w:rPr>
          <w:t xml:space="preserve"> </w:t>
        </w:r>
      </w:hyperlink>
      <w:hyperlink r:id="rId22">
        <w:r>
          <w:rPr>
            <w:rFonts w:ascii="Arial" w:eastAsia="Arial" w:hAnsi="Arial" w:cs="Arial"/>
            <w:color w:val="1155CC"/>
            <w:u w:val="single"/>
          </w:rPr>
          <w:t>https://www.england.nhs.uk/publication/three-year-delivery-plan-for-maternity-and-neonatal-services/</w:t>
        </w:r>
      </w:hyperlink>
      <w:r>
        <w:rPr>
          <w:rFonts w:ascii="Arial" w:eastAsia="Arial" w:hAnsi="Arial" w:cs="Arial"/>
        </w:rPr>
        <w:t xml:space="preserve"> (Accessed on 06.08.26).</w:t>
      </w:r>
    </w:p>
    <w:p w14:paraId="6F48E814" w14:textId="77777777" w:rsidR="0060135A" w:rsidRDefault="001B3665">
      <w:pPr>
        <w:spacing w:before="240" w:after="240"/>
        <w:rPr>
          <w:rFonts w:ascii="Arial" w:eastAsia="Arial" w:hAnsi="Arial" w:cs="Arial"/>
        </w:rPr>
      </w:pPr>
      <w:r>
        <w:rPr>
          <w:rFonts w:ascii="Arial" w:eastAsia="Arial" w:hAnsi="Arial" w:cs="Arial"/>
        </w:rPr>
        <w:t xml:space="preserve">Olden, P.C. and Erwin, C.O. (2023) </w:t>
      </w:r>
      <w:r>
        <w:rPr>
          <w:rFonts w:ascii="Arial" w:eastAsia="Arial" w:hAnsi="Arial" w:cs="Arial"/>
          <w:i/>
          <w:iCs/>
        </w:rPr>
        <w:t>Management of Healthcare Organizations: An Introduction.</w:t>
      </w:r>
      <w:r>
        <w:rPr>
          <w:rFonts w:ascii="Arial" w:eastAsia="Arial" w:hAnsi="Arial" w:cs="Arial"/>
        </w:rPr>
        <w:t xml:space="preserve"> Chicago: ACHE Learn.</w:t>
      </w:r>
    </w:p>
    <w:p w14:paraId="6F48E815" w14:textId="77777777" w:rsidR="0060135A" w:rsidRDefault="001B3665">
      <w:pPr>
        <w:spacing w:before="240" w:after="240"/>
        <w:rPr>
          <w:rFonts w:ascii="Arial" w:eastAsia="Arial" w:hAnsi="Arial" w:cs="Arial"/>
        </w:rPr>
      </w:pPr>
      <w:r>
        <w:rPr>
          <w:rFonts w:ascii="Arial" w:eastAsia="Arial" w:hAnsi="Arial" w:cs="Arial"/>
        </w:rPr>
        <w:t xml:space="preserve">Patterson, E.S., Rayo, M.F., Edworthy, J.R. and Moffatt-Bruce, S.D. (2022) ‘Applying human factors engineering to address the telemetry alarm problem in a large medical center’, </w:t>
      </w:r>
      <w:r>
        <w:rPr>
          <w:rFonts w:ascii="Arial" w:eastAsia="Arial" w:hAnsi="Arial" w:cs="Arial"/>
          <w:i/>
          <w:iCs/>
        </w:rPr>
        <w:t>Human Factors</w:t>
      </w:r>
      <w:r>
        <w:rPr>
          <w:rFonts w:ascii="Arial" w:eastAsia="Arial" w:hAnsi="Arial" w:cs="Arial"/>
        </w:rPr>
        <w:t>, 64(1), pp. 126–142.</w:t>
      </w:r>
    </w:p>
    <w:p w14:paraId="6F48E816" w14:textId="77777777" w:rsidR="0060135A" w:rsidRDefault="001B3665">
      <w:pPr>
        <w:spacing w:before="240" w:after="240"/>
        <w:rPr>
          <w:rFonts w:ascii="Arial" w:eastAsia="Arial" w:hAnsi="Arial" w:cs="Arial"/>
        </w:rPr>
      </w:pPr>
      <w:r>
        <w:rPr>
          <w:rFonts w:ascii="Arial" w:eastAsia="Arial" w:hAnsi="Arial" w:cs="Arial"/>
        </w:rPr>
        <w:t xml:space="preserve">Singh, G., Patel, R.H., Vaqar, S. and Boster, J. (2024) ‘Root cause analysis and medical error prevention’, in </w:t>
      </w:r>
      <w:r>
        <w:rPr>
          <w:rFonts w:ascii="Arial" w:eastAsia="Arial" w:hAnsi="Arial" w:cs="Arial"/>
          <w:i/>
          <w:iCs/>
        </w:rPr>
        <w:t>StatPearls [Internet].</w:t>
      </w:r>
      <w:r>
        <w:rPr>
          <w:rFonts w:ascii="Arial" w:eastAsia="Arial" w:hAnsi="Arial" w:cs="Arial"/>
        </w:rPr>
        <w:t xml:space="preserve"> Treasure Island, FL: StatPearls Publishing.</w:t>
      </w:r>
    </w:p>
    <w:p w14:paraId="6F48E817" w14:textId="77777777" w:rsidR="0060135A" w:rsidRDefault="001B3665">
      <w:pPr>
        <w:spacing w:before="240" w:after="240"/>
        <w:rPr>
          <w:rFonts w:ascii="Arial" w:eastAsia="Arial" w:hAnsi="Arial" w:cs="Arial"/>
        </w:rPr>
      </w:pPr>
      <w:r>
        <w:rPr>
          <w:rFonts w:ascii="Arial" w:eastAsia="Arial" w:hAnsi="Arial" w:cs="Arial"/>
        </w:rPr>
        <w:t xml:space="preserve">The Health Foundation (2016) </w:t>
      </w:r>
      <w:r>
        <w:rPr>
          <w:rFonts w:ascii="Arial" w:eastAsia="Arial" w:hAnsi="Arial" w:cs="Arial"/>
          <w:i/>
          <w:iCs/>
        </w:rPr>
        <w:t>Continuous improvement of patient safety: Part I – The case for change.</w:t>
      </w:r>
      <w:r>
        <w:rPr>
          <w:rFonts w:ascii="Arial" w:eastAsia="Arial" w:hAnsi="Arial" w:cs="Arial"/>
        </w:rPr>
        <w:t xml:space="preserve"> London: The Health Foundation. Available at:</w:t>
      </w:r>
      <w:hyperlink r:id="rId23">
        <w:r>
          <w:rPr>
            <w:rFonts w:ascii="Arial" w:eastAsia="Arial" w:hAnsi="Arial" w:cs="Arial"/>
          </w:rPr>
          <w:t xml:space="preserve"> </w:t>
        </w:r>
      </w:hyperlink>
      <w:hyperlink r:id="rId24">
        <w:r>
          <w:rPr>
            <w:rFonts w:ascii="Arial" w:eastAsia="Arial" w:hAnsi="Arial" w:cs="Arial"/>
            <w:color w:val="1155CC"/>
            <w:u w:val="single"/>
          </w:rPr>
          <w:t>https://www.health.org.uk/publications/continuous-improvement-of-patient-safety</w:t>
        </w:r>
      </w:hyperlink>
      <w:r>
        <w:rPr>
          <w:rFonts w:ascii="Arial" w:eastAsia="Arial" w:hAnsi="Arial" w:cs="Arial"/>
        </w:rPr>
        <w:t xml:space="preserve"> (Accessed: 18 July 2026).</w:t>
      </w:r>
    </w:p>
    <w:p w14:paraId="6F48E818" w14:textId="77777777" w:rsidR="0060135A" w:rsidRDefault="001B3665">
      <w:pPr>
        <w:spacing w:before="240" w:after="240"/>
        <w:rPr>
          <w:rFonts w:ascii="Arial" w:eastAsia="Arial" w:hAnsi="Arial" w:cs="Arial"/>
        </w:rPr>
      </w:pPr>
      <w:r>
        <w:rPr>
          <w:rFonts w:ascii="Arial" w:eastAsia="Arial" w:hAnsi="Arial" w:cs="Arial"/>
        </w:rPr>
        <w:lastRenderedPageBreak/>
        <w:t xml:space="preserve">The Shrewsbury and Telford Hospital NHS Trust (2026) </w:t>
      </w:r>
      <w:r>
        <w:rPr>
          <w:rFonts w:ascii="Arial" w:eastAsia="Arial" w:hAnsi="Arial" w:cs="Arial"/>
          <w:i/>
          <w:iCs/>
        </w:rPr>
        <w:t>Blood test appointment information.</w:t>
      </w:r>
      <w:r>
        <w:rPr>
          <w:rFonts w:ascii="Arial" w:eastAsia="Arial" w:hAnsi="Arial" w:cs="Arial"/>
        </w:rPr>
        <w:t xml:space="preserve"> Available at:</w:t>
      </w:r>
      <w:hyperlink r:id="rId25">
        <w:r>
          <w:rPr>
            <w:rFonts w:ascii="Arial" w:eastAsia="Arial" w:hAnsi="Arial" w:cs="Arial"/>
          </w:rPr>
          <w:t xml:space="preserve"> </w:t>
        </w:r>
      </w:hyperlink>
      <w:hyperlink r:id="rId26">
        <w:r>
          <w:rPr>
            <w:rFonts w:ascii="Arial" w:eastAsia="Arial" w:hAnsi="Arial" w:cs="Arial"/>
            <w:color w:val="1155CC"/>
            <w:u w:val="single"/>
          </w:rPr>
          <w:t>https://www.sath.nhs.uk</w:t>
        </w:r>
      </w:hyperlink>
      <w:r>
        <w:rPr>
          <w:rFonts w:ascii="Arial" w:eastAsia="Arial" w:hAnsi="Arial" w:cs="Arial"/>
        </w:rPr>
        <w:t xml:space="preserve"> (Accessed: 18 July 2026).</w:t>
      </w:r>
    </w:p>
    <w:p w14:paraId="6F48E819" w14:textId="77777777" w:rsidR="0060135A" w:rsidRDefault="001B3665">
      <w:pPr>
        <w:spacing w:before="240" w:after="240"/>
        <w:rPr>
          <w:rFonts w:ascii="Arial" w:eastAsia="Arial" w:hAnsi="Arial" w:cs="Arial"/>
        </w:rPr>
      </w:pPr>
      <w:r>
        <w:rPr>
          <w:rFonts w:ascii="Arial" w:eastAsia="Arial" w:hAnsi="Arial" w:cs="Arial"/>
        </w:rPr>
        <w:t xml:space="preserve">Toulany, A. and Shojania, K.G. (2025) </w:t>
      </w:r>
      <w:r>
        <w:rPr>
          <w:rFonts w:ascii="Arial" w:eastAsia="Arial" w:hAnsi="Arial" w:cs="Arial"/>
          <w:i/>
          <w:iCs/>
        </w:rPr>
        <w:t>Measurement for Improvement.</w:t>
      </w:r>
      <w:r>
        <w:rPr>
          <w:rFonts w:ascii="Arial" w:eastAsia="Arial" w:hAnsi="Arial" w:cs="Arial"/>
        </w:rPr>
        <w:t xml:space="preserve"> Cambridge: Cambridge University Press.</w:t>
      </w:r>
    </w:p>
    <w:p w14:paraId="6F48E81A" w14:textId="77777777" w:rsidR="0060135A" w:rsidRDefault="001B3665">
      <w:pPr>
        <w:spacing w:before="240" w:after="240"/>
        <w:rPr>
          <w:rFonts w:ascii="Arial" w:eastAsia="Arial" w:hAnsi="Arial" w:cs="Arial"/>
        </w:rPr>
      </w:pPr>
      <w:r>
        <w:rPr>
          <w:rFonts w:ascii="Arial" w:eastAsia="Arial" w:hAnsi="Arial" w:cs="Arial"/>
        </w:rPr>
        <w:t xml:space="preserve">Vikan, M., Haugen, A.S., Bjørnnes, A.K., Valeberg, B.T., Deilkås, E.C.T. and Danielsen, S.O. (2023) ‘The association between patient safety culture and adverse events: A scoping review’, </w:t>
      </w:r>
      <w:r>
        <w:rPr>
          <w:rFonts w:ascii="Arial" w:eastAsia="Arial" w:hAnsi="Arial" w:cs="Arial"/>
          <w:i/>
          <w:iCs/>
        </w:rPr>
        <w:t>BMC Health Services Research</w:t>
      </w:r>
      <w:r>
        <w:rPr>
          <w:rFonts w:ascii="Arial" w:eastAsia="Arial" w:hAnsi="Arial" w:cs="Arial"/>
        </w:rPr>
        <w:t>, 23(1), p. 300.</w:t>
      </w:r>
    </w:p>
    <w:p w14:paraId="6F48E81B" w14:textId="77777777" w:rsidR="0060135A" w:rsidRDefault="001B3665">
      <w:pPr>
        <w:spacing w:before="240" w:after="240"/>
        <w:rPr>
          <w:rFonts w:ascii="Arial" w:eastAsia="Arial" w:hAnsi="Arial" w:cs="Arial"/>
        </w:rPr>
      </w:pPr>
      <w:r>
        <w:rPr>
          <w:rFonts w:ascii="Arial" w:eastAsia="Arial" w:hAnsi="Arial" w:cs="Arial"/>
        </w:rPr>
        <w:t xml:space="preserve">Western Regional Educator Network (2024) </w:t>
      </w:r>
      <w:r>
        <w:rPr>
          <w:rFonts w:ascii="Arial" w:eastAsia="Arial" w:hAnsi="Arial" w:cs="Arial"/>
          <w:i/>
          <w:iCs/>
        </w:rPr>
        <w:t>The PDSA Cycle.</w:t>
      </w:r>
      <w:r>
        <w:rPr>
          <w:rFonts w:ascii="Arial" w:eastAsia="Arial" w:hAnsi="Arial" w:cs="Arial"/>
        </w:rPr>
        <w:t xml:space="preserve"> Available at:</w:t>
      </w:r>
      <w:hyperlink r:id="rId27">
        <w:r>
          <w:rPr>
            <w:rFonts w:ascii="Arial" w:eastAsia="Arial" w:hAnsi="Arial" w:cs="Arial"/>
          </w:rPr>
          <w:t xml:space="preserve"> </w:t>
        </w:r>
      </w:hyperlink>
      <w:hyperlink r:id="rId28">
        <w:r>
          <w:rPr>
            <w:rFonts w:ascii="Arial" w:eastAsia="Arial" w:hAnsi="Arial" w:cs="Arial"/>
            <w:color w:val="1155CC"/>
            <w:u w:val="single"/>
          </w:rPr>
          <w:t>https://www.westernregionalnetwork.org/post/the-pdsa-cycle</w:t>
        </w:r>
      </w:hyperlink>
      <w:r>
        <w:rPr>
          <w:rFonts w:ascii="Arial" w:eastAsia="Arial" w:hAnsi="Arial" w:cs="Arial"/>
        </w:rPr>
        <w:t xml:space="preserve"> (Accessed on 06.08.26).</w:t>
      </w:r>
    </w:p>
    <w:p w14:paraId="6F48E81C" w14:textId="77777777" w:rsidR="0060135A" w:rsidRDefault="0060135A">
      <w:pPr>
        <w:spacing w:before="240" w:after="240"/>
        <w:rPr>
          <w:rFonts w:ascii="Arial" w:eastAsia="Arial" w:hAnsi="Arial" w:cs="Arial"/>
        </w:rPr>
      </w:pPr>
    </w:p>
    <w:p w14:paraId="6F48E81D" w14:textId="77777777" w:rsidR="0060135A" w:rsidRDefault="0060135A">
      <w:pPr>
        <w:rPr>
          <w:rFonts w:ascii="Arial" w:eastAsia="Arial" w:hAnsi="Arial" w:cs="Arial"/>
        </w:rPr>
      </w:pPr>
    </w:p>
    <w:sectPr w:rsidR="0060135A">
      <w:footerReference w:type="default" r:id="rId2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59363" w14:textId="77777777" w:rsidR="007A7D5F" w:rsidRDefault="007A7D5F">
      <w:pPr>
        <w:spacing w:line="240" w:lineRule="auto"/>
      </w:pPr>
      <w:r>
        <w:separator/>
      </w:r>
    </w:p>
  </w:endnote>
  <w:endnote w:type="continuationSeparator" w:id="0">
    <w:p w14:paraId="786E6D45" w14:textId="77777777" w:rsidR="007A7D5F" w:rsidRDefault="007A7D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embedRegular r:id="rId1" w:fontKey="{3F2A3D3C-E071-4085-BA0C-FB747A4E7952}"/>
    <w:embedBold r:id="rId2" w:fontKey="{AFAB4482-C1B2-45C5-89BF-50892B2AF445}"/>
    <w:embedItalic r:id="rId3" w:fontKey="{987F3A6C-56AD-4EF7-8090-8DA2A92E948B}"/>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B5F87A7C-CF36-4259-95E4-305E4482505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8E82A" w14:textId="77777777" w:rsidR="0060135A" w:rsidRDefault="001B3665">
    <w:pPr>
      <w:tabs>
        <w:tab w:val="center" w:pos="4513"/>
        <w:tab w:val="right" w:pos="9026"/>
      </w:tabs>
      <w:spacing w:after="0" w:line="240" w:lineRule="auto"/>
      <w:jc w:val="right"/>
      <w:rPr>
        <w:rFonts w:ascii="Times New Roman" w:eastAsia="Times New Roman" w:hAnsi="Times New Roman" w:cs="Times New Roman"/>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4453C3">
      <w:rPr>
        <w:rFonts w:ascii="Arial" w:eastAsia="Arial" w:hAnsi="Arial" w:cs="Arial"/>
        <w:noProof/>
        <w:color w:val="000000"/>
      </w:rPr>
      <w:t>2</w:t>
    </w:r>
    <w:r>
      <w:rPr>
        <w:rFonts w:ascii="Arial" w:eastAsia="Arial" w:hAnsi="Arial" w:cs="Arial"/>
        <w:color w:val="000000"/>
      </w:rPr>
      <w:fldChar w:fldCharType="end"/>
    </w:r>
  </w:p>
  <w:p w14:paraId="6F48E82B" w14:textId="77777777" w:rsidR="0060135A" w:rsidRDefault="0060135A">
    <w:pPr>
      <w:tabs>
        <w:tab w:val="center" w:pos="4513"/>
        <w:tab w:val="right" w:pos="9026"/>
      </w:tabs>
      <w:spacing w:after="0"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FC1D7" w14:textId="77777777" w:rsidR="007A7D5F" w:rsidRDefault="007A7D5F">
      <w:pPr>
        <w:spacing w:after="0"/>
      </w:pPr>
      <w:r>
        <w:separator/>
      </w:r>
    </w:p>
  </w:footnote>
  <w:footnote w:type="continuationSeparator" w:id="0">
    <w:p w14:paraId="1D228235" w14:textId="77777777" w:rsidR="007A7D5F" w:rsidRDefault="007A7D5F">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35A"/>
    <w:rsid w:val="001B3665"/>
    <w:rsid w:val="004453C3"/>
    <w:rsid w:val="0057346B"/>
    <w:rsid w:val="005D22F2"/>
    <w:rsid w:val="0060135A"/>
    <w:rsid w:val="007A7D5F"/>
    <w:rsid w:val="00CA0604"/>
    <w:rsid w:val="26F66678"/>
    <w:rsid w:val="3B9E5694"/>
    <w:rsid w:val="403A5277"/>
    <w:rsid w:val="6F4C1493"/>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48E77B"/>
  <w15:docId w15:val="{C7D02444-CA13-4549-A21E-E69DFE12F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IN" w:bidi="hi-IN"/>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header" w:uiPriority="99" w:unhideWhenUsed="1" w:qFormat="1"/>
    <w:lsdException w:name="footer" w:uiPriority="99"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200" w:line="360" w:lineRule="auto"/>
      <w:jc w:val="both"/>
    </w:pPr>
    <w:rPr>
      <w:sz w:val="24"/>
      <w:szCs w:val="24"/>
      <w:lang w:val="zh-CN"/>
    </w:rPr>
  </w:style>
  <w:style w:type="paragraph" w:styleId="Heading1">
    <w:name w:val="heading 1"/>
    <w:basedOn w:val="Normal"/>
    <w:next w:val="Normal"/>
    <w:qFormat/>
    <w:pPr>
      <w:keepNext/>
      <w:keepLines/>
      <w:outlineLvl w:val="0"/>
    </w:pPr>
    <w:rPr>
      <w:b/>
      <w:bCs/>
    </w:rPr>
  </w:style>
  <w:style w:type="paragraph" w:styleId="Heading2">
    <w:name w:val="heading 2"/>
    <w:basedOn w:val="Normal"/>
    <w:next w:val="Normal"/>
    <w:qFormat/>
    <w:pPr>
      <w:keepNext/>
      <w:keepLines/>
      <w:outlineLvl w:val="1"/>
    </w:pPr>
    <w:rPr>
      <w:b/>
      <w:bCs/>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before="240" w:after="80"/>
      <w:outlineLvl w:val="4"/>
    </w:pPr>
    <w:rPr>
      <w:color w:val="666666"/>
      <w:sz w:val="22"/>
      <w:szCs w:val="22"/>
    </w:rPr>
  </w:style>
  <w:style w:type="paragraph" w:styleId="Heading6">
    <w:name w:val="heading 6"/>
    <w:basedOn w:val="Normal"/>
    <w:next w:val="Normal"/>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table" w:customStyle="1" w:styleId="Style22">
    <w:name w:val="_Style 22"/>
    <w:basedOn w:val="TableNormal0"/>
    <w:qFormat/>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qc.org.uk/publications/themed-work/national-review-maternity-services-england-2022-2024" TargetMode="External"/><Relationship Id="rId18" Type="http://schemas.openxmlformats.org/officeDocument/2006/relationships/hyperlink" Target="https://www.gov.uk/government/publications/final-report-of-the-ockenden-review" TargetMode="External"/><Relationship Id="rId26" Type="http://schemas.openxmlformats.org/officeDocument/2006/relationships/hyperlink" Target="https://www.sath.nhs.uk" TargetMode="External"/><Relationship Id="rId3" Type="http://schemas.openxmlformats.org/officeDocument/2006/relationships/settings" Target="settings.xml"/><Relationship Id="rId21" Type="http://schemas.openxmlformats.org/officeDocument/2006/relationships/hyperlink" Target="https://www.england.nhs.uk/publication/three-year-delivery-plan-for-maternity-and-neonatal-services/" TargetMode="External"/><Relationship Id="rId7" Type="http://schemas.openxmlformats.org/officeDocument/2006/relationships/image" Target="media/image1.png"/><Relationship Id="rId12" Type="http://schemas.openxmlformats.org/officeDocument/2006/relationships/hyperlink" Target="https://commonslibrary.parliament.uk/research-briefings/cdp-2025-0041/" TargetMode="External"/><Relationship Id="rId17" Type="http://schemas.openxmlformats.org/officeDocument/2006/relationships/hyperlink" Target="https://www.gov.uk/government/publications/final-report-of-the-ockenden-review" TargetMode="External"/><Relationship Id="rId25" Type="http://schemas.openxmlformats.org/officeDocument/2006/relationships/hyperlink" Target="https://www.sath.nhs.uk" TargetMode="External"/><Relationship Id="rId2" Type="http://schemas.openxmlformats.org/officeDocument/2006/relationships/styles" Target="styles.xml"/><Relationship Id="rId16" Type="http://schemas.openxmlformats.org/officeDocument/2006/relationships/hyperlink" Target="https://www.cqc.org.uk/publications/state-care/state-health-care-and-adult-social-care-england-2024-25" TargetMode="External"/><Relationship Id="rId20" Type="http://schemas.openxmlformats.org/officeDocument/2006/relationships/hyperlink" Target="https://www.mnsi.org.uk/publications/annual-publication-of-mnsi-safety-recommendations-2024-2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mmonslibrary.parliament.uk/research-briefings/cdp-2025-0041/" TargetMode="External"/><Relationship Id="rId24" Type="http://schemas.openxmlformats.org/officeDocument/2006/relationships/hyperlink" Target="https://www.health.org.uk/publications/continuous-improvement-of-patient-safety" TargetMode="External"/><Relationship Id="rId5" Type="http://schemas.openxmlformats.org/officeDocument/2006/relationships/footnotes" Target="footnotes.xml"/><Relationship Id="rId15" Type="http://schemas.openxmlformats.org/officeDocument/2006/relationships/hyperlink" Target="https://www.cqc.org.uk/publications/state-care/state-health-care-and-adult-social-care-england-2024-25" TargetMode="External"/><Relationship Id="rId23" Type="http://schemas.openxmlformats.org/officeDocument/2006/relationships/hyperlink" Target="https://www.health.org.uk/publications/continuous-improvement-of-patient-safety" TargetMode="External"/><Relationship Id="rId28" Type="http://schemas.openxmlformats.org/officeDocument/2006/relationships/hyperlink" Target="https://www.westernregionalnetwork.org/post/the-pdsa-cycle" TargetMode="External"/><Relationship Id="rId10" Type="http://schemas.openxmlformats.org/officeDocument/2006/relationships/image" Target="media/image4.png"/><Relationship Id="rId19" Type="http://schemas.openxmlformats.org/officeDocument/2006/relationships/hyperlink" Target="https://www.mnsi.org.uk/publications/annual-publication-of-mnsi-safety-recommendations-2024-25/"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qc.org.uk/publications/themed-work/national-review-maternity-services-england-2022-2024" TargetMode="External"/><Relationship Id="rId22" Type="http://schemas.openxmlformats.org/officeDocument/2006/relationships/hyperlink" Target="https://www.england.nhs.uk/publication/three-year-delivery-plan-for-maternity-and-neonatal-services/" TargetMode="External"/><Relationship Id="rId27" Type="http://schemas.openxmlformats.org/officeDocument/2006/relationships/hyperlink" Target="https://www.westernregionalnetwork.org/post/the-pdsa-cycle"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JrIx48rATsnBLYFK94KXkuO/rA==">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5030</Words>
  <Characters>28677</Characters>
  <Application>Microsoft Office Word</Application>
  <DocSecurity>0</DocSecurity>
  <Lines>238</Lines>
  <Paragraphs>67</Paragraphs>
  <ScaleCrop>false</ScaleCrop>
  <Company/>
  <LinksUpToDate>false</LinksUpToDate>
  <CharactersWithSpaces>33640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Nidhi Kachhia</cp:lastModifiedBy>
  <cp:revision>3</cp:revision>
  <dcterms:created xsi:type="dcterms:W3CDTF">2026-08-06T10:52:00Z</dcterms:created>
  <dcterms:modified xsi:type="dcterms:W3CDTF">2026-08-12T16:49:00Z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1033-12.1.0.28032</vt:lpwstr>
  </property>
  <property fmtid="{D5CDD505-2E9C-101B-9397-08002B2CF9AE}" pid="4" name="ICV">
    <vt:lpwstr>D0C37F49343340878C9C2F3076F1CB2E_12</vt:lpwstr>
  </property>
</Properties>
</file>