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399892419"/>
        <w:docPartObj>
          <w:docPartGallery w:val="Cover Pages"/>
          <w:docPartUnique/>
        </w:docPartObj>
      </w:sdtPr>
      <w:sdtEndPr>
        <w:rPr>
          <w:rFonts w:asciiTheme="majorHAnsi" w:eastAsiaTheme="majorEastAsia" w:hAnsiTheme="majorHAnsi" w:cstheme="majorBidi"/>
          <w:caps/>
          <w:color w:val="4472C4" w:themeColor="accent1"/>
          <w:sz w:val="72"/>
          <w:szCs w:val="72"/>
          <w:lang w:val="en-US" w:eastAsia="zh-CN"/>
        </w:rPr>
      </w:sdtEndPr>
      <w:sdtContent>
        <w:p w:rsidR="0005011F" w:rsidRPr="00CF1FAE" w:rsidRDefault="0005011F" w:rsidP="0005011F">
          <w:pPr>
            <w:jc w:val="center"/>
            <w:rPr>
              <w:sz w:val="56"/>
              <w:szCs w:val="56"/>
            </w:rPr>
          </w:pPr>
          <w:r w:rsidRPr="00CF1FAE">
            <w:rPr>
              <w:sz w:val="56"/>
              <w:szCs w:val="56"/>
            </w:rPr>
            <w:t>Psychology for Health and Social Care</w:t>
          </w:r>
        </w:p>
        <w:p w:rsidR="0005011F" w:rsidRPr="00CF1FAE" w:rsidRDefault="0005011F" w:rsidP="0005011F">
          <w:pPr>
            <w:jc w:val="center"/>
            <w:rPr>
              <w:sz w:val="56"/>
              <w:szCs w:val="56"/>
            </w:rPr>
          </w:pPr>
          <w:r w:rsidRPr="00CF1FAE">
            <w:rPr>
              <w:sz w:val="56"/>
              <w:szCs w:val="56"/>
            </w:rPr>
            <w:t>Task 1</w:t>
          </w:r>
        </w:p>
        <w:p w:rsidR="0005011F" w:rsidRDefault="0005011F" w:rsidP="0005011F">
          <w:pPr>
            <w:jc w:val="center"/>
            <w:rPr>
              <w:sz w:val="52"/>
              <w:szCs w:val="52"/>
            </w:rPr>
          </w:pPr>
          <w:r w:rsidRPr="00CF1FAE">
            <w:rPr>
              <w:sz w:val="56"/>
              <w:szCs w:val="56"/>
            </w:rPr>
            <w:t>BMHP4003</w:t>
          </w:r>
        </w:p>
        <w:p w:rsidR="0005011F" w:rsidRDefault="0005011F" w:rsidP="0005011F">
          <w:pPr>
            <w:jc w:val="center"/>
            <w:rPr>
              <w:sz w:val="52"/>
              <w:szCs w:val="52"/>
            </w:rPr>
          </w:pPr>
          <w:r>
            <w:rPr>
              <w:sz w:val="52"/>
              <w:szCs w:val="52"/>
            </w:rPr>
            <w:t>Rositsa Stoyanova</w:t>
          </w:r>
        </w:p>
        <w:p w:rsidR="0005011F" w:rsidRDefault="0005011F" w:rsidP="0005011F">
          <w:pPr>
            <w:jc w:val="center"/>
            <w:rPr>
              <w:sz w:val="52"/>
              <w:szCs w:val="52"/>
            </w:rPr>
          </w:pPr>
          <w:r>
            <w:rPr>
              <w:sz w:val="52"/>
              <w:szCs w:val="52"/>
            </w:rPr>
            <w:t>Student ID: 1920410</w:t>
          </w:r>
        </w:p>
        <w:p w:rsidR="0005011F" w:rsidRDefault="0005011F" w:rsidP="0005011F">
          <w:pPr>
            <w:jc w:val="center"/>
            <w:rPr>
              <w:sz w:val="52"/>
              <w:szCs w:val="52"/>
            </w:rPr>
          </w:pPr>
          <w:r>
            <w:rPr>
              <w:sz w:val="52"/>
              <w:szCs w:val="52"/>
            </w:rPr>
            <w:t>Group 2</w:t>
          </w:r>
        </w:p>
        <w:p w:rsidR="0005011F" w:rsidRDefault="0005011F" w:rsidP="0005011F">
          <w:pPr>
            <w:jc w:val="center"/>
            <w:rPr>
              <w:sz w:val="52"/>
              <w:szCs w:val="52"/>
            </w:rPr>
          </w:pPr>
          <w:r>
            <w:rPr>
              <w:sz w:val="52"/>
              <w:szCs w:val="52"/>
            </w:rPr>
            <w:t>Lecturer</w:t>
          </w:r>
        </w:p>
        <w:p w:rsidR="0005011F" w:rsidRDefault="0005011F" w:rsidP="0005011F">
          <w:pPr>
            <w:jc w:val="center"/>
            <w:rPr>
              <w:sz w:val="52"/>
              <w:szCs w:val="52"/>
            </w:rPr>
          </w:pPr>
          <w:r>
            <w:rPr>
              <w:sz w:val="52"/>
              <w:szCs w:val="52"/>
            </w:rPr>
            <w:t>Adesewa Ajayi</w:t>
          </w:r>
        </w:p>
        <w:p w:rsidR="0005011F" w:rsidRPr="0005011F" w:rsidRDefault="0005011F" w:rsidP="0005011F">
          <w:pPr>
            <w:jc w:val="center"/>
            <w:rPr>
              <w:rFonts w:asciiTheme="majorHAnsi" w:eastAsiaTheme="majorEastAsia" w:hAnsiTheme="majorHAnsi" w:cstheme="majorBidi"/>
              <w:caps/>
              <w:color w:val="4472C4" w:themeColor="accent1"/>
              <w:sz w:val="52"/>
              <w:szCs w:val="52"/>
              <w:lang w:val="en-US" w:eastAsia="zh-CN"/>
            </w:rPr>
          </w:pPr>
        </w:p>
        <w:p w:rsidR="0005011F" w:rsidRDefault="0005011F">
          <w:pPr>
            <w:spacing w:after="0" w:line="240" w:lineRule="auto"/>
            <w:rPr>
              <w:rFonts w:asciiTheme="majorHAnsi" w:eastAsiaTheme="majorEastAsia" w:hAnsiTheme="majorHAnsi" w:cstheme="majorBidi"/>
              <w:caps/>
              <w:color w:val="4472C4" w:themeColor="accent1"/>
              <w:sz w:val="72"/>
              <w:szCs w:val="72"/>
              <w:lang w:val="en-US" w:eastAsia="zh-CN"/>
            </w:rPr>
          </w:pPr>
          <w:r>
            <w:rPr>
              <w:rFonts w:asciiTheme="majorHAnsi" w:eastAsiaTheme="majorEastAsia" w:hAnsiTheme="majorHAnsi" w:cstheme="majorBidi"/>
              <w:caps/>
              <w:color w:val="4472C4" w:themeColor="accent1"/>
              <w:sz w:val="72"/>
              <w:szCs w:val="72"/>
              <w:lang w:val="en-US" w:eastAsia="zh-CN"/>
            </w:rPr>
            <w:br w:type="page"/>
          </w:r>
        </w:p>
        <w:p w:rsidR="00DA07EE" w:rsidRDefault="00EA4177" w:rsidP="00CC5F7A">
          <w:pPr>
            <w:rPr>
              <w:rFonts w:asciiTheme="majorHAnsi" w:eastAsiaTheme="majorEastAsia" w:hAnsiTheme="majorHAnsi" w:cstheme="majorBidi"/>
              <w:caps/>
              <w:color w:val="4472C4" w:themeColor="accent1"/>
              <w:sz w:val="72"/>
              <w:szCs w:val="72"/>
              <w:lang w:val="en-US" w:eastAsia="zh-CN"/>
            </w:rPr>
          </w:pPr>
        </w:p>
      </w:sdtContent>
    </w:sdt>
    <w:sdt>
      <w:sdtPr>
        <w:rPr>
          <w:rFonts w:ascii="Arial" w:eastAsiaTheme="minorHAnsi" w:hAnsi="Arial" w:cstheme="minorBidi"/>
          <w:b w:val="0"/>
          <w:bCs w:val="0"/>
          <w:color w:val="auto"/>
          <w:sz w:val="24"/>
          <w:szCs w:val="22"/>
          <w:lang w:val="en-GB"/>
        </w:rPr>
        <w:id w:val="-147140425"/>
        <w:docPartObj>
          <w:docPartGallery w:val="Table of Contents"/>
          <w:docPartUnique/>
        </w:docPartObj>
      </w:sdtPr>
      <w:sdtEndPr>
        <w:rPr>
          <w:noProof/>
        </w:rPr>
      </w:sdtEndPr>
      <w:sdtContent>
        <w:p w:rsidR="00AF06E7" w:rsidRDefault="00AF06E7">
          <w:pPr>
            <w:pStyle w:val="TOCHeading"/>
          </w:pPr>
          <w:r>
            <w:t>Table of Contents</w:t>
          </w:r>
        </w:p>
        <w:p w:rsidR="00AF06E7" w:rsidRDefault="00EA4177">
          <w:pPr>
            <w:pStyle w:val="TOC1"/>
            <w:tabs>
              <w:tab w:val="right" w:leader="dot" w:pos="9016"/>
            </w:tabs>
            <w:rPr>
              <w:noProof/>
            </w:rPr>
          </w:pPr>
          <w:r w:rsidRPr="00EA4177">
            <w:rPr>
              <w:b w:val="0"/>
              <w:bCs w:val="0"/>
            </w:rPr>
            <w:fldChar w:fldCharType="begin"/>
          </w:r>
          <w:r w:rsidR="00AF06E7">
            <w:instrText xml:space="preserve"> TOC \o "1-3" \h \z \u </w:instrText>
          </w:r>
          <w:r w:rsidRPr="00EA4177">
            <w:rPr>
              <w:b w:val="0"/>
              <w:bCs w:val="0"/>
            </w:rPr>
            <w:fldChar w:fldCharType="separate"/>
          </w:r>
          <w:hyperlink w:anchor="_Toc70959162" w:history="1">
            <w:r w:rsidR="00AF06E7" w:rsidRPr="00161395">
              <w:rPr>
                <w:rStyle w:val="Hyperlink"/>
                <w:noProof/>
              </w:rPr>
              <w:t>Introduction</w:t>
            </w:r>
            <w:r w:rsidR="00AF06E7">
              <w:rPr>
                <w:noProof/>
                <w:webHidden/>
              </w:rPr>
              <w:tab/>
            </w:r>
            <w:r>
              <w:rPr>
                <w:noProof/>
                <w:webHidden/>
              </w:rPr>
              <w:fldChar w:fldCharType="begin"/>
            </w:r>
            <w:r w:rsidR="00AF06E7">
              <w:rPr>
                <w:noProof/>
                <w:webHidden/>
              </w:rPr>
              <w:instrText xml:space="preserve"> PAGEREF _Toc70959162 \h </w:instrText>
            </w:r>
            <w:r>
              <w:rPr>
                <w:noProof/>
                <w:webHidden/>
              </w:rPr>
            </w:r>
            <w:r>
              <w:rPr>
                <w:noProof/>
                <w:webHidden/>
              </w:rPr>
              <w:fldChar w:fldCharType="separate"/>
            </w:r>
            <w:r w:rsidR="00AF06E7">
              <w:rPr>
                <w:noProof/>
                <w:webHidden/>
              </w:rPr>
              <w:t>2</w:t>
            </w:r>
            <w:r>
              <w:rPr>
                <w:noProof/>
                <w:webHidden/>
              </w:rPr>
              <w:fldChar w:fldCharType="end"/>
            </w:r>
          </w:hyperlink>
        </w:p>
        <w:p w:rsidR="00AF06E7" w:rsidRDefault="00EA4177">
          <w:pPr>
            <w:pStyle w:val="TOC1"/>
            <w:tabs>
              <w:tab w:val="right" w:leader="dot" w:pos="9016"/>
            </w:tabs>
            <w:rPr>
              <w:noProof/>
            </w:rPr>
          </w:pPr>
          <w:hyperlink w:anchor="_Toc70959163" w:history="1">
            <w:r w:rsidR="00AF06E7" w:rsidRPr="00161395">
              <w:rPr>
                <w:rStyle w:val="Hyperlink"/>
                <w:noProof/>
              </w:rPr>
              <w:t>Choosing a life stage and professional experience</w:t>
            </w:r>
            <w:r w:rsidR="00AF06E7">
              <w:rPr>
                <w:noProof/>
                <w:webHidden/>
              </w:rPr>
              <w:tab/>
            </w:r>
            <w:r>
              <w:rPr>
                <w:noProof/>
                <w:webHidden/>
              </w:rPr>
              <w:fldChar w:fldCharType="begin"/>
            </w:r>
            <w:r w:rsidR="00AF06E7">
              <w:rPr>
                <w:noProof/>
                <w:webHidden/>
              </w:rPr>
              <w:instrText xml:space="preserve"> PAGEREF _Toc70959163 \h </w:instrText>
            </w:r>
            <w:r>
              <w:rPr>
                <w:noProof/>
                <w:webHidden/>
              </w:rPr>
            </w:r>
            <w:r>
              <w:rPr>
                <w:noProof/>
                <w:webHidden/>
              </w:rPr>
              <w:fldChar w:fldCharType="separate"/>
            </w:r>
            <w:r w:rsidR="00AF06E7">
              <w:rPr>
                <w:noProof/>
                <w:webHidden/>
              </w:rPr>
              <w:t>2</w:t>
            </w:r>
            <w:r>
              <w:rPr>
                <w:noProof/>
                <w:webHidden/>
              </w:rPr>
              <w:fldChar w:fldCharType="end"/>
            </w:r>
          </w:hyperlink>
        </w:p>
        <w:p w:rsidR="00AF06E7" w:rsidRDefault="00EA4177">
          <w:pPr>
            <w:pStyle w:val="TOC1"/>
            <w:tabs>
              <w:tab w:val="right" w:leader="dot" w:pos="9016"/>
            </w:tabs>
            <w:rPr>
              <w:noProof/>
            </w:rPr>
          </w:pPr>
          <w:hyperlink w:anchor="_Toc70959164" w:history="1">
            <w:r w:rsidR="00AF06E7" w:rsidRPr="00161395">
              <w:rPr>
                <w:rStyle w:val="Hyperlink"/>
                <w:noProof/>
              </w:rPr>
              <w:t>Relate any two lifespan psychological theories</w:t>
            </w:r>
            <w:r w:rsidR="00AF06E7">
              <w:rPr>
                <w:noProof/>
                <w:webHidden/>
              </w:rPr>
              <w:tab/>
            </w:r>
            <w:r>
              <w:rPr>
                <w:noProof/>
                <w:webHidden/>
              </w:rPr>
              <w:fldChar w:fldCharType="begin"/>
            </w:r>
            <w:r w:rsidR="00AF06E7">
              <w:rPr>
                <w:noProof/>
                <w:webHidden/>
              </w:rPr>
              <w:instrText xml:space="preserve"> PAGEREF _Toc70959164 \h </w:instrText>
            </w:r>
            <w:r>
              <w:rPr>
                <w:noProof/>
                <w:webHidden/>
              </w:rPr>
            </w:r>
            <w:r>
              <w:rPr>
                <w:noProof/>
                <w:webHidden/>
              </w:rPr>
              <w:fldChar w:fldCharType="separate"/>
            </w:r>
            <w:r w:rsidR="00AF06E7">
              <w:rPr>
                <w:noProof/>
                <w:webHidden/>
              </w:rPr>
              <w:t>3</w:t>
            </w:r>
            <w:r>
              <w:rPr>
                <w:noProof/>
                <w:webHidden/>
              </w:rPr>
              <w:fldChar w:fldCharType="end"/>
            </w:r>
          </w:hyperlink>
        </w:p>
        <w:p w:rsidR="00AF06E7" w:rsidRDefault="00EA4177">
          <w:pPr>
            <w:pStyle w:val="TOC1"/>
            <w:tabs>
              <w:tab w:val="right" w:leader="dot" w:pos="9016"/>
            </w:tabs>
            <w:rPr>
              <w:noProof/>
            </w:rPr>
          </w:pPr>
          <w:hyperlink w:anchor="_Toc70959165" w:history="1">
            <w:r w:rsidR="00AF06E7" w:rsidRPr="00161395">
              <w:rPr>
                <w:rStyle w:val="Hyperlink"/>
                <w:noProof/>
              </w:rPr>
              <w:t>Human cognition, emotions and behaviour patterns</w:t>
            </w:r>
            <w:r w:rsidR="00AF06E7">
              <w:rPr>
                <w:noProof/>
                <w:webHidden/>
              </w:rPr>
              <w:tab/>
            </w:r>
            <w:r>
              <w:rPr>
                <w:noProof/>
                <w:webHidden/>
              </w:rPr>
              <w:fldChar w:fldCharType="begin"/>
            </w:r>
            <w:r w:rsidR="00AF06E7">
              <w:rPr>
                <w:noProof/>
                <w:webHidden/>
              </w:rPr>
              <w:instrText xml:space="preserve"> PAGEREF _Toc70959165 \h </w:instrText>
            </w:r>
            <w:r>
              <w:rPr>
                <w:noProof/>
                <w:webHidden/>
              </w:rPr>
            </w:r>
            <w:r>
              <w:rPr>
                <w:noProof/>
                <w:webHidden/>
              </w:rPr>
              <w:fldChar w:fldCharType="separate"/>
            </w:r>
            <w:r w:rsidR="00AF06E7">
              <w:rPr>
                <w:noProof/>
                <w:webHidden/>
              </w:rPr>
              <w:t>5</w:t>
            </w:r>
            <w:r>
              <w:rPr>
                <w:noProof/>
                <w:webHidden/>
              </w:rPr>
              <w:fldChar w:fldCharType="end"/>
            </w:r>
          </w:hyperlink>
        </w:p>
        <w:p w:rsidR="00AF06E7" w:rsidRDefault="00EA4177">
          <w:pPr>
            <w:pStyle w:val="TOC1"/>
            <w:tabs>
              <w:tab w:val="right" w:leader="dot" w:pos="9016"/>
            </w:tabs>
            <w:rPr>
              <w:noProof/>
            </w:rPr>
          </w:pPr>
          <w:hyperlink w:anchor="_Toc70959166" w:history="1">
            <w:r w:rsidR="00AF06E7" w:rsidRPr="00161395">
              <w:rPr>
                <w:rStyle w:val="Hyperlink"/>
                <w:noProof/>
              </w:rPr>
              <w:t>Additional Research</w:t>
            </w:r>
            <w:r w:rsidR="00AF06E7">
              <w:rPr>
                <w:noProof/>
                <w:webHidden/>
              </w:rPr>
              <w:tab/>
            </w:r>
            <w:r>
              <w:rPr>
                <w:noProof/>
                <w:webHidden/>
              </w:rPr>
              <w:fldChar w:fldCharType="begin"/>
            </w:r>
            <w:r w:rsidR="00AF06E7">
              <w:rPr>
                <w:noProof/>
                <w:webHidden/>
              </w:rPr>
              <w:instrText xml:space="preserve"> PAGEREF _Toc70959166 \h </w:instrText>
            </w:r>
            <w:r>
              <w:rPr>
                <w:noProof/>
                <w:webHidden/>
              </w:rPr>
            </w:r>
            <w:r>
              <w:rPr>
                <w:noProof/>
                <w:webHidden/>
              </w:rPr>
              <w:fldChar w:fldCharType="separate"/>
            </w:r>
            <w:r w:rsidR="00AF06E7">
              <w:rPr>
                <w:noProof/>
                <w:webHidden/>
              </w:rPr>
              <w:t>5</w:t>
            </w:r>
            <w:r>
              <w:rPr>
                <w:noProof/>
                <w:webHidden/>
              </w:rPr>
              <w:fldChar w:fldCharType="end"/>
            </w:r>
          </w:hyperlink>
        </w:p>
        <w:p w:rsidR="00AF06E7" w:rsidRDefault="00EA4177">
          <w:pPr>
            <w:pStyle w:val="TOC1"/>
            <w:tabs>
              <w:tab w:val="right" w:leader="dot" w:pos="9016"/>
            </w:tabs>
            <w:rPr>
              <w:noProof/>
            </w:rPr>
          </w:pPr>
          <w:hyperlink w:anchor="_Toc70959167" w:history="1">
            <w:r w:rsidR="00AF06E7" w:rsidRPr="00161395">
              <w:rPr>
                <w:rStyle w:val="Hyperlink"/>
                <w:noProof/>
              </w:rPr>
              <w:t>Conclusion</w:t>
            </w:r>
            <w:r w:rsidR="00AF06E7">
              <w:rPr>
                <w:noProof/>
                <w:webHidden/>
              </w:rPr>
              <w:tab/>
            </w:r>
            <w:r>
              <w:rPr>
                <w:noProof/>
                <w:webHidden/>
              </w:rPr>
              <w:fldChar w:fldCharType="begin"/>
            </w:r>
            <w:r w:rsidR="00AF06E7">
              <w:rPr>
                <w:noProof/>
                <w:webHidden/>
              </w:rPr>
              <w:instrText xml:space="preserve"> PAGEREF _Toc70959167 \h </w:instrText>
            </w:r>
            <w:r>
              <w:rPr>
                <w:noProof/>
                <w:webHidden/>
              </w:rPr>
            </w:r>
            <w:r>
              <w:rPr>
                <w:noProof/>
                <w:webHidden/>
              </w:rPr>
              <w:fldChar w:fldCharType="separate"/>
            </w:r>
            <w:r w:rsidR="00AF06E7">
              <w:rPr>
                <w:noProof/>
                <w:webHidden/>
              </w:rPr>
              <w:t>6</w:t>
            </w:r>
            <w:r>
              <w:rPr>
                <w:noProof/>
                <w:webHidden/>
              </w:rPr>
              <w:fldChar w:fldCharType="end"/>
            </w:r>
          </w:hyperlink>
        </w:p>
        <w:p w:rsidR="00AF06E7" w:rsidRDefault="00EA4177">
          <w:pPr>
            <w:pStyle w:val="TOC1"/>
            <w:tabs>
              <w:tab w:val="right" w:leader="dot" w:pos="9016"/>
            </w:tabs>
            <w:rPr>
              <w:noProof/>
            </w:rPr>
          </w:pPr>
          <w:hyperlink w:anchor="_Toc70959168" w:history="1">
            <w:r w:rsidR="00AF06E7" w:rsidRPr="00161395">
              <w:rPr>
                <w:rStyle w:val="Hyperlink"/>
                <w:noProof/>
              </w:rPr>
              <w:t>References</w:t>
            </w:r>
            <w:r w:rsidR="00AF06E7">
              <w:rPr>
                <w:noProof/>
                <w:webHidden/>
              </w:rPr>
              <w:tab/>
            </w:r>
            <w:r>
              <w:rPr>
                <w:noProof/>
                <w:webHidden/>
              </w:rPr>
              <w:fldChar w:fldCharType="begin"/>
            </w:r>
            <w:r w:rsidR="00AF06E7">
              <w:rPr>
                <w:noProof/>
                <w:webHidden/>
              </w:rPr>
              <w:instrText xml:space="preserve"> PAGEREF _Toc70959168 \h </w:instrText>
            </w:r>
            <w:r>
              <w:rPr>
                <w:noProof/>
                <w:webHidden/>
              </w:rPr>
            </w:r>
            <w:r>
              <w:rPr>
                <w:noProof/>
                <w:webHidden/>
              </w:rPr>
              <w:fldChar w:fldCharType="separate"/>
            </w:r>
            <w:r w:rsidR="00AF06E7">
              <w:rPr>
                <w:noProof/>
                <w:webHidden/>
              </w:rPr>
              <w:t>7</w:t>
            </w:r>
            <w:r>
              <w:rPr>
                <w:noProof/>
                <w:webHidden/>
              </w:rPr>
              <w:fldChar w:fldCharType="end"/>
            </w:r>
          </w:hyperlink>
        </w:p>
        <w:p w:rsidR="00AF06E7" w:rsidRDefault="00EA4177">
          <w:r>
            <w:rPr>
              <w:b/>
              <w:bCs/>
              <w:noProof/>
            </w:rPr>
            <w:fldChar w:fldCharType="end"/>
          </w:r>
        </w:p>
      </w:sdtContent>
    </w:sdt>
    <w:p w:rsidR="00FE6EE1" w:rsidRDefault="00ED74F7"/>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p w:rsidR="00DA07EE" w:rsidRDefault="00DA07EE" w:rsidP="00321E26">
      <w:pPr>
        <w:pStyle w:val="Heading1"/>
      </w:pPr>
      <w:bookmarkStart w:id="0" w:name="_Toc70959162"/>
      <w:r>
        <w:t>Introduction</w:t>
      </w:r>
      <w:bookmarkEnd w:id="0"/>
    </w:p>
    <w:p w:rsidR="00AF06E7" w:rsidRDefault="006F591D" w:rsidP="00321E26">
      <w:r w:rsidRPr="006F591D">
        <w:t xml:space="preserve">Throughout life, people go through many </w:t>
      </w:r>
      <w:r>
        <w:t>different developments and life experiences which shape their changing attitudes</w:t>
      </w:r>
      <w:r w:rsidRPr="006F591D">
        <w:t xml:space="preserve">. Improvement is characterized as the development of people during their lifetime from the earliest stages to death (Sarafino, 2014). Various efforts are being made to understand and clarify how a person progresses throughout life. Given that most of the progressions they encounter over time are common, common and regularly expected, they are in fact difficulties for certain individuals and often expect supervisory help. By understanding the regulatory cycle of progress, the expert is in a better position to identify expected problems and propose petitions, leading to a more attractive outcome (Steinberg and Morris, 2011). </w:t>
      </w:r>
    </w:p>
    <w:p w:rsidR="00321E26" w:rsidRDefault="006F591D" w:rsidP="00321E26">
      <w:r w:rsidRPr="006F591D">
        <w:t>Therefore, formative brain science can be characterized as the study of how people develop very ridiculously, which is comprehensive for physi</w:t>
      </w:r>
      <w:r w:rsidR="00CF1FAE">
        <w:t xml:space="preserve">cal, psychological, scientific, </w:t>
      </w:r>
      <w:r w:rsidR="00CF1FAE" w:rsidRPr="006F591D">
        <w:t>social</w:t>
      </w:r>
      <w:r w:rsidRPr="006F591D">
        <w:t xml:space="preserve">, perception, enthusiasm and character development. The report will focus on the study of the relevant study, which includes the part from the mental point of view on well-being and social considerations </w:t>
      </w:r>
      <w:r w:rsidR="00AF06E7" w:rsidRPr="00AF06E7">
        <w:t>(Pinheiro et al., 2020)</w:t>
      </w:r>
      <w:r w:rsidR="00AF06E7">
        <w:t>. It</w:t>
      </w:r>
      <w:r w:rsidRPr="006F591D">
        <w:t xml:space="preserve"> expects to summarize the findings on youth issues that will be applied through the choice of daily life, to organize it and link it to other speculations about life expectancy, and to present a calculated structure relevant to the various examples of progress among teenagers.</w:t>
      </w:r>
    </w:p>
    <w:p w:rsidR="00321E26" w:rsidRDefault="00321E26" w:rsidP="00321E26">
      <w:pPr>
        <w:pStyle w:val="Heading1"/>
      </w:pPr>
      <w:bookmarkStart w:id="1" w:name="_Toc70959163"/>
      <w:r>
        <w:t>Choosing a life stage and professional experience</w:t>
      </w:r>
      <w:bookmarkEnd w:id="1"/>
    </w:p>
    <w:p w:rsidR="00AF06E7" w:rsidRDefault="006F591D" w:rsidP="00321E26">
      <w:r w:rsidRPr="006F591D">
        <w:t>The stage of existence that is thought of is youth</w:t>
      </w:r>
      <w:r>
        <w:t>, which is also referred to as adolescence</w:t>
      </w:r>
      <w:r w:rsidRPr="006F591D">
        <w:t xml:space="preserve">. This is a stage of life that occurs between the long stretches from the middle of the </w:t>
      </w:r>
      <w:r>
        <w:t>12</w:t>
      </w:r>
      <w:r w:rsidRPr="006F591D">
        <w:t xml:space="preserve"> to the end of the </w:t>
      </w:r>
      <w:r>
        <w:t>20</w:t>
      </w:r>
      <w:r w:rsidRPr="006F591D">
        <w:t xml:space="preserve"> years of a person's life. There are various physical and mental changes that are obvious while at this stage (</w:t>
      </w:r>
      <w:r w:rsidR="00AF06E7" w:rsidRPr="00AF06E7">
        <w:t>Pinheiro et al., 2020)</w:t>
      </w:r>
      <w:r w:rsidR="00AF06E7">
        <w:t xml:space="preserve">. </w:t>
      </w:r>
      <w:r w:rsidRPr="006F591D">
        <w:t xml:space="preserve">Considered the pinnacle of one's life, this stage is described by various changes and is regularly reported for great well-being and physical condition. According to the World Wealth Association, the teenage phase is a period in a person's life when a person creates information, abilities and can understand how to observe relationships and feelings and acquire abilities that are essential in dealing with long periods of worship. </w:t>
      </w:r>
    </w:p>
    <w:p w:rsidR="00AF06E7" w:rsidRDefault="006F591D" w:rsidP="00321E26">
      <w:r w:rsidRPr="006F591D">
        <w:t>Social orders see that at this time in life there is a difference between being young and becoming an adult, and this progress towards adulthood is perceived distinctly by different societies, and in the past was moderately rapid in some different societies, but this has changed after a while. Age has consistently been used usefully to characterize teenagers, but it has been found that this is not the lone brand that distin</w:t>
      </w:r>
      <w:r w:rsidR="00C548B9">
        <w:t>guishes this time of progress. Ag</w:t>
      </w:r>
      <w:r w:rsidRPr="006F591D">
        <w:t xml:space="preserve">e is constantly appropriate for assessment and contrasts with natural changes, which are actually seen as comprehensive, rather than social progress, which in general will vary more with the socio-social climate (Kamleitner et al., 2012). This stage of life is seen as one of the fastest stages in the progress of the individual and yet the demand for progressions </w:t>
      </w:r>
      <w:r w:rsidRPr="006F591D">
        <w:lastRenderedPageBreak/>
        <w:t xml:space="preserve">in general will be widespread their planning and how quickly they change vary among people depending on qualities such as gender and external elements such as climate which affect change. Part of the clear physiological changes observed during this stage is the improvement is regenerative development for both men and women. The two players begin to face changes in their bodies through the development of regenerative organs for women from their bosom, </w:t>
      </w:r>
      <w:r w:rsidR="009D7D47" w:rsidRPr="006F591D">
        <w:t>develop;</w:t>
      </w:r>
      <w:r w:rsidRPr="006F591D">
        <w:t xml:space="preserve"> thighs expand for the male voice of the beneficiary as a whole will go further and create a masculine body. At this stage of life, fundamental neuronal achievements occur (Matthews, 2018). </w:t>
      </w:r>
    </w:p>
    <w:p w:rsidR="00321E26" w:rsidRDefault="006F591D" w:rsidP="00321E26">
      <w:r w:rsidRPr="006F591D">
        <w:t xml:space="preserve">These </w:t>
      </w:r>
      <w:r w:rsidR="00AF06E7">
        <w:t xml:space="preserve">types of </w:t>
      </w:r>
      <w:r w:rsidRPr="006F591D">
        <w:t xml:space="preserve">achievements are related to hormonal changes, but usually do not depend on them. Such improvements occur in various places such as the mind as the limbic framework, which should be responsible for seeking joy and renewal, passionate reactions and guidelines for rest. In the same way, there are changes in the territory of the cortex, which is responsible for what we refer to as leadership abilities, such as making choices, associating, controlling motivation, and taking action for future cases. These progressions regularly appear later in the young adult stage </w:t>
      </w:r>
      <w:r w:rsidR="00AF06E7" w:rsidRPr="00AF06E7">
        <w:t>(Raymen and Smith, 2019)</w:t>
      </w:r>
    </w:p>
    <w:p w:rsidR="00AF06E7" w:rsidRDefault="006F591D" w:rsidP="00321E26">
      <w:r w:rsidRPr="006F591D">
        <w:t xml:space="preserve">In addition to this, it is important to outline the fact that this is associated with neurodevelopment and hormonal improvements, changes in passions and mental angles and emerging and expanding psychological and scientific abilities. During the second decade, young people have developed more sound thinking, moral reasoning and legitimate perspectives and have prepared much for dynamic thinking and stopping sensible choices. These progressions occurring in the climate of young adults are affected by both and are affected by scientific changes at this stage. External influences that are infallible among societies and different social orders include their social qualities and standards and the changing jobs and responsibilities, assumptions and connections of that time in life. Young people in general will stimulate the progression of disease problems in adulthood and adolescence, such as the extension of age in regenerative medical problems, wounds, and psychological disorganization </w:t>
      </w:r>
      <w:r w:rsidR="00AF06E7" w:rsidRPr="00AF06E7">
        <w:t>(Pharo et al., 2011)</w:t>
      </w:r>
      <w:r w:rsidR="00AF06E7">
        <w:t xml:space="preserve">. </w:t>
      </w:r>
    </w:p>
    <w:p w:rsidR="006F591D" w:rsidRDefault="006F591D" w:rsidP="00321E26">
      <w:r w:rsidRPr="006F591D">
        <w:t xml:space="preserve">The presence of certain diseases at this stage, such as substance abuse, mental confusion, regularly reflects the natural changes in adolescence and the social environment that younger people grow up with. In addition, conditions such as extended episodes of some irresistible infections such as schistosomiasis can only be obtained from the daily exercise of young people during such a period. Some of the well-being </w:t>
      </w:r>
      <w:r w:rsidR="000B4F13" w:rsidRPr="006F591D">
        <w:t>behaviours</w:t>
      </w:r>
      <w:r w:rsidRPr="006F591D">
        <w:t xml:space="preserve"> that occur at that time have implications for both the current and future turn of events. For example, alcohol use and weight gain in the early long periods of adolescents reverse events and also provide well-being that will later eliminate alcohol use and steadfastness in life, which is critical to overall well-being.</w:t>
      </w:r>
    </w:p>
    <w:p w:rsidR="00321E26" w:rsidRDefault="00321E26" w:rsidP="00321E26">
      <w:pPr>
        <w:pStyle w:val="Heading1"/>
      </w:pPr>
      <w:bookmarkStart w:id="2" w:name="_Toc70959164"/>
      <w:r>
        <w:t>Relate any two lifespan psychological theories</w:t>
      </w:r>
      <w:bookmarkEnd w:id="2"/>
    </w:p>
    <w:p w:rsidR="00AF06E7" w:rsidRDefault="006F591D" w:rsidP="006F591D">
      <w:r>
        <w:t xml:space="preserve">There are various theories that have examined how people in general have developed in regards to life span. Mental speculations about life expectancy, which are identified with the adolescent phase of life, include the mental hypothesis of </w:t>
      </w:r>
      <w:r>
        <w:lastRenderedPageBreak/>
        <w:t>improvement, and this hypothesis emphasizes the social idea of ​​progress, contrasting with her sexual life. In addition, as noted by Erickson, the facts confirm that the improvement of character occurs, however, a person's life expectancy and he also recommends that cooperation between people regularly affect the personality (Carona et al., 2018). Undoubtedly deriving the hypothesis, we experience about eight phases of progress throughout our lives. Each stage is accompanied by a struggle or task that must be settled. In addition, any effective consumption evokes a sense of skill and also a solid character, but frustration can cause feelings of deficiency, as puberty will generally go through this period of searching for one's own personality stanzas, work disorders and Erickson shows</w:t>
      </w:r>
      <w:r w:rsidR="00AF06E7">
        <w:t>, t</w:t>
      </w:r>
      <w:r>
        <w:t xml:space="preserve">hat the work of a young adult is enormous in building self-esteem. During this time, young people go through a period of trying for a few of themselves to be able to recognize a person from whom they can live. It is clear that teenagers who endure this stage control a more informed ability to be self-aware and are in a better position to remain committed to whatever beliefs and qualities they have in terms of caring for problems and surprisingly from the others. </w:t>
      </w:r>
    </w:p>
    <w:p w:rsidR="006F591D" w:rsidRDefault="006F591D" w:rsidP="006F591D">
      <w:r>
        <w:t>There are young people who are ultimately extremely detached, which is why they do not make any conscious search for their personality, and some of them are compressed to work according to their people's thoughts about their lives. These models are likely to have powerless self-esteem, along with the fact that they will face riots in their work, and they are also considered confused by their future.</w:t>
      </w:r>
    </w:p>
    <w:p w:rsidR="00321E26" w:rsidRDefault="006F591D" w:rsidP="006F591D">
      <w:r>
        <w:t>The psychological hypothesis of progress is seen as another hypothesis that concentrates on the intellectual development of man. The hypothesis seems to clarify that our psychological abilities are located to create at different stages, but there is a change in the way we think and reason as we move, starting with one phase, then to the next.</w:t>
      </w:r>
    </w:p>
    <w:p w:rsidR="006F591D" w:rsidRDefault="006F591D" w:rsidP="006F591D">
      <w:r w:rsidRPr="006F591D">
        <w:t>As Piaget points out, young people obviously build maps that help them understand the world, and when they grow up, they will build a model for most t</w:t>
      </w:r>
      <w:r w:rsidR="008F50B6">
        <w:t xml:space="preserve">hings in everyday life. </w:t>
      </w:r>
      <w:r w:rsidRPr="006F591D">
        <w:t>Convenience and osmosis of the two cycles that children apply to change their outlines (Petersen et al., 2016). Given that young people are able to manage theoretical thoughts along with speculative circumstances. They are considered ready to use their theoretical deduction to determine each test, along with the search for selectable mechanisms. Teenagers are in a better position to understand the reasons, taking into account all things, with their various analogies, legally and this may involve performing various activities in a mathematical way. In general, they will be involved in various components, even in numerical changes, and this is important because of the ability to think fundamentally and identify difficulties and problems in the most ideal way.</w:t>
      </w:r>
    </w:p>
    <w:p w:rsidR="00321E26" w:rsidRDefault="00321E26" w:rsidP="00321E26">
      <w:pPr>
        <w:pStyle w:val="Heading1"/>
      </w:pPr>
      <w:bookmarkStart w:id="3" w:name="_Toc70959165"/>
      <w:r>
        <w:t>Human cognition, emotions and behaviour patterns</w:t>
      </w:r>
      <w:bookmarkEnd w:id="3"/>
    </w:p>
    <w:p w:rsidR="00321E26" w:rsidRDefault="006F591D" w:rsidP="00321E26">
      <w:r w:rsidRPr="006F591D">
        <w:t xml:space="preserve">Research confirms that human recognition often governs the progress of a person's ability to think and think, and this happens between times of immaturity. During this period, young people perform more unpredictable and basic thinking and this is found as a formal consistent activity. People at this stage oppose theoretical </w:t>
      </w:r>
      <w:r w:rsidRPr="006F591D">
        <w:lastRenderedPageBreak/>
        <w:t xml:space="preserve">reasoning, which involves thinking about the many potential results of a test or agreement (Breinbauer and Maddaleno, 2015). This is comprehensive thinking by known standards, along with thinking about different perspectives, and this includes discussing and contrasting different thoughts and moods. Young people are in a situation to think on the way to speculation, which includes the formation of caution in demonstrating perspective when the individual moves to formal activity from concrete thinking. The response of feelings is confirmed in young people due to the rapid physical, social and mental change. Some are positive and related to teenagers, such as appreciation, satisfaction, shock, and respect, while negatives include resentment, hatred, regret, fear, and desire (Nastasi, 2018). The examples of </w:t>
      </w:r>
      <w:r w:rsidR="000B4F13" w:rsidRPr="006F591D">
        <w:t>behaviour</w:t>
      </w:r>
      <w:r w:rsidRPr="006F591D">
        <w:t xml:space="preserve"> that have been proven in teenagers are arranged in stages and qualification between stages. </w:t>
      </w:r>
      <w:r w:rsidR="000B4F13" w:rsidRPr="006F591D">
        <w:t>Behaviour</w:t>
      </w:r>
      <w:r w:rsidRPr="006F591D">
        <w:t>, obviously in the early stages of this stage of life, is in contrast to what is achieved somewhere along the way and this is huge, because a person's work is not clearly characterized and you do not know how to continue and act around their elders. people.</w:t>
      </w:r>
    </w:p>
    <w:p w:rsidR="00321E26" w:rsidRDefault="00321E26" w:rsidP="00321E26">
      <w:pPr>
        <w:pStyle w:val="Heading1"/>
      </w:pPr>
      <w:bookmarkStart w:id="4" w:name="_Toc70959166"/>
      <w:r>
        <w:t>Additional Research</w:t>
      </w:r>
      <w:bookmarkEnd w:id="4"/>
    </w:p>
    <w:p w:rsidR="00AF06E7" w:rsidRDefault="006F591D" w:rsidP="00321E26">
      <w:r w:rsidRPr="006F591D">
        <w:t xml:space="preserve">An optional study has been conducted that helps the opportunity for a mental perspective in well-being and social considerations and for the most part for young people. For example, a study </w:t>
      </w:r>
      <w:r w:rsidR="00AF06E7">
        <w:t xml:space="preserve">by </w:t>
      </w:r>
      <w:r w:rsidR="00AF06E7" w:rsidRPr="00AF06E7">
        <w:t>Toumbourou et al.</w:t>
      </w:r>
      <w:r w:rsidR="00AF06E7">
        <w:t xml:space="preserve"> (</w:t>
      </w:r>
      <w:r w:rsidR="00AF06E7" w:rsidRPr="00AF06E7">
        <w:t xml:space="preserve">2019) </w:t>
      </w:r>
      <w:r w:rsidRPr="006F591D">
        <w:t xml:space="preserve">on the formative perspective of juvenile well-being and evidence of malaise that the adolescent stage is described by more mental, organic, and social changes in work contrasting with different phases of life from the outset </w:t>
      </w:r>
      <w:r w:rsidR="00AF06E7" w:rsidRPr="00AF06E7">
        <w:t>(Toumbourou et al., 2019)</w:t>
      </w:r>
      <w:r w:rsidR="00AF06E7">
        <w:t xml:space="preserve">. </w:t>
      </w:r>
      <w:r w:rsidRPr="006F591D">
        <w:t xml:space="preserve">The research shows that this moment of life is the main one for building deep-rooted positive and dangerous practices related to well-being and that at this very moment in the improvement of life the direction of health can be corrected categorically or contradictorily. </w:t>
      </w:r>
    </w:p>
    <w:p w:rsidR="006F591D" w:rsidRDefault="006F591D" w:rsidP="00321E26">
      <w:r w:rsidRPr="006F591D">
        <w:t xml:space="preserve">The study </w:t>
      </w:r>
      <w:r w:rsidR="00AF06E7">
        <w:t xml:space="preserve">by </w:t>
      </w:r>
      <w:r w:rsidR="00AF06E7" w:rsidRPr="00AF06E7">
        <w:t>Fleary, Joseph and Pappagianopoulos</w:t>
      </w:r>
      <w:r w:rsidR="00AF06E7">
        <w:t xml:space="preserve"> (</w:t>
      </w:r>
      <w:r w:rsidR="00AF06E7" w:rsidRPr="00AF06E7">
        <w:t>2018)</w:t>
      </w:r>
      <w:r w:rsidRPr="006F591D">
        <w:t xml:space="preserve"> on the science of young adult well-being further confirmed the help in this regard, as the study shows that most of the dominant causes of gloom in adulthood are one of a kind in this season of progress, which shows that well-being is zeroed in advocacy for welfare and social considerations must be made explicitly on behalf of young people</w:t>
      </w:r>
      <w:r w:rsidR="00AF06E7">
        <w:t xml:space="preserve">. </w:t>
      </w:r>
      <w:r w:rsidRPr="006F591D">
        <w:t xml:space="preserve">Also, as confirmed in the presentation, it is currently being developed that in general some </w:t>
      </w:r>
      <w:r w:rsidR="000B4F13" w:rsidRPr="006F591D">
        <w:t>behaviour</w:t>
      </w:r>
      <w:r w:rsidRPr="006F591D">
        <w:t xml:space="preserve"> will be created and according to their study of young people at risk of substance use, this person will generally be surprised in obscenities such as substance abuse for what is worthwhile, because now in their lives they strive to cope and the personal case regularly leads to such. The mental perspective of young people shows that mental </w:t>
      </w:r>
      <w:r w:rsidR="008F50B6" w:rsidRPr="006F591D">
        <w:t>deregulation</w:t>
      </w:r>
      <w:r w:rsidRPr="006F591D">
        <w:t xml:space="preserve"> and environmental impacts affect people at this stage. These three studies believe that they have confirmed a huge psychological help for well-being and social considerations.</w:t>
      </w:r>
    </w:p>
    <w:p w:rsidR="00300D48" w:rsidRDefault="00300D48" w:rsidP="00321E26">
      <w:pPr>
        <w:pStyle w:val="Heading1"/>
      </w:pPr>
      <w:bookmarkStart w:id="5" w:name="_Toc70959167"/>
    </w:p>
    <w:p w:rsidR="00321E26" w:rsidRDefault="00321E26" w:rsidP="00321E26">
      <w:pPr>
        <w:pStyle w:val="Heading1"/>
      </w:pPr>
      <w:r>
        <w:t>Conclusion</w:t>
      </w:r>
      <w:bookmarkEnd w:id="5"/>
    </w:p>
    <w:p w:rsidR="00DA07EE" w:rsidRDefault="006F591D" w:rsidP="00321E26">
      <w:r w:rsidRPr="006F591D">
        <w:t xml:space="preserve">All things considered, the report had the opportunity to characterize formative brain research to be the study of how people evolve constantly ridiculously, which is all-encompassing from physical, psychological, scientific, social, perception, passion, and character development. This report considers youth and points out that there are various physical and mental changes that are obvious while they are at this stage. Drawing from various formatting speculations, the mental theory of progress and the intellectual theory of improvement best depict this phase of progress in a person's life and </w:t>
      </w:r>
      <w:r w:rsidR="008F50B6" w:rsidRPr="006F591D">
        <w:t>clarify</w:t>
      </w:r>
      <w:r w:rsidRPr="006F591D">
        <w:t xml:space="preserve"> what progress at this stage means for human insight, feelings and standards of </w:t>
      </w:r>
      <w:r w:rsidR="008F50B6" w:rsidRPr="006F591D">
        <w:t>behaviour</w:t>
      </w:r>
      <w:r w:rsidRPr="006F591D">
        <w:t xml:space="preserve"> with supporting evidence from various others. </w:t>
      </w:r>
      <w:r w:rsidR="009D7D47" w:rsidRPr="006F591D">
        <w:t>The</w:t>
      </w:r>
      <w:r w:rsidRPr="006F591D">
        <w:t xml:space="preserve"> study contemplates.</w:t>
      </w:r>
    </w:p>
    <w:p w:rsidR="00DA07EE" w:rsidRDefault="00DA07EE"/>
    <w:p w:rsidR="00321E26" w:rsidRDefault="00321E26"/>
    <w:p w:rsidR="006F591D" w:rsidRDefault="006F591D"/>
    <w:p w:rsidR="006F591D" w:rsidRDefault="006F591D"/>
    <w:p w:rsidR="006F591D" w:rsidRDefault="006F591D"/>
    <w:p w:rsidR="006F591D" w:rsidRDefault="006F591D"/>
    <w:p w:rsidR="006F591D" w:rsidRDefault="006F591D"/>
    <w:p w:rsidR="006F591D" w:rsidRDefault="006F591D"/>
    <w:p w:rsidR="006F591D" w:rsidRDefault="006F591D"/>
    <w:p w:rsidR="006F591D" w:rsidRDefault="006F591D"/>
    <w:p w:rsidR="006F591D" w:rsidRDefault="006F591D"/>
    <w:p w:rsidR="006F591D" w:rsidRDefault="006F591D"/>
    <w:p w:rsidR="006F591D" w:rsidRDefault="006F591D"/>
    <w:p w:rsidR="006F591D" w:rsidRDefault="006F591D"/>
    <w:p w:rsidR="006F591D" w:rsidRDefault="006F591D"/>
    <w:p w:rsidR="00321E26" w:rsidRDefault="00321E26"/>
    <w:p w:rsidR="00321E26" w:rsidRDefault="00321E26"/>
    <w:p w:rsidR="00300D48" w:rsidRDefault="00300D48"/>
    <w:p w:rsidR="00300D48" w:rsidRDefault="00300D48"/>
    <w:p w:rsidR="00321E26" w:rsidRDefault="00321E26" w:rsidP="006F591D">
      <w:pPr>
        <w:pStyle w:val="Heading1"/>
      </w:pPr>
      <w:bookmarkStart w:id="6" w:name="_Toc70959168"/>
      <w:r>
        <w:lastRenderedPageBreak/>
        <w:t>References</w:t>
      </w:r>
      <w:bookmarkEnd w:id="6"/>
    </w:p>
    <w:p w:rsidR="00321E26" w:rsidRDefault="00321E26" w:rsidP="00321E26">
      <w:r>
        <w:t>Breinbauer, C. and Maddaleno, M., 2015. Youth: Choices and change: Promoting healthy behaviors in adolescents (No. 594). Pan American Health Org.</w:t>
      </w:r>
    </w:p>
    <w:p w:rsidR="00321E26" w:rsidRDefault="00321E26" w:rsidP="00321E26">
      <w:r>
        <w:t>Carona, C., Silva, N. and Moreira, H., 2018. Applying a developmental approach to quality of life assessment in children and adolescents with psychological disorders: challenges and guidelines. Expert review of pharmacy-economics &amp; outcomes research, 15(1), pp.47-70.</w:t>
      </w:r>
    </w:p>
    <w:p w:rsidR="00AF06E7" w:rsidRDefault="00AF06E7" w:rsidP="00321E26">
      <w:r w:rsidRPr="00AF06E7">
        <w:t>Fleary, S.A., Joseph, P. and Pappagianopoulos, J.E. (2018). Adolescent health literacy and health behaviors: A systematic review. Journal of Adolescence, 62, pp.116–127.</w:t>
      </w:r>
    </w:p>
    <w:p w:rsidR="00321E26" w:rsidRDefault="00321E26" w:rsidP="00321E26">
      <w:r>
        <w:t>Kamleitner, B., Hoelzl, E. and Kirchler, E., 2012. Credit use: Psychological perspectives on a multifaceted phenomenon. International Journal of Psychology, 47(1), pp.1-27.</w:t>
      </w:r>
    </w:p>
    <w:p w:rsidR="00321E26" w:rsidRDefault="00321E26" w:rsidP="00321E26">
      <w:r>
        <w:t>Matthews, K.A., 2018. Psychological perspectives on the type A behavior pattern. Psychological bulletin, 91(2), p.293.</w:t>
      </w:r>
    </w:p>
    <w:p w:rsidR="00321E26" w:rsidRDefault="00321E26" w:rsidP="00321E26">
      <w:r>
        <w:t>Nastasi, B.K., 2018. School psychologists as health-care providers in the 21st century: Conceptual framework, professional identity, and professional practice. School Psychology Review, 29(4), pp.540-554.</w:t>
      </w:r>
    </w:p>
    <w:p w:rsidR="00321E26" w:rsidRDefault="00321E26" w:rsidP="00321E26">
      <w:r>
        <w:t>Petersen, A.C., Silbereisen, R.K. and Sorensen, S., 2016. Adolescent development: A global perspective. Social problems and social contexts in adolescence, pp.3-37.</w:t>
      </w:r>
    </w:p>
    <w:p w:rsidR="00AF06E7" w:rsidRDefault="00AF06E7" w:rsidP="00321E26">
      <w:r w:rsidRPr="00AF06E7">
        <w:t>Pharo, H., Sim, C., Graham, M., Gross, J. and Hayne, H. (2011). Risky business: Executive function, personality, and reckless behavior during adolescence and emerging adulthood. Behavioral Neuroscience, 125(6), pp.970–978.</w:t>
      </w:r>
    </w:p>
    <w:p w:rsidR="00AF06E7" w:rsidRDefault="00AF06E7" w:rsidP="00321E26">
      <w:r w:rsidRPr="00AF06E7">
        <w:t>Pinheiro, P., George, S., Okan, O., Sijthoff, E., Bittlingmayer, U.H., Kahlert, R., Merchant, A., Bruland, D., Bröder, J. and Bauer, U. (2020). Towards New Perspectives on Health Literacy for Children: From “Health Information” to Recognizing Young Citizens’ Capacities for Meaning-Making (Debate from a “Liquid Network”). Gesundheit und Gesellschaft, pp.145–166.</w:t>
      </w:r>
    </w:p>
    <w:p w:rsidR="00AF06E7" w:rsidRDefault="00AF06E7" w:rsidP="00321E26">
      <w:r w:rsidRPr="00AF06E7">
        <w:t>Raymen, T. and Smith, O. (2019). Deviant Leisure: A Critical Criminological Perspective for the Twenty-First Century. Critical Criminology, 27(1), pp.115–130.</w:t>
      </w:r>
    </w:p>
    <w:p w:rsidR="00321E26" w:rsidRDefault="00321E26" w:rsidP="00321E26">
      <w:r>
        <w:t>Sarafino, E.P., 2014. Context and perspectives in health psychology. The sage handbook of health psychology. Sage, London, pp.1-26.</w:t>
      </w:r>
    </w:p>
    <w:p w:rsidR="00321E26" w:rsidRDefault="00321E26" w:rsidP="00321E26">
      <w:r>
        <w:t>Steinberg, L. and Morris, A.S., 2011. Adolescent development. Annual review of psychology, 52(1), pp.83-110.</w:t>
      </w:r>
    </w:p>
    <w:p w:rsidR="00321E26" w:rsidRDefault="00AF06E7" w:rsidP="00321E26">
      <w:r w:rsidRPr="00AF06E7">
        <w:t>Toumbourou, J.W., Rowland, B., Williams, J., Smith, R. and Patton, G.C. (2019). Community intervention to prevent adolescent health behavior problems: Evaluation of communities that care in Australia. Health Psychology, 38(6), pp.536–544.</w:t>
      </w:r>
    </w:p>
    <w:sectPr w:rsidR="00321E26" w:rsidSect="00300D48">
      <w:footerReference w:type="even" r:id="rId7"/>
      <w:footerReference w:type="default" r:id="rId8"/>
      <w:pgSz w:w="11906" w:h="16838"/>
      <w:pgMar w:top="993" w:right="1440" w:bottom="709"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4F7" w:rsidRDefault="00ED74F7" w:rsidP="00DA07EE">
      <w:pPr>
        <w:spacing w:after="0" w:line="240" w:lineRule="auto"/>
      </w:pPr>
      <w:r>
        <w:separator/>
      </w:r>
    </w:p>
  </w:endnote>
  <w:endnote w:type="continuationSeparator" w:id="0">
    <w:p w:rsidR="00ED74F7" w:rsidRDefault="00ED74F7" w:rsidP="00DA07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467540571"/>
      <w:docPartObj>
        <w:docPartGallery w:val="Page Numbers (Bottom of Page)"/>
        <w:docPartUnique/>
      </w:docPartObj>
    </w:sdtPr>
    <w:sdtContent>
      <w:p w:rsidR="00DA07EE" w:rsidRDefault="00EA4177" w:rsidP="003419DB">
        <w:pPr>
          <w:pStyle w:val="Footer"/>
          <w:framePr w:wrap="none" w:vAnchor="text" w:hAnchor="margin" w:xAlign="right" w:y="1"/>
          <w:rPr>
            <w:rStyle w:val="PageNumber"/>
          </w:rPr>
        </w:pPr>
        <w:r>
          <w:rPr>
            <w:rStyle w:val="PageNumber"/>
          </w:rPr>
          <w:fldChar w:fldCharType="begin"/>
        </w:r>
        <w:r w:rsidR="00DA07EE">
          <w:rPr>
            <w:rStyle w:val="PageNumber"/>
          </w:rPr>
          <w:instrText xml:space="preserve"> PAGE </w:instrText>
        </w:r>
        <w:r>
          <w:rPr>
            <w:rStyle w:val="PageNumber"/>
          </w:rPr>
          <w:fldChar w:fldCharType="end"/>
        </w:r>
      </w:p>
    </w:sdtContent>
  </w:sdt>
  <w:p w:rsidR="00DA07EE" w:rsidRDefault="00DA07EE" w:rsidP="00DA07E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2511229"/>
      <w:docPartObj>
        <w:docPartGallery w:val="Page Numbers (Bottom of Page)"/>
        <w:docPartUnique/>
      </w:docPartObj>
    </w:sdtPr>
    <w:sdtContent>
      <w:p w:rsidR="00300D48" w:rsidRDefault="00300D48">
        <w:pPr>
          <w:pStyle w:val="Footer"/>
        </w:pPr>
        <w:fldSimple w:instr=" PAGE   \* MERGEFORMAT ">
          <w:r>
            <w:rPr>
              <w:noProof/>
            </w:rPr>
            <w:t>5</w:t>
          </w:r>
        </w:fldSimple>
      </w:p>
    </w:sdtContent>
  </w:sdt>
  <w:p w:rsidR="00DA07EE" w:rsidRPr="0005011F" w:rsidRDefault="00DA07EE" w:rsidP="000501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4F7" w:rsidRDefault="00ED74F7" w:rsidP="00DA07EE">
      <w:pPr>
        <w:spacing w:after="0" w:line="240" w:lineRule="auto"/>
      </w:pPr>
      <w:r>
        <w:separator/>
      </w:r>
    </w:p>
  </w:footnote>
  <w:footnote w:type="continuationSeparator" w:id="0">
    <w:p w:rsidR="00ED74F7" w:rsidRDefault="00ED74F7" w:rsidP="00DA07E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hdrShapeDefaults>
    <o:shapedefaults v:ext="edit" spidmax="4098"/>
  </w:hdrShapeDefaults>
  <w:footnotePr>
    <w:footnote w:id="-1"/>
    <w:footnote w:id="0"/>
  </w:footnotePr>
  <w:endnotePr>
    <w:endnote w:id="-1"/>
    <w:endnote w:id="0"/>
  </w:endnotePr>
  <w:compat/>
  <w:rsids>
    <w:rsidRoot w:val="00DA07EE"/>
    <w:rsid w:val="0005011F"/>
    <w:rsid w:val="000B4F13"/>
    <w:rsid w:val="001C776B"/>
    <w:rsid w:val="0022536A"/>
    <w:rsid w:val="00300D48"/>
    <w:rsid w:val="00321E26"/>
    <w:rsid w:val="005433BA"/>
    <w:rsid w:val="005C40C9"/>
    <w:rsid w:val="0063500F"/>
    <w:rsid w:val="006F591D"/>
    <w:rsid w:val="007A3D60"/>
    <w:rsid w:val="008F50B6"/>
    <w:rsid w:val="009D7D47"/>
    <w:rsid w:val="00AF06E7"/>
    <w:rsid w:val="00C548B9"/>
    <w:rsid w:val="00C66ED4"/>
    <w:rsid w:val="00C805CB"/>
    <w:rsid w:val="00CC5F7A"/>
    <w:rsid w:val="00CF1FAE"/>
    <w:rsid w:val="00DA07EE"/>
    <w:rsid w:val="00EA4177"/>
    <w:rsid w:val="00EB0A82"/>
    <w:rsid w:val="00ED74F7"/>
    <w:rsid w:val="00F801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321E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A07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7EE"/>
    <w:rPr>
      <w:rFonts w:ascii="Arial" w:hAnsi="Arial"/>
      <w:szCs w:val="22"/>
    </w:rPr>
  </w:style>
  <w:style w:type="character" w:styleId="PageNumber">
    <w:name w:val="page number"/>
    <w:basedOn w:val="DefaultParagraphFont"/>
    <w:uiPriority w:val="99"/>
    <w:semiHidden/>
    <w:unhideWhenUsed/>
    <w:rsid w:val="00DA07EE"/>
  </w:style>
  <w:style w:type="paragraph" w:styleId="NoSpacing">
    <w:name w:val="No Spacing"/>
    <w:link w:val="NoSpacingChar"/>
    <w:uiPriority w:val="1"/>
    <w:qFormat/>
    <w:rsid w:val="00DA07EE"/>
    <w:rPr>
      <w:rFonts w:eastAsiaTheme="minorEastAsia"/>
      <w:sz w:val="22"/>
      <w:szCs w:val="22"/>
      <w:lang w:val="en-US" w:eastAsia="zh-CN"/>
    </w:rPr>
  </w:style>
  <w:style w:type="character" w:customStyle="1" w:styleId="NoSpacingChar">
    <w:name w:val="No Spacing Char"/>
    <w:basedOn w:val="DefaultParagraphFont"/>
    <w:link w:val="NoSpacing"/>
    <w:uiPriority w:val="1"/>
    <w:rsid w:val="00DA07EE"/>
    <w:rPr>
      <w:rFonts w:eastAsiaTheme="minorEastAsia"/>
      <w:sz w:val="22"/>
      <w:szCs w:val="22"/>
      <w:lang w:val="en-US" w:eastAsia="zh-CN"/>
    </w:rPr>
  </w:style>
  <w:style w:type="character" w:customStyle="1" w:styleId="Heading1Char">
    <w:name w:val="Heading 1 Char"/>
    <w:basedOn w:val="DefaultParagraphFont"/>
    <w:link w:val="Heading1"/>
    <w:uiPriority w:val="9"/>
    <w:rsid w:val="00321E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06E7"/>
    <w:pPr>
      <w:spacing w:before="480"/>
      <w:outlineLvl w:val="9"/>
    </w:pPr>
    <w:rPr>
      <w:b/>
      <w:bCs/>
      <w:sz w:val="28"/>
      <w:szCs w:val="28"/>
      <w:lang w:val="en-US"/>
    </w:rPr>
  </w:style>
  <w:style w:type="paragraph" w:styleId="TOC1">
    <w:name w:val="toc 1"/>
    <w:basedOn w:val="Normal"/>
    <w:next w:val="Normal"/>
    <w:autoRedefine/>
    <w:uiPriority w:val="39"/>
    <w:unhideWhenUsed/>
    <w:rsid w:val="00AF06E7"/>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AF06E7"/>
    <w:rPr>
      <w:color w:val="0563C1" w:themeColor="hyperlink"/>
      <w:u w:val="single"/>
    </w:rPr>
  </w:style>
  <w:style w:type="paragraph" w:styleId="TOC2">
    <w:name w:val="toc 2"/>
    <w:basedOn w:val="Normal"/>
    <w:next w:val="Normal"/>
    <w:autoRedefine/>
    <w:uiPriority w:val="39"/>
    <w:semiHidden/>
    <w:unhideWhenUsed/>
    <w:rsid w:val="00AF06E7"/>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AF06E7"/>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F06E7"/>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F06E7"/>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F06E7"/>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F06E7"/>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F06E7"/>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F06E7"/>
    <w:pPr>
      <w:spacing w:after="0"/>
      <w:ind w:left="1920"/>
    </w:pPr>
    <w:rPr>
      <w:rFonts w:asciiTheme="minorHAnsi" w:hAnsiTheme="minorHAnsi" w:cstheme="minorHAnsi"/>
      <w:sz w:val="20"/>
      <w:szCs w:val="20"/>
    </w:rPr>
  </w:style>
  <w:style w:type="paragraph" w:styleId="BalloonText">
    <w:name w:val="Balloon Text"/>
    <w:basedOn w:val="Normal"/>
    <w:link w:val="BalloonTextChar"/>
    <w:uiPriority w:val="99"/>
    <w:semiHidden/>
    <w:unhideWhenUsed/>
    <w:rsid w:val="00CC5F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F7A"/>
    <w:rPr>
      <w:rFonts w:ascii="Tahoma" w:hAnsi="Tahoma" w:cs="Tahoma"/>
      <w:sz w:val="16"/>
      <w:szCs w:val="16"/>
    </w:rPr>
  </w:style>
  <w:style w:type="paragraph" w:styleId="Header">
    <w:name w:val="header"/>
    <w:basedOn w:val="Normal"/>
    <w:link w:val="HeaderChar"/>
    <w:uiPriority w:val="99"/>
    <w:semiHidden/>
    <w:unhideWhenUsed/>
    <w:rsid w:val="0005011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5011F"/>
    <w:rPr>
      <w:rFonts w:ascii="Arial" w:hAnsi="Arial"/>
      <w:szCs w:val="22"/>
    </w:rPr>
  </w:style>
  <w:style w:type="paragraph" w:styleId="DocumentMap">
    <w:name w:val="Document Map"/>
    <w:basedOn w:val="Normal"/>
    <w:link w:val="DocumentMapChar"/>
    <w:uiPriority w:val="99"/>
    <w:semiHidden/>
    <w:unhideWhenUsed/>
    <w:rsid w:val="0005011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501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FCA7AE-2377-468B-B670-57367539B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Pages>
  <Words>2512</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Rositsa</dc:creator>
  <cp:keywords/>
  <dc:description/>
  <cp:lastModifiedBy>Rosi</cp:lastModifiedBy>
  <cp:revision>12</cp:revision>
  <dcterms:created xsi:type="dcterms:W3CDTF">2021-05-03T17:15:00Z</dcterms:created>
  <dcterms:modified xsi:type="dcterms:W3CDTF">2021-05-04T18:14:00Z</dcterms:modified>
</cp:coreProperties>
</file>