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22B5F" w:rsidRDefault="00E22B5F">
      <w:pPr>
        <w:spacing w:line="480" w:lineRule="auto"/>
        <w:rPr>
          <w:rFonts w:ascii="Times New Roman" w:eastAsia="Times New Roman" w:hAnsi="Times New Roman" w:cs="Times New Roman"/>
          <w:sz w:val="24"/>
          <w:szCs w:val="24"/>
        </w:rPr>
      </w:pPr>
    </w:p>
    <w:p w14:paraId="00000002" w14:textId="77777777" w:rsidR="00E22B5F" w:rsidRDefault="00E22B5F">
      <w:pPr>
        <w:spacing w:line="480" w:lineRule="auto"/>
        <w:rPr>
          <w:rFonts w:ascii="Times New Roman" w:eastAsia="Times New Roman" w:hAnsi="Times New Roman" w:cs="Times New Roman"/>
          <w:sz w:val="24"/>
          <w:szCs w:val="24"/>
        </w:rPr>
      </w:pPr>
    </w:p>
    <w:p w14:paraId="00000003" w14:textId="77777777" w:rsidR="00E22B5F" w:rsidRDefault="00E22B5F">
      <w:pPr>
        <w:spacing w:line="480" w:lineRule="auto"/>
        <w:jc w:val="center"/>
        <w:rPr>
          <w:rFonts w:ascii="Times New Roman" w:eastAsia="Times New Roman" w:hAnsi="Times New Roman" w:cs="Times New Roman"/>
          <w:sz w:val="24"/>
          <w:szCs w:val="24"/>
        </w:rPr>
      </w:pPr>
    </w:p>
    <w:p w14:paraId="00000004" w14:textId="77777777" w:rsidR="00E22B5F" w:rsidRDefault="00E22B5F">
      <w:pPr>
        <w:spacing w:line="480" w:lineRule="auto"/>
        <w:jc w:val="center"/>
        <w:rPr>
          <w:rFonts w:ascii="Times New Roman" w:eastAsia="Times New Roman" w:hAnsi="Times New Roman" w:cs="Times New Roman"/>
          <w:sz w:val="24"/>
          <w:szCs w:val="24"/>
        </w:rPr>
      </w:pPr>
    </w:p>
    <w:p w14:paraId="00000005" w14:textId="77777777" w:rsidR="00E22B5F" w:rsidRDefault="00E22B5F">
      <w:pPr>
        <w:spacing w:line="480" w:lineRule="auto"/>
        <w:jc w:val="center"/>
        <w:rPr>
          <w:rFonts w:ascii="Times New Roman" w:eastAsia="Times New Roman" w:hAnsi="Times New Roman" w:cs="Times New Roman"/>
          <w:sz w:val="24"/>
          <w:szCs w:val="24"/>
        </w:rPr>
      </w:pPr>
    </w:p>
    <w:p w14:paraId="00000006" w14:textId="77777777" w:rsidR="00E22B5F" w:rsidRDefault="00000000">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International Business Communications</w:t>
      </w:r>
    </w:p>
    <w:p w14:paraId="00000008" w14:textId="40A0AEBF" w:rsidR="00E22B5F" w:rsidRDefault="00000000" w:rsidP="0068416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Shell’s Strategy in Creating a Positive Working Environment</w:t>
      </w:r>
    </w:p>
    <w:p w14:paraId="6507700B" w14:textId="77777777" w:rsidR="00684165" w:rsidRDefault="00684165" w:rsidP="00684165">
      <w:pPr>
        <w:spacing w:line="480" w:lineRule="auto"/>
        <w:jc w:val="center"/>
        <w:rPr>
          <w:rFonts w:ascii="Times New Roman" w:eastAsia="Times New Roman" w:hAnsi="Times New Roman" w:cs="Times New Roman"/>
          <w:sz w:val="24"/>
          <w:szCs w:val="24"/>
        </w:rPr>
      </w:pPr>
    </w:p>
    <w:p w14:paraId="4EC717C1" w14:textId="48F01B3F" w:rsidR="00684165" w:rsidRDefault="00684165" w:rsidP="0068416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WALES TRINITY SAINT DAVID</w:t>
      </w:r>
    </w:p>
    <w:p w14:paraId="00000009" w14:textId="5CC6EEDF" w:rsidR="00E22B5F"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Name</w:t>
      </w:r>
      <w:r w:rsidR="00684165">
        <w:rPr>
          <w:rFonts w:ascii="Times New Roman" w:eastAsia="Times New Roman" w:hAnsi="Times New Roman" w:cs="Times New Roman"/>
          <w:sz w:val="24"/>
          <w:szCs w:val="24"/>
        </w:rPr>
        <w:t xml:space="preserve">: Anton </w:t>
      </w:r>
      <w:proofErr w:type="spellStart"/>
      <w:r w:rsidR="00684165">
        <w:rPr>
          <w:rFonts w:ascii="Times New Roman" w:eastAsia="Times New Roman" w:hAnsi="Times New Roman" w:cs="Times New Roman"/>
          <w:sz w:val="24"/>
          <w:szCs w:val="24"/>
        </w:rPr>
        <w:t>Mersinkov</w:t>
      </w:r>
      <w:proofErr w:type="spellEnd"/>
      <w:r w:rsidR="00684165">
        <w:rPr>
          <w:rFonts w:ascii="Times New Roman" w:eastAsia="Times New Roman" w:hAnsi="Times New Roman" w:cs="Times New Roman"/>
          <w:sz w:val="24"/>
          <w:szCs w:val="24"/>
        </w:rPr>
        <w:t xml:space="preserve"> </w:t>
      </w:r>
    </w:p>
    <w:p w14:paraId="21936804" w14:textId="7909D031" w:rsidR="00684165" w:rsidRDefault="0068416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ID: 2014039</w:t>
      </w:r>
    </w:p>
    <w:p w14:paraId="0000000A" w14:textId="14E9A3A7" w:rsidR="00E22B5F" w:rsidRDefault="00684165">
      <w:pPr>
        <w:spacing w:line="480" w:lineRule="auto"/>
        <w:jc w:val="center"/>
        <w:rPr>
          <w:rFonts w:ascii="Times New Roman" w:hAnsi="Times New Roman" w:cs="Times New Roman"/>
          <w:color w:val="242130"/>
          <w:sz w:val="24"/>
          <w:szCs w:val="24"/>
          <w:shd w:val="clear" w:color="auto" w:fill="FFFFFF"/>
        </w:rPr>
      </w:pPr>
      <w:r>
        <w:rPr>
          <w:rFonts w:ascii="Times New Roman" w:eastAsia="Times New Roman" w:hAnsi="Times New Roman" w:cs="Times New Roman"/>
          <w:sz w:val="24"/>
          <w:szCs w:val="24"/>
        </w:rPr>
        <w:t>Lecture</w:t>
      </w:r>
      <w:r w:rsidR="00000000">
        <w:rPr>
          <w:rFonts w:ascii="Times New Roman" w:eastAsia="Times New Roman" w:hAnsi="Times New Roman" w:cs="Times New Roman"/>
          <w:sz w:val="24"/>
          <w:szCs w:val="24"/>
        </w:rPr>
        <w:t xml:space="preserve"> Name</w:t>
      </w:r>
      <w:r>
        <w:rPr>
          <w:rFonts w:ascii="Times New Roman" w:eastAsia="Times New Roman" w:hAnsi="Times New Roman" w:cs="Times New Roman"/>
          <w:sz w:val="24"/>
          <w:szCs w:val="24"/>
        </w:rPr>
        <w:t xml:space="preserve">: </w:t>
      </w:r>
      <w:r w:rsidRPr="00684165">
        <w:rPr>
          <w:rFonts w:ascii="Times New Roman" w:hAnsi="Times New Roman" w:cs="Times New Roman"/>
          <w:color w:val="242130"/>
          <w:sz w:val="24"/>
          <w:szCs w:val="24"/>
          <w:shd w:val="clear" w:color="auto" w:fill="FFFFFF"/>
        </w:rPr>
        <w:t xml:space="preserve">Charles </w:t>
      </w:r>
      <w:proofErr w:type="spellStart"/>
      <w:r w:rsidRPr="00684165">
        <w:rPr>
          <w:rFonts w:ascii="Times New Roman" w:hAnsi="Times New Roman" w:cs="Times New Roman"/>
          <w:color w:val="242130"/>
          <w:sz w:val="24"/>
          <w:szCs w:val="24"/>
          <w:shd w:val="clear" w:color="auto" w:fill="FFFFFF"/>
        </w:rPr>
        <w:t>Nwaogwugwu</w:t>
      </w:r>
      <w:proofErr w:type="spellEnd"/>
    </w:p>
    <w:p w14:paraId="6FE83846" w14:textId="02CBBEBB" w:rsidR="00684165" w:rsidRDefault="00684165">
      <w:pPr>
        <w:spacing w:line="480" w:lineRule="auto"/>
        <w:jc w:val="center"/>
        <w:rPr>
          <w:rFonts w:ascii="Times New Roman" w:hAnsi="Times New Roman" w:cs="Times New Roman"/>
          <w:color w:val="242130"/>
          <w:sz w:val="24"/>
          <w:szCs w:val="24"/>
          <w:shd w:val="clear" w:color="auto" w:fill="FFFFFF"/>
        </w:rPr>
      </w:pPr>
      <w:r>
        <w:rPr>
          <w:rFonts w:ascii="Times New Roman" w:hAnsi="Times New Roman" w:cs="Times New Roman"/>
          <w:color w:val="242130"/>
          <w:sz w:val="24"/>
          <w:szCs w:val="24"/>
          <w:shd w:val="clear" w:color="auto" w:fill="FFFFFF"/>
        </w:rPr>
        <w:t>Module code: LCBB6001</w:t>
      </w:r>
    </w:p>
    <w:p w14:paraId="64008C4A" w14:textId="77777777" w:rsidR="00684165" w:rsidRDefault="00684165">
      <w:pPr>
        <w:spacing w:line="480" w:lineRule="auto"/>
        <w:jc w:val="center"/>
        <w:rPr>
          <w:rFonts w:ascii="Times New Roman" w:hAnsi="Times New Roman" w:cs="Times New Roman"/>
          <w:color w:val="242130"/>
          <w:sz w:val="24"/>
          <w:szCs w:val="24"/>
          <w:shd w:val="clear" w:color="auto" w:fill="FFFFFF"/>
        </w:rPr>
      </w:pPr>
    </w:p>
    <w:p w14:paraId="2D4C7247" w14:textId="77777777" w:rsidR="00684165" w:rsidRDefault="00684165">
      <w:pPr>
        <w:spacing w:line="480" w:lineRule="auto"/>
        <w:jc w:val="center"/>
        <w:rPr>
          <w:rFonts w:ascii="Times New Roman" w:eastAsia="Times New Roman" w:hAnsi="Times New Roman" w:cs="Times New Roman"/>
          <w:sz w:val="24"/>
          <w:szCs w:val="24"/>
        </w:rPr>
      </w:pPr>
    </w:p>
    <w:p w14:paraId="0000000C" w14:textId="77777777" w:rsidR="00E22B5F" w:rsidRDefault="00E22B5F">
      <w:pPr>
        <w:spacing w:line="480" w:lineRule="auto"/>
        <w:jc w:val="center"/>
        <w:rPr>
          <w:rFonts w:ascii="Times New Roman" w:eastAsia="Times New Roman" w:hAnsi="Times New Roman" w:cs="Times New Roman"/>
          <w:sz w:val="24"/>
          <w:szCs w:val="24"/>
        </w:rPr>
      </w:pPr>
    </w:p>
    <w:p w14:paraId="0000000D" w14:textId="77777777" w:rsidR="00E22B5F" w:rsidRDefault="00E22B5F">
      <w:pPr>
        <w:spacing w:line="480" w:lineRule="auto"/>
        <w:jc w:val="center"/>
        <w:rPr>
          <w:rFonts w:ascii="Times New Roman" w:eastAsia="Times New Roman" w:hAnsi="Times New Roman" w:cs="Times New Roman"/>
          <w:sz w:val="24"/>
          <w:szCs w:val="24"/>
        </w:rPr>
      </w:pPr>
    </w:p>
    <w:p w14:paraId="0000000E" w14:textId="77777777" w:rsidR="00E22B5F" w:rsidRDefault="00E22B5F">
      <w:pPr>
        <w:spacing w:line="480" w:lineRule="auto"/>
        <w:jc w:val="center"/>
        <w:rPr>
          <w:rFonts w:ascii="Times New Roman" w:eastAsia="Times New Roman" w:hAnsi="Times New Roman" w:cs="Times New Roman"/>
          <w:sz w:val="24"/>
          <w:szCs w:val="24"/>
        </w:rPr>
      </w:pPr>
    </w:p>
    <w:p w14:paraId="0000000F" w14:textId="77777777" w:rsidR="00E22B5F" w:rsidRDefault="00E22B5F">
      <w:pPr>
        <w:spacing w:line="480" w:lineRule="auto"/>
        <w:jc w:val="center"/>
        <w:rPr>
          <w:rFonts w:ascii="Times New Roman" w:eastAsia="Times New Roman" w:hAnsi="Times New Roman" w:cs="Times New Roman"/>
          <w:sz w:val="24"/>
          <w:szCs w:val="24"/>
        </w:rPr>
      </w:pPr>
    </w:p>
    <w:p w14:paraId="00000010" w14:textId="77777777" w:rsidR="00E22B5F" w:rsidRDefault="00E22B5F">
      <w:pPr>
        <w:spacing w:line="480" w:lineRule="auto"/>
        <w:jc w:val="center"/>
        <w:rPr>
          <w:rFonts w:ascii="Times New Roman" w:eastAsia="Times New Roman" w:hAnsi="Times New Roman" w:cs="Times New Roman"/>
          <w:sz w:val="24"/>
          <w:szCs w:val="24"/>
        </w:rPr>
      </w:pPr>
    </w:p>
    <w:p w14:paraId="00000011" w14:textId="77777777" w:rsidR="00E22B5F" w:rsidRDefault="00E22B5F">
      <w:pPr>
        <w:spacing w:line="480" w:lineRule="auto"/>
        <w:jc w:val="center"/>
        <w:rPr>
          <w:rFonts w:ascii="Times New Roman" w:eastAsia="Times New Roman" w:hAnsi="Times New Roman" w:cs="Times New Roman"/>
          <w:sz w:val="24"/>
          <w:szCs w:val="24"/>
        </w:rPr>
      </w:pPr>
    </w:p>
    <w:p w14:paraId="00000012" w14:textId="77777777" w:rsidR="00E22B5F" w:rsidRDefault="00E22B5F">
      <w:pPr>
        <w:spacing w:line="480" w:lineRule="auto"/>
        <w:jc w:val="center"/>
        <w:rPr>
          <w:rFonts w:ascii="Times New Roman" w:eastAsia="Times New Roman" w:hAnsi="Times New Roman" w:cs="Times New Roman"/>
          <w:sz w:val="24"/>
          <w:szCs w:val="24"/>
        </w:rPr>
      </w:pPr>
    </w:p>
    <w:p w14:paraId="00000013" w14:textId="77777777" w:rsidR="00E22B5F" w:rsidRDefault="00E22B5F">
      <w:pPr>
        <w:spacing w:line="480" w:lineRule="auto"/>
        <w:rPr>
          <w:rFonts w:ascii="Times New Roman" w:eastAsia="Times New Roman" w:hAnsi="Times New Roman" w:cs="Times New Roman"/>
          <w:sz w:val="24"/>
          <w:szCs w:val="24"/>
        </w:rPr>
      </w:pPr>
    </w:p>
    <w:p w14:paraId="00000014" w14:textId="77777777" w:rsidR="00E22B5F" w:rsidRDefault="00000000">
      <w:pPr>
        <w:keepNext/>
        <w:keepLines/>
        <w:pBdr>
          <w:top w:val="nil"/>
          <w:left w:val="nil"/>
          <w:bottom w:val="nil"/>
          <w:right w:val="nil"/>
          <w:between w:val="nil"/>
        </w:pBdr>
        <w:spacing w:before="240" w:after="0"/>
        <w:rPr>
          <w:rFonts w:ascii="Times New Roman" w:eastAsia="Times New Roman" w:hAnsi="Times New Roman" w:cs="Times New Roman"/>
          <w:b/>
          <w:color w:val="2F5496"/>
          <w:sz w:val="32"/>
          <w:szCs w:val="32"/>
        </w:rPr>
      </w:pPr>
      <w:r>
        <w:rPr>
          <w:rFonts w:ascii="Times New Roman" w:eastAsia="Times New Roman" w:hAnsi="Times New Roman" w:cs="Times New Roman"/>
          <w:b/>
          <w:color w:val="2F5496"/>
          <w:sz w:val="32"/>
          <w:szCs w:val="32"/>
        </w:rPr>
        <w:t>Table of Contents</w:t>
      </w:r>
    </w:p>
    <w:sdt>
      <w:sdtPr>
        <w:id w:val="334197223"/>
        <w:docPartObj>
          <w:docPartGallery w:val="Table of Contents"/>
          <w:docPartUnique/>
        </w:docPartObj>
      </w:sdtPr>
      <w:sdtContent>
        <w:p w14:paraId="00000015" w14:textId="77777777" w:rsidR="00E22B5F" w:rsidRDefault="00000000">
          <w:pPr>
            <w:widowControl w:val="0"/>
            <w:tabs>
              <w:tab w:val="right" w:pos="12000"/>
            </w:tabs>
            <w:spacing w:before="60" w:after="0" w:line="240" w:lineRule="auto"/>
            <w:rPr>
              <w:rFonts w:ascii="Arial" w:eastAsia="Arial" w:hAnsi="Arial" w:cs="Arial"/>
              <w:color w:val="000000"/>
            </w:rPr>
          </w:pPr>
          <w:r>
            <w:fldChar w:fldCharType="begin"/>
          </w:r>
          <w:r>
            <w:instrText xml:space="preserve"> TOC \h \u \z \t "Heading 1,1,Heading 2,2,Heading 3,3,Heading 4,4,Heading 5,5,Heading 6,6,"</w:instrText>
          </w:r>
          <w:r>
            <w:fldChar w:fldCharType="separate"/>
          </w:r>
          <w:hyperlink w:anchor="_heading=h.30j0zll">
            <w:r>
              <w:rPr>
                <w:rFonts w:ascii="Times New Roman" w:eastAsia="Times New Roman" w:hAnsi="Times New Roman" w:cs="Times New Roman"/>
                <w:color w:val="000000"/>
              </w:rPr>
              <w:t>Introduction</w:t>
            </w:r>
            <w:r>
              <w:rPr>
                <w:rFonts w:ascii="Times New Roman" w:eastAsia="Times New Roman" w:hAnsi="Times New Roman" w:cs="Times New Roman"/>
                <w:color w:val="000000"/>
              </w:rPr>
              <w:tab/>
              <w:t>3</w:t>
            </w:r>
          </w:hyperlink>
        </w:p>
        <w:p w14:paraId="00000016" w14:textId="77777777" w:rsidR="00E22B5F" w:rsidRDefault="00000000">
          <w:pPr>
            <w:widowControl w:val="0"/>
            <w:tabs>
              <w:tab w:val="right" w:pos="12000"/>
            </w:tabs>
            <w:spacing w:before="60" w:after="0" w:line="240" w:lineRule="auto"/>
            <w:rPr>
              <w:rFonts w:ascii="Arial" w:eastAsia="Arial" w:hAnsi="Arial" w:cs="Arial"/>
              <w:color w:val="000000"/>
            </w:rPr>
          </w:pPr>
          <w:hyperlink w:anchor="_heading=h.1fob9te">
            <w:r>
              <w:rPr>
                <w:rFonts w:ascii="Times New Roman" w:eastAsia="Times New Roman" w:hAnsi="Times New Roman" w:cs="Times New Roman"/>
                <w:color w:val="000000"/>
              </w:rPr>
              <w:t>The company: Shell</w:t>
            </w:r>
            <w:r>
              <w:rPr>
                <w:rFonts w:ascii="Times New Roman" w:eastAsia="Times New Roman" w:hAnsi="Times New Roman" w:cs="Times New Roman"/>
                <w:color w:val="000000"/>
              </w:rPr>
              <w:tab/>
              <w:t>4</w:t>
            </w:r>
          </w:hyperlink>
        </w:p>
        <w:p w14:paraId="00000017" w14:textId="77777777" w:rsidR="00E22B5F" w:rsidRDefault="00000000">
          <w:pPr>
            <w:widowControl w:val="0"/>
            <w:tabs>
              <w:tab w:val="right" w:pos="12000"/>
            </w:tabs>
            <w:spacing w:before="60" w:after="0" w:line="240" w:lineRule="auto"/>
            <w:rPr>
              <w:rFonts w:ascii="Arial" w:eastAsia="Arial" w:hAnsi="Arial" w:cs="Arial"/>
              <w:color w:val="000000"/>
            </w:rPr>
          </w:pPr>
          <w:hyperlink w:anchor="_heading=h.3znysh7">
            <w:r>
              <w:rPr>
                <w:rFonts w:ascii="Times New Roman" w:eastAsia="Times New Roman" w:hAnsi="Times New Roman" w:cs="Times New Roman"/>
                <w:color w:val="000000"/>
              </w:rPr>
              <w:t>Cultural profile in the UK: Hofstede’s Cultural Dimensions Theory</w:t>
            </w:r>
            <w:r>
              <w:rPr>
                <w:rFonts w:ascii="Times New Roman" w:eastAsia="Times New Roman" w:hAnsi="Times New Roman" w:cs="Times New Roman"/>
                <w:color w:val="000000"/>
              </w:rPr>
              <w:tab/>
              <w:t>5</w:t>
            </w:r>
          </w:hyperlink>
        </w:p>
        <w:p w14:paraId="00000018" w14:textId="77777777" w:rsidR="00E22B5F" w:rsidRDefault="00000000">
          <w:pPr>
            <w:widowControl w:val="0"/>
            <w:tabs>
              <w:tab w:val="right" w:pos="12000"/>
            </w:tabs>
            <w:spacing w:before="60" w:after="0" w:line="240" w:lineRule="auto"/>
            <w:rPr>
              <w:rFonts w:ascii="Arial" w:eastAsia="Arial" w:hAnsi="Arial" w:cs="Arial"/>
              <w:color w:val="000000"/>
            </w:rPr>
          </w:pPr>
          <w:hyperlink w:anchor="_heading=h.2et92p0">
            <w:r>
              <w:rPr>
                <w:rFonts w:ascii="Times New Roman" w:eastAsia="Times New Roman" w:hAnsi="Times New Roman" w:cs="Times New Roman"/>
                <w:color w:val="000000"/>
              </w:rPr>
              <w:t>Communication barriers and the best strategies</w:t>
            </w:r>
            <w:r>
              <w:rPr>
                <w:rFonts w:ascii="Times New Roman" w:eastAsia="Times New Roman" w:hAnsi="Times New Roman" w:cs="Times New Roman"/>
                <w:color w:val="000000"/>
              </w:rPr>
              <w:tab/>
              <w:t>10</w:t>
            </w:r>
          </w:hyperlink>
        </w:p>
        <w:p w14:paraId="00000019" w14:textId="77777777" w:rsidR="00E22B5F" w:rsidRDefault="00000000">
          <w:pPr>
            <w:widowControl w:val="0"/>
            <w:tabs>
              <w:tab w:val="right" w:pos="12000"/>
            </w:tabs>
            <w:spacing w:before="60" w:after="0" w:line="240" w:lineRule="auto"/>
            <w:rPr>
              <w:rFonts w:ascii="Arial" w:eastAsia="Arial" w:hAnsi="Arial" w:cs="Arial"/>
              <w:color w:val="000000"/>
            </w:rPr>
          </w:pPr>
          <w:hyperlink w:anchor="_heading=h.tyjcwt">
            <w:r>
              <w:rPr>
                <w:rFonts w:ascii="Times New Roman" w:eastAsia="Times New Roman" w:hAnsi="Times New Roman" w:cs="Times New Roman"/>
                <w:color w:val="000000"/>
              </w:rPr>
              <w:t>Conclusion</w:t>
            </w:r>
            <w:r>
              <w:rPr>
                <w:rFonts w:ascii="Times New Roman" w:eastAsia="Times New Roman" w:hAnsi="Times New Roman" w:cs="Times New Roman"/>
                <w:color w:val="000000"/>
              </w:rPr>
              <w:tab/>
              <w:t>11</w:t>
            </w:r>
          </w:hyperlink>
        </w:p>
        <w:p w14:paraId="0000001A" w14:textId="77777777" w:rsidR="00E22B5F" w:rsidRDefault="00000000">
          <w:pPr>
            <w:widowControl w:val="0"/>
            <w:tabs>
              <w:tab w:val="right" w:pos="12000"/>
            </w:tabs>
            <w:spacing w:before="60" w:after="0" w:line="240" w:lineRule="auto"/>
            <w:rPr>
              <w:rFonts w:ascii="Arial" w:eastAsia="Arial" w:hAnsi="Arial" w:cs="Arial"/>
              <w:color w:val="000000"/>
            </w:rPr>
          </w:pPr>
          <w:hyperlink w:anchor="_heading=h.3dy6vkm">
            <w:r>
              <w:rPr>
                <w:rFonts w:ascii="Times New Roman" w:eastAsia="Times New Roman" w:hAnsi="Times New Roman" w:cs="Times New Roman"/>
                <w:color w:val="000000"/>
              </w:rPr>
              <w:t>Bibliography</w:t>
            </w:r>
            <w:r>
              <w:rPr>
                <w:rFonts w:ascii="Times New Roman" w:eastAsia="Times New Roman" w:hAnsi="Times New Roman" w:cs="Times New Roman"/>
                <w:color w:val="000000"/>
              </w:rPr>
              <w:tab/>
              <w:t>12</w:t>
            </w:r>
          </w:hyperlink>
          <w:r>
            <w:fldChar w:fldCharType="end"/>
          </w:r>
        </w:p>
      </w:sdtContent>
    </w:sdt>
    <w:p w14:paraId="0000001B" w14:textId="77777777" w:rsidR="00E22B5F" w:rsidRDefault="00E22B5F">
      <w:pPr>
        <w:spacing w:line="480" w:lineRule="auto"/>
        <w:jc w:val="center"/>
        <w:rPr>
          <w:rFonts w:ascii="Times New Roman" w:eastAsia="Times New Roman" w:hAnsi="Times New Roman" w:cs="Times New Roman"/>
          <w:sz w:val="24"/>
          <w:szCs w:val="24"/>
        </w:rPr>
      </w:pPr>
    </w:p>
    <w:p w14:paraId="0000001C" w14:textId="77777777" w:rsidR="00E22B5F" w:rsidRDefault="00E22B5F">
      <w:pPr>
        <w:spacing w:line="480" w:lineRule="auto"/>
        <w:jc w:val="center"/>
        <w:rPr>
          <w:rFonts w:ascii="Times New Roman" w:eastAsia="Times New Roman" w:hAnsi="Times New Roman" w:cs="Times New Roman"/>
          <w:sz w:val="24"/>
          <w:szCs w:val="24"/>
        </w:rPr>
      </w:pPr>
    </w:p>
    <w:p w14:paraId="0000001D" w14:textId="77777777" w:rsidR="00E22B5F" w:rsidRDefault="00E22B5F">
      <w:pPr>
        <w:spacing w:line="480" w:lineRule="auto"/>
        <w:jc w:val="center"/>
        <w:rPr>
          <w:rFonts w:ascii="Times New Roman" w:eastAsia="Times New Roman" w:hAnsi="Times New Roman" w:cs="Times New Roman"/>
          <w:sz w:val="24"/>
          <w:szCs w:val="24"/>
        </w:rPr>
      </w:pPr>
    </w:p>
    <w:p w14:paraId="0000001E" w14:textId="77777777" w:rsidR="00E22B5F" w:rsidRDefault="00E22B5F">
      <w:pPr>
        <w:spacing w:line="480" w:lineRule="auto"/>
        <w:jc w:val="center"/>
        <w:rPr>
          <w:rFonts w:ascii="Times New Roman" w:eastAsia="Times New Roman" w:hAnsi="Times New Roman" w:cs="Times New Roman"/>
          <w:sz w:val="24"/>
          <w:szCs w:val="24"/>
        </w:rPr>
      </w:pPr>
    </w:p>
    <w:p w14:paraId="0000001F" w14:textId="77777777" w:rsidR="00E22B5F" w:rsidRDefault="00E22B5F">
      <w:pPr>
        <w:spacing w:line="480" w:lineRule="auto"/>
        <w:jc w:val="center"/>
        <w:rPr>
          <w:rFonts w:ascii="Times New Roman" w:eastAsia="Times New Roman" w:hAnsi="Times New Roman" w:cs="Times New Roman"/>
          <w:sz w:val="24"/>
          <w:szCs w:val="24"/>
        </w:rPr>
      </w:pPr>
    </w:p>
    <w:p w14:paraId="00000020" w14:textId="77777777" w:rsidR="00E22B5F" w:rsidRDefault="00E22B5F">
      <w:pPr>
        <w:spacing w:line="480" w:lineRule="auto"/>
        <w:jc w:val="center"/>
        <w:rPr>
          <w:rFonts w:ascii="Times New Roman" w:eastAsia="Times New Roman" w:hAnsi="Times New Roman" w:cs="Times New Roman"/>
          <w:sz w:val="24"/>
          <w:szCs w:val="24"/>
        </w:rPr>
      </w:pPr>
    </w:p>
    <w:p w14:paraId="00000021" w14:textId="77777777" w:rsidR="00E22B5F" w:rsidRDefault="00E22B5F">
      <w:pPr>
        <w:spacing w:line="480" w:lineRule="auto"/>
        <w:jc w:val="center"/>
        <w:rPr>
          <w:rFonts w:ascii="Times New Roman" w:eastAsia="Times New Roman" w:hAnsi="Times New Roman" w:cs="Times New Roman"/>
          <w:sz w:val="24"/>
          <w:szCs w:val="24"/>
        </w:rPr>
      </w:pPr>
    </w:p>
    <w:p w14:paraId="00000022" w14:textId="77777777" w:rsidR="00E22B5F" w:rsidRDefault="00E22B5F">
      <w:pPr>
        <w:spacing w:line="480" w:lineRule="auto"/>
        <w:jc w:val="center"/>
        <w:rPr>
          <w:rFonts w:ascii="Times New Roman" w:eastAsia="Times New Roman" w:hAnsi="Times New Roman" w:cs="Times New Roman"/>
          <w:sz w:val="24"/>
          <w:szCs w:val="24"/>
        </w:rPr>
      </w:pPr>
    </w:p>
    <w:p w14:paraId="00000023" w14:textId="77777777" w:rsidR="00E22B5F" w:rsidRDefault="00E22B5F">
      <w:pPr>
        <w:spacing w:line="480" w:lineRule="auto"/>
        <w:jc w:val="center"/>
        <w:rPr>
          <w:rFonts w:ascii="Times New Roman" w:eastAsia="Times New Roman" w:hAnsi="Times New Roman" w:cs="Times New Roman"/>
          <w:sz w:val="24"/>
          <w:szCs w:val="24"/>
        </w:rPr>
      </w:pPr>
    </w:p>
    <w:p w14:paraId="00000024" w14:textId="77777777" w:rsidR="00E22B5F" w:rsidRDefault="00E22B5F">
      <w:pPr>
        <w:spacing w:line="480" w:lineRule="auto"/>
        <w:jc w:val="center"/>
        <w:rPr>
          <w:rFonts w:ascii="Times New Roman" w:eastAsia="Times New Roman" w:hAnsi="Times New Roman" w:cs="Times New Roman"/>
          <w:sz w:val="24"/>
          <w:szCs w:val="24"/>
        </w:rPr>
      </w:pPr>
    </w:p>
    <w:p w14:paraId="00000029" w14:textId="77777777" w:rsidR="00E22B5F" w:rsidRDefault="00E22B5F">
      <w:pPr>
        <w:spacing w:line="480" w:lineRule="auto"/>
        <w:jc w:val="center"/>
        <w:rPr>
          <w:rFonts w:ascii="Times New Roman" w:eastAsia="Times New Roman" w:hAnsi="Times New Roman" w:cs="Times New Roman"/>
          <w:sz w:val="24"/>
          <w:szCs w:val="24"/>
        </w:rPr>
      </w:pPr>
    </w:p>
    <w:p w14:paraId="0000002A" w14:textId="77777777" w:rsidR="00E22B5F" w:rsidRDefault="00000000">
      <w:pPr>
        <w:pStyle w:val="Heading1"/>
        <w:spacing w:line="480" w:lineRule="auto"/>
        <w:rPr>
          <w:rFonts w:ascii="Times New Roman" w:eastAsia="Times New Roman" w:hAnsi="Times New Roman" w:cs="Times New Roman"/>
          <w:b/>
        </w:rPr>
      </w:pPr>
      <w:bookmarkStart w:id="0" w:name="_heading=h.30j0zll" w:colFirst="0" w:colLast="0"/>
      <w:bookmarkEnd w:id="0"/>
      <w:r>
        <w:rPr>
          <w:rFonts w:ascii="Times New Roman" w:eastAsia="Times New Roman" w:hAnsi="Times New Roman" w:cs="Times New Roman"/>
          <w:b/>
        </w:rPr>
        <w:t xml:space="preserve">Introduction </w:t>
      </w:r>
    </w:p>
    <w:p w14:paraId="0000002B"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achievement of organisational goals on an ongoing basis is revered in the ultimate and core pursuit of the management. Applying different strategies, including expanding and operating in cross-border regions, particularly in untapped and high-growth markets, gears the management towards these activities. The internationalisation of business operations does not, however, only expose the firm to more synergies and opportunities but also to challenges that must be navigated to maintain stability and attain a promising operational continuity. At this elevated level and global reach, the constitution of human resources changes remarkably, including in diversity that exemplifies and underscores a multicultural framework that tremendously affects how people relate with each and connect to their work </w:t>
      </w:r>
      <w:proofErr w:type="gramStart"/>
      <w:r>
        <w:rPr>
          <w:rFonts w:ascii="Times New Roman" w:eastAsia="Times New Roman" w:hAnsi="Times New Roman" w:cs="Times New Roman"/>
          <w:sz w:val="24"/>
          <w:szCs w:val="24"/>
        </w:rPr>
        <w:t>and,</w:t>
      </w:r>
      <w:proofErr w:type="gramEnd"/>
      <w:r>
        <w:rPr>
          <w:rFonts w:ascii="Times New Roman" w:eastAsia="Times New Roman" w:hAnsi="Times New Roman" w:cs="Times New Roman"/>
          <w:sz w:val="24"/>
          <w:szCs w:val="24"/>
        </w:rPr>
        <w:t xml:space="preserve"> therefore influences organisational performance. The need to create a positive and functionally progressive work environment must be cushioned and continually addressed to build a sustainable entity. </w:t>
      </w:r>
    </w:p>
    <w:p w14:paraId="0000002C"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limiting an organisation’s operations constricts its performance, especially considering the tragic effect of saturation, whose effects manifest in areas such as stagnation or slowed growth in financial strength and market share, internationalisation widens these aspects, enabling the firm to operate on higher frontiers. The multicultural differences that come with this noble move require the institution of proper strategies using different models to achieve a streamlined structure of human resource existence and operation. The firm must pay attention to the home or host, analysing the possible differences and adopt the best-fit model to improve firm operations. For instance, firms can utilise Hofstede’s cultural dimensions theory and model, which forms the premise of this analysis in the context of Shells operations in the UK, to guide </w:t>
      </w:r>
      <w:r>
        <w:rPr>
          <w:rFonts w:ascii="Times New Roman" w:eastAsia="Times New Roman" w:hAnsi="Times New Roman" w:cs="Times New Roman"/>
          <w:sz w:val="24"/>
          <w:szCs w:val="24"/>
        </w:rPr>
        <w:lastRenderedPageBreak/>
        <w:t xml:space="preserve">its approach to creating a conducive working environment in view of employees’ behavioural tendencies and attitudes credited to society’s culture. The model can further be utilised to analyse and navigate communication barriers to strengthen employee relations that are the bedrock, among other equally important issues, of organisational performance. </w:t>
      </w:r>
    </w:p>
    <w:p w14:paraId="0000002D" w14:textId="77777777" w:rsidR="00E22B5F" w:rsidRDefault="00E22B5F">
      <w:pPr>
        <w:spacing w:line="480" w:lineRule="auto"/>
        <w:ind w:firstLine="720"/>
        <w:rPr>
          <w:rFonts w:ascii="Times New Roman" w:eastAsia="Times New Roman" w:hAnsi="Times New Roman" w:cs="Times New Roman"/>
          <w:sz w:val="24"/>
          <w:szCs w:val="24"/>
        </w:rPr>
      </w:pPr>
    </w:p>
    <w:p w14:paraId="0000002E" w14:textId="77777777" w:rsidR="00E22B5F" w:rsidRDefault="00000000">
      <w:pPr>
        <w:pStyle w:val="Heading1"/>
        <w:spacing w:line="480" w:lineRule="auto"/>
        <w:rPr>
          <w:rFonts w:ascii="Times New Roman" w:eastAsia="Times New Roman" w:hAnsi="Times New Roman" w:cs="Times New Roman"/>
          <w:b/>
        </w:rPr>
      </w:pPr>
      <w:bookmarkStart w:id="1" w:name="_heading=h.1fob9te" w:colFirst="0" w:colLast="0"/>
      <w:bookmarkEnd w:id="1"/>
      <w:r>
        <w:rPr>
          <w:rFonts w:ascii="Times New Roman" w:eastAsia="Times New Roman" w:hAnsi="Times New Roman" w:cs="Times New Roman"/>
          <w:b/>
        </w:rPr>
        <w:t xml:space="preserve">The company: Shell </w:t>
      </w:r>
    </w:p>
    <w:p w14:paraId="0000002F"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Oil and gas have long been significant factors in powering economies directly through the export of the same and indirectly by aiding transport, manufacturing, and domestic use. The size and worth of this industry are traversed by numerous players, including Shell Inc., which prides itself as a major corporation that, while headquartered in the UK, has a global footprint. It’s listed primarily on the London Stock Exchange and secondarily on the Euronext Amsterdam and New York Stock Exchanges in the Netherlands and USA, respectively, exemplifying its diversification approach in financing. It is the second largest oil and gas investor-owned corporation after ExxonMobil. With a revenue of $381 billion in 2022 and assets worth $443 billion in the same period (Shell Plc, 2022), Shell’s humongous size is held in place by a strong workforce, presently more than 86000 employees, with 6000 of these based on the UK (Shell, </w:t>
      </w:r>
      <w:proofErr w:type="spellStart"/>
      <w:r>
        <w:rPr>
          <w:rFonts w:ascii="Times New Roman" w:eastAsia="Times New Roman" w:hAnsi="Times New Roman" w:cs="Times New Roman"/>
          <w:sz w:val="24"/>
          <w:szCs w:val="24"/>
        </w:rPr>
        <w:t>n.P</w:t>
      </w:r>
      <w:proofErr w:type="spellEnd"/>
      <w:r>
        <w:rPr>
          <w:rFonts w:ascii="Times New Roman" w:eastAsia="Times New Roman" w:hAnsi="Times New Roman" w:cs="Times New Roman"/>
          <w:sz w:val="24"/>
          <w:szCs w:val="24"/>
        </w:rPr>
        <w:t xml:space="preserve">). Shell’s leadership reflects an appreciation of diversity, especially considering that the top executives have run operations in Germany, Australia, the Netherlands, Russia, Singapore, the Philippines, Malaysia, Nigeria, South Africa, Brazil, and the Caribbean. The element of diversity in the leadership structure reflects the multicultural formation of the workforce, which requires strategies to navigate barriers that could make employee commitment and execution of duties significantly challenging and tasking. </w:t>
      </w:r>
    </w:p>
    <w:p w14:paraId="00000030" w14:textId="77777777" w:rsidR="00E22B5F" w:rsidRDefault="00E22B5F">
      <w:pPr>
        <w:spacing w:line="480" w:lineRule="auto"/>
        <w:ind w:firstLine="720"/>
        <w:rPr>
          <w:rFonts w:ascii="Times New Roman" w:eastAsia="Times New Roman" w:hAnsi="Times New Roman" w:cs="Times New Roman"/>
          <w:sz w:val="24"/>
          <w:szCs w:val="24"/>
        </w:rPr>
      </w:pPr>
    </w:p>
    <w:p w14:paraId="00000031" w14:textId="77777777" w:rsidR="00E22B5F" w:rsidRDefault="00000000">
      <w:pPr>
        <w:pStyle w:val="Heading1"/>
        <w:spacing w:line="480" w:lineRule="auto"/>
        <w:rPr>
          <w:rFonts w:ascii="Times New Roman" w:eastAsia="Times New Roman" w:hAnsi="Times New Roman" w:cs="Times New Roman"/>
          <w:b/>
        </w:rPr>
      </w:pPr>
      <w:bookmarkStart w:id="2" w:name="_heading=h.3znysh7" w:colFirst="0" w:colLast="0"/>
      <w:bookmarkEnd w:id="2"/>
      <w:r>
        <w:rPr>
          <w:rFonts w:ascii="Times New Roman" w:eastAsia="Times New Roman" w:hAnsi="Times New Roman" w:cs="Times New Roman"/>
          <w:b/>
        </w:rPr>
        <w:t xml:space="preserve">Cultural profile in the UK: Hofstede’s Cultural Dimensions Theory </w:t>
      </w:r>
    </w:p>
    <w:p w14:paraId="00000032"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global context in which Shell operates its humongous business presents challenges in its human resources that require strategic management and leadership to provide desirable results in keeping the firm streamlined. An extensive comprehension of the operating environment is needed, specifically about the cultural inclination of the host nation and the intersectionality of the same with employees from diverse backgrounds. Shell Plc's management needs to first appreciate the basic and important fact that the UK and Britain are diverse nations that are the home to and grounds of operation for people from different nationalities (Platt and Nandi, 2018). In the reflection of national and global diversity, which, based on </w:t>
      </w:r>
      <w:proofErr w:type="spellStart"/>
      <w:r>
        <w:rPr>
          <w:rFonts w:ascii="Times New Roman" w:eastAsia="Times New Roman" w:hAnsi="Times New Roman" w:cs="Times New Roman"/>
          <w:sz w:val="24"/>
          <w:szCs w:val="24"/>
        </w:rPr>
        <w:t>Hunschell</w:t>
      </w:r>
      <w:proofErr w:type="spellEnd"/>
      <w:r>
        <w:rPr>
          <w:rFonts w:ascii="Times New Roman" w:eastAsia="Times New Roman" w:hAnsi="Times New Roman" w:cs="Times New Roman"/>
          <w:sz w:val="24"/>
          <w:szCs w:val="24"/>
        </w:rPr>
        <w:t xml:space="preserve"> et al. (2020), yields the ground for enhanced worker creativity and productivity, Shell’s human resources composition is undoubtedly diverse. From </w:t>
      </w:r>
      <w:proofErr w:type="spellStart"/>
      <w:r>
        <w:rPr>
          <w:rFonts w:ascii="Times New Roman" w:eastAsia="Times New Roman" w:hAnsi="Times New Roman" w:cs="Times New Roman"/>
          <w:sz w:val="24"/>
          <w:szCs w:val="24"/>
        </w:rPr>
        <w:t>Deresky’s</w:t>
      </w:r>
      <w:proofErr w:type="spellEnd"/>
      <w:r>
        <w:rPr>
          <w:rFonts w:ascii="Times New Roman" w:eastAsia="Times New Roman" w:hAnsi="Times New Roman" w:cs="Times New Roman"/>
          <w:sz w:val="24"/>
          <w:szCs w:val="24"/>
        </w:rPr>
        <w:t xml:space="preserve"> (2017) analysis, this scenario requires cultural intelligence, which from the management's perspective, underscores its ability to harmonise the differences in cultural inclinations in creating a functional and highly productive work environment. </w:t>
      </w:r>
    </w:p>
    <w:p w14:paraId="00000033"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 realisation of the diversity of the nation is of critical importance in enhancing inclusivity for bolstered performance, it is only preliminary, and it does not, in isolation, achieve optimal outcomes. An integrated approach is, therefore, needed to harness the synergies that come with a diverse workforce for Shell Plc to continually deliver to and beyond investor expectations. In doing this, it is paramount for the management to analyse the exact nature of the UK culture, which is the bedrock for other cultures spread among its employees, considering that the operations are based here. Using Hofstede’s theory of cultural values would be a resourceful </w:t>
      </w:r>
      <w:r>
        <w:rPr>
          <w:rFonts w:ascii="Times New Roman" w:eastAsia="Times New Roman" w:hAnsi="Times New Roman" w:cs="Times New Roman"/>
          <w:sz w:val="24"/>
          <w:szCs w:val="24"/>
        </w:rPr>
        <w:lastRenderedPageBreak/>
        <w:t>move (</w:t>
      </w:r>
      <w:proofErr w:type="spellStart"/>
      <w:r>
        <w:rPr>
          <w:rFonts w:ascii="Times New Roman" w:eastAsia="Times New Roman" w:hAnsi="Times New Roman" w:cs="Times New Roman"/>
          <w:sz w:val="24"/>
          <w:szCs w:val="24"/>
        </w:rPr>
        <w:t>Deresky</w:t>
      </w:r>
      <w:proofErr w:type="spellEnd"/>
      <w:r>
        <w:rPr>
          <w:rFonts w:ascii="Times New Roman" w:eastAsia="Times New Roman" w:hAnsi="Times New Roman" w:cs="Times New Roman"/>
          <w:sz w:val="24"/>
          <w:szCs w:val="24"/>
        </w:rPr>
        <w:t xml:space="preserve">, 2017). Understanding the innate and cultural predisposition of the country to power, uncertainty, and individualism lays the ground for developing better management approaches in enhancing communication and employee relations as they subordinate their individual interests to the company’s common purpose. </w:t>
      </w:r>
    </w:p>
    <w:p w14:paraId="00000034"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the first focus, analysing the power distribution model and leadership structure that constitutes Shell Plc is important. As Shell Plc (n. d), the firm is led by the executive team that has a member leading strategic divisions that separately but interdependently work to up the firm’s aggregate performance. The structure, in this case, is consistent with other organisations in which the top leadership makes decisions that trickle down to the lower levels procedurally and back through the feedback scheme to enhance value. While this is the case, Hofstede’s theory affirms that understanding power distance is instrumental in analysing the extent to which employees acknowledge and agree with this power and authority distribution (</w:t>
      </w:r>
      <w:proofErr w:type="spellStart"/>
      <w:r>
        <w:rPr>
          <w:rFonts w:ascii="Times New Roman" w:eastAsia="Times New Roman" w:hAnsi="Times New Roman" w:cs="Times New Roman"/>
          <w:sz w:val="24"/>
          <w:szCs w:val="24"/>
        </w:rPr>
        <w:t>Deresky</w:t>
      </w:r>
      <w:proofErr w:type="spellEnd"/>
      <w:r>
        <w:rPr>
          <w:rFonts w:ascii="Times New Roman" w:eastAsia="Times New Roman" w:hAnsi="Times New Roman" w:cs="Times New Roman"/>
          <w:sz w:val="24"/>
          <w:szCs w:val="24"/>
        </w:rPr>
        <w:t xml:space="preserve">, 2017). Analysis reveals that the UK’s employees (those from the UK) have a low index in this regard, implying that they are likely to question their superiors and challenge the chain of command hierarchy. </w:t>
      </w:r>
    </w:p>
    <w:p w14:paraId="00000035"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Besides power distance, which UK citizens demonstrate to challenge the unequal distribution of power inherent in hierarchical organisational structures, Shell Plc needs to pay attention to uncertainty avoidance. The intersectionality of dynamism in the operating environment and the cultural background determines the level of managers' risk inclination and the aggressiveness of the general workforce. Based on </w:t>
      </w:r>
      <w:proofErr w:type="spellStart"/>
      <w:r>
        <w:rPr>
          <w:rFonts w:ascii="Times New Roman" w:eastAsia="Times New Roman" w:hAnsi="Times New Roman" w:cs="Times New Roman"/>
          <w:sz w:val="24"/>
          <w:szCs w:val="24"/>
        </w:rPr>
        <w:t>Deresky's</w:t>
      </w:r>
      <w:proofErr w:type="spellEnd"/>
      <w:r>
        <w:rPr>
          <w:rFonts w:ascii="Times New Roman" w:eastAsia="Times New Roman" w:hAnsi="Times New Roman" w:cs="Times New Roman"/>
          <w:sz w:val="24"/>
          <w:szCs w:val="24"/>
        </w:rPr>
        <w:t xml:space="preserve"> (2017) analysis within the construct of Hofstede’s cultural dimensions theory, the UK has a low uncertainty avoidance index, implying that employees are free from nationalism and protests. Divergence and dissent are common and tolerated by companies. Together with power distance, uncertainty avoidance </w:t>
      </w:r>
      <w:r>
        <w:rPr>
          <w:rFonts w:ascii="Times New Roman" w:eastAsia="Times New Roman" w:hAnsi="Times New Roman" w:cs="Times New Roman"/>
          <w:sz w:val="24"/>
          <w:szCs w:val="24"/>
        </w:rPr>
        <w:lastRenderedPageBreak/>
        <w:t xml:space="preserve">demonstrates that Shell Plc operates in a less structured format and formality, allowing flexibility in interactions and job mobility, which could relate to employee turnover in cases of rigidity by the management in the vacuum of less understanding of these cultural tendencies. </w:t>
      </w:r>
    </w:p>
    <w:p w14:paraId="00000036"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Shell operates as a company in the UK and global oil industry, which means it is exposed to a collective framework that includes a collective convergence of various stakeholders that define and determine its stability and sustainability as a going concern. While this is the case, individualism and collectivism are two competing interests on the continuum of cultural norms, as illustrated in the literature. In individualisms, employees </w:t>
      </w:r>
      <w:proofErr w:type="gramStart"/>
      <w:r>
        <w:rPr>
          <w:rFonts w:ascii="Times New Roman" w:eastAsia="Times New Roman" w:hAnsi="Times New Roman" w:cs="Times New Roman"/>
          <w:sz w:val="24"/>
          <w:szCs w:val="24"/>
        </w:rPr>
        <w:t>in a given</w:t>
      </w:r>
      <w:proofErr w:type="gramEnd"/>
      <w:r>
        <w:rPr>
          <w:rFonts w:ascii="Times New Roman" w:eastAsia="Times New Roman" w:hAnsi="Times New Roman" w:cs="Times New Roman"/>
          <w:sz w:val="24"/>
          <w:szCs w:val="24"/>
        </w:rPr>
        <w:t xml:space="preserve"> background care about themselves and would put themselves and immediate families at the forefront of their activities. The opposite holds for a collective approach in which one values themselves as par with family and others close to them, which means one would relinquish their personal interests for the collective good. </w:t>
      </w:r>
      <w:proofErr w:type="spellStart"/>
      <w:r>
        <w:rPr>
          <w:rFonts w:ascii="Times New Roman" w:eastAsia="Times New Roman" w:hAnsi="Times New Roman" w:cs="Times New Roman"/>
          <w:sz w:val="24"/>
          <w:szCs w:val="24"/>
        </w:rPr>
        <w:t>Deresky’s</w:t>
      </w:r>
      <w:proofErr w:type="spellEnd"/>
      <w:r>
        <w:rPr>
          <w:rFonts w:ascii="Times New Roman" w:eastAsia="Times New Roman" w:hAnsi="Times New Roman" w:cs="Times New Roman"/>
          <w:sz w:val="24"/>
          <w:szCs w:val="24"/>
        </w:rPr>
        <w:t xml:space="preserve"> (2017) illustration shows that the UK is a highly individualistic nation, implying that employees care about and would pursue strategies and patterns that grow and advance their personal positions. </w:t>
      </w:r>
    </w:p>
    <w:p w14:paraId="00000037"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above case, the high degree of individualism means Shell operates in an environment where collectivism is tragically low. With collectivism, employees would rather pursue goals in teams and as groups and people value and have wealth less comparatively with individualism with less free political systems. This means the company can exercise its power freely in making decisions in which there is less employee involvement. Shell should further consider the masculinity element in the cultural </w:t>
      </w:r>
      <w:proofErr w:type="gramStart"/>
      <w:r>
        <w:rPr>
          <w:rFonts w:ascii="Times New Roman" w:eastAsia="Times New Roman" w:hAnsi="Times New Roman" w:cs="Times New Roman"/>
          <w:sz w:val="24"/>
          <w:szCs w:val="24"/>
        </w:rPr>
        <w:t>dimensions</w:t>
      </w:r>
      <w:proofErr w:type="gramEnd"/>
      <w:r>
        <w:rPr>
          <w:rFonts w:ascii="Times New Roman" w:eastAsia="Times New Roman" w:hAnsi="Times New Roman" w:cs="Times New Roman"/>
          <w:sz w:val="24"/>
          <w:szCs w:val="24"/>
        </w:rPr>
        <w:t xml:space="preserve"> paradigm. </w:t>
      </w:r>
      <w:proofErr w:type="spellStart"/>
      <w:r>
        <w:rPr>
          <w:rFonts w:ascii="Times New Roman" w:eastAsia="Times New Roman" w:hAnsi="Times New Roman" w:cs="Times New Roman"/>
          <w:sz w:val="24"/>
          <w:szCs w:val="24"/>
        </w:rPr>
        <w:t>Deresky</w:t>
      </w:r>
      <w:proofErr w:type="spellEnd"/>
      <w:r>
        <w:rPr>
          <w:rFonts w:ascii="Times New Roman" w:eastAsia="Times New Roman" w:hAnsi="Times New Roman" w:cs="Times New Roman"/>
          <w:sz w:val="24"/>
          <w:szCs w:val="24"/>
        </w:rPr>
        <w:t xml:space="preserve"> (2017) stresses that high masculinity, which is the classic case of the UK in which Shell operates, exemplifies high materialism, less concern for others, and a high level of assertiveness. The expectation of </w:t>
      </w:r>
      <w:r>
        <w:rPr>
          <w:rFonts w:ascii="Times New Roman" w:eastAsia="Times New Roman" w:hAnsi="Times New Roman" w:cs="Times New Roman"/>
          <w:sz w:val="24"/>
          <w:szCs w:val="24"/>
        </w:rPr>
        <w:lastRenderedPageBreak/>
        <w:t xml:space="preserve">job encroachment into personal spaces and lives is remarkably high, influencing how people relate with others at the workplace. </w:t>
      </w:r>
    </w:p>
    <w:p w14:paraId="00000038"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Creating a functional space and environment requires that the management understands in detail the aggregate cultural predisposition of the UK as the host country of its operations in the UK. Only by having the above in view can Shell’s management construct an ideal framework that accommodates its diverse workforce. Considering that culture affects communication (Shin, 2021), they comprehend that the UK values power and challenges inequality, which is a norm in organisational structures, exemplifies individualism that, to a large extent, challenges team formations, tends to have a low uncertainty avoidance that influences their inclination towards risk, and embraces or is otherwise defined by masculinity in which wealth and political freedom is revered as people pursue individualistic ideas, the management can construct a logical and functional cultural sensitivity paradigm that illuminates inclusivity to harness optimal employee input in their work commitment. </w:t>
      </w:r>
    </w:p>
    <w:p w14:paraId="00000039"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UK’s culture provides the background upon which functional cultural inclusivity can be constructed to allow others to work and prosper on a mutual basis in which Shell grows, and they do too. </w:t>
      </w:r>
      <w:proofErr w:type="spellStart"/>
      <w:r>
        <w:rPr>
          <w:rFonts w:ascii="Times New Roman" w:eastAsia="Times New Roman" w:hAnsi="Times New Roman" w:cs="Times New Roman"/>
          <w:sz w:val="24"/>
          <w:szCs w:val="24"/>
        </w:rPr>
        <w:t>Deresky's</w:t>
      </w:r>
      <w:proofErr w:type="spellEnd"/>
      <w:r>
        <w:rPr>
          <w:rFonts w:ascii="Times New Roman" w:eastAsia="Times New Roman" w:hAnsi="Times New Roman" w:cs="Times New Roman"/>
          <w:sz w:val="24"/>
          <w:szCs w:val="24"/>
        </w:rPr>
        <w:t xml:space="preserve"> (2017) analysis shows that it is important to have in consideration and action cultural intelligence from which cultural sensitivity can be cultivated. In cultural sensitivity, the management’s idea is to embrace the fact that the employees of Shell Plc, while working for the same organisation and committing their efforts to attain a common purpose, subscribe to very different cultural norms, values, and beliefs. Suppressing the expression of the same can only result in disaster, and a lack of attention to diversity, which based on </w:t>
      </w:r>
      <w:proofErr w:type="spellStart"/>
      <w:r>
        <w:rPr>
          <w:rFonts w:ascii="Times New Roman" w:eastAsia="Times New Roman" w:hAnsi="Times New Roman" w:cs="Times New Roman"/>
          <w:sz w:val="24"/>
          <w:szCs w:val="24"/>
        </w:rPr>
        <w:t>Hunschell</w:t>
      </w:r>
      <w:proofErr w:type="spellEnd"/>
      <w:r>
        <w:rPr>
          <w:rFonts w:ascii="Times New Roman" w:eastAsia="Times New Roman" w:hAnsi="Times New Roman" w:cs="Times New Roman"/>
          <w:sz w:val="24"/>
          <w:szCs w:val="24"/>
        </w:rPr>
        <w:t xml:space="preserve"> et al.’s (2017) analysis, degenerates into reduced creativity. </w:t>
      </w:r>
    </w:p>
    <w:p w14:paraId="0000003A"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Based on the UK’s cultural profile, which </w:t>
      </w:r>
      <w:proofErr w:type="spellStart"/>
      <w:r>
        <w:rPr>
          <w:rFonts w:ascii="Times New Roman" w:eastAsia="Times New Roman" w:hAnsi="Times New Roman" w:cs="Times New Roman"/>
          <w:sz w:val="24"/>
          <w:szCs w:val="24"/>
        </w:rPr>
        <w:t>Deresky</w:t>
      </w:r>
      <w:proofErr w:type="spellEnd"/>
      <w:r>
        <w:rPr>
          <w:rFonts w:ascii="Times New Roman" w:eastAsia="Times New Roman" w:hAnsi="Times New Roman" w:cs="Times New Roman"/>
          <w:sz w:val="24"/>
          <w:szCs w:val="24"/>
        </w:rPr>
        <w:t xml:space="preserve"> (2017) affirms to hold the ground for appropriate management strategies in a multicultural setting, the management should consider an accommodative model in which everyone is allowed to express their free will provided that doing so conforms to an organisational culture that is supreme and universal. In the context of Shell’s business in the UK, the management should proceed with cultural relativism. With relativism, every employee is judged and understood from the perspective of their culture and not from another deemed and themed as superior and therefore superseding. With cultural relativism, the management will allow employees from the West to be assertive and materialistic while those from the East, such as the Philippines and Singapore, express their collectivist minds and ideas. </w:t>
      </w:r>
    </w:p>
    <w:p w14:paraId="0000003B"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Cultural relativism should be constructed and cultivated to work with or augment the organisational culture that stands supreme. In allowing relativism, the management would dully avoid ethnocentrism which regards some cultures as superior and, therefore, the scale of judgement of others (Yuliya et al., 2022). In the context of the UK’s cultural profile, for instance, requiring employees from Malaysia to challenge hierarchical orders would conflict with their beliefs, and so would a model that requires employees from the UK to appreciate and remain calm about power distribution and inequality that defines society and leadership structures. However, relativism should only be exercised to the extent that it does not challenge the organisation's basic and skeletal structure and culture, considering that it is supreme, binding, and influential in guiding employees toward the common purpose in Shel's existence of operational continuity. </w:t>
      </w:r>
    </w:p>
    <w:p w14:paraId="0000003C" w14:textId="77777777" w:rsidR="00E22B5F" w:rsidRDefault="00E22B5F">
      <w:pPr>
        <w:spacing w:line="480" w:lineRule="auto"/>
        <w:ind w:firstLine="720"/>
        <w:rPr>
          <w:rFonts w:ascii="Times New Roman" w:eastAsia="Times New Roman" w:hAnsi="Times New Roman" w:cs="Times New Roman"/>
          <w:sz w:val="24"/>
          <w:szCs w:val="24"/>
        </w:rPr>
      </w:pPr>
    </w:p>
    <w:p w14:paraId="0000003D" w14:textId="77777777" w:rsidR="00E22B5F" w:rsidRDefault="00000000">
      <w:pPr>
        <w:pStyle w:val="Heading1"/>
        <w:spacing w:line="480" w:lineRule="auto"/>
        <w:rPr>
          <w:rFonts w:ascii="Times New Roman" w:eastAsia="Times New Roman" w:hAnsi="Times New Roman" w:cs="Times New Roman"/>
          <w:b/>
        </w:rPr>
      </w:pPr>
      <w:bookmarkStart w:id="3" w:name="_heading=h.2et92p0" w:colFirst="0" w:colLast="0"/>
      <w:bookmarkEnd w:id="3"/>
      <w:r>
        <w:rPr>
          <w:rFonts w:ascii="Times New Roman" w:eastAsia="Times New Roman" w:hAnsi="Times New Roman" w:cs="Times New Roman"/>
          <w:b/>
        </w:rPr>
        <w:lastRenderedPageBreak/>
        <w:t xml:space="preserve">Communication barriers and the best strategies </w:t>
      </w:r>
    </w:p>
    <w:p w14:paraId="0000003E"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cultural relativism model or culture created and cultivated above can only thrive if there is the commitment to address communication barriers that would otherwise project differences and diversity as obstructive in the firm’s pursuit of its goals. Since diversity defines the UK and, therefore, Shell Plc, embracing it is resourceful. In this case, it is necessary to avoid the assumption of similarity (Bennett, 1998), which challenges one’s unique form and wraps them under the ethnocentric approach, leading to possible misinterpretation of messages and therefore distorted performance (</w:t>
      </w:r>
      <w:proofErr w:type="spellStart"/>
      <w:r>
        <w:rPr>
          <w:rFonts w:ascii="Times New Roman" w:eastAsia="Times New Roman" w:hAnsi="Times New Roman" w:cs="Times New Roman"/>
          <w:sz w:val="24"/>
          <w:szCs w:val="24"/>
        </w:rPr>
        <w:t>Dignen</w:t>
      </w:r>
      <w:proofErr w:type="spellEnd"/>
      <w:r>
        <w:rPr>
          <w:rFonts w:ascii="Times New Roman" w:eastAsia="Times New Roman" w:hAnsi="Times New Roman" w:cs="Times New Roman"/>
          <w:sz w:val="24"/>
          <w:szCs w:val="24"/>
        </w:rPr>
        <w:t xml:space="preserve"> and McMaster, 2013). The management should allow people to express themselves based on their cultural background without strict limitation to a predetermined pattern that conforms to one culture themed as supreme. For instance, people who value close contact (</w:t>
      </w:r>
      <w:proofErr w:type="spellStart"/>
      <w:r>
        <w:rPr>
          <w:rFonts w:ascii="Times New Roman" w:eastAsia="Times New Roman" w:hAnsi="Times New Roman" w:cs="Times New Roman"/>
          <w:sz w:val="24"/>
          <w:szCs w:val="24"/>
        </w:rPr>
        <w:t>Deresky</w:t>
      </w:r>
      <w:proofErr w:type="spellEnd"/>
      <w:r>
        <w:rPr>
          <w:rFonts w:ascii="Times New Roman" w:eastAsia="Times New Roman" w:hAnsi="Times New Roman" w:cs="Times New Roman"/>
          <w:sz w:val="24"/>
          <w:szCs w:val="24"/>
        </w:rPr>
        <w:t xml:space="preserve">, 2017) should not be demonised when they do so while communicating. Similarly, an Italian making expressions and gestures should be understood, provided they are working to deliver what is acceptable. </w:t>
      </w:r>
    </w:p>
    <w:p w14:paraId="0000003F"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Besides avoiding the assumption of similarities to allow free communication that allows unrestricted or suppressed expression of ideas, thoughts, and feedback, Shell’s management should weed out stereotyping. In stereotyping, the management may judge someone and predict their behaviour based on their nationality, which is a subjective element that kills morale. There is also the possibility of lack of attention and disinterest especially regarding listening, leading to breakdown of information flow (</w:t>
      </w:r>
      <w:proofErr w:type="spellStart"/>
      <w:r>
        <w:rPr>
          <w:rFonts w:ascii="Times New Roman" w:eastAsia="Times New Roman" w:hAnsi="Times New Roman" w:cs="Times New Roman"/>
          <w:sz w:val="24"/>
          <w:szCs w:val="24"/>
        </w:rPr>
        <w:t>Dignen</w:t>
      </w:r>
      <w:proofErr w:type="spellEnd"/>
      <w:r>
        <w:rPr>
          <w:rFonts w:ascii="Times New Roman" w:eastAsia="Times New Roman" w:hAnsi="Times New Roman" w:cs="Times New Roman"/>
          <w:sz w:val="24"/>
          <w:szCs w:val="24"/>
        </w:rPr>
        <w:t xml:space="preserve"> and McMaster, 2013). For instance, while </w:t>
      </w:r>
      <w:proofErr w:type="spellStart"/>
      <w:r>
        <w:rPr>
          <w:rFonts w:ascii="Times New Roman" w:eastAsia="Times New Roman" w:hAnsi="Times New Roman" w:cs="Times New Roman"/>
          <w:sz w:val="24"/>
          <w:szCs w:val="24"/>
        </w:rPr>
        <w:t>Deresky’s</w:t>
      </w:r>
      <w:proofErr w:type="spellEnd"/>
      <w:r>
        <w:rPr>
          <w:rFonts w:ascii="Times New Roman" w:eastAsia="Times New Roman" w:hAnsi="Times New Roman" w:cs="Times New Roman"/>
          <w:sz w:val="24"/>
          <w:szCs w:val="24"/>
        </w:rPr>
        <w:t xml:space="preserve"> (2017) analysis based on Hofstede’s cultural dimension theory shows that an employee from Malaysia may likely be </w:t>
      </w:r>
      <w:proofErr w:type="gramStart"/>
      <w:r>
        <w:rPr>
          <w:rFonts w:ascii="Times New Roman" w:eastAsia="Times New Roman" w:hAnsi="Times New Roman" w:cs="Times New Roman"/>
          <w:sz w:val="24"/>
          <w:szCs w:val="24"/>
        </w:rPr>
        <w:t>risk-averse</w:t>
      </w:r>
      <w:proofErr w:type="gramEnd"/>
      <w:r>
        <w:rPr>
          <w:rFonts w:ascii="Times New Roman" w:eastAsia="Times New Roman" w:hAnsi="Times New Roman" w:cs="Times New Roman"/>
          <w:sz w:val="24"/>
          <w:szCs w:val="24"/>
        </w:rPr>
        <w:t xml:space="preserve"> as measured on the uncertainty avoidance index, predicting this, and even assigning tasks in reflection of this may not reflect what that specific employee behaves or is programmed courtesy of training or exposure to different work environments. </w:t>
      </w:r>
      <w:r>
        <w:rPr>
          <w:rFonts w:ascii="Times New Roman" w:eastAsia="Times New Roman" w:hAnsi="Times New Roman" w:cs="Times New Roman"/>
          <w:sz w:val="24"/>
          <w:szCs w:val="24"/>
        </w:rPr>
        <w:lastRenderedPageBreak/>
        <w:t xml:space="preserve">Similarly, assuming that all employees from the Netherlands are assertive and materialistic would lead to flawed relationships and information flow between the management and the workforce. </w:t>
      </w:r>
    </w:p>
    <w:p w14:paraId="00000040"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needful for the management to break the tendencies for and inclinations toward natural preferences. Since the UK is diverse, and so is Shell, working within a preferred style would mean limiting others. For instance, if a manager from Australia insists on addressing mistakes more often when they occur while giving little to no attention to positive and remarkable deliveries from employees, they are likely to clip employee confidence as they feel unappreciated. Breaking this norm would create an environment of appreciation as each employee commits to contribute immensely towards organisational goals. </w:t>
      </w:r>
    </w:p>
    <w:p w14:paraId="00000041" w14:textId="77777777" w:rsidR="00E22B5F" w:rsidRDefault="00E22B5F">
      <w:pPr>
        <w:spacing w:line="480" w:lineRule="auto"/>
        <w:ind w:firstLine="720"/>
        <w:rPr>
          <w:rFonts w:ascii="Times New Roman" w:eastAsia="Times New Roman" w:hAnsi="Times New Roman" w:cs="Times New Roman"/>
          <w:sz w:val="24"/>
          <w:szCs w:val="24"/>
        </w:rPr>
      </w:pPr>
    </w:p>
    <w:p w14:paraId="00000042" w14:textId="77777777" w:rsidR="00E22B5F" w:rsidRDefault="00000000">
      <w:pPr>
        <w:pStyle w:val="Heading1"/>
        <w:spacing w:line="480" w:lineRule="auto"/>
        <w:rPr>
          <w:rFonts w:ascii="Times New Roman" w:eastAsia="Times New Roman" w:hAnsi="Times New Roman" w:cs="Times New Roman"/>
          <w:b/>
        </w:rPr>
      </w:pPr>
      <w:bookmarkStart w:id="4" w:name="_heading=h.tyjcwt" w:colFirst="0" w:colLast="0"/>
      <w:bookmarkEnd w:id="4"/>
      <w:r>
        <w:rPr>
          <w:rFonts w:ascii="Times New Roman" w:eastAsia="Times New Roman" w:hAnsi="Times New Roman" w:cs="Times New Roman"/>
          <w:b/>
        </w:rPr>
        <w:t xml:space="preserve">Conclusion </w:t>
      </w:r>
    </w:p>
    <w:p w14:paraId="00000043" w14:textId="77777777" w:rsidR="00E22B5F"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concise strategy to attain the above in creating an inclusive and accommodative environment can be achieved through training. With enhanced training, the management learns and appreciates that diversity defines the existence of MNCs, especially in the UK, which is rich in this regard. Managers can learn to respect other cultures, build trust and understanding, and create long-lasting and functionally impactful relationships regardless of one’s background (</w:t>
      </w:r>
      <w:r>
        <w:rPr>
          <w:rFonts w:ascii="Times New Roman" w:eastAsia="Times New Roman" w:hAnsi="Times New Roman" w:cs="Times New Roman"/>
          <w:color w:val="222222"/>
          <w:sz w:val="24"/>
          <w:szCs w:val="24"/>
          <w:highlight w:val="white"/>
        </w:rPr>
        <w:t>Grosse, 2002</w:t>
      </w:r>
      <w:r>
        <w:rPr>
          <w:rFonts w:ascii="Times New Roman" w:eastAsia="Times New Roman" w:hAnsi="Times New Roman" w:cs="Times New Roman"/>
          <w:sz w:val="24"/>
          <w:szCs w:val="24"/>
        </w:rPr>
        <w:t xml:space="preserve">). Managers can learn to be situational in their management approaches. In this model, a manager giving instructions to an employee from Malaysia would not use a format they apply when interacting with one with Dutch or Caribbean background. In this regard, a conducive and positive environment would be the norm as everyone has the space to work. </w:t>
      </w:r>
    </w:p>
    <w:p w14:paraId="00000044" w14:textId="77777777" w:rsidR="00E22B5F" w:rsidRDefault="00E22B5F">
      <w:pPr>
        <w:spacing w:line="480" w:lineRule="auto"/>
        <w:rPr>
          <w:rFonts w:ascii="Times New Roman" w:eastAsia="Times New Roman" w:hAnsi="Times New Roman" w:cs="Times New Roman"/>
          <w:sz w:val="24"/>
          <w:szCs w:val="24"/>
        </w:rPr>
      </w:pPr>
    </w:p>
    <w:p w14:paraId="00000045" w14:textId="77777777" w:rsidR="00E22B5F" w:rsidRDefault="00E22B5F">
      <w:pPr>
        <w:spacing w:line="480" w:lineRule="auto"/>
        <w:rPr>
          <w:rFonts w:ascii="Times New Roman" w:eastAsia="Times New Roman" w:hAnsi="Times New Roman" w:cs="Times New Roman"/>
          <w:sz w:val="24"/>
          <w:szCs w:val="24"/>
        </w:rPr>
      </w:pPr>
    </w:p>
    <w:p w14:paraId="00000046" w14:textId="77777777" w:rsidR="00E22B5F" w:rsidRDefault="00000000">
      <w:pPr>
        <w:pStyle w:val="Heading1"/>
        <w:spacing w:line="480" w:lineRule="auto"/>
        <w:rPr>
          <w:rFonts w:ascii="Times New Roman" w:eastAsia="Times New Roman" w:hAnsi="Times New Roman" w:cs="Times New Roman"/>
          <w:b/>
        </w:rPr>
      </w:pPr>
      <w:bookmarkStart w:id="5" w:name="_heading=h.3dy6vkm" w:colFirst="0" w:colLast="0"/>
      <w:bookmarkEnd w:id="5"/>
      <w:r>
        <w:rPr>
          <w:rFonts w:ascii="Times New Roman" w:eastAsia="Times New Roman" w:hAnsi="Times New Roman" w:cs="Times New Roman"/>
          <w:b/>
        </w:rPr>
        <w:t>Bibliography</w:t>
      </w:r>
    </w:p>
    <w:p w14:paraId="00000047" w14:textId="77777777" w:rsidR="00E22B5F" w:rsidRDefault="00000000">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Bennett, M., J. (1998). ‘Intercultural communication: A current perspective,’ In Milton J. B (ed.).  </w:t>
      </w:r>
      <w:r>
        <w:rPr>
          <w:rFonts w:ascii="Times New Roman" w:eastAsia="Times New Roman" w:hAnsi="Times New Roman" w:cs="Times New Roman"/>
          <w:i/>
          <w:sz w:val="24"/>
          <w:szCs w:val="24"/>
        </w:rPr>
        <w:t>Basic concepts of intercultural communication: Selected readings.</w:t>
      </w:r>
      <w:r>
        <w:rPr>
          <w:rFonts w:ascii="Times New Roman" w:eastAsia="Times New Roman" w:hAnsi="Times New Roman" w:cs="Times New Roman"/>
          <w:sz w:val="24"/>
          <w:szCs w:val="24"/>
        </w:rPr>
        <w:t xml:space="preserve"> Yarmouth, ME: Intercultural Press</w:t>
      </w:r>
    </w:p>
    <w:p w14:paraId="00000048" w14:textId="77777777" w:rsidR="00E22B5F" w:rsidRDefault="00000000">
      <w:pPr>
        <w:spacing w:after="0"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Deresky</w:t>
      </w:r>
      <w:proofErr w:type="spellEnd"/>
      <w:r>
        <w:rPr>
          <w:rFonts w:ascii="Times New Roman" w:eastAsia="Times New Roman" w:hAnsi="Times New Roman" w:cs="Times New Roman"/>
          <w:sz w:val="24"/>
          <w:szCs w:val="24"/>
        </w:rPr>
        <w:t xml:space="preserve">, H. (2017). </w:t>
      </w:r>
      <w:r>
        <w:rPr>
          <w:rFonts w:ascii="Times New Roman" w:eastAsia="Times New Roman" w:hAnsi="Times New Roman" w:cs="Times New Roman"/>
          <w:i/>
          <w:sz w:val="24"/>
          <w:szCs w:val="24"/>
        </w:rPr>
        <w:t>International management: Managing across borders and cultures.</w:t>
      </w:r>
      <w:r>
        <w:rPr>
          <w:rFonts w:ascii="Times New Roman" w:eastAsia="Times New Roman" w:hAnsi="Times New Roman" w:cs="Times New Roman"/>
          <w:sz w:val="24"/>
          <w:szCs w:val="24"/>
        </w:rPr>
        <w:t xml:space="preserve"> 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Edinburg: Pearson Education Limited.</w:t>
      </w:r>
    </w:p>
    <w:p w14:paraId="00000049" w14:textId="77777777" w:rsidR="00E22B5F" w:rsidRDefault="00000000">
      <w:pPr>
        <w:spacing w:after="0"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Dignen</w:t>
      </w:r>
      <w:proofErr w:type="spellEnd"/>
      <w:r>
        <w:rPr>
          <w:rFonts w:ascii="Times New Roman" w:eastAsia="Times New Roman" w:hAnsi="Times New Roman" w:cs="Times New Roman"/>
          <w:sz w:val="24"/>
          <w:szCs w:val="24"/>
        </w:rPr>
        <w:t xml:space="preserve">, B., and McMaster, I. (2013). </w:t>
      </w:r>
      <w:r>
        <w:rPr>
          <w:rFonts w:ascii="Times New Roman" w:eastAsia="Times New Roman" w:hAnsi="Times New Roman" w:cs="Times New Roman"/>
          <w:i/>
          <w:sz w:val="24"/>
          <w:szCs w:val="24"/>
        </w:rPr>
        <w:t>Collins effective international business communication.</w:t>
      </w:r>
      <w:r>
        <w:rPr>
          <w:rFonts w:ascii="Times New Roman" w:eastAsia="Times New Roman" w:hAnsi="Times New Roman" w:cs="Times New Roman"/>
          <w:sz w:val="24"/>
          <w:szCs w:val="24"/>
        </w:rPr>
        <w:t xml:space="preserve"> London: Collins</w:t>
      </w:r>
    </w:p>
    <w:p w14:paraId="0000004A" w14:textId="77777777" w:rsidR="00E22B5F" w:rsidRDefault="00000000">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Grosse, C.U., (2002). ‘Managing communication within virtual intercultural </w:t>
      </w:r>
      <w:proofErr w:type="spellStart"/>
      <w:r>
        <w:rPr>
          <w:rFonts w:ascii="Times New Roman" w:eastAsia="Times New Roman" w:hAnsi="Times New Roman" w:cs="Times New Roman"/>
          <w:color w:val="222222"/>
          <w:sz w:val="24"/>
          <w:szCs w:val="24"/>
          <w:highlight w:val="white"/>
        </w:rPr>
        <w:t>teams.’</w:t>
      </w:r>
      <w:r>
        <w:rPr>
          <w:rFonts w:ascii="Times New Roman" w:eastAsia="Times New Roman" w:hAnsi="Times New Roman" w:cs="Times New Roman"/>
          <w:i/>
          <w:color w:val="222222"/>
          <w:sz w:val="24"/>
          <w:szCs w:val="24"/>
          <w:highlight w:val="white"/>
        </w:rPr>
        <w:t>Business</w:t>
      </w:r>
      <w:proofErr w:type="spellEnd"/>
      <w:r>
        <w:rPr>
          <w:rFonts w:ascii="Times New Roman" w:eastAsia="Times New Roman" w:hAnsi="Times New Roman" w:cs="Times New Roman"/>
          <w:i/>
          <w:color w:val="222222"/>
          <w:sz w:val="24"/>
          <w:szCs w:val="24"/>
          <w:highlight w:val="white"/>
        </w:rPr>
        <w:t xml:space="preserve"> Communication Quarterly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65</w:t>
      </w:r>
      <w:r>
        <w:rPr>
          <w:rFonts w:ascii="Times New Roman" w:eastAsia="Times New Roman" w:hAnsi="Times New Roman" w:cs="Times New Roman"/>
          <w:color w:val="222222"/>
          <w:sz w:val="24"/>
          <w:szCs w:val="24"/>
          <w:highlight w:val="white"/>
        </w:rPr>
        <w:t>(4), pp.22-38.</w:t>
      </w:r>
    </w:p>
    <w:p w14:paraId="0000004B" w14:textId="77777777" w:rsidR="00E22B5F" w:rsidRDefault="00000000">
      <w:pPr>
        <w:spacing w:after="0"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Hunschell</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Ranziskas</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Backmann</w:t>
      </w:r>
      <w:proofErr w:type="spellEnd"/>
      <w:r>
        <w:rPr>
          <w:rFonts w:ascii="Times New Roman" w:eastAsia="Times New Roman" w:hAnsi="Times New Roman" w:cs="Times New Roman"/>
          <w:sz w:val="24"/>
          <w:szCs w:val="24"/>
        </w:rPr>
        <w:t xml:space="preserve">, J., and </w:t>
      </w:r>
      <w:proofErr w:type="spellStart"/>
      <w:r>
        <w:rPr>
          <w:rFonts w:ascii="Times New Roman" w:eastAsia="Times New Roman" w:hAnsi="Times New Roman" w:cs="Times New Roman"/>
          <w:sz w:val="24"/>
          <w:szCs w:val="24"/>
        </w:rPr>
        <w:t>Hoegl</w:t>
      </w:r>
      <w:proofErr w:type="spellEnd"/>
      <w:r>
        <w:rPr>
          <w:rFonts w:ascii="Times New Roman" w:eastAsia="Times New Roman" w:hAnsi="Times New Roman" w:cs="Times New Roman"/>
          <w:sz w:val="24"/>
          <w:szCs w:val="24"/>
        </w:rPr>
        <w:t xml:space="preserve">, M. (2020). ‘The effects of diversity on creativity: A literature review and synthesis,’ </w:t>
      </w:r>
      <w:r>
        <w:rPr>
          <w:rFonts w:ascii="Times New Roman" w:eastAsia="Times New Roman" w:hAnsi="Times New Roman" w:cs="Times New Roman"/>
          <w:i/>
          <w:sz w:val="24"/>
          <w:szCs w:val="24"/>
        </w:rPr>
        <w:t>Applied Psychology,</w:t>
      </w:r>
      <w:r>
        <w:rPr>
          <w:rFonts w:ascii="Times New Roman" w:eastAsia="Times New Roman" w:hAnsi="Times New Roman" w:cs="Times New Roman"/>
          <w:sz w:val="24"/>
          <w:szCs w:val="24"/>
        </w:rPr>
        <w:t xml:space="preserve"> 71(2020), pp. 1598-1634. DOI: 10.1111/apps.12365</w:t>
      </w:r>
    </w:p>
    <w:p w14:paraId="0000004C" w14:textId="77777777" w:rsidR="00E22B5F" w:rsidRDefault="00000000">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Platt, L. and Nandi, A. (2018). ‘Ethnic diversity in the UK: New opportunities and changing constraints,’ </w:t>
      </w:r>
      <w:r>
        <w:rPr>
          <w:rFonts w:ascii="Times New Roman" w:eastAsia="Times New Roman" w:hAnsi="Times New Roman" w:cs="Times New Roman"/>
          <w:i/>
          <w:sz w:val="24"/>
          <w:szCs w:val="24"/>
        </w:rPr>
        <w:t>Journal of Ethnic and Migration Studies,</w:t>
      </w:r>
      <w:r>
        <w:rPr>
          <w:rFonts w:ascii="Times New Roman" w:eastAsia="Times New Roman" w:hAnsi="Times New Roman" w:cs="Times New Roman"/>
          <w:sz w:val="24"/>
          <w:szCs w:val="24"/>
        </w:rPr>
        <w:t xml:space="preserve"> 46(5), pp. 839-856. https://doi.org/10.1080/1369183X.2018.1539229</w:t>
      </w:r>
    </w:p>
    <w:p w14:paraId="0000004D" w14:textId="77777777" w:rsidR="00E22B5F" w:rsidRDefault="00000000">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Shell Plc (2022). Annual report and accounts for the year ended December 31, 2022. Available at </w:t>
      </w:r>
      <w:hyperlink r:id="rId7">
        <w:r>
          <w:rPr>
            <w:rFonts w:ascii="Times New Roman" w:eastAsia="Times New Roman" w:hAnsi="Times New Roman" w:cs="Times New Roman"/>
            <w:color w:val="0563C1"/>
            <w:sz w:val="24"/>
            <w:szCs w:val="24"/>
            <w:u w:val="single"/>
          </w:rPr>
          <w:t>https://www.shell.com/about-us/annual-publications/annual-reports-download-centre/_jcr_content/root/main/section/text_copy.multi.stream/1678350183002/149a6257d541b5691a3a19a334336396b8bf4936/shell-annual-report-2022.pdf</w:t>
        </w:r>
      </w:hyperlink>
      <w:r>
        <w:rPr>
          <w:rFonts w:ascii="Times New Roman" w:eastAsia="Times New Roman" w:hAnsi="Times New Roman" w:cs="Times New Roman"/>
          <w:sz w:val="24"/>
          <w:szCs w:val="24"/>
        </w:rPr>
        <w:t xml:space="preserve"> ( Accessed 18</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March 2023)</w:t>
      </w:r>
    </w:p>
    <w:p w14:paraId="0000004E" w14:textId="77777777" w:rsidR="00E22B5F" w:rsidRDefault="00000000">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Shell Plc (n. d). Leadership. Available at </w:t>
      </w:r>
      <w:hyperlink r:id="rId8">
        <w:r>
          <w:rPr>
            <w:rFonts w:ascii="Times New Roman" w:eastAsia="Times New Roman" w:hAnsi="Times New Roman" w:cs="Times New Roman"/>
            <w:color w:val="0563C1"/>
            <w:sz w:val="24"/>
            <w:szCs w:val="24"/>
            <w:u w:val="single"/>
          </w:rPr>
          <w:t>https://www.shell.co.uk/about-us/leadership.html</w:t>
        </w:r>
      </w:hyperlink>
      <w:r>
        <w:rPr>
          <w:rFonts w:ascii="Times New Roman" w:eastAsia="Times New Roman" w:hAnsi="Times New Roman" w:cs="Times New Roman"/>
          <w:sz w:val="24"/>
          <w:szCs w:val="24"/>
        </w:rPr>
        <w:t xml:space="preserve"> (Accessed: 18</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March 2023)</w:t>
      </w:r>
    </w:p>
    <w:p w14:paraId="0000004F" w14:textId="77777777" w:rsidR="00E22B5F" w:rsidRDefault="00000000">
      <w:pPr>
        <w:spacing w:after="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Shin, Y. (2021). ‘The impact of organizational culture on employee communication satisfaction,’ </w:t>
      </w:r>
      <w:r>
        <w:rPr>
          <w:rFonts w:ascii="Times New Roman" w:eastAsia="Times New Roman" w:hAnsi="Times New Roman" w:cs="Times New Roman"/>
          <w:i/>
          <w:sz w:val="24"/>
          <w:szCs w:val="24"/>
        </w:rPr>
        <w:t xml:space="preserve">East Asian Journal of Business Economics, </w:t>
      </w:r>
      <w:r>
        <w:rPr>
          <w:rFonts w:ascii="Times New Roman" w:eastAsia="Times New Roman" w:hAnsi="Times New Roman" w:cs="Times New Roman"/>
          <w:sz w:val="24"/>
          <w:szCs w:val="24"/>
        </w:rPr>
        <w:t>10(1), pp. 23-34. https://koreascience.kr/article/JAKO202209538418784.pdf</w:t>
      </w:r>
    </w:p>
    <w:p w14:paraId="00000050" w14:textId="77777777" w:rsidR="00E22B5F" w:rsidRDefault="00000000">
      <w:pPr>
        <w:spacing w:after="0" w:line="480" w:lineRule="auto"/>
        <w:ind w:left="720" w:hanging="720"/>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Yuliya,B</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Oksana, S., </w:t>
      </w:r>
      <w:proofErr w:type="spellStart"/>
      <w:r>
        <w:rPr>
          <w:rFonts w:ascii="Times New Roman" w:eastAsia="Times New Roman" w:hAnsi="Times New Roman" w:cs="Times New Roman"/>
          <w:sz w:val="24"/>
          <w:szCs w:val="24"/>
        </w:rPr>
        <w:t>Yulia</w:t>
      </w:r>
      <w:proofErr w:type="spellEnd"/>
      <w:r>
        <w:rPr>
          <w:rFonts w:ascii="Times New Roman" w:eastAsia="Times New Roman" w:hAnsi="Times New Roman" w:cs="Times New Roman"/>
          <w:sz w:val="24"/>
          <w:szCs w:val="24"/>
        </w:rPr>
        <w:t xml:space="preserve">, K., Olena, M. and Denys, D., (2022). ‘Cultural relativism and ethnocentrism as two alternative principles of cross-cultural communication,’ </w:t>
      </w:r>
      <w:r>
        <w:rPr>
          <w:rFonts w:ascii="Times New Roman" w:eastAsia="Times New Roman" w:hAnsi="Times New Roman" w:cs="Times New Roman"/>
          <w:i/>
          <w:sz w:val="24"/>
          <w:szCs w:val="24"/>
        </w:rPr>
        <w:t>World Journal of English Language</w:t>
      </w:r>
      <w:r>
        <w:rPr>
          <w:rFonts w:ascii="Times New Roman" w:eastAsia="Times New Roman" w:hAnsi="Times New Roman" w:cs="Times New Roman"/>
          <w:sz w:val="24"/>
          <w:szCs w:val="24"/>
        </w:rPr>
        <w:t>, 12(8), pp.121-121.</w:t>
      </w:r>
    </w:p>
    <w:p w14:paraId="00000051" w14:textId="77777777" w:rsidR="00E22B5F" w:rsidRDefault="00E22B5F">
      <w:pPr>
        <w:spacing w:line="480" w:lineRule="auto"/>
        <w:rPr>
          <w:rFonts w:ascii="Times New Roman" w:eastAsia="Times New Roman" w:hAnsi="Times New Roman" w:cs="Times New Roman"/>
          <w:sz w:val="24"/>
          <w:szCs w:val="24"/>
        </w:rPr>
      </w:pPr>
    </w:p>
    <w:p w14:paraId="00000052" w14:textId="77777777" w:rsidR="00E22B5F" w:rsidRDefault="00E22B5F">
      <w:pPr>
        <w:spacing w:line="480" w:lineRule="auto"/>
        <w:rPr>
          <w:rFonts w:ascii="Times New Roman" w:eastAsia="Times New Roman" w:hAnsi="Times New Roman" w:cs="Times New Roman"/>
          <w:sz w:val="24"/>
          <w:szCs w:val="24"/>
        </w:rPr>
      </w:pPr>
    </w:p>
    <w:p w14:paraId="00000053" w14:textId="77777777" w:rsidR="00E22B5F" w:rsidRDefault="00E22B5F">
      <w:pPr>
        <w:spacing w:line="480" w:lineRule="auto"/>
        <w:rPr>
          <w:rFonts w:ascii="Times New Roman" w:eastAsia="Times New Roman" w:hAnsi="Times New Roman" w:cs="Times New Roman"/>
          <w:sz w:val="24"/>
          <w:szCs w:val="24"/>
        </w:rPr>
      </w:pPr>
    </w:p>
    <w:p w14:paraId="00000054" w14:textId="77777777" w:rsidR="00E22B5F" w:rsidRDefault="00E22B5F">
      <w:pPr>
        <w:spacing w:line="480" w:lineRule="auto"/>
        <w:rPr>
          <w:rFonts w:ascii="Times New Roman" w:eastAsia="Times New Roman" w:hAnsi="Times New Roman" w:cs="Times New Roman"/>
          <w:sz w:val="24"/>
          <w:szCs w:val="24"/>
        </w:rPr>
      </w:pPr>
    </w:p>
    <w:sectPr w:rsidR="00E22B5F">
      <w:head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2A91B" w14:textId="77777777" w:rsidR="007C3A64" w:rsidRDefault="007C3A64">
      <w:pPr>
        <w:spacing w:after="0" w:line="240" w:lineRule="auto"/>
      </w:pPr>
      <w:r>
        <w:separator/>
      </w:r>
    </w:p>
  </w:endnote>
  <w:endnote w:type="continuationSeparator" w:id="0">
    <w:p w14:paraId="7C20DE85" w14:textId="77777777" w:rsidR="007C3A64" w:rsidRDefault="007C3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94712" w14:textId="77777777" w:rsidR="007C3A64" w:rsidRDefault="007C3A64">
      <w:pPr>
        <w:spacing w:after="0" w:line="240" w:lineRule="auto"/>
      </w:pPr>
      <w:r>
        <w:separator/>
      </w:r>
    </w:p>
  </w:footnote>
  <w:footnote w:type="continuationSeparator" w:id="0">
    <w:p w14:paraId="57D59585" w14:textId="77777777" w:rsidR="007C3A64" w:rsidRDefault="007C3A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5" w14:textId="0653394C" w:rsidR="00E22B5F" w:rsidRDefault="00000000">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INTERCULTURAL COMMUNICATION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684165">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00000056" w14:textId="77777777" w:rsidR="00E22B5F" w:rsidRDefault="00E22B5F">
    <w:pPr>
      <w:pBdr>
        <w:top w:val="nil"/>
        <w:left w:val="nil"/>
        <w:bottom w:val="nil"/>
        <w:right w:val="nil"/>
        <w:between w:val="nil"/>
      </w:pBdr>
      <w:tabs>
        <w:tab w:val="center" w:pos="4680"/>
        <w:tab w:val="right" w:pos="9360"/>
      </w:tabs>
      <w:spacing w:after="0" w:line="240" w:lineRule="auto"/>
      <w:rPr>
        <w:rFonts w:ascii="Times New Roman" w:eastAsia="Times New Roman" w:hAnsi="Times New Roman" w:cs="Times New Roman"/>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B5F"/>
    <w:rsid w:val="00684165"/>
    <w:rsid w:val="007C3A64"/>
    <w:rsid w:val="00E22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B321BE"/>
  <w15:docId w15:val="{3B532890-FC04-474B-88CB-B4E843FFE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8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C65D63"/>
    <w:rPr>
      <w:color w:val="0563C1" w:themeColor="hyperlink"/>
      <w:u w:val="single"/>
    </w:rPr>
  </w:style>
  <w:style w:type="character" w:styleId="UnresolvedMention">
    <w:name w:val="Unresolved Mention"/>
    <w:basedOn w:val="DefaultParagraphFont"/>
    <w:uiPriority w:val="99"/>
    <w:semiHidden/>
    <w:unhideWhenUsed/>
    <w:rsid w:val="00C65D63"/>
    <w:rPr>
      <w:color w:val="605E5C"/>
      <w:shd w:val="clear" w:color="auto" w:fill="E1DFDD"/>
    </w:rPr>
  </w:style>
  <w:style w:type="paragraph" w:styleId="Header">
    <w:name w:val="header"/>
    <w:basedOn w:val="Normal"/>
    <w:link w:val="HeaderChar"/>
    <w:uiPriority w:val="99"/>
    <w:unhideWhenUsed/>
    <w:rsid w:val="006B59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5941"/>
  </w:style>
  <w:style w:type="paragraph" w:styleId="Footer">
    <w:name w:val="footer"/>
    <w:basedOn w:val="Normal"/>
    <w:link w:val="FooterChar"/>
    <w:uiPriority w:val="99"/>
    <w:unhideWhenUsed/>
    <w:rsid w:val="006B59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941"/>
  </w:style>
  <w:style w:type="character" w:customStyle="1" w:styleId="Heading1Char">
    <w:name w:val="Heading 1 Char"/>
    <w:basedOn w:val="DefaultParagraphFont"/>
    <w:link w:val="Heading1"/>
    <w:uiPriority w:val="9"/>
    <w:rsid w:val="00BE78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7876"/>
    <w:pPr>
      <w:outlineLvl w:val="9"/>
    </w:pPr>
  </w:style>
  <w:style w:type="paragraph" w:styleId="TOC1">
    <w:name w:val="toc 1"/>
    <w:basedOn w:val="Normal"/>
    <w:next w:val="Normal"/>
    <w:autoRedefine/>
    <w:uiPriority w:val="39"/>
    <w:unhideWhenUsed/>
    <w:rsid w:val="00BE7876"/>
    <w:pPr>
      <w:spacing w:after="100"/>
    </w:pPr>
  </w:style>
  <w:style w:type="paragraph" w:styleId="TOC2">
    <w:name w:val="toc 2"/>
    <w:basedOn w:val="Normal"/>
    <w:next w:val="Normal"/>
    <w:autoRedefine/>
    <w:uiPriority w:val="39"/>
    <w:unhideWhenUsed/>
    <w:rsid w:val="00BE7876"/>
    <w:pPr>
      <w:spacing w:after="100"/>
      <w:ind w:left="2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hell.co.uk/about-us/leadership.html" TargetMode="External"/><Relationship Id="rId3" Type="http://schemas.openxmlformats.org/officeDocument/2006/relationships/settings" Target="settings.xml"/><Relationship Id="rId7" Type="http://schemas.openxmlformats.org/officeDocument/2006/relationships/hyperlink" Target="https://www.shell.com/about-us/annual-publications/annual-reports-download-centre/_jcr_content/root/main/section/text_copy.multi.stream/1678350183002/149a6257d541b5691a3a19a334336396b8bf4936/shell-annual-report-2022.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KtTpPcTvN7BVYPci0WLtb/LAjiA==">AMUW2mWBIr+wtluCsQW5SbN+q/ep2waXcJY/BWNzvt3meexIgo2D/VB7f9zDuk+3byMgA7/jPfsRDIHrzzwKCjbYZW7fPuFWp4RD0AAreYSWGH6nmVW1EyuELnyVKAO2GPDTYrFtb/57i4sQKhj6nyINIX2PV175b640MWAb7UjAxkS3qz7PhsJEX1G0BbAXmrtpy3qaiTmH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2989</Words>
  <Characters>17041</Characters>
  <Application>Microsoft Office Word</Application>
  <DocSecurity>0</DocSecurity>
  <Lines>142</Lines>
  <Paragraphs>39</Paragraphs>
  <ScaleCrop>false</ScaleCrop>
  <Company/>
  <LinksUpToDate>false</LinksUpToDate>
  <CharactersWithSpaces>19991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Anton Zhivkov Mersinkov (2014039)</cp:lastModifiedBy>
  <cp:revision>2</cp:revision>
  <dcterms:created xsi:type="dcterms:W3CDTF">2023-03-19T14:00:00Z</dcterms:created>
  <dcterms:modified xsi:type="dcterms:W3CDTF">2023-04-20T20:16:00Z</dcterms:modified>
</cp:coreProperties>
</file>