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8CD4F0" w14:textId="37971F56" w:rsidR="00411513" w:rsidRDefault="526B123D" w:rsidP="526B123D">
      <w:pPr>
        <w:jc w:val="both"/>
        <w:rPr>
          <w:rFonts w:ascii="Calibri" w:eastAsia="Calibri" w:hAnsi="Calibri" w:cs="Calibri"/>
          <w:b/>
          <w:bCs/>
          <w:color w:val="000000" w:themeColor="text1"/>
          <w:sz w:val="24"/>
          <w:szCs w:val="24"/>
        </w:rPr>
      </w:pPr>
      <w:r w:rsidRPr="526B123D">
        <w:rPr>
          <w:rFonts w:ascii="Calibri" w:eastAsia="Calibri" w:hAnsi="Calibri" w:cs="Calibri"/>
          <w:b/>
          <w:bCs/>
          <w:color w:val="000000" w:themeColor="text1"/>
          <w:sz w:val="28"/>
          <w:szCs w:val="28"/>
        </w:rPr>
        <w:t>I</w:t>
      </w:r>
      <w:r w:rsidRPr="526B123D">
        <w:rPr>
          <w:rFonts w:ascii="Calibri" w:eastAsia="Calibri" w:hAnsi="Calibri" w:cs="Calibri"/>
          <w:b/>
          <w:bCs/>
          <w:color w:val="000000" w:themeColor="text1"/>
          <w:sz w:val="24"/>
          <w:szCs w:val="24"/>
        </w:rPr>
        <w:t>NTRODUCTION</w:t>
      </w:r>
    </w:p>
    <w:p w14:paraId="6DECF4CD" w14:textId="7B57C9BD" w:rsidR="00411513" w:rsidRDefault="657312F3" w:rsidP="657312F3">
      <w:pPr>
        <w:jc w:val="both"/>
        <w:rPr>
          <w:rFonts w:ascii="Calibri" w:eastAsia="Calibri" w:hAnsi="Calibri" w:cs="Calibri"/>
          <w:color w:val="000000" w:themeColor="text1"/>
          <w:sz w:val="24"/>
          <w:szCs w:val="24"/>
        </w:rPr>
      </w:pPr>
      <w:commentRangeStart w:id="0"/>
      <w:r w:rsidRPr="657312F3">
        <w:rPr>
          <w:rFonts w:ascii="Calibri" w:eastAsia="Calibri" w:hAnsi="Calibri" w:cs="Calibri"/>
          <w:color w:val="000000" w:themeColor="text1"/>
          <w:sz w:val="24"/>
          <w:szCs w:val="24"/>
        </w:rPr>
        <w:t>I intend to write this essay based on my previous role as a ward manager in a sub-acute medical ward as oppose to my current role as a clinical informaticist.</w:t>
      </w:r>
      <w:commentRangeEnd w:id="0"/>
      <w:r w:rsidR="00B6167E">
        <w:rPr>
          <w:rStyle w:val="CommentReference"/>
        </w:rPr>
        <w:commentReference w:id="0"/>
      </w:r>
    </w:p>
    <w:p w14:paraId="7150BB75" w14:textId="5A9D571D" w:rsidR="00411513" w:rsidRDefault="0D61A14C" w:rsidP="0D61A14C">
      <w:pPr>
        <w:jc w:val="both"/>
        <w:rPr>
          <w:rFonts w:ascii="Calibri" w:eastAsia="Calibri" w:hAnsi="Calibri" w:cs="Calibri"/>
          <w:color w:val="000000" w:themeColor="text1"/>
          <w:sz w:val="24"/>
          <w:szCs w:val="24"/>
        </w:rPr>
      </w:pPr>
      <w:commentRangeStart w:id="1"/>
      <w:r w:rsidRPr="0D61A14C">
        <w:rPr>
          <w:rFonts w:ascii="Calibri" w:eastAsia="Calibri" w:hAnsi="Calibri" w:cs="Calibri"/>
          <w:color w:val="000000" w:themeColor="text1"/>
          <w:sz w:val="24"/>
          <w:szCs w:val="24"/>
        </w:rPr>
        <w:t>Ward E is a Sub-acute medical ward within Neath and Port Talbot Hospital which is part of Swansea Bay University Health Board. The Ward has the capacity for 32 patients; with a high majority over the age of 65 years with very complex needs often requiring enhanced care/extra support.</w:t>
      </w:r>
      <w:commentRangeEnd w:id="1"/>
      <w:r w:rsidR="002E7D93">
        <w:rPr>
          <w:rStyle w:val="CommentReference"/>
        </w:rPr>
        <w:commentReference w:id="1"/>
      </w:r>
    </w:p>
    <w:p w14:paraId="13997BA7" w14:textId="5C783D36" w:rsidR="00411513" w:rsidRDefault="0D61A14C" w:rsidP="0D61A14C">
      <w:pPr>
        <w:jc w:val="both"/>
        <w:rPr>
          <w:rFonts w:ascii="Calibri" w:eastAsia="Calibri" w:hAnsi="Calibri" w:cs="Calibri"/>
          <w:color w:val="000000" w:themeColor="text1"/>
          <w:sz w:val="24"/>
          <w:szCs w:val="24"/>
        </w:rPr>
      </w:pPr>
      <w:r w:rsidRPr="0D61A14C">
        <w:rPr>
          <w:rFonts w:ascii="Calibri" w:eastAsia="Calibri" w:hAnsi="Calibri" w:cs="Calibri"/>
          <w:color w:val="000000" w:themeColor="text1"/>
          <w:sz w:val="24"/>
          <w:szCs w:val="24"/>
        </w:rPr>
        <w:t xml:space="preserve">The Ward establishment consists of 1 consultant, 4 Doctors, 2 nurse practitioners, 1 ward manager, 1 ward Sister, 21 Staff nurses, 26 Health Care support workers, 2 physiotherapists and 1 occupational therapist. </w:t>
      </w:r>
      <w:commentRangeStart w:id="2"/>
      <w:r w:rsidRPr="0D61A14C">
        <w:rPr>
          <w:rFonts w:ascii="Calibri" w:eastAsia="Calibri" w:hAnsi="Calibri" w:cs="Calibri"/>
          <w:color w:val="000000" w:themeColor="text1"/>
          <w:sz w:val="24"/>
          <w:szCs w:val="24"/>
        </w:rPr>
        <w:t>(Source from electronic staff record, not shared in the public domain)</w:t>
      </w:r>
      <w:commentRangeEnd w:id="2"/>
      <w:r w:rsidR="00401023">
        <w:rPr>
          <w:rStyle w:val="CommentReference"/>
        </w:rPr>
        <w:commentReference w:id="2"/>
      </w:r>
    </w:p>
    <w:p w14:paraId="38D2A7C6" w14:textId="641AA9AD" w:rsidR="00411513" w:rsidRDefault="44A0EC2A" w:rsidP="44A0EC2A">
      <w:pPr>
        <w:jc w:val="both"/>
        <w:rPr>
          <w:rFonts w:ascii="Calibri" w:eastAsia="Calibri" w:hAnsi="Calibri" w:cs="Calibri"/>
          <w:color w:val="000000" w:themeColor="text1"/>
          <w:sz w:val="24"/>
          <w:szCs w:val="24"/>
        </w:rPr>
      </w:pPr>
      <w:r w:rsidRPr="44A0EC2A">
        <w:rPr>
          <w:rFonts w:ascii="Calibri" w:eastAsia="Calibri" w:hAnsi="Calibri" w:cs="Calibri"/>
          <w:color w:val="000000" w:themeColor="text1"/>
          <w:sz w:val="24"/>
          <w:szCs w:val="24"/>
        </w:rPr>
        <w:t>When a patient is admitted to Hospital it would be acceptable to assume that they would be subject to general observation as a minimum. Some patients receiving care may require temporary periods of enhanced care or closer observation in order to maintain their safety.</w:t>
      </w:r>
    </w:p>
    <w:p w14:paraId="2590C345" w14:textId="7E2C5887" w:rsidR="00411513" w:rsidRDefault="44A0EC2A" w:rsidP="44A0EC2A">
      <w:pPr>
        <w:jc w:val="both"/>
        <w:rPr>
          <w:rFonts w:ascii="Calibri" w:eastAsia="Calibri" w:hAnsi="Calibri" w:cs="Calibri"/>
          <w:color w:val="000000" w:themeColor="text1"/>
          <w:sz w:val="24"/>
          <w:szCs w:val="24"/>
        </w:rPr>
      </w:pPr>
      <w:r w:rsidRPr="44A0EC2A">
        <w:rPr>
          <w:rFonts w:ascii="Calibri" w:eastAsia="Calibri" w:hAnsi="Calibri" w:cs="Calibri"/>
          <w:color w:val="000000" w:themeColor="text1"/>
          <w:sz w:val="24"/>
          <w:szCs w:val="24"/>
        </w:rPr>
        <w:t>The circumstances when patients require an additional level of support or observation could be for the following reasons -</w:t>
      </w:r>
    </w:p>
    <w:p w14:paraId="3FB43FA3" w14:textId="521589BE" w:rsidR="00411513" w:rsidRDefault="44A0EC2A" w:rsidP="44A0EC2A">
      <w:pPr>
        <w:pStyle w:val="ListParagraph"/>
        <w:numPr>
          <w:ilvl w:val="0"/>
          <w:numId w:val="1"/>
        </w:numPr>
        <w:jc w:val="both"/>
      </w:pPr>
      <w:r w:rsidRPr="44A0EC2A">
        <w:rPr>
          <w:rFonts w:ascii="Calibri" w:eastAsia="Calibri" w:hAnsi="Calibri" w:cs="Calibri"/>
          <w:color w:val="000000" w:themeColor="text1"/>
          <w:sz w:val="24"/>
          <w:szCs w:val="24"/>
        </w:rPr>
        <w:t>The patient requires frequent clinical observations (e.g., to prevent falls or harm)</w:t>
      </w:r>
    </w:p>
    <w:p w14:paraId="2E2AC519" w14:textId="0D2DBAA0" w:rsidR="00411513" w:rsidRDefault="44A0EC2A" w:rsidP="44A0EC2A">
      <w:pPr>
        <w:pStyle w:val="ListParagraph"/>
        <w:numPr>
          <w:ilvl w:val="0"/>
          <w:numId w:val="1"/>
        </w:numPr>
        <w:jc w:val="both"/>
      </w:pPr>
      <w:r w:rsidRPr="44A0EC2A">
        <w:rPr>
          <w:rFonts w:ascii="Calibri" w:eastAsia="Calibri" w:hAnsi="Calibri" w:cs="Calibri"/>
          <w:color w:val="000000" w:themeColor="text1"/>
          <w:sz w:val="24"/>
          <w:szCs w:val="24"/>
        </w:rPr>
        <w:t>The patient is acutely mentally ill and at risk of self-harm.</w:t>
      </w:r>
    </w:p>
    <w:p w14:paraId="41C9CB47" w14:textId="3B179172" w:rsidR="00411513" w:rsidRDefault="44A0EC2A" w:rsidP="44A0EC2A">
      <w:pPr>
        <w:pStyle w:val="ListParagraph"/>
        <w:numPr>
          <w:ilvl w:val="0"/>
          <w:numId w:val="1"/>
        </w:numPr>
        <w:jc w:val="both"/>
      </w:pPr>
      <w:r w:rsidRPr="44A0EC2A">
        <w:rPr>
          <w:rFonts w:ascii="Calibri" w:eastAsia="Calibri" w:hAnsi="Calibri" w:cs="Calibri"/>
          <w:color w:val="000000" w:themeColor="text1"/>
          <w:sz w:val="24"/>
          <w:szCs w:val="24"/>
        </w:rPr>
        <w:t>The patient is likely to wander and/or abscond and is at risk to him/herself</w:t>
      </w:r>
    </w:p>
    <w:p w14:paraId="0791F6AA" w14:textId="4C20DF79" w:rsidR="00411513" w:rsidRDefault="44A0EC2A" w:rsidP="44A0EC2A">
      <w:pPr>
        <w:pStyle w:val="ListParagraph"/>
        <w:numPr>
          <w:ilvl w:val="0"/>
          <w:numId w:val="1"/>
        </w:numPr>
        <w:jc w:val="both"/>
        <w:rPr>
          <w:rFonts w:ascii="Calibri" w:eastAsia="Calibri" w:hAnsi="Calibri" w:cs="Calibri"/>
          <w:color w:val="000000" w:themeColor="text1"/>
          <w:sz w:val="24"/>
          <w:szCs w:val="24"/>
        </w:rPr>
      </w:pPr>
      <w:r w:rsidRPr="44A0EC2A">
        <w:rPr>
          <w:rFonts w:ascii="Calibri" w:eastAsia="Calibri" w:hAnsi="Calibri" w:cs="Calibri"/>
          <w:color w:val="000000" w:themeColor="text1"/>
          <w:sz w:val="24"/>
          <w:szCs w:val="24"/>
        </w:rPr>
        <w:t>The patient is confused /agitated/aggressive/violent towards others.</w:t>
      </w:r>
    </w:p>
    <w:p w14:paraId="493C5568" w14:textId="1D6A716F" w:rsidR="44A0EC2A" w:rsidRDefault="657312F3" w:rsidP="657312F3">
      <w:pPr>
        <w:jc w:val="both"/>
        <w:rPr>
          <w:rFonts w:ascii="Calibri" w:eastAsia="Calibri" w:hAnsi="Calibri" w:cs="Calibri"/>
          <w:color w:val="000000" w:themeColor="text1"/>
          <w:sz w:val="24"/>
          <w:szCs w:val="24"/>
        </w:rPr>
      </w:pPr>
      <w:r w:rsidRPr="657312F3">
        <w:rPr>
          <w:rFonts w:ascii="Calibri" w:eastAsia="Calibri" w:hAnsi="Calibri" w:cs="Calibri"/>
          <w:color w:val="000000" w:themeColor="text1"/>
          <w:sz w:val="24"/>
          <w:szCs w:val="24"/>
        </w:rPr>
        <w:t>To assess, monitor and evaluate the care of patients requiring additional support; the ward currently uses an “enhanced observation and support framework” to document and review the patient's condition.</w:t>
      </w:r>
    </w:p>
    <w:p w14:paraId="4B29E35D" w14:textId="6D65C3EA" w:rsidR="44A0EC2A" w:rsidRDefault="44A0EC2A" w:rsidP="44A0EC2A">
      <w:pPr>
        <w:jc w:val="both"/>
        <w:rPr>
          <w:rFonts w:ascii="Calibri" w:eastAsia="Calibri" w:hAnsi="Calibri" w:cs="Calibri"/>
          <w:color w:val="000000" w:themeColor="text1"/>
          <w:sz w:val="24"/>
          <w:szCs w:val="24"/>
        </w:rPr>
      </w:pPr>
      <w:r w:rsidRPr="44A0EC2A">
        <w:rPr>
          <w:rFonts w:ascii="Calibri" w:eastAsia="Calibri" w:hAnsi="Calibri" w:cs="Calibri"/>
          <w:color w:val="000000" w:themeColor="text1"/>
          <w:sz w:val="24"/>
          <w:szCs w:val="24"/>
        </w:rPr>
        <w:t>Within the enhanced observation and support framework, the nurse and Health Care Support workers complete a behaviour chart section (could be as frequent as every 30 minutes) to reflect the patient's behaviour. The document is reviewed by the Matron and Ward Manager on a daily basis to assess the level of care required for each individual patient. Adequate staffing levels are then maintained based on the care needs of the patients.</w:t>
      </w:r>
    </w:p>
    <w:p w14:paraId="70433C96" w14:textId="2D9C7551" w:rsidR="44A0EC2A" w:rsidRDefault="44A0EC2A" w:rsidP="44A0EC2A">
      <w:pPr>
        <w:jc w:val="both"/>
        <w:rPr>
          <w:rFonts w:ascii="Calibri" w:eastAsia="Calibri" w:hAnsi="Calibri" w:cs="Calibri"/>
          <w:color w:val="000000" w:themeColor="text1"/>
          <w:sz w:val="24"/>
          <w:szCs w:val="24"/>
        </w:rPr>
      </w:pPr>
      <w:r w:rsidRPr="44A0EC2A">
        <w:rPr>
          <w:rFonts w:ascii="Calibri" w:eastAsia="Calibri" w:hAnsi="Calibri" w:cs="Calibri"/>
          <w:color w:val="000000" w:themeColor="text1"/>
          <w:sz w:val="24"/>
          <w:szCs w:val="24"/>
        </w:rPr>
        <w:t>The document is lengthy (32 pages) and often found with incomplete or blank sections hence it could be argued that it adds no value to the care and treatment of the patients.</w:t>
      </w:r>
    </w:p>
    <w:p w14:paraId="68DA661A" w14:textId="005B92BB" w:rsidR="44A0EC2A" w:rsidRDefault="657312F3" w:rsidP="657312F3">
      <w:pPr>
        <w:jc w:val="both"/>
        <w:rPr>
          <w:rFonts w:ascii="Calibri" w:eastAsia="Calibri" w:hAnsi="Calibri" w:cs="Calibri"/>
          <w:color w:val="000000" w:themeColor="text1"/>
          <w:sz w:val="24"/>
          <w:szCs w:val="24"/>
        </w:rPr>
      </w:pPr>
      <w:r w:rsidRPr="657312F3">
        <w:rPr>
          <w:rFonts w:ascii="Calibri" w:eastAsia="Calibri" w:hAnsi="Calibri" w:cs="Calibri"/>
          <w:color w:val="000000" w:themeColor="text1"/>
          <w:sz w:val="24"/>
          <w:szCs w:val="24"/>
        </w:rPr>
        <w:t>The purpose of this essay to discuss the transition of the enhanced observation and support framework document (Appendix 1) from a paper-based assessment to a digital assessment to be included in the Welsh Nursing Record with the aim of improving the quality and compliance of completion with the document.</w:t>
      </w:r>
    </w:p>
    <w:p w14:paraId="445F66C1" w14:textId="2EE0E5D4" w:rsidR="44A0EC2A" w:rsidRDefault="657312F3" w:rsidP="657312F3">
      <w:pPr>
        <w:jc w:val="both"/>
        <w:rPr>
          <w:rFonts w:ascii="Calibri" w:eastAsia="Calibri" w:hAnsi="Calibri" w:cs="Calibri"/>
          <w:color w:val="000000" w:themeColor="text1"/>
          <w:sz w:val="24"/>
          <w:szCs w:val="24"/>
        </w:rPr>
      </w:pPr>
      <w:r w:rsidRPr="657312F3">
        <w:rPr>
          <w:rFonts w:ascii="Calibri" w:eastAsia="Calibri" w:hAnsi="Calibri" w:cs="Calibri"/>
          <w:color w:val="000000" w:themeColor="text1"/>
          <w:sz w:val="24"/>
          <w:szCs w:val="24"/>
        </w:rPr>
        <w:t xml:space="preserve">The Welsh Nursing Care Record (WNCR) is a digital system that involves the digitalisation and standardisation of nursing documentation across Wales. WNCR is supported by Digital Health and Care Wales. </w:t>
      </w:r>
    </w:p>
    <w:p w14:paraId="00700B26" w14:textId="0DFA898D" w:rsidR="44A0EC2A" w:rsidRDefault="44A0EC2A" w:rsidP="657312F3">
      <w:pPr>
        <w:jc w:val="both"/>
        <w:rPr>
          <w:rFonts w:ascii="Calibri" w:eastAsia="Calibri" w:hAnsi="Calibri" w:cs="Calibri"/>
          <w:color w:val="000000" w:themeColor="text1"/>
          <w:sz w:val="24"/>
          <w:szCs w:val="24"/>
        </w:rPr>
      </w:pPr>
    </w:p>
    <w:p w14:paraId="29CFA363" w14:textId="78BE8DD3" w:rsidR="44A0EC2A" w:rsidRDefault="657312F3" w:rsidP="657312F3">
      <w:pPr>
        <w:jc w:val="both"/>
        <w:rPr>
          <w:rFonts w:ascii="Calibri" w:eastAsia="Calibri" w:hAnsi="Calibri" w:cs="Calibri"/>
          <w:color w:val="000000" w:themeColor="text1"/>
          <w:sz w:val="24"/>
          <w:szCs w:val="24"/>
        </w:rPr>
      </w:pPr>
      <w:r w:rsidRPr="657312F3">
        <w:rPr>
          <w:rFonts w:ascii="Calibri" w:eastAsia="Calibri" w:hAnsi="Calibri" w:cs="Calibri"/>
          <w:color w:val="000000" w:themeColor="text1"/>
          <w:sz w:val="24"/>
          <w:szCs w:val="24"/>
        </w:rPr>
        <w:t>The transition from a paper to a digital risk assessment would support nursing staff to determine the level of enhanced care and lines of responsibility for those involved in the decision-making delivery and management of enhanced levels of care with the overall aim of improving the safety, effectiveness, consistency and quality of care patients can expect to receive.</w:t>
      </w:r>
    </w:p>
    <w:p w14:paraId="332C5976" w14:textId="4636C2A2" w:rsidR="44A0EC2A" w:rsidRDefault="44A0EC2A" w:rsidP="44A0EC2A">
      <w:pPr>
        <w:rPr>
          <w:rFonts w:ascii="Arial" w:eastAsia="Arial" w:hAnsi="Arial" w:cs="Arial"/>
          <w:sz w:val="24"/>
          <w:szCs w:val="24"/>
        </w:rPr>
      </w:pPr>
    </w:p>
    <w:p w14:paraId="10B3655B" w14:textId="44B9C709" w:rsidR="44A0EC2A" w:rsidRDefault="44A0EC2A" w:rsidP="44A0EC2A">
      <w:pPr>
        <w:ind w:left="446" w:hanging="446"/>
        <w:rPr>
          <w:rFonts w:ascii="Arial" w:eastAsia="Arial" w:hAnsi="Arial" w:cs="Arial"/>
          <w:sz w:val="24"/>
          <w:szCs w:val="24"/>
        </w:rPr>
      </w:pPr>
    </w:p>
    <w:p w14:paraId="7FFE68F9" w14:textId="2B5585CB" w:rsidR="657312F3" w:rsidRDefault="657312F3">
      <w:r>
        <w:br w:type="page"/>
      </w:r>
    </w:p>
    <w:p w14:paraId="3EABF900" w14:textId="1E5BBB24" w:rsidR="44A0EC2A" w:rsidRDefault="44A0EC2A" w:rsidP="44A0EC2A">
      <w:pPr>
        <w:jc w:val="both"/>
        <w:rPr>
          <w:rFonts w:ascii="Calibri" w:eastAsia="Calibri" w:hAnsi="Calibri" w:cs="Calibri"/>
          <w:b/>
          <w:bCs/>
          <w:color w:val="000000" w:themeColor="text1"/>
          <w:sz w:val="24"/>
          <w:szCs w:val="24"/>
        </w:rPr>
      </w:pPr>
    </w:p>
    <w:p w14:paraId="40AF6945" w14:textId="631560CE" w:rsidR="44A0EC2A" w:rsidRDefault="44A0EC2A" w:rsidP="44A0EC2A">
      <w:pPr>
        <w:jc w:val="both"/>
        <w:rPr>
          <w:rFonts w:ascii="Calibri" w:eastAsia="Calibri" w:hAnsi="Calibri" w:cs="Calibri"/>
          <w:color w:val="000000" w:themeColor="text1"/>
          <w:sz w:val="24"/>
          <w:szCs w:val="24"/>
        </w:rPr>
      </w:pPr>
    </w:p>
    <w:p w14:paraId="01484872" w14:textId="1759B55A" w:rsidR="44A0EC2A" w:rsidRDefault="657312F3" w:rsidP="657312F3">
      <w:pPr>
        <w:jc w:val="both"/>
        <w:rPr>
          <w:rFonts w:ascii="Calibri" w:eastAsia="Calibri" w:hAnsi="Calibri" w:cs="Calibri"/>
          <w:b/>
          <w:bCs/>
          <w:color w:val="000000" w:themeColor="text1"/>
          <w:sz w:val="24"/>
          <w:szCs w:val="24"/>
        </w:rPr>
      </w:pPr>
      <w:r w:rsidRPr="657312F3">
        <w:rPr>
          <w:rFonts w:ascii="Calibri" w:eastAsia="Calibri" w:hAnsi="Calibri" w:cs="Calibri"/>
          <w:b/>
          <w:bCs/>
          <w:color w:val="000000" w:themeColor="text1"/>
          <w:sz w:val="24"/>
          <w:szCs w:val="24"/>
        </w:rPr>
        <w:t>JUSTIFICATION</w:t>
      </w:r>
    </w:p>
    <w:p w14:paraId="5D3C7EAA" w14:textId="4C78C3FA" w:rsidR="44A0EC2A" w:rsidRDefault="0D61A14C" w:rsidP="0D61A14C">
      <w:pPr>
        <w:jc w:val="both"/>
        <w:rPr>
          <w:rFonts w:ascii="Calibri" w:eastAsia="Calibri" w:hAnsi="Calibri" w:cs="Calibri"/>
          <w:b/>
          <w:bCs/>
          <w:color w:val="000000" w:themeColor="text1"/>
          <w:sz w:val="24"/>
          <w:szCs w:val="24"/>
        </w:rPr>
      </w:pPr>
      <w:r w:rsidRPr="0D61A14C">
        <w:rPr>
          <w:rFonts w:ascii="Calibri" w:eastAsia="Calibri" w:hAnsi="Calibri" w:cs="Calibri"/>
          <w:color w:val="000000" w:themeColor="text1"/>
          <w:sz w:val="24"/>
          <w:szCs w:val="24"/>
        </w:rPr>
        <w:t>As previously discussed, the current quality of patient documentation is questionable and improvements are needed to improve patient care and experience.</w:t>
      </w:r>
    </w:p>
    <w:p w14:paraId="1BE236D1" w14:textId="78C0160E" w:rsidR="44A0EC2A" w:rsidRDefault="657312F3" w:rsidP="657312F3">
      <w:pPr>
        <w:jc w:val="both"/>
        <w:rPr>
          <w:rFonts w:ascii="Calibri" w:eastAsia="Calibri" w:hAnsi="Calibri" w:cs="Calibri"/>
          <w:color w:val="000000" w:themeColor="text1"/>
          <w:sz w:val="24"/>
          <w:szCs w:val="24"/>
        </w:rPr>
      </w:pPr>
      <w:r w:rsidRPr="657312F3">
        <w:rPr>
          <w:rFonts w:ascii="Calibri" w:eastAsia="Calibri" w:hAnsi="Calibri" w:cs="Calibri"/>
          <w:color w:val="000000" w:themeColor="text1"/>
          <w:sz w:val="24"/>
          <w:szCs w:val="24"/>
        </w:rPr>
        <w:t xml:space="preserve">Following the recommendations of the </w:t>
      </w:r>
      <w:proofErr w:type="spellStart"/>
      <w:r w:rsidRPr="657312F3">
        <w:rPr>
          <w:rFonts w:ascii="Calibri" w:eastAsia="Calibri" w:hAnsi="Calibri" w:cs="Calibri"/>
          <w:color w:val="000000" w:themeColor="text1"/>
          <w:sz w:val="24"/>
          <w:szCs w:val="24"/>
        </w:rPr>
        <w:t>Topol</w:t>
      </w:r>
      <w:proofErr w:type="spellEnd"/>
      <w:r w:rsidRPr="657312F3">
        <w:rPr>
          <w:rFonts w:ascii="Calibri" w:eastAsia="Calibri" w:hAnsi="Calibri" w:cs="Calibri"/>
          <w:color w:val="000000" w:themeColor="text1"/>
          <w:sz w:val="24"/>
          <w:szCs w:val="24"/>
        </w:rPr>
        <w:t xml:space="preserve"> report (2019) digital is the future within the NHS particularly nursing hence the aim of the project is both achievable and feasible.</w:t>
      </w:r>
    </w:p>
    <w:p w14:paraId="40C55288" w14:textId="401686F8" w:rsidR="44A0EC2A" w:rsidRDefault="657312F3" w:rsidP="657312F3">
      <w:pPr>
        <w:jc w:val="both"/>
        <w:rPr>
          <w:rFonts w:ascii="Calibri" w:eastAsia="Calibri" w:hAnsi="Calibri" w:cs="Calibri"/>
          <w:color w:val="000000" w:themeColor="text1"/>
          <w:sz w:val="24"/>
          <w:szCs w:val="24"/>
        </w:rPr>
      </w:pPr>
      <w:r w:rsidRPr="657312F3">
        <w:rPr>
          <w:rFonts w:ascii="Calibri" w:eastAsia="Calibri" w:hAnsi="Calibri" w:cs="Calibri"/>
          <w:color w:val="000000" w:themeColor="text1"/>
          <w:sz w:val="24"/>
          <w:szCs w:val="24"/>
        </w:rPr>
        <w:t xml:space="preserve">  </w:t>
      </w:r>
      <w:r w:rsidRPr="657312F3">
        <w:rPr>
          <w:rFonts w:ascii="Calibri" w:eastAsia="Calibri" w:hAnsi="Calibri" w:cs="Calibri"/>
          <w:i/>
          <w:iCs/>
          <w:color w:val="000000" w:themeColor="text1"/>
          <w:sz w:val="24"/>
          <w:szCs w:val="24"/>
        </w:rPr>
        <w:t>“</w:t>
      </w:r>
      <w:r w:rsidRPr="657312F3">
        <w:rPr>
          <w:rFonts w:ascii="Calibri" w:eastAsia="Calibri" w:hAnsi="Calibri" w:cs="Calibri"/>
          <w:i/>
          <w:iCs/>
          <w:sz w:val="24"/>
          <w:szCs w:val="24"/>
        </w:rPr>
        <w:t>There is a need to complete the digitisation and integration of health and care records if the full benefits of digital medicine (earlier diagnosis, personalised care and treatment) are going to be realised for the NHS”</w:t>
      </w:r>
      <w:r w:rsidRPr="657312F3">
        <w:rPr>
          <w:rFonts w:ascii="Calibri" w:eastAsia="Calibri" w:hAnsi="Calibri" w:cs="Calibri"/>
          <w:sz w:val="24"/>
          <w:szCs w:val="24"/>
        </w:rPr>
        <w:t>. (</w:t>
      </w:r>
      <w:proofErr w:type="spellStart"/>
      <w:r w:rsidRPr="657312F3">
        <w:rPr>
          <w:rFonts w:ascii="Calibri" w:eastAsia="Calibri" w:hAnsi="Calibri" w:cs="Calibri"/>
          <w:sz w:val="24"/>
          <w:szCs w:val="24"/>
        </w:rPr>
        <w:t>Topol</w:t>
      </w:r>
      <w:proofErr w:type="spellEnd"/>
      <w:r w:rsidRPr="657312F3">
        <w:rPr>
          <w:rFonts w:ascii="Calibri" w:eastAsia="Calibri" w:hAnsi="Calibri" w:cs="Calibri"/>
          <w:sz w:val="24"/>
          <w:szCs w:val="24"/>
        </w:rPr>
        <w:t xml:space="preserve"> Report 2019)</w:t>
      </w:r>
    </w:p>
    <w:p w14:paraId="185224EB" w14:textId="4B11D801" w:rsidR="44A0EC2A" w:rsidRDefault="657312F3" w:rsidP="657312F3">
      <w:pPr>
        <w:jc w:val="both"/>
        <w:rPr>
          <w:rFonts w:ascii="Calibri" w:eastAsia="Calibri" w:hAnsi="Calibri" w:cs="Calibri"/>
          <w:color w:val="000000" w:themeColor="text1"/>
          <w:sz w:val="24"/>
          <w:szCs w:val="24"/>
        </w:rPr>
      </w:pPr>
      <w:r w:rsidRPr="657312F3">
        <w:rPr>
          <w:rFonts w:ascii="Calibri" w:eastAsia="Calibri" w:hAnsi="Calibri" w:cs="Calibri"/>
          <w:color w:val="000000" w:themeColor="text1"/>
          <w:sz w:val="24"/>
          <w:szCs w:val="24"/>
        </w:rPr>
        <w:t>The nursing and Midwifery Council Professional standards of practice and behaviour for nurses, midwives and nursing associates' (section 10) state that clear, accurate record keeping is an obligation of any nurse and as such, should be considered an integral part of the role.</w:t>
      </w:r>
    </w:p>
    <w:p w14:paraId="2150901E" w14:textId="092EC3E3" w:rsidR="44A0EC2A" w:rsidRDefault="0D61A14C" w:rsidP="0D61A14C">
      <w:pPr>
        <w:jc w:val="both"/>
        <w:rPr>
          <w:rFonts w:ascii="Calibri" w:eastAsia="Calibri" w:hAnsi="Calibri" w:cs="Calibri"/>
          <w:color w:val="000000" w:themeColor="text1"/>
          <w:sz w:val="24"/>
          <w:szCs w:val="24"/>
        </w:rPr>
      </w:pPr>
      <w:r w:rsidRPr="0D61A14C">
        <w:rPr>
          <w:rFonts w:ascii="Calibri" w:eastAsia="Calibri" w:hAnsi="Calibri" w:cs="Calibri"/>
          <w:color w:val="000000" w:themeColor="text1"/>
          <w:sz w:val="24"/>
          <w:szCs w:val="24"/>
        </w:rPr>
        <w:t xml:space="preserve">It is well documented that improvements within all aspects of nursing documentation are required to ensure the quality and safety of patient care is maintained. </w:t>
      </w:r>
    </w:p>
    <w:p w14:paraId="198E45C3" w14:textId="535403E1" w:rsidR="44A0EC2A" w:rsidRDefault="0D61A14C" w:rsidP="0D61A14C">
      <w:pPr>
        <w:jc w:val="both"/>
        <w:rPr>
          <w:rFonts w:ascii="Calibri" w:eastAsia="Calibri" w:hAnsi="Calibri" w:cs="Calibri"/>
          <w:color w:val="000000" w:themeColor="text1"/>
          <w:sz w:val="24"/>
          <w:szCs w:val="24"/>
        </w:rPr>
      </w:pPr>
      <w:r w:rsidRPr="0D61A14C">
        <w:rPr>
          <w:rFonts w:ascii="Calibri" w:eastAsia="Calibri" w:hAnsi="Calibri" w:cs="Calibri"/>
          <w:color w:val="000000" w:themeColor="text1"/>
          <w:sz w:val="24"/>
          <w:szCs w:val="24"/>
        </w:rPr>
        <w:t xml:space="preserve">Studies conducted by both </w:t>
      </w:r>
      <w:proofErr w:type="spellStart"/>
      <w:r w:rsidRPr="0D61A14C">
        <w:rPr>
          <w:rFonts w:ascii="Calibri" w:eastAsia="Calibri" w:hAnsi="Calibri" w:cs="Calibri"/>
          <w:color w:val="000000" w:themeColor="text1"/>
          <w:sz w:val="24"/>
          <w:szCs w:val="24"/>
        </w:rPr>
        <w:t>Sondergaard</w:t>
      </w:r>
      <w:proofErr w:type="spellEnd"/>
      <w:r w:rsidRPr="0D61A14C">
        <w:rPr>
          <w:rFonts w:ascii="Calibri" w:eastAsia="Calibri" w:hAnsi="Calibri" w:cs="Calibri"/>
          <w:color w:val="000000" w:themeColor="text1"/>
          <w:sz w:val="24"/>
          <w:szCs w:val="24"/>
        </w:rPr>
        <w:t xml:space="preserve"> et.al (2017) and </w:t>
      </w:r>
      <w:proofErr w:type="spellStart"/>
      <w:r w:rsidRPr="0D61A14C">
        <w:rPr>
          <w:rFonts w:ascii="Calibri" w:eastAsia="Calibri" w:hAnsi="Calibri" w:cs="Calibri"/>
          <w:color w:val="000000" w:themeColor="text1"/>
          <w:sz w:val="24"/>
          <w:szCs w:val="24"/>
        </w:rPr>
        <w:t>Tajabadi</w:t>
      </w:r>
      <w:proofErr w:type="spellEnd"/>
      <w:r w:rsidRPr="0D61A14C">
        <w:rPr>
          <w:rFonts w:ascii="Calibri" w:eastAsia="Calibri" w:hAnsi="Calibri" w:cs="Calibri"/>
          <w:color w:val="000000" w:themeColor="text1"/>
          <w:sz w:val="24"/>
          <w:szCs w:val="24"/>
        </w:rPr>
        <w:t xml:space="preserve"> et.al (2020) suggested common errors associated with paper documentation include not dating and signing entries, illegible handwriting, leaving sections of the document incomplete or blank and using non identifiable abbreviations.</w:t>
      </w:r>
    </w:p>
    <w:p w14:paraId="7D4F41EA" w14:textId="4495160A" w:rsidR="44A0EC2A" w:rsidRDefault="0D61A14C" w:rsidP="0D61A14C">
      <w:pPr>
        <w:jc w:val="both"/>
        <w:rPr>
          <w:rFonts w:ascii="Calibri" w:eastAsia="Calibri" w:hAnsi="Calibri" w:cs="Calibri"/>
          <w:color w:val="000000" w:themeColor="text1"/>
          <w:sz w:val="24"/>
          <w:szCs w:val="24"/>
        </w:rPr>
      </w:pPr>
      <w:r w:rsidRPr="0D61A14C">
        <w:rPr>
          <w:rFonts w:ascii="Calibri" w:eastAsia="Calibri" w:hAnsi="Calibri" w:cs="Calibri"/>
          <w:color w:val="000000" w:themeColor="text1"/>
          <w:sz w:val="24"/>
          <w:szCs w:val="24"/>
        </w:rPr>
        <w:t>The recommendation is a digital enhanced care risk assessment incorporated within the Welsh Nursing Care Record (WNCR) with the aim of improving the quality and safety of patient care and patient experience by improving the quality of the document.</w:t>
      </w:r>
    </w:p>
    <w:p w14:paraId="59452029" w14:textId="0E8ADFF2" w:rsidR="0D61A14C" w:rsidRDefault="0D61A14C" w:rsidP="0D61A14C">
      <w:pPr>
        <w:jc w:val="both"/>
        <w:rPr>
          <w:rFonts w:ascii="Calibri" w:eastAsia="Calibri" w:hAnsi="Calibri" w:cs="Calibri"/>
          <w:color w:val="000000" w:themeColor="text1"/>
          <w:sz w:val="24"/>
          <w:szCs w:val="24"/>
        </w:rPr>
      </w:pPr>
      <w:r w:rsidRPr="0D61A14C">
        <w:rPr>
          <w:rFonts w:ascii="Calibri" w:eastAsia="Calibri" w:hAnsi="Calibri" w:cs="Calibri"/>
          <w:color w:val="000000" w:themeColor="text1"/>
          <w:sz w:val="24"/>
          <w:szCs w:val="24"/>
        </w:rPr>
        <w:t xml:space="preserve">WNCR is a digital system that facilitates the transition of paper nursing documentation to a digital base. It was introduced in Wales in 2020 and supported by Digital and Health Care Wales. </w:t>
      </w:r>
    </w:p>
    <w:p w14:paraId="2190E4E4" w14:textId="58A2E198" w:rsidR="0D61A14C" w:rsidRDefault="0D61A14C" w:rsidP="0D61A14C">
      <w:pPr>
        <w:jc w:val="both"/>
        <w:rPr>
          <w:rFonts w:ascii="Calibri" w:eastAsia="Calibri" w:hAnsi="Calibri" w:cs="Calibri"/>
          <w:color w:val="000000" w:themeColor="text1"/>
          <w:sz w:val="24"/>
          <w:szCs w:val="24"/>
        </w:rPr>
      </w:pPr>
      <w:r w:rsidRPr="0D61A14C">
        <w:rPr>
          <w:rFonts w:ascii="Calibri" w:eastAsia="Calibri" w:hAnsi="Calibri" w:cs="Calibri"/>
          <w:color w:val="000000" w:themeColor="text1"/>
          <w:sz w:val="24"/>
          <w:szCs w:val="24"/>
        </w:rPr>
        <w:t>WNCR includes the digitalisation and standardisation of nursing documentation across Wales with the aim of improving the quality of nursing documentation. The aim of the transition would be improving the safety, effectiveness, consistency and quality of care patients can expect to receive.</w:t>
      </w:r>
    </w:p>
    <w:p w14:paraId="0726A25A" w14:textId="3246D204" w:rsidR="44A0EC2A" w:rsidRDefault="0D61A14C" w:rsidP="0D61A14C">
      <w:pPr>
        <w:jc w:val="both"/>
        <w:rPr>
          <w:rFonts w:ascii="Calibri" w:eastAsia="Calibri" w:hAnsi="Calibri" w:cs="Calibri"/>
          <w:color w:val="000000" w:themeColor="text1"/>
          <w:sz w:val="24"/>
          <w:szCs w:val="24"/>
        </w:rPr>
      </w:pPr>
      <w:r w:rsidRPr="0D61A14C">
        <w:rPr>
          <w:rFonts w:ascii="Calibri" w:eastAsia="Calibri" w:hAnsi="Calibri" w:cs="Calibri"/>
          <w:color w:val="000000" w:themeColor="text1"/>
          <w:sz w:val="24"/>
          <w:szCs w:val="24"/>
        </w:rPr>
        <w:t>There are many proposed benefits of the transition from paper to digital. The duplication for nursing staff with information already captured in the assessment documents section of WNCR could be “pulled through” and populate pertinent areas of the enhanced observation and support framework assessment section. (An example being the falls and cognition risk assessments)</w:t>
      </w:r>
    </w:p>
    <w:p w14:paraId="1EA475AD" w14:textId="562E1F6E" w:rsidR="44A0EC2A" w:rsidRDefault="0D61A14C" w:rsidP="0D61A14C">
      <w:pPr>
        <w:jc w:val="both"/>
        <w:rPr>
          <w:rFonts w:ascii="Calibri" w:eastAsia="Calibri" w:hAnsi="Calibri" w:cs="Calibri"/>
          <w:color w:val="000000" w:themeColor="text1"/>
          <w:sz w:val="24"/>
          <w:szCs w:val="24"/>
        </w:rPr>
      </w:pPr>
      <w:r w:rsidRPr="0D61A14C">
        <w:rPr>
          <w:rFonts w:ascii="Calibri" w:eastAsia="Calibri" w:hAnsi="Calibri" w:cs="Calibri"/>
          <w:color w:val="000000" w:themeColor="text1"/>
          <w:sz w:val="24"/>
          <w:szCs w:val="24"/>
        </w:rPr>
        <w:t xml:space="preserve">This would save the users time by not duplicating assessments evaluations of care and ensure consistency of information between the current care needs of the patient and predicting the </w:t>
      </w:r>
      <w:r w:rsidRPr="0D61A14C">
        <w:rPr>
          <w:rFonts w:ascii="Calibri" w:eastAsia="Calibri" w:hAnsi="Calibri" w:cs="Calibri"/>
          <w:color w:val="000000" w:themeColor="text1"/>
          <w:sz w:val="24"/>
          <w:szCs w:val="24"/>
        </w:rPr>
        <w:lastRenderedPageBreak/>
        <w:t>enhanced level of support a patient requires. Another benefit of introducing the change would result in releasing the nurse for more time to care for patients.</w:t>
      </w:r>
    </w:p>
    <w:p w14:paraId="2DB60A73" w14:textId="631560CE" w:rsidR="44A0EC2A" w:rsidRDefault="44A0EC2A" w:rsidP="657312F3">
      <w:pPr>
        <w:jc w:val="both"/>
        <w:rPr>
          <w:rFonts w:ascii="Calibri" w:eastAsia="Calibri" w:hAnsi="Calibri" w:cs="Calibri"/>
          <w:color w:val="000000" w:themeColor="text1"/>
          <w:sz w:val="24"/>
          <w:szCs w:val="24"/>
        </w:rPr>
      </w:pPr>
    </w:p>
    <w:p w14:paraId="6BF61D2F" w14:textId="5B89A6CB" w:rsidR="44A0EC2A" w:rsidRDefault="44A0EC2A" w:rsidP="657312F3">
      <w:pPr>
        <w:jc w:val="both"/>
        <w:rPr>
          <w:rFonts w:ascii="Calibri" w:eastAsia="Calibri" w:hAnsi="Calibri" w:cs="Calibri"/>
          <w:b/>
          <w:bCs/>
          <w:color w:val="000000" w:themeColor="text1"/>
          <w:sz w:val="24"/>
          <w:szCs w:val="24"/>
        </w:rPr>
      </w:pPr>
      <w:commentRangeStart w:id="3"/>
    </w:p>
    <w:p w14:paraId="214AC0ED" w14:textId="0480CD4B" w:rsidR="44A0EC2A" w:rsidRPr="00E62E69" w:rsidRDefault="44A0EC2A" w:rsidP="00E62E69">
      <w:pPr>
        <w:jc w:val="both"/>
      </w:pPr>
      <w:r w:rsidRPr="44A0EC2A">
        <w:rPr>
          <w:rFonts w:ascii="Calibri" w:eastAsia="Calibri" w:hAnsi="Calibri" w:cs="Calibri"/>
          <w:b/>
          <w:bCs/>
          <w:color w:val="000000" w:themeColor="text1"/>
          <w:sz w:val="24"/>
          <w:szCs w:val="24"/>
        </w:rPr>
        <w:t>THE PROPOSED IMPACT OF CHANGING THE ENHANCED OBSERVATION AND SUPPORT FRAMEWORK TO A DIGITAL FORMAT</w:t>
      </w:r>
      <w:commentRangeEnd w:id="3"/>
      <w:r w:rsidR="009E6967">
        <w:rPr>
          <w:rStyle w:val="CommentReference"/>
        </w:rPr>
        <w:commentReference w:id="3"/>
      </w:r>
    </w:p>
    <w:p w14:paraId="11864DAB" w14:textId="304C2973" w:rsidR="44A0EC2A" w:rsidRDefault="44A0EC2A" w:rsidP="44A0EC2A">
      <w:pPr>
        <w:jc w:val="both"/>
        <w:rPr>
          <w:rFonts w:ascii="Calibri" w:eastAsia="Calibri" w:hAnsi="Calibri" w:cs="Calibri"/>
          <w:b/>
          <w:bCs/>
          <w:color w:val="000000" w:themeColor="text1"/>
          <w:sz w:val="24"/>
          <w:szCs w:val="24"/>
        </w:rPr>
      </w:pPr>
    </w:p>
    <w:p w14:paraId="2AF3E0D3" w14:textId="7C40325C" w:rsidR="44A0EC2A" w:rsidRDefault="44A0EC2A" w:rsidP="657312F3">
      <w:pPr>
        <w:jc w:val="center"/>
      </w:pPr>
      <w:r>
        <w:rPr>
          <w:noProof/>
        </w:rPr>
        <w:drawing>
          <wp:inline distT="0" distB="0" distL="0" distR="0" wp14:anchorId="3F5DF1E9" wp14:editId="04EA6518">
            <wp:extent cx="5781675" cy="4505324"/>
            <wp:effectExtent l="0" t="0" r="0" b="0"/>
            <wp:docPr id="630729979" name="Picture 6307299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81675" cy="4505324"/>
                    </a:xfrm>
                    <a:prstGeom prst="rect">
                      <a:avLst/>
                    </a:prstGeom>
                  </pic:spPr>
                </pic:pic>
              </a:graphicData>
            </a:graphic>
          </wp:inline>
        </w:drawing>
      </w:r>
    </w:p>
    <w:p w14:paraId="0DC101E8" w14:textId="7A2015DF" w:rsidR="526B123D" w:rsidRDefault="526B123D" w:rsidP="44A0EC2A">
      <w:pPr>
        <w:jc w:val="center"/>
        <w:rPr>
          <w:rFonts w:ascii="Calibri" w:eastAsia="Calibri" w:hAnsi="Calibri" w:cs="Calibri"/>
          <w:b/>
          <w:bCs/>
          <w:color w:val="000000" w:themeColor="text1"/>
          <w:sz w:val="24"/>
          <w:szCs w:val="24"/>
        </w:rPr>
      </w:pPr>
    </w:p>
    <w:p w14:paraId="0F581325" w14:textId="577DA374" w:rsidR="3C9A403A" w:rsidRDefault="3C9A403A" w:rsidP="44A0EC2A">
      <w:pPr>
        <w:jc w:val="center"/>
        <w:rPr>
          <w:rFonts w:ascii="Calibri" w:eastAsia="Calibri" w:hAnsi="Calibri" w:cs="Calibri"/>
          <w:b/>
          <w:bCs/>
          <w:color w:val="000000" w:themeColor="text1"/>
          <w:sz w:val="24"/>
          <w:szCs w:val="24"/>
        </w:rPr>
      </w:pPr>
    </w:p>
    <w:p w14:paraId="33C6B88E" w14:textId="36B58A6C" w:rsidR="3C9A403A" w:rsidRDefault="3C9A403A" w:rsidP="44A0EC2A">
      <w:pPr>
        <w:jc w:val="center"/>
        <w:rPr>
          <w:rFonts w:ascii="Calibri" w:eastAsia="Calibri" w:hAnsi="Calibri" w:cs="Calibri"/>
          <w:b/>
          <w:bCs/>
          <w:color w:val="000000" w:themeColor="text1"/>
          <w:sz w:val="24"/>
          <w:szCs w:val="24"/>
        </w:rPr>
      </w:pPr>
    </w:p>
    <w:p w14:paraId="5A60FE2C" w14:textId="29733427" w:rsidR="3C9A403A" w:rsidRDefault="3C9A403A" w:rsidP="44A0EC2A">
      <w:pPr>
        <w:jc w:val="center"/>
        <w:rPr>
          <w:rFonts w:ascii="Calibri" w:eastAsia="Calibri" w:hAnsi="Calibri" w:cs="Calibri"/>
          <w:b/>
          <w:bCs/>
          <w:color w:val="000000" w:themeColor="text1"/>
          <w:sz w:val="24"/>
          <w:szCs w:val="24"/>
        </w:rPr>
      </w:pPr>
    </w:p>
    <w:p w14:paraId="1525AE0A" w14:textId="767F6B83" w:rsidR="3C9A403A" w:rsidRDefault="3C9A403A" w:rsidP="44A0EC2A">
      <w:pPr>
        <w:jc w:val="center"/>
        <w:rPr>
          <w:rFonts w:ascii="Calibri" w:eastAsia="Calibri" w:hAnsi="Calibri" w:cs="Calibri"/>
          <w:b/>
          <w:bCs/>
          <w:color w:val="000000" w:themeColor="text1"/>
          <w:sz w:val="24"/>
          <w:szCs w:val="24"/>
        </w:rPr>
      </w:pPr>
    </w:p>
    <w:p w14:paraId="379C5C1E" w14:textId="47849151" w:rsidR="3C9A403A" w:rsidRDefault="3C9A403A" w:rsidP="44A0EC2A">
      <w:pPr>
        <w:jc w:val="center"/>
        <w:rPr>
          <w:rFonts w:ascii="Calibri" w:eastAsia="Calibri" w:hAnsi="Calibri" w:cs="Calibri"/>
          <w:b/>
          <w:bCs/>
          <w:color w:val="000000" w:themeColor="text1"/>
          <w:sz w:val="24"/>
          <w:szCs w:val="24"/>
        </w:rPr>
      </w:pPr>
    </w:p>
    <w:p w14:paraId="7F344635" w14:textId="4172228C" w:rsidR="3C9A403A" w:rsidRDefault="3C9A403A" w:rsidP="44A0EC2A"/>
    <w:p w14:paraId="7A95967E" w14:textId="14AF7BDF" w:rsidR="3C9A403A" w:rsidRDefault="3C9A403A" w:rsidP="44A0EC2A">
      <w:pPr>
        <w:jc w:val="center"/>
        <w:rPr>
          <w:rFonts w:ascii="Calibri" w:eastAsia="Calibri" w:hAnsi="Calibri" w:cs="Calibri"/>
          <w:b/>
          <w:bCs/>
          <w:color w:val="000000" w:themeColor="text1"/>
          <w:sz w:val="24"/>
          <w:szCs w:val="24"/>
          <w:u w:val="single"/>
        </w:rPr>
      </w:pPr>
    </w:p>
    <w:p w14:paraId="3CF88521" w14:textId="715CB61E" w:rsidR="3C9A403A" w:rsidRPr="00A9298F" w:rsidRDefault="657312F3" w:rsidP="657312F3">
      <w:pPr>
        <w:jc w:val="both"/>
      </w:pPr>
      <w:r>
        <w:lastRenderedPageBreak/>
        <w:t xml:space="preserve">              </w:t>
      </w:r>
      <w:r w:rsidRPr="657312F3">
        <w:rPr>
          <w:rFonts w:ascii="Calibri" w:eastAsia="Calibri" w:hAnsi="Calibri" w:cs="Calibri"/>
          <w:b/>
          <w:bCs/>
          <w:color w:val="000000" w:themeColor="text1"/>
          <w:sz w:val="24"/>
          <w:szCs w:val="24"/>
        </w:rPr>
        <w:t xml:space="preserve">OBJECTIVES </w:t>
      </w:r>
    </w:p>
    <w:p w14:paraId="35B8CD4A" w14:textId="4E218039" w:rsidR="3C9A403A" w:rsidRDefault="3C9A403A" w:rsidP="44A0EC2A">
      <w:pPr>
        <w:jc w:val="center"/>
      </w:pPr>
      <w:r>
        <w:rPr>
          <w:noProof/>
        </w:rPr>
        <w:drawing>
          <wp:inline distT="0" distB="0" distL="0" distR="0" wp14:anchorId="113760B2" wp14:editId="3F1188D1">
            <wp:extent cx="4572000" cy="1762125"/>
            <wp:effectExtent l="0" t="0" r="0" b="0"/>
            <wp:docPr id="234636968" name="Picture 234636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1762125"/>
                    </a:xfrm>
                    <a:prstGeom prst="rect">
                      <a:avLst/>
                    </a:prstGeom>
                  </pic:spPr>
                </pic:pic>
              </a:graphicData>
            </a:graphic>
          </wp:inline>
        </w:drawing>
      </w:r>
    </w:p>
    <w:p w14:paraId="2BA5268A" w14:textId="742A034D" w:rsidR="3C9A403A" w:rsidRDefault="44A0EC2A" w:rsidP="3C9A403A">
      <w:pPr>
        <w:jc w:val="both"/>
      </w:pPr>
      <w:r>
        <w:t>The objectives are based on Leavitt Diamond Model (1965) which encompasses the 4 elements (technology, task, people and structure)</w:t>
      </w:r>
    </w:p>
    <w:p w14:paraId="4C099959" w14:textId="2ADF6537" w:rsidR="3C9A403A" w:rsidRDefault="3C9A403A" w:rsidP="44A0EC2A">
      <w:pPr>
        <w:jc w:val="both"/>
        <w:rPr>
          <w:rFonts w:ascii="Calibri" w:eastAsia="Calibri" w:hAnsi="Calibri" w:cs="Calibri"/>
          <w:b/>
          <w:bCs/>
          <w:color w:val="000000" w:themeColor="text1"/>
          <w:sz w:val="24"/>
          <w:szCs w:val="24"/>
        </w:rPr>
      </w:pPr>
    </w:p>
    <w:p w14:paraId="20D89B32" w14:textId="53D7DC02" w:rsidR="3C9A403A" w:rsidRDefault="657312F3" w:rsidP="657312F3">
      <w:pPr>
        <w:pStyle w:val="ListParagraph"/>
        <w:numPr>
          <w:ilvl w:val="0"/>
          <w:numId w:val="2"/>
        </w:numPr>
        <w:jc w:val="both"/>
        <w:rPr>
          <w:rFonts w:ascii="Calibri" w:eastAsia="Calibri" w:hAnsi="Calibri" w:cs="Calibri"/>
          <w:color w:val="000000" w:themeColor="text1"/>
          <w:sz w:val="24"/>
          <w:szCs w:val="24"/>
        </w:rPr>
      </w:pPr>
      <w:commentRangeStart w:id="4"/>
      <w:commentRangeStart w:id="5"/>
      <w:r w:rsidRPr="657312F3">
        <w:rPr>
          <w:rFonts w:ascii="Calibri" w:eastAsia="Calibri" w:hAnsi="Calibri" w:cs="Calibri"/>
          <w:color w:val="000000" w:themeColor="text1"/>
          <w:sz w:val="24"/>
          <w:szCs w:val="24"/>
        </w:rPr>
        <w:t>To change the enhanced observation and support framework paper document to a digital format that can be used by existing staff with the aim of improving the safety and quality of care for patients at Ward E NPT Hospital with a timescale of 12 months</w:t>
      </w:r>
      <w:commentRangeEnd w:id="4"/>
      <w:r w:rsidR="000967FA">
        <w:rPr>
          <w:rStyle w:val="CommentReference"/>
        </w:rPr>
        <w:commentReference w:id="4"/>
      </w:r>
      <w:commentRangeEnd w:id="5"/>
      <w:r w:rsidR="00D525C4">
        <w:rPr>
          <w:rStyle w:val="CommentReference"/>
        </w:rPr>
        <w:commentReference w:id="5"/>
      </w:r>
      <w:r w:rsidRPr="657312F3">
        <w:rPr>
          <w:rFonts w:ascii="Calibri" w:eastAsia="Calibri" w:hAnsi="Calibri" w:cs="Calibri"/>
          <w:color w:val="000000" w:themeColor="text1"/>
          <w:sz w:val="24"/>
          <w:szCs w:val="24"/>
        </w:rPr>
        <w:t>.</w:t>
      </w:r>
    </w:p>
    <w:p w14:paraId="1E26391B" w14:textId="4C56E6DE" w:rsidR="3C9A403A" w:rsidRDefault="44A0EC2A" w:rsidP="44A0EC2A">
      <w:pPr>
        <w:pStyle w:val="ListParagraph"/>
        <w:numPr>
          <w:ilvl w:val="0"/>
          <w:numId w:val="2"/>
        </w:numPr>
        <w:jc w:val="both"/>
        <w:rPr>
          <w:rFonts w:ascii="Calibri" w:eastAsia="Calibri" w:hAnsi="Calibri" w:cs="Calibri"/>
          <w:color w:val="000000" w:themeColor="text1"/>
          <w:sz w:val="24"/>
          <w:szCs w:val="24"/>
        </w:rPr>
      </w:pPr>
      <w:commentRangeStart w:id="6"/>
      <w:r w:rsidRPr="44A0EC2A">
        <w:rPr>
          <w:rFonts w:ascii="Calibri" w:eastAsia="Calibri" w:hAnsi="Calibri" w:cs="Calibri"/>
          <w:color w:val="000000" w:themeColor="text1"/>
          <w:sz w:val="24"/>
          <w:szCs w:val="24"/>
        </w:rPr>
        <w:t>The product will have the capacity to support the current caseload of patients</w:t>
      </w:r>
    </w:p>
    <w:p w14:paraId="3B1AE046" w14:textId="699AABD9" w:rsidR="3C9A403A" w:rsidRDefault="44A0EC2A" w:rsidP="44A0EC2A">
      <w:pPr>
        <w:pStyle w:val="ListParagraph"/>
        <w:numPr>
          <w:ilvl w:val="0"/>
          <w:numId w:val="2"/>
        </w:numPr>
        <w:jc w:val="both"/>
        <w:rPr>
          <w:rFonts w:ascii="Calibri" w:eastAsia="Calibri" w:hAnsi="Calibri" w:cs="Calibri"/>
          <w:color w:val="000000" w:themeColor="text1"/>
          <w:sz w:val="24"/>
          <w:szCs w:val="24"/>
        </w:rPr>
      </w:pPr>
      <w:r w:rsidRPr="44A0EC2A">
        <w:rPr>
          <w:rFonts w:ascii="Calibri" w:eastAsia="Calibri" w:hAnsi="Calibri" w:cs="Calibri"/>
          <w:color w:val="000000" w:themeColor="text1"/>
          <w:sz w:val="24"/>
          <w:szCs w:val="24"/>
        </w:rPr>
        <w:t>The service users would access the system via the WNCR portal using their NADEX password on existing IT devices used within the ward.</w:t>
      </w:r>
    </w:p>
    <w:p w14:paraId="1B95DCC7" w14:textId="6999FF26" w:rsidR="3C9A403A" w:rsidRDefault="657312F3" w:rsidP="657312F3">
      <w:pPr>
        <w:pStyle w:val="ListParagraph"/>
        <w:numPr>
          <w:ilvl w:val="0"/>
          <w:numId w:val="2"/>
        </w:numPr>
        <w:jc w:val="both"/>
        <w:rPr>
          <w:rFonts w:ascii="Calibri" w:eastAsia="Calibri" w:hAnsi="Calibri" w:cs="Calibri"/>
          <w:color w:val="000000" w:themeColor="text1"/>
          <w:sz w:val="24"/>
          <w:szCs w:val="24"/>
        </w:rPr>
      </w:pPr>
      <w:r w:rsidRPr="657312F3">
        <w:rPr>
          <w:rFonts w:ascii="Calibri" w:eastAsia="Calibri" w:hAnsi="Calibri" w:cs="Calibri"/>
          <w:color w:val="000000" w:themeColor="text1"/>
          <w:sz w:val="24"/>
          <w:szCs w:val="24"/>
        </w:rPr>
        <w:t>Service users will receive the relevant training and support prior to introducing the change in clinical practice.</w:t>
      </w:r>
      <w:commentRangeEnd w:id="6"/>
      <w:r w:rsidR="00D525C4">
        <w:rPr>
          <w:rStyle w:val="CommentReference"/>
        </w:rPr>
        <w:commentReference w:id="6"/>
      </w:r>
    </w:p>
    <w:p w14:paraId="4769A41D" w14:textId="1652303C" w:rsidR="3C9A403A" w:rsidRDefault="00D525C4" w:rsidP="44A0EC2A">
      <w:pPr>
        <w:jc w:val="center"/>
      </w:pPr>
      <w:r>
        <w:t>n</w:t>
      </w:r>
    </w:p>
    <w:p w14:paraId="31B7B8D0" w14:textId="12983A8C" w:rsidR="3C9A403A" w:rsidRDefault="3C9A403A" w:rsidP="44A0EC2A">
      <w:pPr>
        <w:jc w:val="center"/>
      </w:pPr>
    </w:p>
    <w:p w14:paraId="786C3961" w14:textId="5C107937" w:rsidR="3C9A403A" w:rsidRDefault="3C9A403A" w:rsidP="3C9A403A">
      <w:pPr>
        <w:jc w:val="both"/>
        <w:rPr>
          <w:rFonts w:ascii="Calibri" w:eastAsia="Calibri" w:hAnsi="Calibri" w:cs="Calibri"/>
          <w:color w:val="000000" w:themeColor="text1"/>
          <w:sz w:val="28"/>
          <w:szCs w:val="28"/>
        </w:rPr>
      </w:pPr>
      <w:r w:rsidRPr="3C9A403A">
        <w:rPr>
          <w:rFonts w:ascii="Calibri" w:eastAsia="Calibri" w:hAnsi="Calibri" w:cs="Calibri"/>
          <w:color w:val="000000" w:themeColor="text1"/>
          <w:sz w:val="28"/>
          <w:szCs w:val="28"/>
        </w:rPr>
        <w:t xml:space="preserve">  </w:t>
      </w:r>
    </w:p>
    <w:p w14:paraId="3154F710" w14:textId="7F99B5DD" w:rsidR="3C9A403A" w:rsidRDefault="3C9A403A" w:rsidP="3C9A403A">
      <w:pPr>
        <w:jc w:val="both"/>
        <w:rPr>
          <w:rFonts w:ascii="Calibri" w:eastAsia="Calibri" w:hAnsi="Calibri" w:cs="Calibri"/>
          <w:color w:val="000000" w:themeColor="text1"/>
          <w:sz w:val="28"/>
          <w:szCs w:val="28"/>
        </w:rPr>
      </w:pPr>
    </w:p>
    <w:p w14:paraId="114B5485" w14:textId="20D51359" w:rsidR="3C9A403A" w:rsidRDefault="3C9A403A" w:rsidP="3C9A403A">
      <w:pPr>
        <w:jc w:val="both"/>
        <w:rPr>
          <w:rFonts w:ascii="Calibri" w:eastAsia="Calibri" w:hAnsi="Calibri" w:cs="Calibri"/>
          <w:color w:val="000000" w:themeColor="text1"/>
          <w:sz w:val="28"/>
          <w:szCs w:val="28"/>
        </w:rPr>
      </w:pPr>
    </w:p>
    <w:p w14:paraId="5D4F94A4" w14:textId="2EE6603F" w:rsidR="3C9A403A" w:rsidRDefault="3C9A403A" w:rsidP="3C9A403A">
      <w:pPr>
        <w:jc w:val="both"/>
        <w:rPr>
          <w:rFonts w:ascii="Calibri" w:eastAsia="Calibri" w:hAnsi="Calibri" w:cs="Calibri"/>
          <w:color w:val="000000" w:themeColor="text1"/>
          <w:sz w:val="28"/>
          <w:szCs w:val="28"/>
        </w:rPr>
      </w:pPr>
    </w:p>
    <w:p w14:paraId="0922AB37" w14:textId="24AB7020" w:rsidR="44A0EC2A" w:rsidRDefault="44A0EC2A">
      <w:r>
        <w:br w:type="page"/>
      </w:r>
      <w:r w:rsidR="657312F3" w:rsidRPr="657312F3">
        <w:rPr>
          <w:b/>
          <w:bCs/>
          <w:sz w:val="24"/>
          <w:szCs w:val="24"/>
        </w:rPr>
        <w:lastRenderedPageBreak/>
        <w:t>PRISMA</w:t>
      </w:r>
    </w:p>
    <w:p w14:paraId="67642249" w14:textId="6D81AE00" w:rsidR="526B123D" w:rsidRDefault="526B123D" w:rsidP="44A0EC2A">
      <w:pPr>
        <w:jc w:val="both"/>
        <w:rPr>
          <w:rFonts w:ascii="Calibri" w:eastAsia="Calibri" w:hAnsi="Calibri" w:cs="Calibri"/>
          <w:b/>
          <w:bCs/>
          <w:color w:val="000000" w:themeColor="text1"/>
          <w:sz w:val="28"/>
          <w:szCs w:val="28"/>
        </w:rPr>
      </w:pPr>
    </w:p>
    <w:p w14:paraId="1E3B3051" w14:textId="2CF46BC8" w:rsidR="44A0EC2A" w:rsidRDefault="44A0EC2A" w:rsidP="44A0EC2A">
      <w:pPr>
        <w:jc w:val="both"/>
        <w:rPr>
          <w:rFonts w:ascii="Calibri" w:eastAsia="Calibri" w:hAnsi="Calibri" w:cs="Calibri"/>
          <w:color w:val="000000" w:themeColor="text1"/>
          <w:sz w:val="24"/>
          <w:szCs w:val="24"/>
        </w:rPr>
      </w:pPr>
    </w:p>
    <w:p w14:paraId="0002B331" w14:textId="5F0B820E" w:rsidR="00411513" w:rsidRDefault="00411513" w:rsidP="526B123D">
      <w:pPr>
        <w:jc w:val="both"/>
        <w:rPr>
          <w:rFonts w:ascii="Calibri" w:eastAsia="Calibri" w:hAnsi="Calibri" w:cs="Calibri"/>
          <w:color w:val="000000" w:themeColor="text1"/>
          <w:sz w:val="24"/>
          <w:szCs w:val="24"/>
        </w:rPr>
      </w:pPr>
    </w:p>
    <w:p w14:paraId="5B9C3858" w14:textId="4B72DE22" w:rsidR="00411513" w:rsidRDefault="00411513" w:rsidP="723281BA">
      <w:pPr>
        <w:jc w:val="both"/>
        <w:rPr>
          <w:rFonts w:ascii="Calibri" w:eastAsia="Calibri" w:hAnsi="Calibri" w:cs="Calibri"/>
          <w:color w:val="000000" w:themeColor="text1"/>
          <w:sz w:val="28"/>
          <w:szCs w:val="28"/>
        </w:rPr>
      </w:pPr>
    </w:p>
    <w:p w14:paraId="67BD3CAA" w14:textId="69CC92CE" w:rsidR="00411513" w:rsidRDefault="00411513" w:rsidP="723281BA">
      <w:pPr>
        <w:jc w:val="both"/>
        <w:rPr>
          <w:rFonts w:ascii="Calibri" w:eastAsia="Calibri" w:hAnsi="Calibri" w:cs="Calibri"/>
          <w:color w:val="000000" w:themeColor="text1"/>
          <w:sz w:val="28"/>
          <w:szCs w:val="28"/>
        </w:rPr>
      </w:pPr>
    </w:p>
    <w:p w14:paraId="096149DC" w14:textId="16B6649B" w:rsidR="00411513" w:rsidRDefault="00411513" w:rsidP="723281BA">
      <w:pPr>
        <w:jc w:val="both"/>
        <w:rPr>
          <w:rFonts w:ascii="Calibri" w:eastAsia="Calibri" w:hAnsi="Calibri" w:cs="Calibri"/>
          <w:color w:val="000000" w:themeColor="text1"/>
          <w:sz w:val="28"/>
          <w:szCs w:val="28"/>
        </w:rPr>
      </w:pPr>
    </w:p>
    <w:p w14:paraId="1A49C33D" w14:textId="4AF06740" w:rsidR="00411513" w:rsidRDefault="00411513" w:rsidP="723281BA">
      <w:pPr>
        <w:jc w:val="both"/>
        <w:rPr>
          <w:rFonts w:ascii="Calibri" w:eastAsia="Calibri" w:hAnsi="Calibri" w:cs="Calibri"/>
          <w:color w:val="000000" w:themeColor="text1"/>
          <w:sz w:val="28"/>
          <w:szCs w:val="28"/>
        </w:rPr>
      </w:pPr>
    </w:p>
    <w:p w14:paraId="63956057" w14:textId="4CA26A29" w:rsidR="00411513" w:rsidRDefault="00411513" w:rsidP="723281BA">
      <w:pPr>
        <w:jc w:val="both"/>
        <w:rPr>
          <w:rFonts w:ascii="Calibri" w:eastAsia="Calibri" w:hAnsi="Calibri" w:cs="Calibri"/>
          <w:color w:val="000000" w:themeColor="text1"/>
          <w:sz w:val="28"/>
          <w:szCs w:val="28"/>
        </w:rPr>
      </w:pPr>
    </w:p>
    <w:p w14:paraId="49A7B44D" w14:textId="1B3FF683" w:rsidR="44A0EC2A" w:rsidRDefault="44A0EC2A">
      <w:r>
        <w:br w:type="page"/>
      </w:r>
    </w:p>
    <w:p w14:paraId="5E5787A5" w14:textId="11A9F157" w:rsidR="00411513" w:rsidRDefault="00411513" w:rsidP="723281BA">
      <w:pPr>
        <w:rPr>
          <w:sz w:val="28"/>
          <w:szCs w:val="28"/>
        </w:rPr>
      </w:pPr>
    </w:p>
    <w:p w14:paraId="3A0BFD8B" w14:textId="7D9CB59D" w:rsidR="44A0EC2A" w:rsidRDefault="44A0EC2A" w:rsidP="44A0EC2A">
      <w:pPr>
        <w:rPr>
          <w:sz w:val="28"/>
          <w:szCs w:val="28"/>
        </w:rPr>
      </w:pPr>
    </w:p>
    <w:p w14:paraId="6462E907" w14:textId="4144D853" w:rsidR="44A0EC2A" w:rsidRDefault="44A0EC2A" w:rsidP="44A0EC2A">
      <w:pPr>
        <w:rPr>
          <w:sz w:val="28"/>
          <w:szCs w:val="28"/>
        </w:rPr>
      </w:pPr>
    </w:p>
    <w:sectPr w:rsidR="44A0EC2A">
      <w:headerReference w:type="default" r:id="rId16"/>
      <w:footerReference w:type="default" r:id="rId17"/>
      <w:pgSz w:w="11906" w:h="16838"/>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Muntaha Nafisa" w:date="2022-11-14T22:26:00Z" w:initials="MN">
    <w:p w14:paraId="280C422B" w14:textId="77777777" w:rsidR="00B6167E" w:rsidRDefault="00B6167E" w:rsidP="00BF0F37">
      <w:pPr>
        <w:pStyle w:val="CommentText"/>
      </w:pPr>
      <w:r>
        <w:rPr>
          <w:rStyle w:val="CommentReference"/>
        </w:rPr>
        <w:annotationRef/>
      </w:r>
      <w:r>
        <w:t>First-person should only be used during reflective writing.</w:t>
      </w:r>
    </w:p>
  </w:comment>
  <w:comment w:id="1" w:author="Muntaha Nafisa" w:date="2022-11-14T22:27:00Z" w:initials="MN">
    <w:p w14:paraId="551B8203" w14:textId="77777777" w:rsidR="002E7D93" w:rsidRDefault="002E7D93" w:rsidP="009F5095">
      <w:pPr>
        <w:pStyle w:val="CommentText"/>
      </w:pPr>
      <w:r>
        <w:rPr>
          <w:rStyle w:val="CommentReference"/>
        </w:rPr>
        <w:annotationRef/>
      </w:r>
      <w:r>
        <w:t>Hierarchy should follow health board &gt; hospital &gt;department &gt; ward.</w:t>
      </w:r>
    </w:p>
  </w:comment>
  <w:comment w:id="2" w:author="Muntaha Nafisa" w:date="2022-11-14T22:28:00Z" w:initials="MN">
    <w:p w14:paraId="301E9A52" w14:textId="77777777" w:rsidR="00401023" w:rsidRDefault="00401023" w:rsidP="00D41910">
      <w:pPr>
        <w:pStyle w:val="CommentText"/>
      </w:pPr>
      <w:r>
        <w:rPr>
          <w:rStyle w:val="CommentReference"/>
        </w:rPr>
        <w:annotationRef/>
      </w:r>
      <w:r>
        <w:t>Please use appropriate in-text citation.</w:t>
      </w:r>
    </w:p>
  </w:comment>
  <w:comment w:id="3" w:author="Muntaha Nafisa" w:date="2022-11-14T22:31:00Z" w:initials="MN">
    <w:p w14:paraId="72B95E4C" w14:textId="77777777" w:rsidR="009E6967" w:rsidRDefault="009E6967" w:rsidP="00D13441">
      <w:pPr>
        <w:pStyle w:val="CommentText"/>
      </w:pPr>
      <w:r>
        <w:rPr>
          <w:rStyle w:val="CommentReference"/>
        </w:rPr>
        <w:annotationRef/>
      </w:r>
      <w:r>
        <w:t>Is this Aim ?</w:t>
      </w:r>
    </w:p>
  </w:comment>
  <w:comment w:id="4" w:author="Muntaha Nafisa" w:date="2022-11-14T22:33:00Z" w:initials="MN">
    <w:p w14:paraId="31CDEF3F" w14:textId="77777777" w:rsidR="000967FA" w:rsidRDefault="000967FA" w:rsidP="003C1AC2">
      <w:pPr>
        <w:pStyle w:val="CommentText"/>
      </w:pPr>
      <w:r>
        <w:rPr>
          <w:rStyle w:val="CommentReference"/>
        </w:rPr>
        <w:annotationRef/>
      </w:r>
      <w:r>
        <w:t xml:space="preserve">Needs simplification. </w:t>
      </w:r>
    </w:p>
  </w:comment>
  <w:comment w:id="5" w:author="Muntaha Nafisa" w:date="2022-11-14T22:34:00Z" w:initials="MN">
    <w:p w14:paraId="0E473760" w14:textId="77777777" w:rsidR="00D525C4" w:rsidRDefault="00D525C4" w:rsidP="001E4EAC">
      <w:pPr>
        <w:pStyle w:val="CommentText"/>
      </w:pPr>
      <w:r>
        <w:rPr>
          <w:rStyle w:val="CommentReference"/>
        </w:rPr>
        <w:annotationRef/>
      </w:r>
      <w:r>
        <w:t>It sounds like Aim.</w:t>
      </w:r>
    </w:p>
  </w:comment>
  <w:comment w:id="6" w:author="Muntaha Nafisa" w:date="2022-11-14T22:35:00Z" w:initials="MN">
    <w:p w14:paraId="6A113B45" w14:textId="77777777" w:rsidR="00D525C4" w:rsidRDefault="00D525C4" w:rsidP="007629DA">
      <w:pPr>
        <w:pStyle w:val="CommentText"/>
      </w:pPr>
      <w:r>
        <w:rPr>
          <w:rStyle w:val="CommentReference"/>
        </w:rPr>
        <w:annotationRef/>
      </w:r>
      <w:r>
        <w:t>Not SMART.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80C422B" w15:done="0"/>
  <w15:commentEx w15:paraId="551B8203" w15:done="0"/>
  <w15:commentEx w15:paraId="301E9A52" w15:done="0"/>
  <w15:commentEx w15:paraId="72B95E4C" w15:done="0"/>
  <w15:commentEx w15:paraId="31CDEF3F" w15:done="0"/>
  <w15:commentEx w15:paraId="0E473760" w15:paraIdParent="31CDEF3F" w15:done="0"/>
  <w15:commentEx w15:paraId="6A113B4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1D3F0E" w16cex:dateUtc="2022-11-14T22:26:00Z"/>
  <w16cex:commentExtensible w16cex:durableId="271D3F60" w16cex:dateUtc="2022-11-14T22:27:00Z"/>
  <w16cex:commentExtensible w16cex:durableId="271D3F92" w16cex:dateUtc="2022-11-14T22:28:00Z"/>
  <w16cex:commentExtensible w16cex:durableId="271D4059" w16cex:dateUtc="2022-11-14T22:31:00Z"/>
  <w16cex:commentExtensible w16cex:durableId="271D40AE" w16cex:dateUtc="2022-11-14T22:33:00Z"/>
  <w16cex:commentExtensible w16cex:durableId="271D4104" w16cex:dateUtc="2022-11-14T22:34:00Z"/>
  <w16cex:commentExtensible w16cex:durableId="271D4123" w16cex:dateUtc="2022-11-14T22:3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80C422B" w16cid:durableId="271D3F0E"/>
  <w16cid:commentId w16cid:paraId="551B8203" w16cid:durableId="271D3F60"/>
  <w16cid:commentId w16cid:paraId="301E9A52" w16cid:durableId="271D3F92"/>
  <w16cid:commentId w16cid:paraId="72B95E4C" w16cid:durableId="271D4059"/>
  <w16cid:commentId w16cid:paraId="31CDEF3F" w16cid:durableId="271D40AE"/>
  <w16cid:commentId w16cid:paraId="0E473760" w16cid:durableId="271D4104"/>
  <w16cid:commentId w16cid:paraId="6A113B45" w16cid:durableId="271D412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9AC682" w14:textId="77777777" w:rsidR="00475E9C" w:rsidRDefault="00436C85">
      <w:pPr>
        <w:spacing w:after="0" w:line="240" w:lineRule="auto"/>
      </w:pPr>
      <w:r>
        <w:separator/>
      </w:r>
    </w:p>
  </w:endnote>
  <w:endnote w:type="continuationSeparator" w:id="0">
    <w:p w14:paraId="7482C1CE" w14:textId="77777777" w:rsidR="00475E9C" w:rsidRDefault="00436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26B123D" w14:paraId="5BFFF73F" w14:textId="77777777" w:rsidTr="526B123D">
      <w:tc>
        <w:tcPr>
          <w:tcW w:w="3005" w:type="dxa"/>
        </w:tcPr>
        <w:p w14:paraId="55C5D637" w14:textId="26ED5252" w:rsidR="526B123D" w:rsidRDefault="526B123D" w:rsidP="526B123D">
          <w:pPr>
            <w:pStyle w:val="Header"/>
            <w:ind w:left="-115"/>
          </w:pPr>
        </w:p>
      </w:tc>
      <w:tc>
        <w:tcPr>
          <w:tcW w:w="3005" w:type="dxa"/>
        </w:tcPr>
        <w:p w14:paraId="695AE79D" w14:textId="1B6610B3" w:rsidR="526B123D" w:rsidRDefault="526B123D" w:rsidP="526B123D">
          <w:pPr>
            <w:pStyle w:val="Header"/>
            <w:jc w:val="center"/>
          </w:pPr>
          <w:r>
            <w:fldChar w:fldCharType="begin"/>
          </w:r>
          <w:r>
            <w:instrText>PAGE</w:instrText>
          </w:r>
          <w:r>
            <w:fldChar w:fldCharType="separate"/>
          </w:r>
          <w:r w:rsidR="00E62E69">
            <w:rPr>
              <w:noProof/>
            </w:rPr>
            <w:t>1</w:t>
          </w:r>
          <w:r>
            <w:fldChar w:fldCharType="end"/>
          </w:r>
        </w:p>
      </w:tc>
      <w:tc>
        <w:tcPr>
          <w:tcW w:w="3005" w:type="dxa"/>
        </w:tcPr>
        <w:p w14:paraId="2794FBC1" w14:textId="75A70EA0" w:rsidR="526B123D" w:rsidRDefault="526B123D" w:rsidP="526B123D">
          <w:pPr>
            <w:pStyle w:val="Header"/>
            <w:ind w:right="-115"/>
            <w:jc w:val="right"/>
          </w:pPr>
        </w:p>
      </w:tc>
    </w:tr>
  </w:tbl>
  <w:p w14:paraId="601174F4" w14:textId="3EB99463" w:rsidR="526B123D" w:rsidRDefault="526B123D" w:rsidP="526B12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CFCB0" w14:textId="77777777" w:rsidR="00475E9C" w:rsidRDefault="00436C85">
      <w:pPr>
        <w:spacing w:after="0" w:line="240" w:lineRule="auto"/>
      </w:pPr>
      <w:r>
        <w:separator/>
      </w:r>
    </w:p>
  </w:footnote>
  <w:footnote w:type="continuationSeparator" w:id="0">
    <w:p w14:paraId="073D8601" w14:textId="77777777" w:rsidR="00475E9C" w:rsidRDefault="00436C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26B123D" w14:paraId="5983351E" w14:textId="77777777" w:rsidTr="526B123D">
      <w:tc>
        <w:tcPr>
          <w:tcW w:w="3005" w:type="dxa"/>
        </w:tcPr>
        <w:p w14:paraId="579329DD" w14:textId="75C8C8F7" w:rsidR="526B123D" w:rsidRDefault="526B123D" w:rsidP="526B123D">
          <w:pPr>
            <w:pStyle w:val="Header"/>
            <w:ind w:left="-115"/>
          </w:pPr>
        </w:p>
      </w:tc>
      <w:tc>
        <w:tcPr>
          <w:tcW w:w="3005" w:type="dxa"/>
        </w:tcPr>
        <w:p w14:paraId="270D04D2" w14:textId="4E0707A5" w:rsidR="526B123D" w:rsidRDefault="526B123D" w:rsidP="526B123D">
          <w:pPr>
            <w:pStyle w:val="Header"/>
            <w:jc w:val="center"/>
          </w:pPr>
        </w:p>
      </w:tc>
      <w:tc>
        <w:tcPr>
          <w:tcW w:w="3005" w:type="dxa"/>
        </w:tcPr>
        <w:p w14:paraId="353F3D47" w14:textId="70E39C3A" w:rsidR="526B123D" w:rsidRDefault="526B123D" w:rsidP="526B123D">
          <w:pPr>
            <w:pStyle w:val="Header"/>
            <w:ind w:right="-115"/>
            <w:jc w:val="right"/>
          </w:pPr>
        </w:p>
      </w:tc>
    </w:tr>
  </w:tbl>
  <w:p w14:paraId="3195BBF6" w14:textId="51F95DB8" w:rsidR="526B123D" w:rsidRDefault="526B123D" w:rsidP="526B12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AD1042"/>
    <w:multiLevelType w:val="hybridMultilevel"/>
    <w:tmpl w:val="522E2D22"/>
    <w:lvl w:ilvl="0" w:tplc="BBAEBB6A">
      <w:start w:val="1"/>
      <w:numFmt w:val="bullet"/>
      <w:lvlText w:val=""/>
      <w:lvlJc w:val="left"/>
      <w:pPr>
        <w:ind w:left="720" w:hanging="360"/>
      </w:pPr>
      <w:rPr>
        <w:rFonts w:ascii="Symbol" w:hAnsi="Symbol" w:hint="default"/>
      </w:rPr>
    </w:lvl>
    <w:lvl w:ilvl="1" w:tplc="6C3CD360">
      <w:start w:val="1"/>
      <w:numFmt w:val="bullet"/>
      <w:lvlText w:val="o"/>
      <w:lvlJc w:val="left"/>
      <w:pPr>
        <w:ind w:left="1440" w:hanging="360"/>
      </w:pPr>
      <w:rPr>
        <w:rFonts w:ascii="Courier New" w:hAnsi="Courier New" w:hint="default"/>
      </w:rPr>
    </w:lvl>
    <w:lvl w:ilvl="2" w:tplc="B74A37A4">
      <w:start w:val="1"/>
      <w:numFmt w:val="bullet"/>
      <w:lvlText w:val=""/>
      <w:lvlJc w:val="left"/>
      <w:pPr>
        <w:ind w:left="2160" w:hanging="360"/>
      </w:pPr>
      <w:rPr>
        <w:rFonts w:ascii="Wingdings" w:hAnsi="Wingdings" w:hint="default"/>
      </w:rPr>
    </w:lvl>
    <w:lvl w:ilvl="3" w:tplc="E73ECE38">
      <w:start w:val="1"/>
      <w:numFmt w:val="bullet"/>
      <w:lvlText w:val=""/>
      <w:lvlJc w:val="left"/>
      <w:pPr>
        <w:ind w:left="2880" w:hanging="360"/>
      </w:pPr>
      <w:rPr>
        <w:rFonts w:ascii="Symbol" w:hAnsi="Symbol" w:hint="default"/>
      </w:rPr>
    </w:lvl>
    <w:lvl w:ilvl="4" w:tplc="C430D86C">
      <w:start w:val="1"/>
      <w:numFmt w:val="bullet"/>
      <w:lvlText w:val="o"/>
      <w:lvlJc w:val="left"/>
      <w:pPr>
        <w:ind w:left="3600" w:hanging="360"/>
      </w:pPr>
      <w:rPr>
        <w:rFonts w:ascii="Courier New" w:hAnsi="Courier New" w:hint="default"/>
      </w:rPr>
    </w:lvl>
    <w:lvl w:ilvl="5" w:tplc="4106D15A">
      <w:start w:val="1"/>
      <w:numFmt w:val="bullet"/>
      <w:lvlText w:val=""/>
      <w:lvlJc w:val="left"/>
      <w:pPr>
        <w:ind w:left="4320" w:hanging="360"/>
      </w:pPr>
      <w:rPr>
        <w:rFonts w:ascii="Wingdings" w:hAnsi="Wingdings" w:hint="default"/>
      </w:rPr>
    </w:lvl>
    <w:lvl w:ilvl="6" w:tplc="F5D2068C">
      <w:start w:val="1"/>
      <w:numFmt w:val="bullet"/>
      <w:lvlText w:val=""/>
      <w:lvlJc w:val="left"/>
      <w:pPr>
        <w:ind w:left="5040" w:hanging="360"/>
      </w:pPr>
      <w:rPr>
        <w:rFonts w:ascii="Symbol" w:hAnsi="Symbol" w:hint="default"/>
      </w:rPr>
    </w:lvl>
    <w:lvl w:ilvl="7" w:tplc="8C6EF86C">
      <w:start w:val="1"/>
      <w:numFmt w:val="bullet"/>
      <w:lvlText w:val="o"/>
      <w:lvlJc w:val="left"/>
      <w:pPr>
        <w:ind w:left="5760" w:hanging="360"/>
      </w:pPr>
      <w:rPr>
        <w:rFonts w:ascii="Courier New" w:hAnsi="Courier New" w:hint="default"/>
      </w:rPr>
    </w:lvl>
    <w:lvl w:ilvl="8" w:tplc="EAD6C982">
      <w:start w:val="1"/>
      <w:numFmt w:val="bullet"/>
      <w:lvlText w:val=""/>
      <w:lvlJc w:val="left"/>
      <w:pPr>
        <w:ind w:left="6480" w:hanging="360"/>
      </w:pPr>
      <w:rPr>
        <w:rFonts w:ascii="Wingdings" w:hAnsi="Wingdings" w:hint="default"/>
      </w:rPr>
    </w:lvl>
  </w:abstractNum>
  <w:abstractNum w:abstractNumId="1" w15:restartNumberingAfterBreak="0">
    <w:nsid w:val="20C208EC"/>
    <w:multiLevelType w:val="hybridMultilevel"/>
    <w:tmpl w:val="D114AC42"/>
    <w:lvl w:ilvl="0" w:tplc="0DEA414C">
      <w:start w:val="1"/>
      <w:numFmt w:val="bullet"/>
      <w:lvlText w:val=""/>
      <w:lvlJc w:val="left"/>
      <w:pPr>
        <w:ind w:left="720" w:hanging="360"/>
      </w:pPr>
      <w:rPr>
        <w:rFonts w:ascii="Symbol" w:hAnsi="Symbol" w:hint="default"/>
      </w:rPr>
    </w:lvl>
    <w:lvl w:ilvl="1" w:tplc="5B7AB9FA">
      <w:start w:val="1"/>
      <w:numFmt w:val="bullet"/>
      <w:lvlText w:val="o"/>
      <w:lvlJc w:val="left"/>
      <w:pPr>
        <w:ind w:left="1440" w:hanging="360"/>
      </w:pPr>
      <w:rPr>
        <w:rFonts w:ascii="Courier New" w:hAnsi="Courier New" w:hint="default"/>
      </w:rPr>
    </w:lvl>
    <w:lvl w:ilvl="2" w:tplc="3E1AC322">
      <w:start w:val="1"/>
      <w:numFmt w:val="bullet"/>
      <w:lvlText w:val=""/>
      <w:lvlJc w:val="left"/>
      <w:pPr>
        <w:ind w:left="2160" w:hanging="360"/>
      </w:pPr>
      <w:rPr>
        <w:rFonts w:ascii="Wingdings" w:hAnsi="Wingdings" w:hint="default"/>
      </w:rPr>
    </w:lvl>
    <w:lvl w:ilvl="3" w:tplc="A8E6308E">
      <w:start w:val="1"/>
      <w:numFmt w:val="bullet"/>
      <w:lvlText w:val=""/>
      <w:lvlJc w:val="left"/>
      <w:pPr>
        <w:ind w:left="2880" w:hanging="360"/>
      </w:pPr>
      <w:rPr>
        <w:rFonts w:ascii="Symbol" w:hAnsi="Symbol" w:hint="default"/>
      </w:rPr>
    </w:lvl>
    <w:lvl w:ilvl="4" w:tplc="1BDE7ECE">
      <w:start w:val="1"/>
      <w:numFmt w:val="bullet"/>
      <w:lvlText w:val="o"/>
      <w:lvlJc w:val="left"/>
      <w:pPr>
        <w:ind w:left="3600" w:hanging="360"/>
      </w:pPr>
      <w:rPr>
        <w:rFonts w:ascii="Courier New" w:hAnsi="Courier New" w:hint="default"/>
      </w:rPr>
    </w:lvl>
    <w:lvl w:ilvl="5" w:tplc="491ABF44">
      <w:start w:val="1"/>
      <w:numFmt w:val="bullet"/>
      <w:lvlText w:val=""/>
      <w:lvlJc w:val="left"/>
      <w:pPr>
        <w:ind w:left="4320" w:hanging="360"/>
      </w:pPr>
      <w:rPr>
        <w:rFonts w:ascii="Wingdings" w:hAnsi="Wingdings" w:hint="default"/>
      </w:rPr>
    </w:lvl>
    <w:lvl w:ilvl="6" w:tplc="062AF3BC">
      <w:start w:val="1"/>
      <w:numFmt w:val="bullet"/>
      <w:lvlText w:val=""/>
      <w:lvlJc w:val="left"/>
      <w:pPr>
        <w:ind w:left="5040" w:hanging="360"/>
      </w:pPr>
      <w:rPr>
        <w:rFonts w:ascii="Symbol" w:hAnsi="Symbol" w:hint="default"/>
      </w:rPr>
    </w:lvl>
    <w:lvl w:ilvl="7" w:tplc="3BEAD53E">
      <w:start w:val="1"/>
      <w:numFmt w:val="bullet"/>
      <w:lvlText w:val="o"/>
      <w:lvlJc w:val="left"/>
      <w:pPr>
        <w:ind w:left="5760" w:hanging="360"/>
      </w:pPr>
      <w:rPr>
        <w:rFonts w:ascii="Courier New" w:hAnsi="Courier New" w:hint="default"/>
      </w:rPr>
    </w:lvl>
    <w:lvl w:ilvl="8" w:tplc="463CC8E2">
      <w:start w:val="1"/>
      <w:numFmt w:val="bullet"/>
      <w:lvlText w:val=""/>
      <w:lvlJc w:val="left"/>
      <w:pPr>
        <w:ind w:left="6480" w:hanging="360"/>
      </w:pPr>
      <w:rPr>
        <w:rFonts w:ascii="Wingdings" w:hAnsi="Wingdings" w:hint="default"/>
      </w:rPr>
    </w:lvl>
  </w:abstractNum>
  <w:abstractNum w:abstractNumId="2" w15:restartNumberingAfterBreak="0">
    <w:nsid w:val="426939E9"/>
    <w:multiLevelType w:val="hybridMultilevel"/>
    <w:tmpl w:val="C5DE66F6"/>
    <w:lvl w:ilvl="0" w:tplc="68AABC34">
      <w:start w:val="1"/>
      <w:numFmt w:val="bullet"/>
      <w:lvlText w:val=""/>
      <w:lvlJc w:val="left"/>
      <w:pPr>
        <w:ind w:left="720" w:hanging="360"/>
      </w:pPr>
      <w:rPr>
        <w:rFonts w:ascii="Symbol" w:hAnsi="Symbol" w:hint="default"/>
      </w:rPr>
    </w:lvl>
    <w:lvl w:ilvl="1" w:tplc="9FD8C070">
      <w:start w:val="1"/>
      <w:numFmt w:val="bullet"/>
      <w:lvlText w:val="o"/>
      <w:lvlJc w:val="left"/>
      <w:pPr>
        <w:ind w:left="1440" w:hanging="360"/>
      </w:pPr>
      <w:rPr>
        <w:rFonts w:ascii="Courier New" w:hAnsi="Courier New" w:hint="default"/>
      </w:rPr>
    </w:lvl>
    <w:lvl w:ilvl="2" w:tplc="FDF42540">
      <w:start w:val="1"/>
      <w:numFmt w:val="bullet"/>
      <w:lvlText w:val=""/>
      <w:lvlJc w:val="left"/>
      <w:pPr>
        <w:ind w:left="2160" w:hanging="360"/>
      </w:pPr>
      <w:rPr>
        <w:rFonts w:ascii="Wingdings" w:hAnsi="Wingdings" w:hint="default"/>
      </w:rPr>
    </w:lvl>
    <w:lvl w:ilvl="3" w:tplc="7B84E036">
      <w:start w:val="1"/>
      <w:numFmt w:val="bullet"/>
      <w:lvlText w:val=""/>
      <w:lvlJc w:val="left"/>
      <w:pPr>
        <w:ind w:left="2880" w:hanging="360"/>
      </w:pPr>
      <w:rPr>
        <w:rFonts w:ascii="Symbol" w:hAnsi="Symbol" w:hint="default"/>
      </w:rPr>
    </w:lvl>
    <w:lvl w:ilvl="4" w:tplc="2BE42C98">
      <w:start w:val="1"/>
      <w:numFmt w:val="bullet"/>
      <w:lvlText w:val="o"/>
      <w:lvlJc w:val="left"/>
      <w:pPr>
        <w:ind w:left="3600" w:hanging="360"/>
      </w:pPr>
      <w:rPr>
        <w:rFonts w:ascii="Courier New" w:hAnsi="Courier New" w:hint="default"/>
      </w:rPr>
    </w:lvl>
    <w:lvl w:ilvl="5" w:tplc="224AC7A8">
      <w:start w:val="1"/>
      <w:numFmt w:val="bullet"/>
      <w:lvlText w:val=""/>
      <w:lvlJc w:val="left"/>
      <w:pPr>
        <w:ind w:left="4320" w:hanging="360"/>
      </w:pPr>
      <w:rPr>
        <w:rFonts w:ascii="Wingdings" w:hAnsi="Wingdings" w:hint="default"/>
      </w:rPr>
    </w:lvl>
    <w:lvl w:ilvl="6" w:tplc="2B70D214">
      <w:start w:val="1"/>
      <w:numFmt w:val="bullet"/>
      <w:lvlText w:val=""/>
      <w:lvlJc w:val="left"/>
      <w:pPr>
        <w:ind w:left="5040" w:hanging="360"/>
      </w:pPr>
      <w:rPr>
        <w:rFonts w:ascii="Symbol" w:hAnsi="Symbol" w:hint="default"/>
      </w:rPr>
    </w:lvl>
    <w:lvl w:ilvl="7" w:tplc="BE7AC620">
      <w:start w:val="1"/>
      <w:numFmt w:val="bullet"/>
      <w:lvlText w:val="o"/>
      <w:lvlJc w:val="left"/>
      <w:pPr>
        <w:ind w:left="5760" w:hanging="360"/>
      </w:pPr>
      <w:rPr>
        <w:rFonts w:ascii="Courier New" w:hAnsi="Courier New" w:hint="default"/>
      </w:rPr>
    </w:lvl>
    <w:lvl w:ilvl="8" w:tplc="364696F8">
      <w:start w:val="1"/>
      <w:numFmt w:val="bullet"/>
      <w:lvlText w:val=""/>
      <w:lvlJc w:val="left"/>
      <w:pPr>
        <w:ind w:left="6480" w:hanging="360"/>
      </w:pPr>
      <w:rPr>
        <w:rFonts w:ascii="Wingdings" w:hAnsi="Wingdings" w:hint="default"/>
      </w:rPr>
    </w:lvl>
  </w:abstractNum>
  <w:num w:numId="1" w16cid:durableId="345207890">
    <w:abstractNumId w:val="0"/>
  </w:num>
  <w:num w:numId="2" w16cid:durableId="1494298581">
    <w:abstractNumId w:val="2"/>
  </w:num>
  <w:num w:numId="3" w16cid:durableId="29676183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untaha Nafisa">
    <w15:presenceInfo w15:providerId="AD" w15:userId="S::m.nafisa@uwtsd.ac.uk::523c54b2-ca76-4322-ac85-1bdd76b5617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A6792A"/>
    <w:rsid w:val="000967FA"/>
    <w:rsid w:val="002E7D93"/>
    <w:rsid w:val="00401023"/>
    <w:rsid w:val="00411513"/>
    <w:rsid w:val="00436C85"/>
    <w:rsid w:val="00475E9C"/>
    <w:rsid w:val="009E6967"/>
    <w:rsid w:val="00A9298F"/>
    <w:rsid w:val="00B6167E"/>
    <w:rsid w:val="00D525C4"/>
    <w:rsid w:val="00E62E69"/>
    <w:rsid w:val="0D61A14C"/>
    <w:rsid w:val="3BA6792A"/>
    <w:rsid w:val="3C9A403A"/>
    <w:rsid w:val="44A0EC2A"/>
    <w:rsid w:val="526B123D"/>
    <w:rsid w:val="657312F3"/>
    <w:rsid w:val="723281B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6792A"/>
  <w15:chartTrackingRefBased/>
  <w15:docId w15:val="{8F900BED-F14C-41B7-B43A-CB32ABFF9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CommentReference">
    <w:name w:val="annotation reference"/>
    <w:basedOn w:val="DefaultParagraphFont"/>
    <w:uiPriority w:val="99"/>
    <w:semiHidden/>
    <w:unhideWhenUsed/>
    <w:rsid w:val="00B6167E"/>
    <w:rPr>
      <w:sz w:val="16"/>
      <w:szCs w:val="16"/>
    </w:rPr>
  </w:style>
  <w:style w:type="paragraph" w:styleId="CommentText">
    <w:name w:val="annotation text"/>
    <w:basedOn w:val="Normal"/>
    <w:link w:val="CommentTextChar"/>
    <w:uiPriority w:val="99"/>
    <w:unhideWhenUsed/>
    <w:rsid w:val="00B6167E"/>
    <w:pPr>
      <w:spacing w:line="240" w:lineRule="auto"/>
    </w:pPr>
    <w:rPr>
      <w:sz w:val="20"/>
      <w:szCs w:val="20"/>
    </w:rPr>
  </w:style>
  <w:style w:type="character" w:customStyle="1" w:styleId="CommentTextChar">
    <w:name w:val="Comment Text Char"/>
    <w:basedOn w:val="DefaultParagraphFont"/>
    <w:link w:val="CommentText"/>
    <w:uiPriority w:val="99"/>
    <w:rsid w:val="00B6167E"/>
    <w:rPr>
      <w:sz w:val="20"/>
      <w:szCs w:val="20"/>
    </w:rPr>
  </w:style>
  <w:style w:type="paragraph" w:styleId="CommentSubject">
    <w:name w:val="annotation subject"/>
    <w:basedOn w:val="CommentText"/>
    <w:next w:val="CommentText"/>
    <w:link w:val="CommentSubjectChar"/>
    <w:uiPriority w:val="99"/>
    <w:semiHidden/>
    <w:unhideWhenUsed/>
    <w:rsid w:val="00B6167E"/>
    <w:rPr>
      <w:b/>
      <w:bCs/>
    </w:rPr>
  </w:style>
  <w:style w:type="character" w:customStyle="1" w:styleId="CommentSubjectChar">
    <w:name w:val="Comment Subject Char"/>
    <w:basedOn w:val="CommentTextChar"/>
    <w:link w:val="CommentSubject"/>
    <w:uiPriority w:val="99"/>
    <w:semiHidden/>
    <w:rsid w:val="00B6167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8/08/relationships/commentsExtensible" Target="commentsExtensible.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microsoft.com/office/2016/09/relationships/commentsIds" Target="commentsIds.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1/relationships/commentsExtended" Target="commentsExtended.xml"/><Relationship Id="rId5" Type="http://schemas.openxmlformats.org/officeDocument/2006/relationships/styles" Target="styles.xml"/><Relationship Id="rId15" Type="http://schemas.openxmlformats.org/officeDocument/2006/relationships/image" Target="media/image2.png"/><Relationship Id="rId10" Type="http://schemas.openxmlformats.org/officeDocument/2006/relationships/comments" Target="comments.xml"/><Relationship Id="rId19" Type="http://schemas.microsoft.com/office/2011/relationships/people" Target="peop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47941ee9151d150afb5f44c71ca12cd7">
  <xsd:schema xmlns:xsd="http://www.w3.org/2001/XMLSchema" xmlns:xs="http://www.w3.org/2001/XMLSchema" xmlns:p="http://schemas.microsoft.com/office/2006/metadata/properties" xmlns:ns3="4055ddc6-ee7b-4b5b-b8fb-52871646f80e" targetNamespace="http://schemas.microsoft.com/office/2006/metadata/properties" ma:root="true" ma:fieldsID="ba10ab32d8b0c19111d36d4f4a1ede37"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D51BDFA-2CC1-4B36-8843-D193278073BE}">
  <ds:schemaRefs>
    <ds:schemaRef ds:uri="http://www.w3.org/XML/1998/namespace"/>
    <ds:schemaRef ds:uri="http://schemas.microsoft.com/office/infopath/2007/PartnerControls"/>
    <ds:schemaRef ds:uri="http://purl.org/dc/terms/"/>
    <ds:schemaRef ds:uri="http://schemas.openxmlformats.org/package/2006/metadata/core-properties"/>
    <ds:schemaRef ds:uri="http://schemas.microsoft.com/office/2006/documentManagement/types"/>
    <ds:schemaRef ds:uri="http://purl.org/dc/elements/1.1/"/>
    <ds:schemaRef ds:uri="4055ddc6-ee7b-4b5b-b8fb-52871646f80e"/>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A5F43FE7-5B0E-43AA-8EC4-2E607FC53117}">
  <ds:schemaRefs>
    <ds:schemaRef ds:uri="http://schemas.microsoft.com/sharepoint/v3/contenttype/forms"/>
  </ds:schemaRefs>
</ds:datastoreItem>
</file>

<file path=customXml/itemProps3.xml><?xml version="1.0" encoding="utf-8"?>
<ds:datastoreItem xmlns:ds="http://schemas.openxmlformats.org/officeDocument/2006/customXml" ds:itemID="{5D4E92E1-1B38-4CFF-988C-78CD1D48D4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1012</Words>
  <Characters>5772</Characters>
  <Application>Microsoft Office Word</Application>
  <DocSecurity>0</DocSecurity>
  <Lines>48</Lines>
  <Paragraphs>13</Paragraphs>
  <ScaleCrop>false</ScaleCrop>
  <Company/>
  <LinksUpToDate>false</LinksUpToDate>
  <CharactersWithSpaces>6771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Havard</dc:creator>
  <cp:keywords/>
  <dc:description/>
  <cp:lastModifiedBy>Muntaha Nafisa</cp:lastModifiedBy>
  <cp:revision>8</cp:revision>
  <dcterms:created xsi:type="dcterms:W3CDTF">2022-11-03T11:33:00Z</dcterms:created>
  <dcterms:modified xsi:type="dcterms:W3CDTF">2022-11-14T22:35:00Z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a0f775fcd77be23828b94ecdbe7760264d9f4b38e2a257b4aa32daf54dc4bc67</vt:lpwstr>
  </property>
  <property fmtid="{D5CDD505-2E9C-101B-9397-08002B2CF9AE}" pid="3" name="ContentTypeId">
    <vt:lpwstr>0x010100BD024FF986E86248B25DDBA3DBF998D1</vt:lpwstr>
  </property>
</Properties>
</file>