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C43D3" w:rsidRDefault="009C43D3">
      <w:pPr>
        <w:rPr>
          <w:rFonts w:cstheme="minorHAnsi"/>
          <w:b/>
          <w:sz w:val="22"/>
          <w:szCs w:val="22"/>
        </w:rPr>
      </w:pPr>
      <w:r>
        <w:rPr>
          <w:rFonts w:cstheme="minorHAnsi"/>
          <w:b/>
          <w:sz w:val="22"/>
          <w:szCs w:val="22"/>
        </w:rPr>
        <w:t>Sanwar Ali Ahmed</w:t>
      </w:r>
    </w:p>
    <w:p w:rsidR="009C43D3" w:rsidRDefault="009C43D3">
      <w:pPr>
        <w:rPr>
          <w:rFonts w:cstheme="minorHAnsi"/>
          <w:b/>
          <w:sz w:val="22"/>
          <w:szCs w:val="22"/>
        </w:rPr>
      </w:pPr>
      <w:r>
        <w:rPr>
          <w:rFonts w:cstheme="minorHAnsi"/>
          <w:b/>
          <w:sz w:val="22"/>
          <w:szCs w:val="22"/>
        </w:rPr>
        <w:t>1920465</w:t>
      </w:r>
    </w:p>
    <w:p w:rsidR="009C43D3" w:rsidRDefault="009C43D3">
      <w:pPr>
        <w:rPr>
          <w:rFonts w:cstheme="minorHAnsi"/>
          <w:b/>
          <w:sz w:val="22"/>
          <w:szCs w:val="22"/>
        </w:rPr>
      </w:pPr>
      <w:r w:rsidRPr="009C43D3">
        <w:rPr>
          <w:rFonts w:cstheme="minorHAnsi"/>
          <w:b/>
          <w:sz w:val="22"/>
          <w:szCs w:val="22"/>
        </w:rPr>
        <w:t>UWTSD Swansea</w:t>
      </w:r>
    </w:p>
    <w:p w:rsidR="009C43D3" w:rsidRPr="009C43D3" w:rsidRDefault="009C43D3">
      <w:pPr>
        <w:rPr>
          <w:rFonts w:cstheme="minorHAnsi"/>
          <w:b/>
          <w:sz w:val="22"/>
          <w:szCs w:val="22"/>
        </w:rPr>
      </w:pPr>
      <w:r w:rsidRPr="009C43D3">
        <w:rPr>
          <w:rFonts w:cstheme="minorHAnsi"/>
          <w:b/>
          <w:sz w:val="22"/>
          <w:szCs w:val="22"/>
        </w:rPr>
        <w:t>Networks and Cyber Security Essentials</w:t>
      </w:r>
    </w:p>
    <w:p w:rsidR="009C43D3" w:rsidRPr="009C43D3" w:rsidRDefault="009C43D3">
      <w:pPr>
        <w:rPr>
          <w:rFonts w:cstheme="minorHAnsi"/>
          <w:b/>
          <w:sz w:val="22"/>
          <w:szCs w:val="22"/>
        </w:rPr>
      </w:pPr>
      <w:r w:rsidRPr="009C43D3">
        <w:rPr>
          <w:rFonts w:cstheme="minorHAnsi"/>
          <w:b/>
          <w:sz w:val="22"/>
          <w:szCs w:val="22"/>
        </w:rPr>
        <w:t>ACCA4024</w:t>
      </w:r>
    </w:p>
    <w:p w:rsidR="009C43D3" w:rsidRDefault="009C43D3">
      <w:pPr>
        <w:rPr>
          <w:rFonts w:cstheme="minorHAnsi"/>
          <w:b/>
          <w:bCs/>
          <w:sz w:val="22"/>
          <w:szCs w:val="22"/>
        </w:rPr>
      </w:pPr>
      <w:r w:rsidRPr="009C43D3">
        <w:rPr>
          <w:rFonts w:cstheme="minorHAnsi"/>
          <w:b/>
          <w:bCs/>
          <w:sz w:val="22"/>
          <w:szCs w:val="22"/>
        </w:rPr>
        <w:t xml:space="preserve">Synthesize a solution to a potential </w:t>
      </w:r>
      <w:r>
        <w:rPr>
          <w:rFonts w:cstheme="minorHAnsi"/>
          <w:b/>
          <w:bCs/>
          <w:sz w:val="22"/>
          <w:szCs w:val="22"/>
        </w:rPr>
        <w:t>R</w:t>
      </w:r>
      <w:r w:rsidRPr="009C43D3">
        <w:rPr>
          <w:rFonts w:cstheme="minorHAnsi"/>
          <w:b/>
          <w:bCs/>
          <w:sz w:val="22"/>
          <w:szCs w:val="22"/>
        </w:rPr>
        <w:t>eal-life scenario</w:t>
      </w:r>
    </w:p>
    <w:p w:rsidR="009C43D3" w:rsidRDefault="009C43D3">
      <w:pPr>
        <w:rPr>
          <w:rFonts w:cstheme="minorHAnsi"/>
          <w:b/>
          <w:bCs/>
          <w:sz w:val="22"/>
          <w:szCs w:val="22"/>
        </w:rPr>
      </w:pPr>
    </w:p>
    <w:sdt>
      <w:sdtPr>
        <w:rPr>
          <w:rFonts w:asciiTheme="minorHAnsi" w:eastAsiaTheme="minorHAnsi" w:hAnsiTheme="minorHAnsi" w:cstheme="minorBidi"/>
          <w:b w:val="0"/>
          <w:bCs w:val="0"/>
          <w:color w:val="auto"/>
          <w:kern w:val="2"/>
          <w:sz w:val="24"/>
          <w:szCs w:val="24"/>
          <w:lang w:val="en-GB"/>
          <w14:ligatures w14:val="standardContextual"/>
        </w:rPr>
        <w:id w:val="1361628775"/>
        <w:docPartObj>
          <w:docPartGallery w:val="Table of Contents"/>
          <w:docPartUnique/>
        </w:docPartObj>
      </w:sdtPr>
      <w:sdtEndPr>
        <w:rPr>
          <w:noProof/>
        </w:rPr>
      </w:sdtEndPr>
      <w:sdtContent>
        <w:p w:rsidR="00412CE6" w:rsidRDefault="00412CE6">
          <w:pPr>
            <w:pStyle w:val="TOCHeading"/>
          </w:pPr>
          <w:r>
            <w:t>Table of Contents</w:t>
          </w:r>
        </w:p>
        <w:p w:rsidR="005B2CE4" w:rsidRDefault="00412CE6">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8063088" w:history="1">
            <w:r w:rsidR="005B2CE4" w:rsidRPr="00E163B9">
              <w:rPr>
                <w:rStyle w:val="Hyperlink"/>
                <w:noProof/>
              </w:rPr>
              <w:t>Introduction</w:t>
            </w:r>
            <w:r w:rsidR="005B2CE4">
              <w:rPr>
                <w:noProof/>
                <w:webHidden/>
              </w:rPr>
              <w:tab/>
            </w:r>
            <w:r w:rsidR="005B2CE4">
              <w:rPr>
                <w:noProof/>
                <w:webHidden/>
              </w:rPr>
              <w:fldChar w:fldCharType="begin"/>
            </w:r>
            <w:r w:rsidR="005B2CE4">
              <w:rPr>
                <w:noProof/>
                <w:webHidden/>
              </w:rPr>
              <w:instrText xml:space="preserve"> PAGEREF _Toc198063088 \h </w:instrText>
            </w:r>
            <w:r w:rsidR="005B2CE4">
              <w:rPr>
                <w:noProof/>
                <w:webHidden/>
              </w:rPr>
            </w:r>
            <w:r w:rsidR="005B2CE4">
              <w:rPr>
                <w:noProof/>
                <w:webHidden/>
              </w:rPr>
              <w:fldChar w:fldCharType="separate"/>
            </w:r>
            <w:r w:rsidR="005B2CE4">
              <w:rPr>
                <w:noProof/>
                <w:webHidden/>
              </w:rPr>
              <w:t>2</w:t>
            </w:r>
            <w:r w:rsidR="005B2CE4">
              <w:rPr>
                <w:noProof/>
                <w:webHidden/>
              </w:rPr>
              <w:fldChar w:fldCharType="end"/>
            </w:r>
          </w:hyperlink>
        </w:p>
        <w:p w:rsidR="005B2CE4" w:rsidRDefault="005B2CE4">
          <w:pPr>
            <w:pStyle w:val="TOC1"/>
            <w:tabs>
              <w:tab w:val="right" w:leader="dot" w:pos="9016"/>
            </w:tabs>
            <w:rPr>
              <w:rFonts w:eastAsiaTheme="minorEastAsia" w:cstheme="minorBidi"/>
              <w:b w:val="0"/>
              <w:bCs w:val="0"/>
              <w:i w:val="0"/>
              <w:iCs w:val="0"/>
              <w:noProof/>
              <w:lang w:eastAsia="en-GB"/>
            </w:rPr>
          </w:pPr>
          <w:hyperlink w:anchor="_Toc198063089" w:history="1">
            <w:r w:rsidRPr="00E163B9">
              <w:rPr>
                <w:rStyle w:val="Hyperlink"/>
                <w:rFonts w:eastAsia="Times New Roman"/>
                <w:noProof/>
                <w:lang w:eastAsia="en-GB"/>
              </w:rPr>
              <w:t>Identification of Threats</w:t>
            </w:r>
            <w:r>
              <w:rPr>
                <w:noProof/>
                <w:webHidden/>
              </w:rPr>
              <w:tab/>
            </w:r>
            <w:r>
              <w:rPr>
                <w:noProof/>
                <w:webHidden/>
              </w:rPr>
              <w:fldChar w:fldCharType="begin"/>
            </w:r>
            <w:r>
              <w:rPr>
                <w:noProof/>
                <w:webHidden/>
              </w:rPr>
              <w:instrText xml:space="preserve"> PAGEREF _Toc198063089 \h </w:instrText>
            </w:r>
            <w:r>
              <w:rPr>
                <w:noProof/>
                <w:webHidden/>
              </w:rPr>
            </w:r>
            <w:r>
              <w:rPr>
                <w:noProof/>
                <w:webHidden/>
              </w:rPr>
              <w:fldChar w:fldCharType="separate"/>
            </w:r>
            <w:r>
              <w:rPr>
                <w:noProof/>
                <w:webHidden/>
              </w:rPr>
              <w:t>3</w:t>
            </w:r>
            <w:r>
              <w:rPr>
                <w:noProof/>
                <w:webHidden/>
              </w:rPr>
              <w:fldChar w:fldCharType="end"/>
            </w:r>
          </w:hyperlink>
        </w:p>
        <w:p w:rsidR="005B2CE4" w:rsidRDefault="005B2CE4">
          <w:pPr>
            <w:pStyle w:val="TOC1"/>
            <w:tabs>
              <w:tab w:val="right" w:leader="dot" w:pos="9016"/>
            </w:tabs>
            <w:rPr>
              <w:rFonts w:eastAsiaTheme="minorEastAsia" w:cstheme="minorBidi"/>
              <w:b w:val="0"/>
              <w:bCs w:val="0"/>
              <w:i w:val="0"/>
              <w:iCs w:val="0"/>
              <w:noProof/>
              <w:lang w:eastAsia="en-GB"/>
            </w:rPr>
          </w:pPr>
          <w:hyperlink w:anchor="_Toc198063090" w:history="1">
            <w:r w:rsidRPr="00E163B9">
              <w:rPr>
                <w:rStyle w:val="Hyperlink"/>
                <w:noProof/>
              </w:rPr>
              <w:t>Security Policies</w:t>
            </w:r>
            <w:r>
              <w:rPr>
                <w:noProof/>
                <w:webHidden/>
              </w:rPr>
              <w:tab/>
            </w:r>
            <w:r>
              <w:rPr>
                <w:noProof/>
                <w:webHidden/>
              </w:rPr>
              <w:fldChar w:fldCharType="begin"/>
            </w:r>
            <w:r>
              <w:rPr>
                <w:noProof/>
                <w:webHidden/>
              </w:rPr>
              <w:instrText xml:space="preserve"> PAGEREF _Toc198063090 \h </w:instrText>
            </w:r>
            <w:r>
              <w:rPr>
                <w:noProof/>
                <w:webHidden/>
              </w:rPr>
            </w:r>
            <w:r>
              <w:rPr>
                <w:noProof/>
                <w:webHidden/>
              </w:rPr>
              <w:fldChar w:fldCharType="separate"/>
            </w:r>
            <w:r>
              <w:rPr>
                <w:noProof/>
                <w:webHidden/>
              </w:rPr>
              <w:t>4</w:t>
            </w:r>
            <w:r>
              <w:rPr>
                <w:noProof/>
                <w:webHidden/>
              </w:rPr>
              <w:fldChar w:fldCharType="end"/>
            </w:r>
          </w:hyperlink>
        </w:p>
        <w:p w:rsidR="005B2CE4" w:rsidRDefault="005B2CE4">
          <w:pPr>
            <w:pStyle w:val="TOC1"/>
            <w:tabs>
              <w:tab w:val="right" w:leader="dot" w:pos="9016"/>
            </w:tabs>
            <w:rPr>
              <w:rFonts w:eastAsiaTheme="minorEastAsia" w:cstheme="minorBidi"/>
              <w:b w:val="0"/>
              <w:bCs w:val="0"/>
              <w:i w:val="0"/>
              <w:iCs w:val="0"/>
              <w:noProof/>
              <w:lang w:eastAsia="en-GB"/>
            </w:rPr>
          </w:pPr>
          <w:hyperlink w:anchor="_Toc198063091" w:history="1">
            <w:r w:rsidRPr="00E163B9">
              <w:rPr>
                <w:rStyle w:val="Hyperlink"/>
                <w:noProof/>
              </w:rPr>
              <w:t>Mitigation Measures</w:t>
            </w:r>
            <w:r>
              <w:rPr>
                <w:noProof/>
                <w:webHidden/>
              </w:rPr>
              <w:tab/>
            </w:r>
            <w:r>
              <w:rPr>
                <w:noProof/>
                <w:webHidden/>
              </w:rPr>
              <w:fldChar w:fldCharType="begin"/>
            </w:r>
            <w:r>
              <w:rPr>
                <w:noProof/>
                <w:webHidden/>
              </w:rPr>
              <w:instrText xml:space="preserve"> PAGEREF _Toc198063091 \h </w:instrText>
            </w:r>
            <w:r>
              <w:rPr>
                <w:noProof/>
                <w:webHidden/>
              </w:rPr>
            </w:r>
            <w:r>
              <w:rPr>
                <w:noProof/>
                <w:webHidden/>
              </w:rPr>
              <w:fldChar w:fldCharType="separate"/>
            </w:r>
            <w:r>
              <w:rPr>
                <w:noProof/>
                <w:webHidden/>
              </w:rPr>
              <w:t>4</w:t>
            </w:r>
            <w:r>
              <w:rPr>
                <w:noProof/>
                <w:webHidden/>
              </w:rPr>
              <w:fldChar w:fldCharType="end"/>
            </w:r>
          </w:hyperlink>
        </w:p>
        <w:p w:rsidR="005B2CE4" w:rsidRDefault="005B2CE4">
          <w:pPr>
            <w:pStyle w:val="TOC1"/>
            <w:tabs>
              <w:tab w:val="right" w:leader="dot" w:pos="9016"/>
            </w:tabs>
            <w:rPr>
              <w:rFonts w:eastAsiaTheme="minorEastAsia" w:cstheme="minorBidi"/>
              <w:b w:val="0"/>
              <w:bCs w:val="0"/>
              <w:i w:val="0"/>
              <w:iCs w:val="0"/>
              <w:noProof/>
              <w:lang w:eastAsia="en-GB"/>
            </w:rPr>
          </w:pPr>
          <w:hyperlink w:anchor="_Toc198063092" w:history="1">
            <w:r w:rsidRPr="00E163B9">
              <w:rPr>
                <w:rStyle w:val="Hyperlink"/>
                <w:noProof/>
              </w:rPr>
              <w:t>Monitoring and Response</w:t>
            </w:r>
            <w:r>
              <w:rPr>
                <w:noProof/>
                <w:webHidden/>
              </w:rPr>
              <w:tab/>
            </w:r>
            <w:r>
              <w:rPr>
                <w:noProof/>
                <w:webHidden/>
              </w:rPr>
              <w:fldChar w:fldCharType="begin"/>
            </w:r>
            <w:r>
              <w:rPr>
                <w:noProof/>
                <w:webHidden/>
              </w:rPr>
              <w:instrText xml:space="preserve"> PAGEREF _Toc198063092 \h </w:instrText>
            </w:r>
            <w:r>
              <w:rPr>
                <w:noProof/>
                <w:webHidden/>
              </w:rPr>
            </w:r>
            <w:r>
              <w:rPr>
                <w:noProof/>
                <w:webHidden/>
              </w:rPr>
              <w:fldChar w:fldCharType="separate"/>
            </w:r>
            <w:r>
              <w:rPr>
                <w:noProof/>
                <w:webHidden/>
              </w:rPr>
              <w:t>5</w:t>
            </w:r>
            <w:r>
              <w:rPr>
                <w:noProof/>
                <w:webHidden/>
              </w:rPr>
              <w:fldChar w:fldCharType="end"/>
            </w:r>
          </w:hyperlink>
        </w:p>
        <w:p w:rsidR="005B2CE4" w:rsidRDefault="005B2CE4">
          <w:pPr>
            <w:pStyle w:val="TOC1"/>
            <w:tabs>
              <w:tab w:val="right" w:leader="dot" w:pos="9016"/>
            </w:tabs>
            <w:rPr>
              <w:rFonts w:eastAsiaTheme="minorEastAsia" w:cstheme="minorBidi"/>
              <w:b w:val="0"/>
              <w:bCs w:val="0"/>
              <w:i w:val="0"/>
              <w:iCs w:val="0"/>
              <w:noProof/>
              <w:lang w:eastAsia="en-GB"/>
            </w:rPr>
          </w:pPr>
          <w:hyperlink w:anchor="_Toc198063093" w:history="1">
            <w:r w:rsidRPr="00E163B9">
              <w:rPr>
                <w:rStyle w:val="Hyperlink"/>
                <w:noProof/>
              </w:rPr>
              <w:t>Training and Awareness</w:t>
            </w:r>
            <w:r>
              <w:rPr>
                <w:noProof/>
                <w:webHidden/>
              </w:rPr>
              <w:tab/>
            </w:r>
            <w:r>
              <w:rPr>
                <w:noProof/>
                <w:webHidden/>
              </w:rPr>
              <w:fldChar w:fldCharType="begin"/>
            </w:r>
            <w:r>
              <w:rPr>
                <w:noProof/>
                <w:webHidden/>
              </w:rPr>
              <w:instrText xml:space="preserve"> PAGEREF _Toc198063093 \h </w:instrText>
            </w:r>
            <w:r>
              <w:rPr>
                <w:noProof/>
                <w:webHidden/>
              </w:rPr>
            </w:r>
            <w:r>
              <w:rPr>
                <w:noProof/>
                <w:webHidden/>
              </w:rPr>
              <w:fldChar w:fldCharType="separate"/>
            </w:r>
            <w:r>
              <w:rPr>
                <w:noProof/>
                <w:webHidden/>
              </w:rPr>
              <w:t>6</w:t>
            </w:r>
            <w:r>
              <w:rPr>
                <w:noProof/>
                <w:webHidden/>
              </w:rPr>
              <w:fldChar w:fldCharType="end"/>
            </w:r>
          </w:hyperlink>
        </w:p>
        <w:p w:rsidR="005B2CE4" w:rsidRDefault="005B2CE4">
          <w:pPr>
            <w:pStyle w:val="TOC1"/>
            <w:tabs>
              <w:tab w:val="right" w:leader="dot" w:pos="9016"/>
            </w:tabs>
            <w:rPr>
              <w:rFonts w:eastAsiaTheme="minorEastAsia" w:cstheme="minorBidi"/>
              <w:b w:val="0"/>
              <w:bCs w:val="0"/>
              <w:i w:val="0"/>
              <w:iCs w:val="0"/>
              <w:noProof/>
              <w:lang w:eastAsia="en-GB"/>
            </w:rPr>
          </w:pPr>
          <w:hyperlink w:anchor="_Toc198063094" w:history="1">
            <w:r w:rsidRPr="00E163B9">
              <w:rPr>
                <w:rStyle w:val="Hyperlink"/>
                <w:noProof/>
              </w:rPr>
              <w:t>Conclusion</w:t>
            </w:r>
            <w:r>
              <w:rPr>
                <w:noProof/>
                <w:webHidden/>
              </w:rPr>
              <w:tab/>
            </w:r>
            <w:r>
              <w:rPr>
                <w:noProof/>
                <w:webHidden/>
              </w:rPr>
              <w:fldChar w:fldCharType="begin"/>
            </w:r>
            <w:r>
              <w:rPr>
                <w:noProof/>
                <w:webHidden/>
              </w:rPr>
              <w:instrText xml:space="preserve"> PAGEREF _Toc198063094 \h </w:instrText>
            </w:r>
            <w:r>
              <w:rPr>
                <w:noProof/>
                <w:webHidden/>
              </w:rPr>
            </w:r>
            <w:r>
              <w:rPr>
                <w:noProof/>
                <w:webHidden/>
              </w:rPr>
              <w:fldChar w:fldCharType="separate"/>
            </w:r>
            <w:r>
              <w:rPr>
                <w:noProof/>
                <w:webHidden/>
              </w:rPr>
              <w:t>7</w:t>
            </w:r>
            <w:r>
              <w:rPr>
                <w:noProof/>
                <w:webHidden/>
              </w:rPr>
              <w:fldChar w:fldCharType="end"/>
            </w:r>
          </w:hyperlink>
        </w:p>
        <w:p w:rsidR="005B2CE4" w:rsidRDefault="005B2CE4">
          <w:pPr>
            <w:pStyle w:val="TOC1"/>
            <w:tabs>
              <w:tab w:val="right" w:leader="dot" w:pos="9016"/>
            </w:tabs>
            <w:rPr>
              <w:rFonts w:eastAsiaTheme="minorEastAsia" w:cstheme="minorBidi"/>
              <w:b w:val="0"/>
              <w:bCs w:val="0"/>
              <w:i w:val="0"/>
              <w:iCs w:val="0"/>
              <w:noProof/>
              <w:lang w:eastAsia="en-GB"/>
            </w:rPr>
          </w:pPr>
          <w:hyperlink w:anchor="_Toc198063095" w:history="1">
            <w:r w:rsidRPr="00E163B9">
              <w:rPr>
                <w:rStyle w:val="Hyperlink"/>
                <w:noProof/>
              </w:rPr>
              <w:t>Bibliography</w:t>
            </w:r>
            <w:r>
              <w:rPr>
                <w:noProof/>
                <w:webHidden/>
              </w:rPr>
              <w:tab/>
            </w:r>
            <w:r>
              <w:rPr>
                <w:noProof/>
                <w:webHidden/>
              </w:rPr>
              <w:fldChar w:fldCharType="begin"/>
            </w:r>
            <w:r>
              <w:rPr>
                <w:noProof/>
                <w:webHidden/>
              </w:rPr>
              <w:instrText xml:space="preserve"> PAGEREF _Toc198063095 \h </w:instrText>
            </w:r>
            <w:r>
              <w:rPr>
                <w:noProof/>
                <w:webHidden/>
              </w:rPr>
            </w:r>
            <w:r>
              <w:rPr>
                <w:noProof/>
                <w:webHidden/>
              </w:rPr>
              <w:fldChar w:fldCharType="separate"/>
            </w:r>
            <w:r>
              <w:rPr>
                <w:noProof/>
                <w:webHidden/>
              </w:rPr>
              <w:t>8</w:t>
            </w:r>
            <w:r>
              <w:rPr>
                <w:noProof/>
                <w:webHidden/>
              </w:rPr>
              <w:fldChar w:fldCharType="end"/>
            </w:r>
          </w:hyperlink>
        </w:p>
        <w:p w:rsidR="005B2CE4" w:rsidRDefault="005B2CE4">
          <w:pPr>
            <w:pStyle w:val="TOC1"/>
            <w:tabs>
              <w:tab w:val="right" w:leader="dot" w:pos="9016"/>
            </w:tabs>
            <w:rPr>
              <w:rFonts w:eastAsiaTheme="minorEastAsia" w:cstheme="minorBidi"/>
              <w:b w:val="0"/>
              <w:bCs w:val="0"/>
              <w:i w:val="0"/>
              <w:iCs w:val="0"/>
              <w:noProof/>
              <w:lang w:eastAsia="en-GB"/>
            </w:rPr>
          </w:pPr>
          <w:hyperlink w:anchor="_Toc198063096" w:history="1">
            <w:r w:rsidRPr="00E163B9">
              <w:rPr>
                <w:rStyle w:val="Hyperlink"/>
                <w:noProof/>
              </w:rPr>
              <w:t>Appendix</w:t>
            </w:r>
            <w:r>
              <w:rPr>
                <w:noProof/>
                <w:webHidden/>
              </w:rPr>
              <w:tab/>
            </w:r>
            <w:r>
              <w:rPr>
                <w:noProof/>
                <w:webHidden/>
              </w:rPr>
              <w:fldChar w:fldCharType="begin"/>
            </w:r>
            <w:r>
              <w:rPr>
                <w:noProof/>
                <w:webHidden/>
              </w:rPr>
              <w:instrText xml:space="preserve"> PAGEREF _Toc198063096 \h </w:instrText>
            </w:r>
            <w:r>
              <w:rPr>
                <w:noProof/>
                <w:webHidden/>
              </w:rPr>
            </w:r>
            <w:r>
              <w:rPr>
                <w:noProof/>
                <w:webHidden/>
              </w:rPr>
              <w:fldChar w:fldCharType="separate"/>
            </w:r>
            <w:r>
              <w:rPr>
                <w:noProof/>
                <w:webHidden/>
              </w:rPr>
              <w:t>8</w:t>
            </w:r>
            <w:r>
              <w:rPr>
                <w:noProof/>
                <w:webHidden/>
              </w:rPr>
              <w:fldChar w:fldCharType="end"/>
            </w:r>
          </w:hyperlink>
        </w:p>
        <w:p w:rsidR="00CE2061" w:rsidRDefault="00412CE6" w:rsidP="00412CE6">
          <w:pPr>
            <w:rPr>
              <w:b/>
              <w:bCs/>
              <w:noProof/>
            </w:rPr>
          </w:pPr>
          <w:r>
            <w:rPr>
              <w:b/>
              <w:bCs/>
              <w:noProof/>
            </w:rPr>
            <w:fldChar w:fldCharType="end"/>
          </w:r>
        </w:p>
      </w:sdtContent>
    </w:sdt>
    <w:p w:rsidR="00E1202D" w:rsidRDefault="00E1202D" w:rsidP="00FF394F">
      <w:pPr>
        <w:pStyle w:val="Heading1"/>
      </w:pPr>
    </w:p>
    <w:p w:rsidR="00E1202D" w:rsidRDefault="00E1202D" w:rsidP="00FF394F">
      <w:pPr>
        <w:pStyle w:val="Heading1"/>
      </w:pPr>
    </w:p>
    <w:p w:rsidR="00E1202D" w:rsidRDefault="00E1202D" w:rsidP="00FF394F">
      <w:pPr>
        <w:pStyle w:val="Heading1"/>
      </w:pPr>
    </w:p>
    <w:p w:rsidR="00E1202D" w:rsidRDefault="00E1202D" w:rsidP="00FF394F">
      <w:pPr>
        <w:pStyle w:val="Heading1"/>
      </w:pPr>
    </w:p>
    <w:p w:rsidR="00E1202D" w:rsidRDefault="00E1202D" w:rsidP="00FF394F">
      <w:pPr>
        <w:pStyle w:val="Heading1"/>
      </w:pPr>
    </w:p>
    <w:p w:rsidR="00FF394F" w:rsidRPr="00412CE6" w:rsidRDefault="00E1202D" w:rsidP="00FF394F">
      <w:pPr>
        <w:pStyle w:val="Heading1"/>
      </w:pPr>
      <w:bookmarkStart w:id="0" w:name="_Toc198063088"/>
      <w:r>
        <w:t>I</w:t>
      </w:r>
      <w:r w:rsidR="00FF394F" w:rsidRPr="00412CE6">
        <w:t>ntroduction</w:t>
      </w:r>
      <w:bookmarkEnd w:id="0"/>
    </w:p>
    <w:p w:rsidR="00412CE6" w:rsidRDefault="00412CE6" w:rsidP="00412CE6">
      <w:pPr>
        <w:rPr>
          <w:rFonts w:cstheme="minorHAnsi"/>
          <w:sz w:val="22"/>
          <w:szCs w:val="22"/>
        </w:rPr>
      </w:pPr>
      <w:r w:rsidRPr="00412CE6">
        <w:rPr>
          <w:rFonts w:cstheme="minorHAnsi"/>
          <w:sz w:val="22"/>
          <w:szCs w:val="22"/>
        </w:rPr>
        <w:t>In today’s</w:t>
      </w:r>
      <w:r w:rsidR="0002673F">
        <w:rPr>
          <w:rFonts w:cstheme="minorHAnsi"/>
          <w:sz w:val="22"/>
          <w:szCs w:val="22"/>
        </w:rPr>
        <w:t xml:space="preserve"> Digital</w:t>
      </w:r>
      <w:r w:rsidRPr="00412CE6">
        <w:rPr>
          <w:rFonts w:cstheme="minorHAnsi"/>
          <w:sz w:val="22"/>
          <w:szCs w:val="22"/>
        </w:rPr>
        <w:t xml:space="preserve"> landscape,</w:t>
      </w:r>
      <w:r w:rsidR="00610989">
        <w:rPr>
          <w:rFonts w:cstheme="minorHAnsi"/>
          <w:sz w:val="22"/>
          <w:szCs w:val="22"/>
        </w:rPr>
        <w:t xml:space="preserve"> </w:t>
      </w:r>
      <w:proofErr w:type="spellStart"/>
      <w:r w:rsidR="00610989" w:rsidRPr="00610989">
        <w:rPr>
          <w:rFonts w:eastAsia="Times New Roman" w:cstheme="minorHAnsi"/>
          <w:b/>
          <w:bCs/>
          <w:kern w:val="0"/>
          <w:sz w:val="22"/>
          <w:szCs w:val="22"/>
          <w:lang w:eastAsia="en-GB"/>
          <w14:ligatures w14:val="none"/>
        </w:rPr>
        <w:t>FinSecure</w:t>
      </w:r>
      <w:proofErr w:type="spellEnd"/>
      <w:r w:rsidR="00610989" w:rsidRPr="00610989">
        <w:rPr>
          <w:rFonts w:eastAsia="Times New Roman" w:cstheme="minorHAnsi"/>
          <w:b/>
          <w:bCs/>
          <w:kern w:val="0"/>
          <w:sz w:val="22"/>
          <w:szCs w:val="22"/>
          <w:lang w:eastAsia="en-GB"/>
          <w14:ligatures w14:val="none"/>
        </w:rPr>
        <w:t xml:space="preserve"> </w:t>
      </w:r>
      <w:r w:rsidR="00610989" w:rsidRPr="00610989">
        <w:rPr>
          <w:rFonts w:eastAsia="Times New Roman" w:cstheme="minorHAnsi"/>
          <w:b/>
          <w:bCs/>
          <w:kern w:val="0"/>
          <w:sz w:val="22"/>
          <w:szCs w:val="22"/>
          <w:lang w:eastAsia="en-GB"/>
          <w14:ligatures w14:val="none"/>
        </w:rPr>
        <w:t>Ltd</w:t>
      </w:r>
      <w:r w:rsidRPr="00412CE6">
        <w:rPr>
          <w:rFonts w:cstheme="minorHAnsi"/>
          <w:sz w:val="22"/>
          <w:szCs w:val="22"/>
        </w:rPr>
        <w:t xml:space="preserve"> face escalating threats to their cybersecurity infrastructure. As a medium-sized</w:t>
      </w:r>
      <w:r w:rsidR="00610989">
        <w:rPr>
          <w:rFonts w:cstheme="minorHAnsi"/>
          <w:sz w:val="22"/>
          <w:szCs w:val="22"/>
        </w:rPr>
        <w:t xml:space="preserve"> </w:t>
      </w:r>
      <w:r w:rsidRPr="00412CE6">
        <w:rPr>
          <w:rFonts w:cstheme="minorHAnsi"/>
          <w:sz w:val="22"/>
          <w:szCs w:val="22"/>
        </w:rPr>
        <w:t>operating in the financial sector, the organization has recently encountered a surge in security incidents, including sophisticated phishing attacks and unauthorized access attempts on its network. These vulnerabilities not only jeopardize the confidentiality, integrity, and availability of critical financial data but also pose significant risks to regulatory compliance, customer trust, and operational continuity. In response, leadership has mandated the development of a comprehensive security policy to proactively address both internal and external threats.</w:t>
      </w:r>
    </w:p>
    <w:p w:rsidR="004879D5" w:rsidRDefault="004879D5" w:rsidP="00412CE6">
      <w:pPr>
        <w:rPr>
          <w:rFonts w:cstheme="minorHAnsi"/>
        </w:rPr>
      </w:pPr>
    </w:p>
    <w:p w:rsidR="004879D5" w:rsidRDefault="004879D5" w:rsidP="00412CE6">
      <w:pPr>
        <w:rPr>
          <w:rFonts w:cstheme="minorHAnsi"/>
          <w:color w:val="0B0C0C"/>
          <w:shd w:val="clear" w:color="auto" w:fill="FFFFFF"/>
        </w:rPr>
      </w:pPr>
      <w:r w:rsidRPr="004879D5">
        <w:rPr>
          <w:rFonts w:cstheme="minorHAnsi"/>
        </w:rPr>
        <w:t>“</w:t>
      </w:r>
      <w:r w:rsidRPr="004879D5">
        <w:rPr>
          <w:rFonts w:cstheme="minorHAnsi"/>
          <w:color w:val="0B0C0C"/>
          <w:shd w:val="clear" w:color="auto" w:fill="FFFFFF"/>
        </w:rPr>
        <w:t>Half of businesses (50%) and around a third of charities (32%) report having experienced some form of cyber security breach or attack in the last 12 months</w:t>
      </w:r>
      <w:r w:rsidRPr="004879D5">
        <w:rPr>
          <w:rFonts w:cstheme="minorHAnsi"/>
          <w:color w:val="0B0C0C"/>
          <w:shd w:val="clear" w:color="auto" w:fill="FFFFFF"/>
        </w:rPr>
        <w:t>”</w:t>
      </w:r>
      <w:sdt>
        <w:sdtPr>
          <w:rPr>
            <w:rFonts w:cstheme="minorHAnsi"/>
            <w:color w:val="0B0C0C"/>
            <w:shd w:val="clear" w:color="auto" w:fill="FFFFFF"/>
          </w:rPr>
          <w:id w:val="2056113896"/>
          <w:citation/>
        </w:sdtPr>
        <w:sdtContent>
          <w:r>
            <w:rPr>
              <w:rFonts w:cstheme="minorHAnsi"/>
              <w:color w:val="0B0C0C"/>
              <w:shd w:val="clear" w:color="auto" w:fill="FFFFFF"/>
            </w:rPr>
            <w:fldChar w:fldCharType="begin"/>
          </w:r>
          <w:r>
            <w:rPr>
              <w:rFonts w:cstheme="minorHAnsi"/>
              <w:color w:val="0B0C0C"/>
              <w:shd w:val="clear" w:color="auto" w:fill="FFFFFF"/>
            </w:rPr>
            <w:instrText xml:space="preserve"> CITATION www24 \l 2057 </w:instrText>
          </w:r>
          <w:r>
            <w:rPr>
              <w:rFonts w:cstheme="minorHAnsi"/>
              <w:color w:val="0B0C0C"/>
              <w:shd w:val="clear" w:color="auto" w:fill="FFFFFF"/>
            </w:rPr>
            <w:fldChar w:fldCharType="separate"/>
          </w:r>
          <w:r>
            <w:rPr>
              <w:rFonts w:cstheme="minorHAnsi"/>
              <w:noProof/>
              <w:color w:val="0B0C0C"/>
              <w:shd w:val="clear" w:color="auto" w:fill="FFFFFF"/>
            </w:rPr>
            <w:t xml:space="preserve"> </w:t>
          </w:r>
          <w:r w:rsidRPr="004879D5">
            <w:rPr>
              <w:rFonts w:cstheme="minorHAnsi"/>
              <w:noProof/>
              <w:color w:val="0B0C0C"/>
              <w:shd w:val="clear" w:color="auto" w:fill="FFFFFF"/>
            </w:rPr>
            <w:t>[1]</w:t>
          </w:r>
          <w:r>
            <w:rPr>
              <w:rFonts w:cstheme="minorHAnsi"/>
              <w:color w:val="0B0C0C"/>
              <w:shd w:val="clear" w:color="auto" w:fill="FFFFFF"/>
            </w:rPr>
            <w:fldChar w:fldCharType="end"/>
          </w:r>
        </w:sdtContent>
      </w:sdt>
    </w:p>
    <w:p w:rsidR="004879D5" w:rsidRPr="004879D5" w:rsidRDefault="004879D5" w:rsidP="00412CE6">
      <w:pPr>
        <w:rPr>
          <w:rFonts w:cstheme="minorHAnsi"/>
        </w:rPr>
      </w:pPr>
    </w:p>
    <w:p w:rsidR="00412CE6" w:rsidRPr="00412CE6" w:rsidRDefault="00412CE6" w:rsidP="00412CE6">
      <w:pPr>
        <w:rPr>
          <w:rFonts w:cstheme="minorHAnsi"/>
          <w:sz w:val="22"/>
          <w:szCs w:val="22"/>
        </w:rPr>
      </w:pPr>
      <w:r w:rsidRPr="00412CE6">
        <w:rPr>
          <w:rFonts w:cstheme="minorHAnsi"/>
          <w:sz w:val="22"/>
          <w:szCs w:val="22"/>
        </w:rPr>
        <w:t xml:space="preserve">This report presents a structured approach to mitigating these risks by first identifying potential threats, both internal and </w:t>
      </w:r>
      <w:r w:rsidR="0002673F" w:rsidRPr="00412CE6">
        <w:rPr>
          <w:rFonts w:cstheme="minorHAnsi"/>
          <w:sz w:val="22"/>
          <w:szCs w:val="22"/>
        </w:rPr>
        <w:t>external</w:t>
      </w:r>
      <w:r w:rsidR="0002673F">
        <w:rPr>
          <w:rFonts w:cstheme="minorHAnsi"/>
          <w:sz w:val="22"/>
          <w:szCs w:val="22"/>
        </w:rPr>
        <w:t>,</w:t>
      </w:r>
      <w:r w:rsidR="0002673F" w:rsidRPr="00412CE6">
        <w:rPr>
          <w:rFonts w:cstheme="minorHAnsi"/>
          <w:sz w:val="22"/>
          <w:szCs w:val="22"/>
        </w:rPr>
        <w:t xml:space="preserve"> </w:t>
      </w:r>
      <w:r w:rsidR="00427D29" w:rsidRPr="00412CE6">
        <w:rPr>
          <w:rFonts w:cstheme="minorHAnsi"/>
          <w:sz w:val="22"/>
          <w:szCs w:val="22"/>
        </w:rPr>
        <w:t>it</w:t>
      </w:r>
      <w:r w:rsidRPr="00412CE6">
        <w:rPr>
          <w:rFonts w:cstheme="minorHAnsi"/>
          <w:sz w:val="22"/>
          <w:szCs w:val="22"/>
        </w:rPr>
        <w:t xml:space="preserve"> then outlines security policies with industry best practices, such as access control, data protection, and network segmentation, to create a robust </w:t>
      </w:r>
      <w:r w:rsidR="004879D5">
        <w:rPr>
          <w:rFonts w:cstheme="minorHAnsi"/>
          <w:sz w:val="22"/>
          <w:szCs w:val="22"/>
        </w:rPr>
        <w:t>protocol</w:t>
      </w:r>
      <w:r w:rsidRPr="00412CE6">
        <w:rPr>
          <w:rFonts w:cstheme="minorHAnsi"/>
          <w:sz w:val="22"/>
          <w:szCs w:val="22"/>
        </w:rPr>
        <w:t xml:space="preserve">. Specific mitigation measures are proposed to counter identified threats, supported by technical and procedural </w:t>
      </w:r>
      <w:r w:rsidR="0002673F">
        <w:rPr>
          <w:rFonts w:cstheme="minorHAnsi"/>
          <w:sz w:val="22"/>
          <w:szCs w:val="22"/>
        </w:rPr>
        <w:t>implementation</w:t>
      </w:r>
      <w:r w:rsidR="00C93C96">
        <w:rPr>
          <w:rFonts w:cstheme="minorHAnsi"/>
          <w:sz w:val="22"/>
          <w:szCs w:val="22"/>
        </w:rPr>
        <w:t>, following</w:t>
      </w:r>
      <w:r w:rsidRPr="00412CE6">
        <w:rPr>
          <w:rFonts w:cstheme="minorHAnsi"/>
          <w:sz w:val="22"/>
          <w:szCs w:val="22"/>
        </w:rPr>
        <w:t xml:space="preserve"> report details </w:t>
      </w:r>
      <w:r w:rsidR="0002673F">
        <w:rPr>
          <w:rFonts w:cstheme="minorHAnsi"/>
          <w:sz w:val="22"/>
          <w:szCs w:val="22"/>
        </w:rPr>
        <w:t>on</w:t>
      </w:r>
      <w:r w:rsidRPr="00412CE6">
        <w:rPr>
          <w:rFonts w:cstheme="minorHAnsi"/>
          <w:sz w:val="22"/>
          <w:szCs w:val="22"/>
        </w:rPr>
        <w:t xml:space="preserve"> monitoring and incident response plan, emphasizing real-time threat detection and resolution. Finally, a staff training and awareness program is designed to foster </w:t>
      </w:r>
      <w:r w:rsidR="0002673F">
        <w:rPr>
          <w:rFonts w:cstheme="minorHAnsi"/>
          <w:sz w:val="22"/>
          <w:szCs w:val="22"/>
        </w:rPr>
        <w:t xml:space="preserve">good </w:t>
      </w:r>
      <w:r w:rsidR="00427D29">
        <w:rPr>
          <w:rFonts w:cstheme="minorHAnsi"/>
          <w:sz w:val="22"/>
          <w:szCs w:val="22"/>
        </w:rPr>
        <w:t>security practice,</w:t>
      </w:r>
    </w:p>
    <w:p w:rsidR="009C43D3" w:rsidRDefault="00412CE6" w:rsidP="00412CE6">
      <w:pPr>
        <w:rPr>
          <w:rFonts w:cstheme="minorHAnsi"/>
          <w:sz w:val="22"/>
          <w:szCs w:val="22"/>
        </w:rPr>
      </w:pPr>
      <w:r w:rsidRPr="00412CE6">
        <w:rPr>
          <w:rFonts w:cstheme="minorHAnsi"/>
          <w:sz w:val="22"/>
          <w:szCs w:val="22"/>
        </w:rPr>
        <w:t xml:space="preserve">By addressing critical areas, this report aims to provide the organization with actionable roadmap to strengthen its cybersecurity </w:t>
      </w:r>
      <w:r w:rsidR="00427D29">
        <w:rPr>
          <w:rFonts w:cstheme="minorHAnsi"/>
          <w:sz w:val="22"/>
          <w:szCs w:val="22"/>
        </w:rPr>
        <w:t>protocol</w:t>
      </w:r>
      <w:r w:rsidRPr="00412CE6">
        <w:rPr>
          <w:rFonts w:cstheme="minorHAnsi"/>
          <w:sz w:val="22"/>
          <w:szCs w:val="22"/>
        </w:rPr>
        <w:t xml:space="preserve">, ensuring </w:t>
      </w:r>
      <w:r w:rsidR="000E48FA">
        <w:rPr>
          <w:rFonts w:cstheme="minorHAnsi"/>
          <w:sz w:val="22"/>
          <w:szCs w:val="22"/>
        </w:rPr>
        <w:t>readiness</w:t>
      </w:r>
      <w:r w:rsidRPr="00412CE6">
        <w:rPr>
          <w:rFonts w:cstheme="minorHAnsi"/>
          <w:sz w:val="22"/>
          <w:szCs w:val="22"/>
        </w:rPr>
        <w:t xml:space="preserve"> against evolving threats while maintaining compliance with regulatory standards</w:t>
      </w:r>
      <w:r w:rsidR="004879D5">
        <w:rPr>
          <w:rFonts w:cstheme="minorHAnsi"/>
          <w:sz w:val="22"/>
          <w:szCs w:val="22"/>
        </w:rPr>
        <w:t xml:space="preserve">, </w:t>
      </w:r>
      <w:r w:rsidRPr="00412CE6">
        <w:rPr>
          <w:rFonts w:cstheme="minorHAnsi"/>
          <w:sz w:val="22"/>
          <w:szCs w:val="22"/>
        </w:rPr>
        <w:t xml:space="preserve">ensuring best practices. Through this </w:t>
      </w:r>
      <w:r w:rsidR="00C93C96">
        <w:rPr>
          <w:rFonts w:cstheme="minorHAnsi"/>
          <w:sz w:val="22"/>
          <w:szCs w:val="22"/>
        </w:rPr>
        <w:t>step-by-step protocol</w:t>
      </w:r>
      <w:r w:rsidRPr="00412CE6">
        <w:rPr>
          <w:rFonts w:cstheme="minorHAnsi"/>
          <w:sz w:val="22"/>
          <w:szCs w:val="22"/>
        </w:rPr>
        <w:t xml:space="preserve">, the organization can safeguard its digital assets, protect </w:t>
      </w:r>
      <w:r w:rsidR="00C93C96">
        <w:rPr>
          <w:rFonts w:cstheme="minorHAnsi"/>
          <w:sz w:val="22"/>
          <w:szCs w:val="22"/>
        </w:rPr>
        <w:t xml:space="preserve">companies and </w:t>
      </w:r>
      <w:r w:rsidR="00610989">
        <w:rPr>
          <w:rFonts w:cstheme="minorHAnsi"/>
          <w:sz w:val="22"/>
          <w:szCs w:val="22"/>
        </w:rPr>
        <w:t>users’</w:t>
      </w:r>
      <w:r w:rsidRPr="00412CE6">
        <w:rPr>
          <w:rFonts w:cstheme="minorHAnsi"/>
          <w:sz w:val="22"/>
          <w:szCs w:val="22"/>
        </w:rPr>
        <w:t xml:space="preserve"> interests,</w:t>
      </w:r>
      <w:r w:rsidR="00C93C96">
        <w:rPr>
          <w:rFonts w:cstheme="minorHAnsi"/>
          <w:sz w:val="22"/>
          <w:szCs w:val="22"/>
        </w:rPr>
        <w:t xml:space="preserve"> maintaining</w:t>
      </w:r>
      <w:r w:rsidRPr="00412CE6">
        <w:rPr>
          <w:rFonts w:cstheme="minorHAnsi"/>
          <w:sz w:val="22"/>
          <w:szCs w:val="22"/>
        </w:rPr>
        <w:t xml:space="preserve"> its reputation as a secure and reliable financial services provider.</w:t>
      </w:r>
    </w:p>
    <w:p w:rsidR="00610989" w:rsidRDefault="00610989" w:rsidP="00562749">
      <w:pPr>
        <w:pStyle w:val="Heading1"/>
        <w:rPr>
          <w:rFonts w:eastAsia="Times New Roman"/>
          <w:lang w:eastAsia="en-GB"/>
        </w:rPr>
      </w:pPr>
    </w:p>
    <w:p w:rsidR="00562749" w:rsidRDefault="00FF394F" w:rsidP="00562749">
      <w:pPr>
        <w:pStyle w:val="Heading1"/>
        <w:rPr>
          <w:rFonts w:eastAsia="Times New Roman"/>
          <w:lang w:eastAsia="en-GB"/>
        </w:rPr>
      </w:pPr>
      <w:bookmarkStart w:id="1" w:name="_Toc198063089"/>
      <w:r w:rsidRPr="00FF394F">
        <w:rPr>
          <w:rFonts w:eastAsia="Times New Roman"/>
          <w:lang w:eastAsia="en-GB"/>
        </w:rPr>
        <w:t>Identification of Threats</w:t>
      </w:r>
      <w:bookmarkEnd w:id="1"/>
    </w:p>
    <w:p w:rsidR="00A366F0" w:rsidRPr="00D36F4A" w:rsidRDefault="00562749" w:rsidP="00562749">
      <w:pPr>
        <w:rPr>
          <w:b/>
          <w:bCs/>
          <w:sz w:val="22"/>
          <w:szCs w:val="22"/>
          <w:lang w:eastAsia="en-GB"/>
        </w:rPr>
      </w:pPr>
      <w:r w:rsidRPr="00D36F4A">
        <w:rPr>
          <w:b/>
          <w:bCs/>
          <w:sz w:val="22"/>
          <w:szCs w:val="22"/>
          <w:lang w:eastAsia="en-GB"/>
        </w:rPr>
        <w:t>Internal threats</w:t>
      </w:r>
    </w:p>
    <w:p w:rsidR="00562749" w:rsidRPr="00562749" w:rsidRDefault="00610989" w:rsidP="00562749">
      <w:pPr>
        <w:rPr>
          <w:sz w:val="22"/>
          <w:szCs w:val="22"/>
          <w:lang w:eastAsia="en-GB"/>
        </w:rPr>
      </w:pPr>
      <w:r>
        <w:rPr>
          <w:sz w:val="22"/>
          <w:szCs w:val="22"/>
          <w:lang w:eastAsia="en-GB"/>
        </w:rPr>
        <w:t xml:space="preserve">Potentially </w:t>
      </w:r>
      <w:r w:rsidR="00562749" w:rsidRPr="00562749">
        <w:rPr>
          <w:sz w:val="22"/>
          <w:szCs w:val="22"/>
          <w:lang w:eastAsia="en-GB"/>
        </w:rPr>
        <w:t xml:space="preserve">within the organization and often </w:t>
      </w:r>
      <w:r>
        <w:rPr>
          <w:sz w:val="22"/>
          <w:szCs w:val="22"/>
          <w:lang w:eastAsia="en-GB"/>
        </w:rPr>
        <w:t>introduced</w:t>
      </w:r>
      <w:r w:rsidR="00562749" w:rsidRPr="00562749">
        <w:rPr>
          <w:sz w:val="22"/>
          <w:szCs w:val="22"/>
          <w:lang w:eastAsia="en-GB"/>
        </w:rPr>
        <w:t xml:space="preserve"> from human error, negligence, or </w:t>
      </w:r>
      <w:r>
        <w:rPr>
          <w:sz w:val="22"/>
          <w:szCs w:val="22"/>
          <w:lang w:eastAsia="en-GB"/>
        </w:rPr>
        <w:t>intended,</w:t>
      </w:r>
      <w:r w:rsidR="00562749" w:rsidRPr="00562749">
        <w:rPr>
          <w:sz w:val="22"/>
          <w:szCs w:val="22"/>
          <w:lang w:eastAsia="en-GB"/>
        </w:rPr>
        <w:t xml:space="preserve"> Key internal threats </w:t>
      </w:r>
      <w:r w:rsidRPr="00562749">
        <w:rPr>
          <w:sz w:val="22"/>
          <w:szCs w:val="22"/>
          <w:lang w:eastAsia="en-GB"/>
        </w:rPr>
        <w:t>include</w:t>
      </w:r>
      <w:r>
        <w:rPr>
          <w:sz w:val="22"/>
          <w:szCs w:val="22"/>
          <w:lang w:eastAsia="en-GB"/>
        </w:rPr>
        <w:t>,</w:t>
      </w:r>
      <w:r w:rsidRPr="00562749">
        <w:rPr>
          <w:sz w:val="22"/>
          <w:szCs w:val="22"/>
          <w:lang w:eastAsia="en-GB"/>
        </w:rPr>
        <w:t xml:space="preserve"> Insider</w:t>
      </w:r>
      <w:r w:rsidR="00562749" w:rsidRPr="00562749">
        <w:rPr>
          <w:sz w:val="22"/>
          <w:szCs w:val="22"/>
          <w:lang w:eastAsia="en-GB"/>
        </w:rPr>
        <w:t xml:space="preserve"> Threats</w:t>
      </w:r>
      <w:r>
        <w:rPr>
          <w:sz w:val="22"/>
          <w:szCs w:val="22"/>
          <w:lang w:eastAsia="en-GB"/>
        </w:rPr>
        <w:t>,</w:t>
      </w:r>
      <w:r w:rsidR="00562749" w:rsidRPr="00562749">
        <w:rPr>
          <w:sz w:val="22"/>
          <w:szCs w:val="22"/>
          <w:lang w:eastAsia="en-GB"/>
        </w:rPr>
        <w:t xml:space="preserve"> Employees or contractors with access to sensitive data who may intentionally or unintentionally compromise security</w:t>
      </w:r>
      <w:r>
        <w:rPr>
          <w:sz w:val="22"/>
          <w:szCs w:val="22"/>
          <w:lang w:eastAsia="en-GB"/>
        </w:rPr>
        <w:t>,</w:t>
      </w:r>
    </w:p>
    <w:p w:rsidR="00A366F0" w:rsidRDefault="00562749" w:rsidP="00562749">
      <w:pPr>
        <w:rPr>
          <w:sz w:val="22"/>
          <w:szCs w:val="22"/>
          <w:lang w:eastAsia="en-GB"/>
        </w:rPr>
      </w:pPr>
      <w:r w:rsidRPr="00562749">
        <w:rPr>
          <w:sz w:val="22"/>
          <w:szCs w:val="22"/>
          <w:lang w:eastAsia="en-GB"/>
        </w:rPr>
        <w:t>Human Error</w:t>
      </w:r>
      <w:r w:rsidR="00786002">
        <w:rPr>
          <w:sz w:val="22"/>
          <w:szCs w:val="22"/>
          <w:lang w:eastAsia="en-GB"/>
        </w:rPr>
        <w:t xml:space="preserve">, </w:t>
      </w:r>
      <w:r w:rsidRPr="00562749">
        <w:rPr>
          <w:sz w:val="22"/>
          <w:szCs w:val="22"/>
          <w:lang w:eastAsia="en-GB"/>
        </w:rPr>
        <w:t xml:space="preserve">Mistakes such as misconfiguring systems, falling for phishing scams, or mishandling sensitive </w:t>
      </w:r>
      <w:r w:rsidR="00A366F0" w:rsidRPr="00562749">
        <w:rPr>
          <w:sz w:val="22"/>
          <w:szCs w:val="22"/>
          <w:lang w:eastAsia="en-GB"/>
        </w:rPr>
        <w:t>data. Third</w:t>
      </w:r>
      <w:r w:rsidRPr="00562749">
        <w:rPr>
          <w:sz w:val="22"/>
          <w:szCs w:val="22"/>
          <w:lang w:eastAsia="en-GB"/>
        </w:rPr>
        <w:t>-Party Risks</w:t>
      </w:r>
      <w:r w:rsidR="00786002">
        <w:rPr>
          <w:sz w:val="22"/>
          <w:szCs w:val="22"/>
          <w:lang w:eastAsia="en-GB"/>
        </w:rPr>
        <w:t>,</w:t>
      </w:r>
      <w:r w:rsidRPr="00562749">
        <w:rPr>
          <w:sz w:val="22"/>
          <w:szCs w:val="22"/>
          <w:lang w:eastAsia="en-GB"/>
        </w:rPr>
        <w:t xml:space="preserve"> partners with access to FSL network may introduce vulnerabilities if their security practices are inadequate</w:t>
      </w:r>
    </w:p>
    <w:p w:rsidR="00A366F0" w:rsidRDefault="00A366F0" w:rsidP="00562749">
      <w:pPr>
        <w:rPr>
          <w:sz w:val="22"/>
          <w:szCs w:val="22"/>
          <w:lang w:eastAsia="en-GB"/>
        </w:rPr>
      </w:pPr>
    </w:p>
    <w:p w:rsidR="00A366F0" w:rsidRPr="00D36F4A" w:rsidRDefault="00A366F0" w:rsidP="00A366F0">
      <w:pPr>
        <w:rPr>
          <w:b/>
          <w:bCs/>
          <w:sz w:val="22"/>
          <w:szCs w:val="22"/>
          <w:lang w:eastAsia="en-GB"/>
        </w:rPr>
      </w:pPr>
      <w:r w:rsidRPr="00D36F4A">
        <w:rPr>
          <w:b/>
          <w:bCs/>
          <w:sz w:val="22"/>
          <w:szCs w:val="22"/>
          <w:lang w:eastAsia="en-GB"/>
        </w:rPr>
        <w:t>External Threats</w:t>
      </w:r>
    </w:p>
    <w:p w:rsidR="00610989" w:rsidRDefault="00A366F0" w:rsidP="00A366F0">
      <w:pPr>
        <w:rPr>
          <w:sz w:val="22"/>
          <w:szCs w:val="22"/>
          <w:lang w:eastAsia="en-GB"/>
        </w:rPr>
      </w:pPr>
      <w:r w:rsidRPr="00A366F0">
        <w:rPr>
          <w:sz w:val="22"/>
          <w:szCs w:val="22"/>
          <w:lang w:eastAsia="en-GB"/>
        </w:rPr>
        <w:t>External threats originate from outside the organization and are often deliberate attacks. Key external threats include:</w:t>
      </w:r>
    </w:p>
    <w:p w:rsidR="00FF394F" w:rsidRDefault="00A366F0" w:rsidP="00A366F0">
      <w:pPr>
        <w:rPr>
          <w:sz w:val="22"/>
          <w:szCs w:val="22"/>
          <w:lang w:eastAsia="en-GB"/>
        </w:rPr>
      </w:pPr>
      <w:r w:rsidRPr="00A366F0">
        <w:rPr>
          <w:sz w:val="22"/>
          <w:szCs w:val="22"/>
          <w:lang w:eastAsia="en-GB"/>
        </w:rPr>
        <w:t>Phishing Attacks: Social</w:t>
      </w:r>
      <w:r w:rsidR="00D36F4A">
        <w:rPr>
          <w:sz w:val="22"/>
          <w:szCs w:val="22"/>
          <w:lang w:eastAsia="en-GB"/>
        </w:rPr>
        <w:t xml:space="preserve"> </w:t>
      </w:r>
      <w:r w:rsidRPr="00A366F0">
        <w:rPr>
          <w:sz w:val="22"/>
          <w:szCs w:val="22"/>
          <w:lang w:eastAsia="en-GB"/>
        </w:rPr>
        <w:t xml:space="preserve">tactics to steal credentials or install malware. Malware and Ransomware: Malicious software that can encrypt data or disrupt operations. Unauthorized Access: Cybercriminals exploiting weak passwords or unpatched systems to infiltrate the </w:t>
      </w:r>
      <w:r w:rsidR="009C2E55" w:rsidRPr="00A366F0">
        <w:rPr>
          <w:sz w:val="22"/>
          <w:szCs w:val="22"/>
          <w:lang w:eastAsia="en-GB"/>
        </w:rPr>
        <w:t xml:space="preserve">network. </w:t>
      </w:r>
      <w:r w:rsidRPr="00A366F0">
        <w:rPr>
          <w:sz w:val="22"/>
          <w:szCs w:val="22"/>
          <w:lang w:eastAsia="en-GB"/>
        </w:rPr>
        <w:t xml:space="preserve">Sophisticated, long-term attacks targeting sensitive financial </w:t>
      </w:r>
      <w:r w:rsidR="009C2E55" w:rsidRPr="00A366F0">
        <w:rPr>
          <w:sz w:val="22"/>
          <w:szCs w:val="22"/>
          <w:lang w:eastAsia="en-GB"/>
        </w:rPr>
        <w:t>data. Denial</w:t>
      </w:r>
      <w:r w:rsidRPr="00A366F0">
        <w:rPr>
          <w:sz w:val="22"/>
          <w:szCs w:val="22"/>
          <w:lang w:eastAsia="en-GB"/>
        </w:rPr>
        <w:t>-of-Service</w:t>
      </w:r>
      <w:r w:rsidR="00D36F4A">
        <w:rPr>
          <w:sz w:val="22"/>
          <w:szCs w:val="22"/>
          <w:lang w:eastAsia="en-GB"/>
        </w:rPr>
        <w:t>,</w:t>
      </w:r>
      <w:r w:rsidRPr="00A366F0">
        <w:rPr>
          <w:sz w:val="22"/>
          <w:szCs w:val="22"/>
          <w:lang w:eastAsia="en-GB"/>
        </w:rPr>
        <w:t xml:space="preserve"> Attacks Overloading FSL systems to disrupt services.</w:t>
      </w:r>
    </w:p>
    <w:p w:rsidR="00C15DF0" w:rsidRDefault="00C15DF0" w:rsidP="00A366F0">
      <w:pPr>
        <w:rPr>
          <w:sz w:val="22"/>
          <w:szCs w:val="22"/>
          <w:lang w:eastAsia="en-GB"/>
        </w:rPr>
      </w:pPr>
      <w:r>
        <w:rPr>
          <w:sz w:val="22"/>
          <w:szCs w:val="22"/>
          <w:lang w:eastAsia="en-GB"/>
        </w:rPr>
        <w:t>“</w:t>
      </w:r>
      <w:r w:rsidRPr="00C15DF0">
        <w:rPr>
          <w:sz w:val="22"/>
          <w:szCs w:val="22"/>
          <w:lang w:eastAsia="en-GB"/>
        </w:rPr>
        <w:t>Ensure that your organisation carries out regular threat assessment exercises to identify who might attack your organisation</w:t>
      </w:r>
      <w:r>
        <w:rPr>
          <w:sz w:val="22"/>
          <w:szCs w:val="22"/>
          <w:lang w:eastAsia="en-GB"/>
        </w:rPr>
        <w:t>”</w:t>
      </w:r>
      <w:sdt>
        <w:sdtPr>
          <w:rPr>
            <w:sz w:val="22"/>
            <w:szCs w:val="22"/>
            <w:lang w:eastAsia="en-GB"/>
          </w:rPr>
          <w:id w:val="817148614"/>
          <w:citation/>
        </w:sdtPr>
        <w:sdtContent>
          <w:r>
            <w:rPr>
              <w:sz w:val="22"/>
              <w:szCs w:val="22"/>
              <w:lang w:eastAsia="en-GB"/>
            </w:rPr>
            <w:fldChar w:fldCharType="begin"/>
          </w:r>
          <w:r>
            <w:rPr>
              <w:sz w:val="22"/>
              <w:szCs w:val="22"/>
              <w:lang w:eastAsia="en-GB"/>
            </w:rPr>
            <w:instrText xml:space="preserve"> CITATION ncs25 \l 2057 </w:instrText>
          </w:r>
          <w:r>
            <w:rPr>
              <w:sz w:val="22"/>
              <w:szCs w:val="22"/>
              <w:lang w:eastAsia="en-GB"/>
            </w:rPr>
            <w:fldChar w:fldCharType="separate"/>
          </w:r>
          <w:r>
            <w:rPr>
              <w:noProof/>
              <w:sz w:val="22"/>
              <w:szCs w:val="22"/>
              <w:lang w:eastAsia="en-GB"/>
            </w:rPr>
            <w:t xml:space="preserve"> </w:t>
          </w:r>
          <w:r w:rsidRPr="00C15DF0">
            <w:rPr>
              <w:noProof/>
              <w:sz w:val="22"/>
              <w:szCs w:val="22"/>
              <w:lang w:eastAsia="en-GB"/>
            </w:rPr>
            <w:t>[2]</w:t>
          </w:r>
          <w:r>
            <w:rPr>
              <w:sz w:val="22"/>
              <w:szCs w:val="22"/>
              <w:lang w:eastAsia="en-GB"/>
            </w:rPr>
            <w:fldChar w:fldCharType="end"/>
          </w:r>
        </w:sdtContent>
      </w:sdt>
    </w:p>
    <w:p w:rsidR="009C2E55" w:rsidRPr="00562749" w:rsidRDefault="009C2E55" w:rsidP="009C2E55">
      <w:pPr>
        <w:rPr>
          <w:sz w:val="22"/>
          <w:szCs w:val="22"/>
          <w:lang w:eastAsia="en-GB"/>
        </w:rPr>
      </w:pPr>
      <w:r w:rsidRPr="009C2E55">
        <w:rPr>
          <w:sz w:val="22"/>
          <w:szCs w:val="22"/>
          <w:lang w:eastAsia="en-GB"/>
        </w:rPr>
        <w:t xml:space="preserve"> </w:t>
      </w:r>
    </w:p>
    <w:tbl>
      <w:tblPr>
        <w:tblStyle w:val="TableGrid"/>
        <w:tblW w:w="0" w:type="auto"/>
        <w:tblLook w:val="04A0" w:firstRow="1" w:lastRow="0" w:firstColumn="1" w:lastColumn="0" w:noHBand="0" w:noVBand="1"/>
      </w:tblPr>
      <w:tblGrid>
        <w:gridCol w:w="1300"/>
        <w:gridCol w:w="1300"/>
        <w:gridCol w:w="1434"/>
        <w:gridCol w:w="1300"/>
      </w:tblGrid>
      <w:tr w:rsidR="00F50BD6" w:rsidRPr="00F50BD6" w:rsidTr="00F50BD6">
        <w:trPr>
          <w:trHeight w:val="320"/>
        </w:trPr>
        <w:tc>
          <w:tcPr>
            <w:tcW w:w="1300" w:type="dxa"/>
            <w:noWrap/>
            <w:hideMark/>
          </w:tcPr>
          <w:p w:rsidR="00F50BD6" w:rsidRPr="00F50BD6" w:rsidRDefault="00F50BD6">
            <w:pPr>
              <w:rPr>
                <w:sz w:val="22"/>
                <w:szCs w:val="22"/>
                <w:lang w:eastAsia="en-GB"/>
              </w:rPr>
            </w:pPr>
            <w:r w:rsidRPr="00F50BD6">
              <w:rPr>
                <w:sz w:val="22"/>
                <w:szCs w:val="22"/>
                <w:lang w:eastAsia="en-GB"/>
              </w:rPr>
              <w:t>Internal</w:t>
            </w:r>
          </w:p>
        </w:tc>
        <w:tc>
          <w:tcPr>
            <w:tcW w:w="1300" w:type="dxa"/>
            <w:noWrap/>
            <w:hideMark/>
          </w:tcPr>
          <w:p w:rsidR="00F50BD6" w:rsidRPr="00F50BD6" w:rsidRDefault="00F50BD6">
            <w:pPr>
              <w:rPr>
                <w:sz w:val="22"/>
                <w:szCs w:val="22"/>
                <w:lang w:eastAsia="en-GB"/>
              </w:rPr>
            </w:pPr>
            <w:r w:rsidRPr="00F50BD6">
              <w:rPr>
                <w:sz w:val="22"/>
                <w:szCs w:val="22"/>
                <w:lang w:eastAsia="en-GB"/>
              </w:rPr>
              <w:t>Threats</w:t>
            </w:r>
          </w:p>
        </w:tc>
        <w:tc>
          <w:tcPr>
            <w:tcW w:w="1358" w:type="dxa"/>
            <w:noWrap/>
            <w:hideMark/>
          </w:tcPr>
          <w:p w:rsidR="00F50BD6" w:rsidRPr="00F50BD6" w:rsidRDefault="00F50BD6">
            <w:pPr>
              <w:rPr>
                <w:sz w:val="22"/>
                <w:szCs w:val="22"/>
                <w:lang w:eastAsia="en-GB"/>
              </w:rPr>
            </w:pPr>
            <w:r w:rsidRPr="00F50BD6">
              <w:rPr>
                <w:sz w:val="22"/>
                <w:szCs w:val="22"/>
                <w:lang w:eastAsia="en-GB"/>
              </w:rPr>
              <w:t> </w:t>
            </w:r>
          </w:p>
        </w:tc>
        <w:tc>
          <w:tcPr>
            <w:tcW w:w="1300" w:type="dxa"/>
            <w:noWrap/>
            <w:hideMark/>
          </w:tcPr>
          <w:p w:rsidR="00F50BD6" w:rsidRPr="00F50BD6" w:rsidRDefault="00F50BD6">
            <w:pPr>
              <w:rPr>
                <w:sz w:val="22"/>
                <w:szCs w:val="22"/>
                <w:lang w:eastAsia="en-GB"/>
              </w:rPr>
            </w:pPr>
            <w:r w:rsidRPr="00F50BD6">
              <w:rPr>
                <w:sz w:val="22"/>
                <w:szCs w:val="22"/>
                <w:lang w:eastAsia="en-GB"/>
              </w:rPr>
              <w:t> </w:t>
            </w:r>
          </w:p>
        </w:tc>
      </w:tr>
      <w:tr w:rsidR="00F50BD6" w:rsidRPr="00F50BD6" w:rsidTr="00F50BD6">
        <w:trPr>
          <w:trHeight w:val="320"/>
        </w:trPr>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1358" w:type="dxa"/>
            <w:noWrap/>
            <w:hideMark/>
          </w:tcPr>
          <w:p w:rsidR="00F50BD6" w:rsidRPr="00F50BD6" w:rsidRDefault="00F50BD6">
            <w:pPr>
              <w:rPr>
                <w:sz w:val="22"/>
                <w:szCs w:val="22"/>
                <w:lang w:eastAsia="en-GB"/>
              </w:rPr>
            </w:pPr>
            <w:r w:rsidRPr="00F50BD6">
              <w:rPr>
                <w:sz w:val="22"/>
                <w:szCs w:val="22"/>
                <w:lang w:eastAsia="en-GB"/>
              </w:rPr>
              <w:t>Insider</w:t>
            </w:r>
          </w:p>
        </w:tc>
        <w:tc>
          <w:tcPr>
            <w:tcW w:w="1300" w:type="dxa"/>
            <w:noWrap/>
            <w:hideMark/>
          </w:tcPr>
          <w:p w:rsidR="00F50BD6" w:rsidRPr="00F50BD6" w:rsidRDefault="00F50BD6">
            <w:pPr>
              <w:rPr>
                <w:sz w:val="22"/>
                <w:szCs w:val="22"/>
                <w:lang w:eastAsia="en-GB"/>
              </w:rPr>
            </w:pPr>
            <w:r w:rsidRPr="00F50BD6">
              <w:rPr>
                <w:sz w:val="22"/>
                <w:szCs w:val="22"/>
                <w:lang w:eastAsia="en-GB"/>
              </w:rPr>
              <w:t>Threats</w:t>
            </w:r>
          </w:p>
        </w:tc>
      </w:tr>
      <w:tr w:rsidR="00F50BD6" w:rsidRPr="00F50BD6" w:rsidTr="00F50BD6">
        <w:trPr>
          <w:trHeight w:val="320"/>
        </w:trPr>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1358" w:type="dxa"/>
            <w:noWrap/>
            <w:hideMark/>
          </w:tcPr>
          <w:p w:rsidR="00F50BD6" w:rsidRPr="00F50BD6" w:rsidRDefault="00F50BD6">
            <w:pPr>
              <w:rPr>
                <w:sz w:val="22"/>
                <w:szCs w:val="22"/>
                <w:lang w:eastAsia="en-GB"/>
              </w:rPr>
            </w:pPr>
            <w:r w:rsidRPr="00F50BD6">
              <w:rPr>
                <w:sz w:val="22"/>
                <w:szCs w:val="22"/>
                <w:lang w:eastAsia="en-GB"/>
              </w:rPr>
              <w:t>Human</w:t>
            </w:r>
          </w:p>
        </w:tc>
        <w:tc>
          <w:tcPr>
            <w:tcW w:w="1300" w:type="dxa"/>
            <w:noWrap/>
            <w:hideMark/>
          </w:tcPr>
          <w:p w:rsidR="00F50BD6" w:rsidRPr="00F50BD6" w:rsidRDefault="00F50BD6">
            <w:pPr>
              <w:rPr>
                <w:sz w:val="22"/>
                <w:szCs w:val="22"/>
                <w:lang w:eastAsia="en-GB"/>
              </w:rPr>
            </w:pPr>
            <w:r w:rsidRPr="00F50BD6">
              <w:rPr>
                <w:sz w:val="22"/>
                <w:szCs w:val="22"/>
                <w:lang w:eastAsia="en-GB"/>
              </w:rPr>
              <w:t>Error</w:t>
            </w:r>
          </w:p>
        </w:tc>
      </w:tr>
      <w:tr w:rsidR="00F50BD6" w:rsidRPr="00F50BD6" w:rsidTr="00F50BD6">
        <w:trPr>
          <w:trHeight w:val="320"/>
        </w:trPr>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1358" w:type="dxa"/>
            <w:noWrap/>
            <w:hideMark/>
          </w:tcPr>
          <w:p w:rsidR="00F50BD6" w:rsidRPr="00F50BD6" w:rsidRDefault="00F50BD6">
            <w:pPr>
              <w:rPr>
                <w:sz w:val="22"/>
                <w:szCs w:val="22"/>
                <w:lang w:eastAsia="en-GB"/>
              </w:rPr>
            </w:pPr>
            <w:r w:rsidRPr="00F50BD6">
              <w:rPr>
                <w:sz w:val="22"/>
                <w:szCs w:val="22"/>
                <w:lang w:eastAsia="en-GB"/>
              </w:rPr>
              <w:t>Third-Party</w:t>
            </w:r>
          </w:p>
        </w:tc>
        <w:tc>
          <w:tcPr>
            <w:tcW w:w="1300" w:type="dxa"/>
            <w:noWrap/>
            <w:hideMark/>
          </w:tcPr>
          <w:p w:rsidR="00F50BD6" w:rsidRPr="00F50BD6" w:rsidRDefault="00F50BD6">
            <w:pPr>
              <w:rPr>
                <w:sz w:val="22"/>
                <w:szCs w:val="22"/>
                <w:lang w:eastAsia="en-GB"/>
              </w:rPr>
            </w:pPr>
            <w:r w:rsidRPr="00F50BD6">
              <w:rPr>
                <w:sz w:val="22"/>
                <w:szCs w:val="22"/>
                <w:lang w:eastAsia="en-GB"/>
              </w:rPr>
              <w:t>Risks</w:t>
            </w:r>
          </w:p>
        </w:tc>
      </w:tr>
      <w:tr w:rsidR="00F50BD6" w:rsidRPr="00F50BD6" w:rsidTr="00F50BD6">
        <w:trPr>
          <w:trHeight w:val="320"/>
        </w:trPr>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1358" w:type="dxa"/>
            <w:noWrap/>
            <w:hideMark/>
          </w:tcPr>
          <w:p w:rsidR="00F50BD6" w:rsidRPr="00F50BD6" w:rsidRDefault="00F50BD6">
            <w:pPr>
              <w:rPr>
                <w:sz w:val="22"/>
                <w:szCs w:val="22"/>
                <w:lang w:eastAsia="en-GB"/>
              </w:rPr>
            </w:pPr>
            <w:r w:rsidRPr="00F50BD6">
              <w:rPr>
                <w:sz w:val="22"/>
                <w:szCs w:val="22"/>
                <w:lang w:eastAsia="en-GB"/>
              </w:rPr>
              <w:t> </w:t>
            </w:r>
          </w:p>
        </w:tc>
        <w:tc>
          <w:tcPr>
            <w:tcW w:w="1300" w:type="dxa"/>
            <w:noWrap/>
            <w:hideMark/>
          </w:tcPr>
          <w:p w:rsidR="00F50BD6" w:rsidRPr="00F50BD6" w:rsidRDefault="00F50BD6">
            <w:pPr>
              <w:rPr>
                <w:sz w:val="22"/>
                <w:szCs w:val="22"/>
                <w:lang w:eastAsia="en-GB"/>
              </w:rPr>
            </w:pPr>
            <w:r w:rsidRPr="00F50BD6">
              <w:rPr>
                <w:sz w:val="22"/>
                <w:szCs w:val="22"/>
                <w:lang w:eastAsia="en-GB"/>
              </w:rPr>
              <w:t> </w:t>
            </w:r>
          </w:p>
        </w:tc>
      </w:tr>
      <w:tr w:rsidR="00F50BD6" w:rsidRPr="00F50BD6" w:rsidTr="00F50BD6">
        <w:trPr>
          <w:trHeight w:val="320"/>
        </w:trPr>
        <w:tc>
          <w:tcPr>
            <w:tcW w:w="1300" w:type="dxa"/>
            <w:noWrap/>
            <w:hideMark/>
          </w:tcPr>
          <w:p w:rsidR="00F50BD6" w:rsidRPr="00F50BD6" w:rsidRDefault="00F50BD6">
            <w:pPr>
              <w:rPr>
                <w:sz w:val="22"/>
                <w:szCs w:val="22"/>
                <w:lang w:eastAsia="en-GB"/>
              </w:rPr>
            </w:pPr>
            <w:r w:rsidRPr="00F50BD6">
              <w:rPr>
                <w:sz w:val="22"/>
                <w:szCs w:val="22"/>
                <w:lang w:eastAsia="en-GB"/>
              </w:rPr>
              <w:t>External</w:t>
            </w:r>
          </w:p>
        </w:tc>
        <w:tc>
          <w:tcPr>
            <w:tcW w:w="1300" w:type="dxa"/>
            <w:noWrap/>
            <w:hideMark/>
          </w:tcPr>
          <w:p w:rsidR="00F50BD6" w:rsidRPr="00F50BD6" w:rsidRDefault="00F50BD6">
            <w:pPr>
              <w:rPr>
                <w:sz w:val="22"/>
                <w:szCs w:val="22"/>
                <w:lang w:eastAsia="en-GB"/>
              </w:rPr>
            </w:pPr>
            <w:r w:rsidRPr="00F50BD6">
              <w:rPr>
                <w:sz w:val="22"/>
                <w:szCs w:val="22"/>
                <w:lang w:eastAsia="en-GB"/>
              </w:rPr>
              <w:t>Threats</w:t>
            </w:r>
          </w:p>
        </w:tc>
        <w:tc>
          <w:tcPr>
            <w:tcW w:w="1358" w:type="dxa"/>
            <w:noWrap/>
            <w:hideMark/>
          </w:tcPr>
          <w:p w:rsidR="00F50BD6" w:rsidRPr="00F50BD6" w:rsidRDefault="00F50BD6">
            <w:pPr>
              <w:rPr>
                <w:sz w:val="22"/>
                <w:szCs w:val="22"/>
                <w:lang w:eastAsia="en-GB"/>
              </w:rPr>
            </w:pPr>
            <w:r w:rsidRPr="00F50BD6">
              <w:rPr>
                <w:sz w:val="22"/>
                <w:szCs w:val="22"/>
                <w:lang w:eastAsia="en-GB"/>
              </w:rPr>
              <w:t> </w:t>
            </w:r>
          </w:p>
        </w:tc>
        <w:tc>
          <w:tcPr>
            <w:tcW w:w="1300" w:type="dxa"/>
            <w:noWrap/>
            <w:hideMark/>
          </w:tcPr>
          <w:p w:rsidR="00F50BD6" w:rsidRPr="00F50BD6" w:rsidRDefault="00F50BD6">
            <w:pPr>
              <w:rPr>
                <w:sz w:val="22"/>
                <w:szCs w:val="22"/>
                <w:lang w:eastAsia="en-GB"/>
              </w:rPr>
            </w:pPr>
            <w:r w:rsidRPr="00F50BD6">
              <w:rPr>
                <w:sz w:val="22"/>
                <w:szCs w:val="22"/>
                <w:lang w:eastAsia="en-GB"/>
              </w:rPr>
              <w:t> </w:t>
            </w:r>
          </w:p>
        </w:tc>
      </w:tr>
      <w:tr w:rsidR="00F50BD6" w:rsidRPr="00F50BD6" w:rsidTr="00F50BD6">
        <w:trPr>
          <w:trHeight w:val="320"/>
        </w:trPr>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1358" w:type="dxa"/>
            <w:noWrap/>
            <w:hideMark/>
          </w:tcPr>
          <w:p w:rsidR="00F50BD6" w:rsidRPr="00F50BD6" w:rsidRDefault="00F50BD6">
            <w:pPr>
              <w:rPr>
                <w:sz w:val="22"/>
                <w:szCs w:val="22"/>
                <w:lang w:eastAsia="en-GB"/>
              </w:rPr>
            </w:pPr>
            <w:r w:rsidRPr="00F50BD6">
              <w:rPr>
                <w:sz w:val="22"/>
                <w:szCs w:val="22"/>
                <w:lang w:eastAsia="en-GB"/>
              </w:rPr>
              <w:t>Phishing</w:t>
            </w:r>
          </w:p>
        </w:tc>
        <w:tc>
          <w:tcPr>
            <w:tcW w:w="1300" w:type="dxa"/>
            <w:noWrap/>
            <w:hideMark/>
          </w:tcPr>
          <w:p w:rsidR="00F50BD6" w:rsidRPr="00F50BD6" w:rsidRDefault="00F50BD6">
            <w:pPr>
              <w:rPr>
                <w:sz w:val="22"/>
                <w:szCs w:val="22"/>
                <w:lang w:eastAsia="en-GB"/>
              </w:rPr>
            </w:pPr>
            <w:r w:rsidRPr="00F50BD6">
              <w:rPr>
                <w:sz w:val="22"/>
                <w:szCs w:val="22"/>
                <w:lang w:eastAsia="en-GB"/>
              </w:rPr>
              <w:t> </w:t>
            </w:r>
          </w:p>
        </w:tc>
      </w:tr>
      <w:tr w:rsidR="00F50BD6" w:rsidRPr="00F50BD6" w:rsidTr="00F50BD6">
        <w:trPr>
          <w:trHeight w:val="320"/>
        </w:trPr>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2658" w:type="dxa"/>
            <w:gridSpan w:val="2"/>
            <w:noWrap/>
            <w:hideMark/>
          </w:tcPr>
          <w:p w:rsidR="00F50BD6" w:rsidRPr="00F50BD6" w:rsidRDefault="00F50BD6">
            <w:pPr>
              <w:rPr>
                <w:sz w:val="22"/>
                <w:szCs w:val="22"/>
                <w:lang w:eastAsia="en-GB"/>
              </w:rPr>
            </w:pPr>
            <w:r w:rsidRPr="00F50BD6">
              <w:rPr>
                <w:sz w:val="22"/>
                <w:szCs w:val="22"/>
                <w:lang w:eastAsia="en-GB"/>
              </w:rPr>
              <w:t>Malware/Ransomware</w:t>
            </w:r>
          </w:p>
        </w:tc>
      </w:tr>
      <w:tr w:rsidR="00F50BD6" w:rsidRPr="00F50BD6" w:rsidTr="00F50BD6">
        <w:trPr>
          <w:trHeight w:val="320"/>
        </w:trPr>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1358" w:type="dxa"/>
            <w:noWrap/>
            <w:hideMark/>
          </w:tcPr>
          <w:p w:rsidR="00F50BD6" w:rsidRPr="00F50BD6" w:rsidRDefault="00F50BD6">
            <w:pPr>
              <w:rPr>
                <w:sz w:val="22"/>
                <w:szCs w:val="22"/>
                <w:lang w:eastAsia="en-GB"/>
              </w:rPr>
            </w:pPr>
            <w:r w:rsidRPr="00F50BD6">
              <w:rPr>
                <w:sz w:val="22"/>
                <w:szCs w:val="22"/>
                <w:lang w:eastAsia="en-GB"/>
              </w:rPr>
              <w:t>Unauthorized</w:t>
            </w:r>
          </w:p>
        </w:tc>
        <w:tc>
          <w:tcPr>
            <w:tcW w:w="1300" w:type="dxa"/>
            <w:noWrap/>
            <w:hideMark/>
          </w:tcPr>
          <w:p w:rsidR="00F50BD6" w:rsidRPr="00F50BD6" w:rsidRDefault="00F50BD6">
            <w:pPr>
              <w:rPr>
                <w:sz w:val="22"/>
                <w:szCs w:val="22"/>
                <w:lang w:eastAsia="en-GB"/>
              </w:rPr>
            </w:pPr>
            <w:r w:rsidRPr="00F50BD6">
              <w:rPr>
                <w:sz w:val="22"/>
                <w:szCs w:val="22"/>
                <w:lang w:eastAsia="en-GB"/>
              </w:rPr>
              <w:t>Access</w:t>
            </w:r>
          </w:p>
        </w:tc>
      </w:tr>
      <w:tr w:rsidR="00F50BD6" w:rsidRPr="00F50BD6" w:rsidTr="00F50BD6">
        <w:trPr>
          <w:trHeight w:val="320"/>
        </w:trPr>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1300" w:type="dxa"/>
            <w:noWrap/>
            <w:hideMark/>
          </w:tcPr>
          <w:p w:rsidR="00F50BD6" w:rsidRPr="00F50BD6" w:rsidRDefault="00F50BD6">
            <w:pPr>
              <w:rPr>
                <w:sz w:val="22"/>
                <w:szCs w:val="22"/>
                <w:lang w:eastAsia="en-GB"/>
              </w:rPr>
            </w:pPr>
            <w:r w:rsidRPr="00F50BD6">
              <w:rPr>
                <w:sz w:val="22"/>
                <w:szCs w:val="22"/>
                <w:lang w:eastAsia="en-GB"/>
              </w:rPr>
              <w:t> </w:t>
            </w:r>
          </w:p>
        </w:tc>
        <w:tc>
          <w:tcPr>
            <w:tcW w:w="1358" w:type="dxa"/>
            <w:noWrap/>
            <w:hideMark/>
          </w:tcPr>
          <w:p w:rsidR="00F50BD6" w:rsidRPr="00F50BD6" w:rsidRDefault="00F50BD6">
            <w:pPr>
              <w:rPr>
                <w:sz w:val="22"/>
                <w:szCs w:val="22"/>
                <w:lang w:eastAsia="en-GB"/>
              </w:rPr>
            </w:pPr>
            <w:r w:rsidRPr="00F50BD6">
              <w:rPr>
                <w:sz w:val="22"/>
                <w:szCs w:val="22"/>
                <w:lang w:eastAsia="en-GB"/>
              </w:rPr>
              <w:t>DoS</w:t>
            </w:r>
          </w:p>
        </w:tc>
        <w:tc>
          <w:tcPr>
            <w:tcW w:w="1300" w:type="dxa"/>
            <w:noWrap/>
            <w:hideMark/>
          </w:tcPr>
          <w:p w:rsidR="00F50BD6" w:rsidRPr="00F50BD6" w:rsidRDefault="00F50BD6">
            <w:pPr>
              <w:rPr>
                <w:sz w:val="22"/>
                <w:szCs w:val="22"/>
                <w:lang w:eastAsia="en-GB"/>
              </w:rPr>
            </w:pPr>
            <w:r w:rsidRPr="00F50BD6">
              <w:rPr>
                <w:sz w:val="22"/>
                <w:szCs w:val="22"/>
                <w:lang w:eastAsia="en-GB"/>
              </w:rPr>
              <w:t>Attacks</w:t>
            </w:r>
          </w:p>
        </w:tc>
      </w:tr>
    </w:tbl>
    <w:p w:rsidR="009C2E55" w:rsidRDefault="009C2E55" w:rsidP="009C2E55">
      <w:pPr>
        <w:rPr>
          <w:sz w:val="22"/>
          <w:szCs w:val="22"/>
          <w:lang w:eastAsia="en-GB"/>
        </w:rPr>
      </w:pPr>
    </w:p>
    <w:p w:rsidR="00786002" w:rsidRDefault="00786002" w:rsidP="00786002">
      <w:pPr>
        <w:pStyle w:val="Heading1"/>
      </w:pPr>
    </w:p>
    <w:p w:rsidR="00E1202D" w:rsidRPr="00E1202D" w:rsidRDefault="00E1202D" w:rsidP="00E1202D"/>
    <w:p w:rsidR="00786002" w:rsidRDefault="00786002" w:rsidP="00786002">
      <w:pPr>
        <w:pStyle w:val="Heading1"/>
      </w:pPr>
      <w:bookmarkStart w:id="2" w:name="_Toc198063090"/>
      <w:r w:rsidRPr="00B06B5B">
        <w:lastRenderedPageBreak/>
        <w:t>Security Policies</w:t>
      </w:r>
      <w:bookmarkEnd w:id="2"/>
    </w:p>
    <w:p w:rsidR="00B06803" w:rsidRDefault="00B06803" w:rsidP="00B06803">
      <w:r>
        <w:t>The Access Control Policy aims to restrict system and data access based on user roles. It enforces the Principle of Least Privilege, ensuring users receive only the access required for their duties. Multi-Factor Authentication is mandatory for all users, particularly for financial systems. Regular access reviews are conducted to ensure access with current roles.</w:t>
      </w:r>
    </w:p>
    <w:p w:rsidR="00B06803" w:rsidRDefault="00B06803" w:rsidP="00B06803">
      <w:r>
        <w:t xml:space="preserve">The Data Protection Policy focuses on safeguarding sensitive financial data. All data at rest and in transit must be encrypted standards. Data is classified into </w:t>
      </w:r>
      <w:r w:rsidR="00FD6513">
        <w:t>categories, Public</w:t>
      </w:r>
      <w:r>
        <w:t xml:space="preserve">, Internal, Confidential, or </w:t>
      </w:r>
      <w:r w:rsidR="00FD6513">
        <w:t>Restricted each</w:t>
      </w:r>
      <w:r>
        <w:t xml:space="preserve"> with specific protection measures. A robust backup strategy is implemented, with daily backups stored </w:t>
      </w:r>
      <w:r w:rsidR="00FD6513">
        <w:t>different premises</w:t>
      </w:r>
      <w:r>
        <w:t xml:space="preserve"> and testing of </w:t>
      </w:r>
      <w:r w:rsidR="00FD6513">
        <w:t>adequate retrieval of</w:t>
      </w:r>
      <w:r>
        <w:t xml:space="preserve"> data </w:t>
      </w:r>
      <w:r w:rsidR="00FD6513">
        <w:t xml:space="preserve">ensuring </w:t>
      </w:r>
      <w:r>
        <w:t>availability.</w:t>
      </w:r>
    </w:p>
    <w:p w:rsidR="00B06803" w:rsidRDefault="00B06803" w:rsidP="00B06803">
      <w:r>
        <w:t xml:space="preserve">The Password and Authentication prevents unauthorized access through strong credential management. Passwords </w:t>
      </w:r>
      <w:r w:rsidR="00B34212">
        <w:t>must be strong combination of characters and change intervals,</w:t>
      </w:r>
      <w:r>
        <w:t xml:space="preserve"> </w:t>
      </w:r>
    </w:p>
    <w:p w:rsidR="00B06803" w:rsidRDefault="00B06803" w:rsidP="00B06803">
      <w:r>
        <w:t xml:space="preserve"> </w:t>
      </w:r>
      <w:r w:rsidR="00B34212">
        <w:t xml:space="preserve">Implement </w:t>
      </w:r>
      <w:r>
        <w:t xml:space="preserve">Response Policy ensures detection and resolution of security incidents. Incidents are categorized on impact, such as Low, Medium, or High. A </w:t>
      </w:r>
      <w:r w:rsidR="00B34212">
        <w:t>continuous monitoring system. With</w:t>
      </w:r>
      <w:r>
        <w:t xml:space="preserve"> defined roles for analysis, containment, and communication. A clear communication </w:t>
      </w:r>
      <w:r w:rsidR="00B34212">
        <w:t>protocol to report incident to relevant department,</w:t>
      </w:r>
    </w:p>
    <w:p w:rsidR="00B06803" w:rsidRDefault="00B06803" w:rsidP="00B06803">
      <w:r>
        <w:t xml:space="preserve">The Network Policy protects the organization’s infrastructure from breaches. </w:t>
      </w:r>
      <w:r w:rsidR="00B34212">
        <w:t>Firewalls networks</w:t>
      </w:r>
      <w:r>
        <w:t xml:space="preserve"> such as Finance, HR, and Public</w:t>
      </w:r>
      <w:r w:rsidR="00466898">
        <w:t xml:space="preserve"> </w:t>
      </w:r>
      <w:r>
        <w:t xml:space="preserve">with </w:t>
      </w:r>
      <w:r w:rsidR="00466898">
        <w:t>accessibility</w:t>
      </w:r>
      <w:r>
        <w:t xml:space="preserve"> controls. </w:t>
      </w:r>
    </w:p>
    <w:p w:rsidR="00B06803" w:rsidRDefault="00B06803" w:rsidP="00B06803">
      <w:r>
        <w:t xml:space="preserve">The Third-Party Risk Management Policy mitigates risks from external vendors. Security audits are conducted before granting access to third parties, ensuring compliance with organizational standards. Contracts include clauses requiring adherence to security protocols. Continuous monitoring of </w:t>
      </w:r>
      <w:r w:rsidR="00BA4BCE">
        <w:t>third-party</w:t>
      </w:r>
      <w:r>
        <w:t xml:space="preserve"> systems to identify </w:t>
      </w:r>
      <w:r w:rsidR="00466898">
        <w:t xml:space="preserve">potential </w:t>
      </w:r>
      <w:r>
        <w:t>vulnerabilities</w:t>
      </w:r>
    </w:p>
    <w:p w:rsidR="00067CD3" w:rsidRDefault="00B06803" w:rsidP="00B06803">
      <w:r>
        <w:t>These policies collectively create a structured and proactive approach to cybersecurity, ensuring industry standards while addressing both internal and external threats through technical controls, regular assessments</w:t>
      </w:r>
      <w:r w:rsidR="00466898">
        <w:t>.</w:t>
      </w:r>
    </w:p>
    <w:p w:rsidR="00EF7DB9" w:rsidRDefault="00EF7DB9" w:rsidP="00B06803">
      <w:r>
        <w:t>“</w:t>
      </w:r>
      <w:r w:rsidRPr="00EF7DB9">
        <w:t>A cyber security policy is a set of guidelines and procedures that an organisation uses to protect its digital assets from cyber threats. A cyber security policy typically covers access control, password management, network security, data protection, incident response, and disaster recovery.</w:t>
      </w:r>
      <w:r>
        <w:t>”</w:t>
      </w:r>
      <w:sdt>
        <w:sdtPr>
          <w:id w:val="500085597"/>
          <w:citation/>
        </w:sdtPr>
        <w:sdtContent>
          <w:r>
            <w:fldChar w:fldCharType="begin"/>
          </w:r>
          <w:r>
            <w:instrText xml:space="preserve"> CITATION Jar23 \l 2057 </w:instrText>
          </w:r>
          <w:r>
            <w:fldChar w:fldCharType="separate"/>
          </w:r>
          <w:r>
            <w:rPr>
              <w:noProof/>
            </w:rPr>
            <w:t xml:space="preserve"> </w:t>
          </w:r>
          <w:r w:rsidRPr="00EF7DB9">
            <w:rPr>
              <w:noProof/>
            </w:rPr>
            <w:t>[3]</w:t>
          </w:r>
          <w:r>
            <w:fldChar w:fldCharType="end"/>
          </w:r>
        </w:sdtContent>
      </w:sdt>
    </w:p>
    <w:p w:rsidR="00067CD3" w:rsidRDefault="00067CD3" w:rsidP="00067CD3">
      <w:pPr>
        <w:pStyle w:val="Heading1"/>
      </w:pPr>
      <w:bookmarkStart w:id="3" w:name="_Toc198063091"/>
      <w:r w:rsidRPr="00B06B5B">
        <w:t>Mitigation Measures</w:t>
      </w:r>
      <w:bookmarkEnd w:id="3"/>
    </w:p>
    <w:p w:rsidR="00B06803" w:rsidRDefault="00B06803" w:rsidP="00B06803">
      <w:r>
        <w:t>The mitigation measures for identified threats involve a combination of controls and human strategies to address both internal and external risks. For phishing attacks, email filtering</w:t>
      </w:r>
      <w:r w:rsidR="008A3865">
        <w:t>,</w:t>
      </w:r>
      <w:r>
        <w:t xml:space="preserve"> </w:t>
      </w:r>
      <w:r w:rsidR="008A3865">
        <w:t xml:space="preserve">up-to-date </w:t>
      </w:r>
      <w:r>
        <w:t>Microsoft Defender are implemented to block malicious emails, w</w:t>
      </w:r>
      <w:r w:rsidR="008A3865">
        <w:t>ith regular adequate</w:t>
      </w:r>
      <w:r>
        <w:t xml:space="preserve"> simulations are conducted to train employees in recognizing and responding to phishing attempts</w:t>
      </w:r>
      <w:r w:rsidR="008A3865">
        <w:t xml:space="preserve"> and other intrusions</w:t>
      </w:r>
      <w:r>
        <w:t xml:space="preserve">. To prevent unauthorized access, multi-factor </w:t>
      </w:r>
      <w:r>
        <w:lastRenderedPageBreak/>
        <w:t>authentication</w:t>
      </w:r>
      <w:r w:rsidR="008A3865">
        <w:t xml:space="preserve"> </w:t>
      </w:r>
      <w:r>
        <w:t xml:space="preserve">is enforced for all remote access and critical systems, and network segmentation is used to isolate financial systems from general user networks, limiting the potential </w:t>
      </w:r>
      <w:r w:rsidR="008A3865">
        <w:t>vulnerability.</w:t>
      </w:r>
    </w:p>
    <w:p w:rsidR="00B06803" w:rsidRDefault="00B06803" w:rsidP="00B06803"/>
    <w:p w:rsidR="005B529A" w:rsidRDefault="00B06803" w:rsidP="00B06803">
      <w:r>
        <w:t xml:space="preserve">To combat malware and ransomware, </w:t>
      </w:r>
      <w:r w:rsidR="00BA4BCE">
        <w:t>use</w:t>
      </w:r>
      <w:r>
        <w:t xml:space="preserve"> protection solutions such as Kaspersky</w:t>
      </w:r>
      <w:r w:rsidR="00BA4BCE">
        <w:t xml:space="preserve"> </w:t>
      </w:r>
      <w:r>
        <w:t xml:space="preserve">to detect and neutralize threats, while ongoing user education ensures employees avoid opening suspicious attachments or visiting untrusted websites. Data breaches are mitigated through encryption of data, </w:t>
      </w:r>
      <w:r w:rsidR="005B529A">
        <w:t>in storage</w:t>
      </w:r>
      <w:r>
        <w:t xml:space="preserve">, </w:t>
      </w:r>
      <w:r w:rsidR="005B529A">
        <w:t xml:space="preserve">online transfer, </w:t>
      </w:r>
    </w:p>
    <w:p w:rsidR="00067CD3" w:rsidRDefault="005B529A" w:rsidP="00B06803">
      <w:r>
        <w:t>Regular</w:t>
      </w:r>
      <w:r w:rsidR="00B06803">
        <w:t xml:space="preserve"> penetration testing and vulnerability assessments are conducted to identify and address weaknesses. For threats and denial-of-service attacks, Security Information and Event Management</w:t>
      </w:r>
      <w:r w:rsidR="001A32A9">
        <w:t xml:space="preserve"> </w:t>
      </w:r>
      <w:r w:rsidR="00B06803">
        <w:t xml:space="preserve">tools to monitor for unusual patterns, and partnerships with cloud providers These measures collectively create a layered </w:t>
      </w:r>
      <w:r w:rsidR="001A32A9">
        <w:t>defence</w:t>
      </w:r>
      <w:r w:rsidR="00B06803">
        <w:t xml:space="preserve"> strategy to safeguard the organization’s digital assets and continuity.</w:t>
      </w:r>
    </w:p>
    <w:p w:rsidR="00EF7DB9" w:rsidRDefault="00EF7DB9" w:rsidP="00B06803">
      <w:r>
        <w:t>“</w:t>
      </w:r>
      <w:r w:rsidRPr="00EF7DB9">
        <w:t xml:space="preserve">Cyber risk mitigation can be challenging as many organizations lack real-time visibility of their cybersecurity posture in light of the rapid evolution of networks and changing threat </w:t>
      </w:r>
      <w:r w:rsidRPr="00EF7DB9">
        <w:t>landscape</w:t>
      </w:r>
      <w:r>
        <w:t>”</w:t>
      </w:r>
      <w:sdt>
        <w:sdtPr>
          <w:id w:val="1964691778"/>
          <w:citation/>
        </w:sdtPr>
        <w:sdtContent>
          <w:r>
            <w:fldChar w:fldCharType="begin"/>
          </w:r>
          <w:r>
            <w:instrText xml:space="preserve"> CITATION Ter25 \l 2057 </w:instrText>
          </w:r>
          <w:r>
            <w:fldChar w:fldCharType="separate"/>
          </w:r>
          <w:r>
            <w:rPr>
              <w:noProof/>
            </w:rPr>
            <w:t xml:space="preserve"> </w:t>
          </w:r>
          <w:r w:rsidRPr="00EF7DB9">
            <w:rPr>
              <w:noProof/>
            </w:rPr>
            <w:t>[4]</w:t>
          </w:r>
          <w:r>
            <w:fldChar w:fldCharType="end"/>
          </w:r>
        </w:sdtContent>
      </w:sdt>
    </w:p>
    <w:p w:rsidR="00067CD3" w:rsidRDefault="00067CD3" w:rsidP="007007AB">
      <w:pPr>
        <w:pStyle w:val="Heading1"/>
      </w:pPr>
      <w:bookmarkStart w:id="4" w:name="_Toc198063092"/>
      <w:r w:rsidRPr="00B06B5B">
        <w:t>Monitoring and Response</w:t>
      </w:r>
      <w:bookmarkEnd w:id="4"/>
    </w:p>
    <w:p w:rsidR="0090194E" w:rsidRDefault="00A60E82" w:rsidP="0090194E">
      <w:r>
        <w:t>Protocol to ascertain i</w:t>
      </w:r>
      <w:r w:rsidR="0090194E">
        <w:t xml:space="preserve">ncident response, ensuring timely detection, containment, and resolution of cybersecurity threats. It begins with threat detection, where incidents are logged, categorized by severity Low/Med/High, and escalated </w:t>
      </w:r>
      <w:r>
        <w:t>the relevant department.</w:t>
      </w:r>
    </w:p>
    <w:p w:rsidR="0090194E" w:rsidRDefault="0090194E" w:rsidP="0090194E">
      <w:r>
        <w:t xml:space="preserve">The incident analysis phase focuses on identifying the source of the threat, assessing affected systems, and containing its </w:t>
      </w:r>
      <w:r w:rsidR="00F51BFF">
        <w:t xml:space="preserve">spread, </w:t>
      </w:r>
      <w:proofErr w:type="gramStart"/>
      <w:r w:rsidR="00F51BFF">
        <w:t>This</w:t>
      </w:r>
      <w:proofErr w:type="gramEnd"/>
      <w:r>
        <w:t xml:space="preserve"> step is critical to prevent further damage and limit the attack’s impact.</w:t>
      </w:r>
    </w:p>
    <w:p w:rsidR="0090194E" w:rsidRDefault="0090194E" w:rsidP="0090194E">
      <w:r>
        <w:t>In containment and eradication, the response team removes malicious elements</w:t>
      </w:r>
      <w:r w:rsidR="00A60E82" w:rsidRPr="00A60E82">
        <w:t xml:space="preserve"> </w:t>
      </w:r>
      <w:r w:rsidR="00A60E82">
        <w:t xml:space="preserve">and </w:t>
      </w:r>
      <w:r w:rsidR="00A60E82">
        <w:t>unauthorized access</w:t>
      </w:r>
      <w:r>
        <w:t xml:space="preserve"> and addresses vulnerabilities to eliminate the threat’s root cause.</w:t>
      </w:r>
    </w:p>
    <w:p w:rsidR="0090194E" w:rsidRDefault="0090194E" w:rsidP="0090194E">
      <w:r>
        <w:t>The recovery stage involves restoring systems from backups and validating their integrity to ensure operational continuity. Finally, the post-incident review phase emphasizes documentation of lessons learned, updating security policies, and refining training programs to prevent recurrence.</w:t>
      </w:r>
    </w:p>
    <w:p w:rsidR="00EF7DB9" w:rsidRDefault="00EF7DB9" w:rsidP="0090194E">
      <w:r>
        <w:t>“</w:t>
      </w:r>
      <w:r w:rsidRPr="00EF7DB9">
        <w:t xml:space="preserve">Cybersecurity monitoring is the process of continuously monitoring a computer network or system to detect and prevent </w:t>
      </w:r>
      <w:r w:rsidR="00E23BFF" w:rsidRPr="00EF7DB9">
        <w:t>cyber-attacks</w:t>
      </w:r>
      <w:r w:rsidRPr="00EF7DB9">
        <w:t>. This involves using tools and techniques such as intrusion detection systems, firewalls, and antivirus software to identify and respond to security threats in real-time. Security analysts are responsible for monitoring these systems and responding to any potential security incidents. Effective cybersecurity monitoring is crucial for protecting businesses and individuals from cyber threats.</w:t>
      </w:r>
      <w:r>
        <w:t>”</w:t>
      </w:r>
      <w:sdt>
        <w:sdtPr>
          <w:id w:val="1788389332"/>
          <w:citation/>
        </w:sdtPr>
        <w:sdtContent>
          <w:r>
            <w:fldChar w:fldCharType="begin"/>
          </w:r>
          <w:r>
            <w:instrText xml:space="preserve"> CITATION ont25 \l 2057 </w:instrText>
          </w:r>
          <w:r>
            <w:fldChar w:fldCharType="separate"/>
          </w:r>
          <w:r>
            <w:rPr>
              <w:noProof/>
            </w:rPr>
            <w:t xml:space="preserve"> </w:t>
          </w:r>
          <w:r w:rsidRPr="00EF7DB9">
            <w:rPr>
              <w:noProof/>
            </w:rPr>
            <w:t>[5]</w:t>
          </w:r>
          <w:r>
            <w:fldChar w:fldCharType="end"/>
          </w:r>
        </w:sdtContent>
      </w:sdt>
    </w:p>
    <w:p w:rsidR="0090194E" w:rsidRDefault="0090194E" w:rsidP="0090194E">
      <w:pPr>
        <w:pStyle w:val="Heading1"/>
      </w:pPr>
      <w:bookmarkStart w:id="5" w:name="_Toc198063093"/>
      <w:r w:rsidRPr="00B06B5B">
        <w:lastRenderedPageBreak/>
        <w:t>Training and Awareness</w:t>
      </w:r>
      <w:bookmarkEnd w:id="5"/>
    </w:p>
    <w:p w:rsidR="0090194E" w:rsidRDefault="0090194E" w:rsidP="0090194E">
      <w:r w:rsidRPr="0090194E">
        <w:t>The objective is to educate employees to reduce human error and phishing susceptibility through a structured training program. Mandatory modules include Phishing Awareness, which uses simulated phishing emails with real-time feedback to improve recognition of threats; Password Security, focusing on best practices for creating and storing strong passwords</w:t>
      </w:r>
      <w:r w:rsidR="001A6191">
        <w:t>,</w:t>
      </w:r>
      <w:r w:rsidRPr="0090194E">
        <w:t xml:space="preserve"> Data Handling, procedures for securely sharing and disposing of sensitive information</w:t>
      </w:r>
      <w:r w:rsidR="001A6191">
        <w:t>,</w:t>
      </w:r>
      <w:r w:rsidRPr="0090194E">
        <w:t xml:space="preserve"> The training schedule includes</w:t>
      </w:r>
      <w:r w:rsidR="001A6191">
        <w:t xml:space="preserve"> </w:t>
      </w:r>
      <w:r w:rsidRPr="0090194E">
        <w:t>interactive sessions on emerging threats</w:t>
      </w:r>
      <w:r w:rsidR="00BF44A8">
        <w:t>,</w:t>
      </w:r>
      <w:r w:rsidRPr="0090194E">
        <w:t xml:space="preserve"> and Simulations, involving phishing exercises and team penetration tests to assess preparedness. Evaluation and compliance involve Assessments, such as quizzes after training modules to measure knowledge retention</w:t>
      </w:r>
      <w:r w:rsidR="001A6191">
        <w:t>,</w:t>
      </w:r>
      <w:r w:rsidRPr="0090194E">
        <w:t xml:space="preserve"> Awareness campaigns include Monthly Newsletters that highlight security tips and recent threats</w:t>
      </w:r>
      <w:r w:rsidR="001A6191">
        <w:t xml:space="preserve"> </w:t>
      </w:r>
      <w:r w:rsidRPr="0090194E">
        <w:t xml:space="preserve">activity. This comprehensive approach aims to </w:t>
      </w:r>
      <w:r w:rsidR="005B2CE4">
        <w:t>educate</w:t>
      </w:r>
      <w:r w:rsidRPr="0090194E">
        <w:t xml:space="preserve"> and minimize vulnerabilities caused by human error</w:t>
      </w:r>
      <w:r w:rsidR="00BD3A41">
        <w:t xml:space="preserve"> and</w:t>
      </w:r>
      <w:r w:rsidR="00F51BFF">
        <w:t xml:space="preserve"> able to identify latest tactics of vulnerabilities.</w:t>
      </w:r>
    </w:p>
    <w:p w:rsidR="00EF7DB9" w:rsidRDefault="00EF7DB9" w:rsidP="0090194E">
      <w:r>
        <w:t>“</w:t>
      </w:r>
      <w:r w:rsidRPr="00EF7DB9">
        <w:t>One of the major threats to an organisation’s information security is a lack of employee awareness. Many employees are simply unaware of the value of the everyday data they have access to. Without the proper precautions in place, information and assets can easily be accessed and taken by an unauthorised person.</w:t>
      </w:r>
      <w:r>
        <w:t>”</w:t>
      </w:r>
      <w:sdt>
        <w:sdtPr>
          <w:id w:val="889763378"/>
          <w:citation/>
        </w:sdtPr>
        <w:sdtContent>
          <w:r>
            <w:fldChar w:fldCharType="begin"/>
          </w:r>
          <w:r>
            <w:instrText xml:space="preserve"> CITATION Luk24 \l 2057 </w:instrText>
          </w:r>
          <w:r>
            <w:fldChar w:fldCharType="separate"/>
          </w:r>
          <w:r>
            <w:rPr>
              <w:noProof/>
            </w:rPr>
            <w:t xml:space="preserve"> </w:t>
          </w:r>
          <w:r w:rsidRPr="00EF7DB9">
            <w:rPr>
              <w:noProof/>
            </w:rPr>
            <w:t>[6]</w:t>
          </w:r>
          <w:r>
            <w:fldChar w:fldCharType="end"/>
          </w:r>
        </w:sdtContent>
      </w:sdt>
    </w:p>
    <w:p w:rsidR="00E1202D" w:rsidRDefault="00E1202D" w:rsidP="0090194E"/>
    <w:p w:rsidR="00EF7DB9" w:rsidRDefault="00EF7DB9" w:rsidP="0090194E"/>
    <w:p w:rsidR="00EF7DB9" w:rsidRDefault="00EF7DB9" w:rsidP="0090194E"/>
    <w:p w:rsidR="00EF7DB9" w:rsidRDefault="00EF7DB9" w:rsidP="0090194E"/>
    <w:p w:rsidR="00EF7DB9" w:rsidRDefault="00EF7DB9" w:rsidP="0090194E"/>
    <w:p w:rsidR="00EF7DB9" w:rsidRDefault="00EF7DB9" w:rsidP="0090194E"/>
    <w:p w:rsidR="00EF7DB9" w:rsidRDefault="00EF7DB9" w:rsidP="0090194E"/>
    <w:p w:rsidR="00EF7DB9" w:rsidRDefault="00EF7DB9" w:rsidP="0090194E"/>
    <w:p w:rsidR="00EF7DB9" w:rsidRDefault="00EF7DB9" w:rsidP="0090194E"/>
    <w:p w:rsidR="00EF7DB9" w:rsidRDefault="00EF7DB9" w:rsidP="0090194E"/>
    <w:p w:rsidR="00EF7DB9" w:rsidRDefault="00EF7DB9" w:rsidP="0090194E"/>
    <w:p w:rsidR="00EF7DB9" w:rsidRDefault="00EF7DB9" w:rsidP="0090194E"/>
    <w:p w:rsidR="00EF7DB9" w:rsidRDefault="00EF7DB9" w:rsidP="0090194E"/>
    <w:p w:rsidR="00EF7DB9" w:rsidRDefault="00EF7DB9" w:rsidP="0090194E"/>
    <w:p w:rsidR="0090194E" w:rsidRDefault="0090194E" w:rsidP="0090194E">
      <w:pPr>
        <w:pStyle w:val="Heading1"/>
      </w:pPr>
      <w:bookmarkStart w:id="6" w:name="_Toc198063094"/>
      <w:r>
        <w:lastRenderedPageBreak/>
        <w:t>Conclusion</w:t>
      </w:r>
      <w:bookmarkEnd w:id="6"/>
    </w:p>
    <w:p w:rsidR="00B06803" w:rsidRDefault="00B06803" w:rsidP="00B06803">
      <w:r>
        <w:t>The security</w:t>
      </w:r>
      <w:r w:rsidR="00F51BFF">
        <w:t xml:space="preserve"> protocol </w:t>
      </w:r>
      <w:r>
        <w:t xml:space="preserve">addresses both internal and external threats through clear policies, technical safeguards, and staff training. By aligning with standards, the organization ensures compliance with industry best practices and reduces risks by establishing a structured approach to risk management, incident response, and data protection. Technical measures—such as multi-factor </w:t>
      </w:r>
      <w:r w:rsidR="00C84BBE">
        <w:t>authentication, network</w:t>
      </w:r>
      <w:r>
        <w:t xml:space="preserve"> segmentation, and real-time monitoring</w:t>
      </w:r>
      <w:r w:rsidR="00F51BFF">
        <w:t>,</w:t>
      </w:r>
      <w:r>
        <w:t xml:space="preserve"> </w:t>
      </w:r>
      <w:r w:rsidR="00F51BFF">
        <w:t>regular scheduled</w:t>
      </w:r>
      <w:r>
        <w:t xml:space="preserve"> employee education, which is critical for mitigating human error, a leading cause of security breaches</w:t>
      </w:r>
      <w:r w:rsidR="00F51BFF">
        <w:t>, including assessment of education, potential certificates issued,</w:t>
      </w:r>
    </w:p>
    <w:p w:rsidR="00B06803" w:rsidRDefault="00B06803" w:rsidP="00B06803"/>
    <w:p w:rsidR="00B06803" w:rsidRDefault="00B06803" w:rsidP="00B06803">
      <w:r>
        <w:t>This approach not only tackles immediate threats but also builds long-term resilience against evolving challenges. By integrating proactive monitoring, continuous</w:t>
      </w:r>
      <w:r w:rsidR="00F51BFF">
        <w:t xml:space="preserve"> review</w:t>
      </w:r>
      <w:r>
        <w:t xml:space="preserve">, and post-incident reviews, the </w:t>
      </w:r>
      <w:r w:rsidR="00F51BFF">
        <w:t>protocols</w:t>
      </w:r>
      <w:r>
        <w:t xml:space="preserve"> </w:t>
      </w:r>
      <w:r w:rsidR="00F51BFF">
        <w:t>enable</w:t>
      </w:r>
      <w:r>
        <w:t xml:space="preserve"> the organization to adapt to</w:t>
      </w:r>
      <w:r w:rsidR="00F51BFF">
        <w:t xml:space="preserve"> threats</w:t>
      </w:r>
      <w:r>
        <w:t xml:space="preserve"> and regulatory requirements. minimizing downtime and reputational damage. Additionally, the emphasis on staff awareness where employees become active participants in maintaining security.</w:t>
      </w:r>
    </w:p>
    <w:p w:rsidR="00B06803" w:rsidRDefault="00B06803" w:rsidP="00B06803"/>
    <w:p w:rsidR="0090194E" w:rsidRDefault="008C51DB" w:rsidP="00B06803">
      <w:r>
        <w:t>T</w:t>
      </w:r>
      <w:r w:rsidR="00B06803">
        <w:t>he</w:t>
      </w:r>
      <w:r w:rsidR="00596390">
        <w:t xml:space="preserve"> protocol</w:t>
      </w:r>
      <w:r w:rsidR="00B06803">
        <w:t xml:space="preserve"> supports </w:t>
      </w:r>
      <w:r w:rsidR="00596390">
        <w:t>sustainability</w:t>
      </w:r>
      <w:r w:rsidR="00B06803">
        <w:t xml:space="preserve"> protecting the organization’s financial and operational integrity. A strong security not only safeguards sensitive data but also reinforces trust, including customers, partners, and regulators. By balancing technological solutions with</w:t>
      </w:r>
      <w:r w:rsidR="00596390">
        <w:t xml:space="preserve"> </w:t>
      </w:r>
      <w:r w:rsidR="00B06803">
        <w:t xml:space="preserve">strategies, the organization is well-equipped to navigate the </w:t>
      </w:r>
      <w:r w:rsidR="00596390">
        <w:t xml:space="preserve">changing </w:t>
      </w:r>
      <w:r w:rsidR="00B06803">
        <w:t>cybersecurity landscape, ensuring long-term stability and competitiveness in an increasingly threat-prone environment. This comprehensive approach positions the organization to respond effectively to current risks while remaining agile</w:t>
      </w:r>
      <w:r>
        <w:t>, and proactive to dynamic treats,</w:t>
      </w:r>
    </w:p>
    <w:p w:rsidR="00187ECF" w:rsidRDefault="00187ECF" w:rsidP="00B06803"/>
    <w:p w:rsidR="00187ECF" w:rsidRDefault="00187ECF" w:rsidP="00B06803"/>
    <w:p w:rsidR="00187ECF" w:rsidRDefault="00187ECF" w:rsidP="00B06803"/>
    <w:p w:rsidR="00187ECF" w:rsidRDefault="00187ECF" w:rsidP="00B06803"/>
    <w:p w:rsidR="005B2CE4" w:rsidRDefault="005B2CE4" w:rsidP="00B06803"/>
    <w:p w:rsidR="005B2CE4" w:rsidRDefault="005B2CE4" w:rsidP="00B06803"/>
    <w:p w:rsidR="005B2CE4" w:rsidRDefault="005B2CE4" w:rsidP="00B06803"/>
    <w:p w:rsidR="00187ECF" w:rsidRDefault="00187ECF" w:rsidP="00B06803"/>
    <w:p w:rsidR="00187ECF" w:rsidRDefault="00187ECF" w:rsidP="00B06803"/>
    <w:p w:rsidR="00187ECF" w:rsidRDefault="00187ECF" w:rsidP="00B06803"/>
    <w:bookmarkStart w:id="7" w:name="_Toc198063095" w:displacedByCustomXml="next"/>
    <w:sdt>
      <w:sdtPr>
        <w:id w:val="-668320482"/>
        <w:docPartObj>
          <w:docPartGallery w:val="Bibliographies"/>
          <w:docPartUnique/>
        </w:docPartObj>
      </w:sdtPr>
      <w:sdtEndPr>
        <w:rPr>
          <w:rFonts w:asciiTheme="minorHAnsi" w:eastAsiaTheme="minorHAnsi" w:hAnsiTheme="minorHAnsi" w:cstheme="minorBidi"/>
          <w:color w:val="auto"/>
          <w:sz w:val="24"/>
          <w:szCs w:val="24"/>
        </w:rPr>
      </w:sdtEndPr>
      <w:sdtContent>
        <w:p w:rsidR="003C709B" w:rsidRDefault="003C709B">
          <w:pPr>
            <w:pStyle w:val="Heading1"/>
          </w:pPr>
          <w:r>
            <w:t>Bibliography</w:t>
          </w:r>
          <w:bookmarkEnd w:id="7"/>
        </w:p>
        <w:sdt>
          <w:sdtPr>
            <w:id w:val="111145805"/>
            <w:bibliography/>
          </w:sdtPr>
          <w:sdtContent>
            <w:p w:rsidR="003C709B" w:rsidRDefault="003C709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3C709B">
                <w:trPr>
                  <w:divId w:val="1604260574"/>
                  <w:tblCellSpacing w:w="15" w:type="dxa"/>
                </w:trPr>
                <w:tc>
                  <w:tcPr>
                    <w:tcW w:w="50" w:type="pct"/>
                    <w:hideMark/>
                  </w:tcPr>
                  <w:p w:rsidR="003C709B" w:rsidRDefault="003C709B">
                    <w:pPr>
                      <w:pStyle w:val="Bibliography"/>
                      <w:rPr>
                        <w:noProof/>
                        <w:kern w:val="0"/>
                        <w14:ligatures w14:val="none"/>
                      </w:rPr>
                    </w:pPr>
                    <w:r>
                      <w:rPr>
                        <w:noProof/>
                      </w:rPr>
                      <w:t xml:space="preserve">[1] </w:t>
                    </w:r>
                  </w:p>
                </w:tc>
                <w:tc>
                  <w:tcPr>
                    <w:tcW w:w="0" w:type="auto"/>
                    <w:hideMark/>
                  </w:tcPr>
                  <w:p w:rsidR="003C709B" w:rsidRDefault="003C709B">
                    <w:pPr>
                      <w:pStyle w:val="Bibliography"/>
                      <w:rPr>
                        <w:noProof/>
                      </w:rPr>
                    </w:pPr>
                    <w:r>
                      <w:rPr>
                        <w:noProof/>
                      </w:rPr>
                      <w:t>“www.gov.uk,” 09 04 2024. [Online]. Available: https://www.gov.uk/government/statistics/cyber-security-breaches-survey-2024/cyber-security-breaches-survey-2024. [Accessed 05 2025].</w:t>
                    </w:r>
                  </w:p>
                </w:tc>
              </w:tr>
              <w:tr w:rsidR="003C709B">
                <w:trPr>
                  <w:divId w:val="1604260574"/>
                  <w:tblCellSpacing w:w="15" w:type="dxa"/>
                </w:trPr>
                <w:tc>
                  <w:tcPr>
                    <w:tcW w:w="50" w:type="pct"/>
                    <w:hideMark/>
                  </w:tcPr>
                  <w:p w:rsidR="003C709B" w:rsidRDefault="003C709B">
                    <w:pPr>
                      <w:pStyle w:val="Bibliography"/>
                      <w:rPr>
                        <w:noProof/>
                      </w:rPr>
                    </w:pPr>
                    <w:r>
                      <w:rPr>
                        <w:noProof/>
                      </w:rPr>
                      <w:t xml:space="preserve">[2] </w:t>
                    </w:r>
                  </w:p>
                </w:tc>
                <w:tc>
                  <w:tcPr>
                    <w:tcW w:w="0" w:type="auto"/>
                    <w:hideMark/>
                  </w:tcPr>
                  <w:p w:rsidR="003C709B" w:rsidRDefault="003C709B">
                    <w:pPr>
                      <w:pStyle w:val="Bibliography"/>
                      <w:rPr>
                        <w:noProof/>
                      </w:rPr>
                    </w:pPr>
                    <w:r>
                      <w:rPr>
                        <w:noProof/>
                      </w:rPr>
                      <w:t>“ncsc.gov.uk,” [Online]. Available: https://www.ncsc.gov.uk/collection/board-toolkit/principle-e-assurance-and-oversight/understanding-the-cyber-security-threat. [Accessed 02 05 2025].</w:t>
                    </w:r>
                  </w:p>
                </w:tc>
              </w:tr>
              <w:tr w:rsidR="003C709B">
                <w:trPr>
                  <w:divId w:val="1604260574"/>
                  <w:tblCellSpacing w:w="15" w:type="dxa"/>
                </w:trPr>
                <w:tc>
                  <w:tcPr>
                    <w:tcW w:w="50" w:type="pct"/>
                    <w:hideMark/>
                  </w:tcPr>
                  <w:p w:rsidR="003C709B" w:rsidRDefault="003C709B">
                    <w:pPr>
                      <w:pStyle w:val="Bibliography"/>
                      <w:rPr>
                        <w:noProof/>
                      </w:rPr>
                    </w:pPr>
                    <w:r>
                      <w:rPr>
                        <w:noProof/>
                      </w:rPr>
                      <w:t xml:space="preserve">[3] </w:t>
                    </w:r>
                  </w:p>
                </w:tc>
                <w:tc>
                  <w:tcPr>
                    <w:tcW w:w="0" w:type="auto"/>
                    <w:hideMark/>
                  </w:tcPr>
                  <w:p w:rsidR="003C709B" w:rsidRDefault="003C709B">
                    <w:pPr>
                      <w:pStyle w:val="Bibliography"/>
                      <w:rPr>
                        <w:noProof/>
                      </w:rPr>
                    </w:pPr>
                    <w:r>
                      <w:rPr>
                        <w:noProof/>
                      </w:rPr>
                      <w:t>J. Thompson, “nwcrc.co.uk,” 01 06 2023. [Online]. Available: https://www.nwcrc.co.uk/post/cyber-security-policy. [Accessed 06 05 2025].</w:t>
                    </w:r>
                  </w:p>
                </w:tc>
              </w:tr>
              <w:tr w:rsidR="003C709B">
                <w:trPr>
                  <w:divId w:val="1604260574"/>
                  <w:tblCellSpacing w:w="15" w:type="dxa"/>
                </w:trPr>
                <w:tc>
                  <w:tcPr>
                    <w:tcW w:w="50" w:type="pct"/>
                    <w:hideMark/>
                  </w:tcPr>
                  <w:p w:rsidR="003C709B" w:rsidRDefault="003C709B">
                    <w:pPr>
                      <w:pStyle w:val="Bibliography"/>
                      <w:rPr>
                        <w:noProof/>
                      </w:rPr>
                    </w:pPr>
                    <w:r>
                      <w:rPr>
                        <w:noProof/>
                      </w:rPr>
                      <w:t xml:space="preserve">[4] </w:t>
                    </w:r>
                  </w:p>
                </w:tc>
                <w:tc>
                  <w:tcPr>
                    <w:tcW w:w="0" w:type="auto"/>
                    <w:hideMark/>
                  </w:tcPr>
                  <w:p w:rsidR="003C709B" w:rsidRDefault="003C709B">
                    <w:pPr>
                      <w:pStyle w:val="Bibliography"/>
                      <w:rPr>
                        <w:noProof/>
                      </w:rPr>
                    </w:pPr>
                    <w:r>
                      <w:rPr>
                        <w:noProof/>
                      </w:rPr>
                      <w:t>T. Olaes, “balbix.com,” 16 01 2025. [Online]. Available: https://www.balbix.com/insights/what-is-cyber-risk-mitigation/. [Accessed 07 05 2025].</w:t>
                    </w:r>
                  </w:p>
                </w:tc>
              </w:tr>
              <w:tr w:rsidR="003C709B">
                <w:trPr>
                  <w:divId w:val="1604260574"/>
                  <w:tblCellSpacing w:w="15" w:type="dxa"/>
                </w:trPr>
                <w:tc>
                  <w:tcPr>
                    <w:tcW w:w="50" w:type="pct"/>
                    <w:hideMark/>
                  </w:tcPr>
                  <w:p w:rsidR="003C709B" w:rsidRDefault="003C709B">
                    <w:pPr>
                      <w:pStyle w:val="Bibliography"/>
                      <w:rPr>
                        <w:noProof/>
                      </w:rPr>
                    </w:pPr>
                    <w:r>
                      <w:rPr>
                        <w:noProof/>
                      </w:rPr>
                      <w:t xml:space="preserve">[5] </w:t>
                    </w:r>
                  </w:p>
                </w:tc>
                <w:tc>
                  <w:tcPr>
                    <w:tcW w:w="0" w:type="auto"/>
                    <w:hideMark/>
                  </w:tcPr>
                  <w:p w:rsidR="003C709B" w:rsidRDefault="003C709B">
                    <w:pPr>
                      <w:pStyle w:val="Bibliography"/>
                      <w:rPr>
                        <w:noProof/>
                      </w:rPr>
                    </w:pPr>
                    <w:r>
                      <w:rPr>
                        <w:noProof/>
                      </w:rPr>
                      <w:t>ontinue, “ontinue.com,” 2025. [Online]. Available: https://www.ontinue.com/cyber-security-monitoring/. [Accessed 10 05 2025].</w:t>
                    </w:r>
                  </w:p>
                </w:tc>
              </w:tr>
              <w:tr w:rsidR="003C709B">
                <w:trPr>
                  <w:divId w:val="1604260574"/>
                  <w:tblCellSpacing w:w="15" w:type="dxa"/>
                </w:trPr>
                <w:tc>
                  <w:tcPr>
                    <w:tcW w:w="50" w:type="pct"/>
                    <w:hideMark/>
                  </w:tcPr>
                  <w:p w:rsidR="003C709B" w:rsidRDefault="003C709B">
                    <w:pPr>
                      <w:pStyle w:val="Bibliography"/>
                      <w:rPr>
                        <w:noProof/>
                      </w:rPr>
                    </w:pPr>
                    <w:r>
                      <w:rPr>
                        <w:noProof/>
                      </w:rPr>
                      <w:t xml:space="preserve">[6] </w:t>
                    </w:r>
                  </w:p>
                </w:tc>
                <w:tc>
                  <w:tcPr>
                    <w:tcW w:w="0" w:type="auto"/>
                    <w:hideMark/>
                  </w:tcPr>
                  <w:p w:rsidR="003C709B" w:rsidRDefault="003C709B">
                    <w:pPr>
                      <w:pStyle w:val="Bibliography"/>
                      <w:rPr>
                        <w:noProof/>
                      </w:rPr>
                    </w:pPr>
                    <w:r>
                      <w:rPr>
                        <w:noProof/>
                      </w:rPr>
                      <w:t>L. Noonan, “metacompliance.com,” 2024. [Online]. Available: https://www.metacompliance.com/blog/security-awareness-training/essential-cyber-security-awareness-training. [Accessed 11 05 2025].</w:t>
                    </w:r>
                  </w:p>
                </w:tc>
              </w:tr>
            </w:tbl>
            <w:p w:rsidR="003C709B" w:rsidRDefault="003C709B">
              <w:pPr>
                <w:divId w:val="1604260574"/>
                <w:rPr>
                  <w:rFonts w:eastAsia="Times New Roman"/>
                  <w:noProof/>
                </w:rPr>
              </w:pPr>
            </w:p>
            <w:p w:rsidR="003C709B" w:rsidRDefault="003C709B">
              <w:r>
                <w:rPr>
                  <w:b/>
                  <w:bCs/>
                  <w:noProof/>
                </w:rPr>
                <w:fldChar w:fldCharType="end"/>
              </w:r>
            </w:p>
          </w:sdtContent>
        </w:sdt>
      </w:sdtContent>
    </w:sdt>
    <w:p w:rsidR="00187ECF" w:rsidRDefault="00187ECF" w:rsidP="00187ECF"/>
    <w:p w:rsidR="00187ECF" w:rsidRDefault="00187ECF" w:rsidP="00187ECF">
      <w:pPr>
        <w:pStyle w:val="Heading1"/>
      </w:pPr>
      <w:bookmarkStart w:id="8" w:name="_Toc198063096"/>
      <w:r>
        <w:t>Appendix</w:t>
      </w:r>
      <w:bookmarkEnd w:id="8"/>
    </w:p>
    <w:p w:rsidR="00187ECF" w:rsidRDefault="00187ECF" w:rsidP="00187ECF">
      <w:r>
        <w:t>PowerPoint presentation</w:t>
      </w:r>
    </w:p>
    <w:p w:rsidR="00187ECF" w:rsidRDefault="005431F9" w:rsidP="00E9189B">
      <w:r>
        <w:rPr>
          <w:noProof/>
        </w:rPr>
        <w:lastRenderedPageBreak/>
        <w:drawing>
          <wp:inline distT="0" distB="0" distL="0" distR="0">
            <wp:extent cx="5731510" cy="3722370"/>
            <wp:effectExtent l="0" t="0" r="0" b="0"/>
            <wp:docPr id="1262053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053755" name="Picture 1262053755"/>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p>
    <w:p w:rsidR="005431F9" w:rsidRDefault="005431F9" w:rsidP="00E9189B">
      <w:r>
        <w:rPr>
          <w:noProof/>
        </w:rPr>
        <w:drawing>
          <wp:inline distT="0" distB="0" distL="0" distR="0">
            <wp:extent cx="5731510" cy="3722370"/>
            <wp:effectExtent l="0" t="0" r="0" b="0"/>
            <wp:docPr id="10635353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535370" name="Picture 1063535370"/>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p>
    <w:p w:rsidR="005431F9" w:rsidRDefault="005431F9" w:rsidP="00E9189B">
      <w:r>
        <w:rPr>
          <w:noProof/>
        </w:rPr>
        <w:lastRenderedPageBreak/>
        <w:drawing>
          <wp:inline distT="0" distB="0" distL="0" distR="0">
            <wp:extent cx="5731510" cy="3722370"/>
            <wp:effectExtent l="0" t="0" r="0" b="0"/>
            <wp:docPr id="8921802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180290" name="Picture 89218029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p>
    <w:p w:rsidR="005431F9" w:rsidRDefault="005431F9" w:rsidP="00E9189B">
      <w:r>
        <w:rPr>
          <w:noProof/>
        </w:rPr>
        <w:drawing>
          <wp:inline distT="0" distB="0" distL="0" distR="0">
            <wp:extent cx="5731510" cy="3722370"/>
            <wp:effectExtent l="0" t="0" r="0" b="0"/>
            <wp:docPr id="13480699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069939" name="Picture 1348069939"/>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p>
    <w:p w:rsidR="005431F9" w:rsidRDefault="005431F9" w:rsidP="00E9189B">
      <w:r>
        <w:rPr>
          <w:noProof/>
        </w:rPr>
        <w:lastRenderedPageBreak/>
        <w:drawing>
          <wp:inline distT="0" distB="0" distL="0" distR="0">
            <wp:extent cx="5731510" cy="3722370"/>
            <wp:effectExtent l="0" t="0" r="0" b="0"/>
            <wp:docPr id="11450736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073692" name="Picture 114507369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p>
    <w:p w:rsidR="005431F9" w:rsidRDefault="005431F9" w:rsidP="00E9189B"/>
    <w:p w:rsidR="005431F9" w:rsidRPr="00187ECF" w:rsidRDefault="005431F9" w:rsidP="00E9189B">
      <w:r>
        <w:t>END</w:t>
      </w:r>
    </w:p>
    <w:sectPr w:rsidR="005431F9" w:rsidRPr="00187E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3D3"/>
    <w:rsid w:val="000246E3"/>
    <w:rsid w:val="0002673F"/>
    <w:rsid w:val="00067CD3"/>
    <w:rsid w:val="000C5AD4"/>
    <w:rsid w:val="000E48FA"/>
    <w:rsid w:val="00187ECF"/>
    <w:rsid w:val="001A32A9"/>
    <w:rsid w:val="001A6191"/>
    <w:rsid w:val="002E32DD"/>
    <w:rsid w:val="003C709B"/>
    <w:rsid w:val="00412CE6"/>
    <w:rsid w:val="00427D29"/>
    <w:rsid w:val="00466898"/>
    <w:rsid w:val="00467FD4"/>
    <w:rsid w:val="004879D5"/>
    <w:rsid w:val="005431F9"/>
    <w:rsid w:val="00562749"/>
    <w:rsid w:val="00596390"/>
    <w:rsid w:val="005B2CE4"/>
    <w:rsid w:val="005B529A"/>
    <w:rsid w:val="005E1F86"/>
    <w:rsid w:val="00610989"/>
    <w:rsid w:val="006D3291"/>
    <w:rsid w:val="007007AB"/>
    <w:rsid w:val="007055F6"/>
    <w:rsid w:val="00786002"/>
    <w:rsid w:val="007A2EA6"/>
    <w:rsid w:val="007E0DF2"/>
    <w:rsid w:val="00847D8C"/>
    <w:rsid w:val="008A3865"/>
    <w:rsid w:val="008C51DB"/>
    <w:rsid w:val="0090194E"/>
    <w:rsid w:val="009C2E55"/>
    <w:rsid w:val="009C43D3"/>
    <w:rsid w:val="00A366F0"/>
    <w:rsid w:val="00A60E82"/>
    <w:rsid w:val="00B06803"/>
    <w:rsid w:val="00B34212"/>
    <w:rsid w:val="00BA4BCE"/>
    <w:rsid w:val="00BD3A41"/>
    <w:rsid w:val="00BF44A8"/>
    <w:rsid w:val="00C15DF0"/>
    <w:rsid w:val="00C84BBE"/>
    <w:rsid w:val="00C93C96"/>
    <w:rsid w:val="00C953F5"/>
    <w:rsid w:val="00CE2061"/>
    <w:rsid w:val="00D36F4A"/>
    <w:rsid w:val="00E1202D"/>
    <w:rsid w:val="00E23BFF"/>
    <w:rsid w:val="00E9189B"/>
    <w:rsid w:val="00EC1228"/>
    <w:rsid w:val="00EF7DB9"/>
    <w:rsid w:val="00F50BD6"/>
    <w:rsid w:val="00F51BFF"/>
    <w:rsid w:val="00FD6513"/>
    <w:rsid w:val="00FF3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4A69B9"/>
  <w15:chartTrackingRefBased/>
  <w15:docId w15:val="{DD2308B6-F773-B741-A3A3-F3FD3126E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3D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C43D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C43D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43D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43D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43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3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3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3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3D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C43D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C43D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C43D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43D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43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3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3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3D3"/>
    <w:rPr>
      <w:rFonts w:eastAsiaTheme="majorEastAsia" w:cstheme="majorBidi"/>
      <w:color w:val="272727" w:themeColor="text1" w:themeTint="D8"/>
    </w:rPr>
  </w:style>
  <w:style w:type="paragraph" w:styleId="Title">
    <w:name w:val="Title"/>
    <w:basedOn w:val="Normal"/>
    <w:next w:val="Normal"/>
    <w:link w:val="TitleChar"/>
    <w:uiPriority w:val="10"/>
    <w:qFormat/>
    <w:rsid w:val="009C43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3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3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3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3D3"/>
    <w:pPr>
      <w:spacing w:before="160"/>
      <w:jc w:val="center"/>
    </w:pPr>
    <w:rPr>
      <w:i/>
      <w:iCs/>
      <w:color w:val="404040" w:themeColor="text1" w:themeTint="BF"/>
    </w:rPr>
  </w:style>
  <w:style w:type="character" w:customStyle="1" w:styleId="QuoteChar">
    <w:name w:val="Quote Char"/>
    <w:basedOn w:val="DefaultParagraphFont"/>
    <w:link w:val="Quote"/>
    <w:uiPriority w:val="29"/>
    <w:rsid w:val="009C43D3"/>
    <w:rPr>
      <w:i/>
      <w:iCs/>
      <w:color w:val="404040" w:themeColor="text1" w:themeTint="BF"/>
    </w:rPr>
  </w:style>
  <w:style w:type="paragraph" w:styleId="ListParagraph">
    <w:name w:val="List Paragraph"/>
    <w:basedOn w:val="Normal"/>
    <w:uiPriority w:val="34"/>
    <w:qFormat/>
    <w:rsid w:val="009C43D3"/>
    <w:pPr>
      <w:ind w:left="720"/>
      <w:contextualSpacing/>
    </w:pPr>
  </w:style>
  <w:style w:type="character" w:styleId="IntenseEmphasis">
    <w:name w:val="Intense Emphasis"/>
    <w:basedOn w:val="DefaultParagraphFont"/>
    <w:uiPriority w:val="21"/>
    <w:qFormat/>
    <w:rsid w:val="009C43D3"/>
    <w:rPr>
      <w:i/>
      <w:iCs/>
      <w:color w:val="2F5496" w:themeColor="accent1" w:themeShade="BF"/>
    </w:rPr>
  </w:style>
  <w:style w:type="paragraph" w:styleId="IntenseQuote">
    <w:name w:val="Intense Quote"/>
    <w:basedOn w:val="Normal"/>
    <w:next w:val="Normal"/>
    <w:link w:val="IntenseQuoteChar"/>
    <w:uiPriority w:val="30"/>
    <w:qFormat/>
    <w:rsid w:val="009C43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43D3"/>
    <w:rPr>
      <w:i/>
      <w:iCs/>
      <w:color w:val="2F5496" w:themeColor="accent1" w:themeShade="BF"/>
    </w:rPr>
  </w:style>
  <w:style w:type="character" w:styleId="IntenseReference">
    <w:name w:val="Intense Reference"/>
    <w:basedOn w:val="DefaultParagraphFont"/>
    <w:uiPriority w:val="32"/>
    <w:qFormat/>
    <w:rsid w:val="009C43D3"/>
    <w:rPr>
      <w:b/>
      <w:bCs/>
      <w:smallCaps/>
      <w:color w:val="2F5496" w:themeColor="accent1" w:themeShade="BF"/>
      <w:spacing w:val="5"/>
    </w:rPr>
  </w:style>
  <w:style w:type="paragraph" w:styleId="TOCHeading">
    <w:name w:val="TOC Heading"/>
    <w:basedOn w:val="Heading1"/>
    <w:next w:val="Normal"/>
    <w:uiPriority w:val="39"/>
    <w:unhideWhenUsed/>
    <w:qFormat/>
    <w:rsid w:val="00412CE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12CE6"/>
    <w:pPr>
      <w:spacing w:before="120" w:after="0"/>
    </w:pPr>
    <w:rPr>
      <w:rFonts w:cstheme="minorHAnsi"/>
      <w:b/>
      <w:bCs/>
      <w:i/>
      <w:iCs/>
    </w:rPr>
  </w:style>
  <w:style w:type="character" w:styleId="Hyperlink">
    <w:name w:val="Hyperlink"/>
    <w:basedOn w:val="DefaultParagraphFont"/>
    <w:uiPriority w:val="99"/>
    <w:unhideWhenUsed/>
    <w:rsid w:val="00412CE6"/>
    <w:rPr>
      <w:color w:val="0563C1" w:themeColor="hyperlink"/>
      <w:u w:val="single"/>
    </w:rPr>
  </w:style>
  <w:style w:type="paragraph" w:styleId="TOC2">
    <w:name w:val="toc 2"/>
    <w:basedOn w:val="Normal"/>
    <w:next w:val="Normal"/>
    <w:autoRedefine/>
    <w:uiPriority w:val="39"/>
    <w:semiHidden/>
    <w:unhideWhenUsed/>
    <w:rsid w:val="00412CE6"/>
    <w:pPr>
      <w:spacing w:before="120" w:after="0"/>
      <w:ind w:left="240"/>
    </w:pPr>
    <w:rPr>
      <w:rFonts w:cstheme="minorHAnsi"/>
      <w:b/>
      <w:bCs/>
      <w:sz w:val="22"/>
      <w:szCs w:val="22"/>
    </w:rPr>
  </w:style>
  <w:style w:type="paragraph" w:styleId="TOC3">
    <w:name w:val="toc 3"/>
    <w:basedOn w:val="Normal"/>
    <w:next w:val="Normal"/>
    <w:autoRedefine/>
    <w:uiPriority w:val="39"/>
    <w:semiHidden/>
    <w:unhideWhenUsed/>
    <w:rsid w:val="00412CE6"/>
    <w:pPr>
      <w:spacing w:after="0"/>
      <w:ind w:left="480"/>
    </w:pPr>
    <w:rPr>
      <w:rFonts w:cstheme="minorHAnsi"/>
      <w:sz w:val="20"/>
      <w:szCs w:val="20"/>
    </w:rPr>
  </w:style>
  <w:style w:type="paragraph" w:styleId="TOC4">
    <w:name w:val="toc 4"/>
    <w:basedOn w:val="Normal"/>
    <w:next w:val="Normal"/>
    <w:autoRedefine/>
    <w:uiPriority w:val="39"/>
    <w:semiHidden/>
    <w:unhideWhenUsed/>
    <w:rsid w:val="00412CE6"/>
    <w:pPr>
      <w:spacing w:after="0"/>
      <w:ind w:left="720"/>
    </w:pPr>
    <w:rPr>
      <w:rFonts w:cstheme="minorHAnsi"/>
      <w:sz w:val="20"/>
      <w:szCs w:val="20"/>
    </w:rPr>
  </w:style>
  <w:style w:type="paragraph" w:styleId="TOC5">
    <w:name w:val="toc 5"/>
    <w:basedOn w:val="Normal"/>
    <w:next w:val="Normal"/>
    <w:autoRedefine/>
    <w:uiPriority w:val="39"/>
    <w:semiHidden/>
    <w:unhideWhenUsed/>
    <w:rsid w:val="00412CE6"/>
    <w:pPr>
      <w:spacing w:after="0"/>
      <w:ind w:left="960"/>
    </w:pPr>
    <w:rPr>
      <w:rFonts w:cstheme="minorHAnsi"/>
      <w:sz w:val="20"/>
      <w:szCs w:val="20"/>
    </w:rPr>
  </w:style>
  <w:style w:type="paragraph" w:styleId="TOC6">
    <w:name w:val="toc 6"/>
    <w:basedOn w:val="Normal"/>
    <w:next w:val="Normal"/>
    <w:autoRedefine/>
    <w:uiPriority w:val="39"/>
    <w:semiHidden/>
    <w:unhideWhenUsed/>
    <w:rsid w:val="00412CE6"/>
    <w:pPr>
      <w:spacing w:after="0"/>
      <w:ind w:left="1200"/>
    </w:pPr>
    <w:rPr>
      <w:rFonts w:cstheme="minorHAnsi"/>
      <w:sz w:val="20"/>
      <w:szCs w:val="20"/>
    </w:rPr>
  </w:style>
  <w:style w:type="paragraph" w:styleId="TOC7">
    <w:name w:val="toc 7"/>
    <w:basedOn w:val="Normal"/>
    <w:next w:val="Normal"/>
    <w:autoRedefine/>
    <w:uiPriority w:val="39"/>
    <w:semiHidden/>
    <w:unhideWhenUsed/>
    <w:rsid w:val="00412CE6"/>
    <w:pPr>
      <w:spacing w:after="0"/>
      <w:ind w:left="1440"/>
    </w:pPr>
    <w:rPr>
      <w:rFonts w:cstheme="minorHAnsi"/>
      <w:sz w:val="20"/>
      <w:szCs w:val="20"/>
    </w:rPr>
  </w:style>
  <w:style w:type="paragraph" w:styleId="TOC8">
    <w:name w:val="toc 8"/>
    <w:basedOn w:val="Normal"/>
    <w:next w:val="Normal"/>
    <w:autoRedefine/>
    <w:uiPriority w:val="39"/>
    <w:semiHidden/>
    <w:unhideWhenUsed/>
    <w:rsid w:val="00412CE6"/>
    <w:pPr>
      <w:spacing w:after="0"/>
      <w:ind w:left="1680"/>
    </w:pPr>
    <w:rPr>
      <w:rFonts w:cstheme="minorHAnsi"/>
      <w:sz w:val="20"/>
      <w:szCs w:val="20"/>
    </w:rPr>
  </w:style>
  <w:style w:type="paragraph" w:styleId="TOC9">
    <w:name w:val="toc 9"/>
    <w:basedOn w:val="Normal"/>
    <w:next w:val="Normal"/>
    <w:autoRedefine/>
    <w:uiPriority w:val="39"/>
    <w:semiHidden/>
    <w:unhideWhenUsed/>
    <w:rsid w:val="00412CE6"/>
    <w:pPr>
      <w:spacing w:after="0"/>
      <w:ind w:left="1920"/>
    </w:pPr>
    <w:rPr>
      <w:rFonts w:cstheme="minorHAnsi"/>
      <w:sz w:val="20"/>
      <w:szCs w:val="20"/>
    </w:rPr>
  </w:style>
  <w:style w:type="table" w:styleId="TableGrid">
    <w:name w:val="Table Grid"/>
    <w:basedOn w:val="TableNormal"/>
    <w:uiPriority w:val="39"/>
    <w:rsid w:val="00067C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C70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752361">
      <w:bodyDiv w:val="1"/>
      <w:marLeft w:val="0"/>
      <w:marRight w:val="0"/>
      <w:marTop w:val="0"/>
      <w:marBottom w:val="0"/>
      <w:divBdr>
        <w:top w:val="none" w:sz="0" w:space="0" w:color="auto"/>
        <w:left w:val="none" w:sz="0" w:space="0" w:color="auto"/>
        <w:bottom w:val="none" w:sz="0" w:space="0" w:color="auto"/>
        <w:right w:val="none" w:sz="0" w:space="0" w:color="auto"/>
      </w:divBdr>
    </w:div>
    <w:div w:id="108359012">
      <w:bodyDiv w:val="1"/>
      <w:marLeft w:val="0"/>
      <w:marRight w:val="0"/>
      <w:marTop w:val="0"/>
      <w:marBottom w:val="0"/>
      <w:divBdr>
        <w:top w:val="none" w:sz="0" w:space="0" w:color="auto"/>
        <w:left w:val="none" w:sz="0" w:space="0" w:color="auto"/>
        <w:bottom w:val="none" w:sz="0" w:space="0" w:color="auto"/>
        <w:right w:val="none" w:sz="0" w:space="0" w:color="auto"/>
      </w:divBdr>
    </w:div>
    <w:div w:id="525026428">
      <w:bodyDiv w:val="1"/>
      <w:marLeft w:val="0"/>
      <w:marRight w:val="0"/>
      <w:marTop w:val="0"/>
      <w:marBottom w:val="0"/>
      <w:divBdr>
        <w:top w:val="none" w:sz="0" w:space="0" w:color="auto"/>
        <w:left w:val="none" w:sz="0" w:space="0" w:color="auto"/>
        <w:bottom w:val="none" w:sz="0" w:space="0" w:color="auto"/>
        <w:right w:val="none" w:sz="0" w:space="0" w:color="auto"/>
      </w:divBdr>
    </w:div>
    <w:div w:id="623659164">
      <w:bodyDiv w:val="1"/>
      <w:marLeft w:val="0"/>
      <w:marRight w:val="0"/>
      <w:marTop w:val="0"/>
      <w:marBottom w:val="0"/>
      <w:divBdr>
        <w:top w:val="none" w:sz="0" w:space="0" w:color="auto"/>
        <w:left w:val="none" w:sz="0" w:space="0" w:color="auto"/>
        <w:bottom w:val="none" w:sz="0" w:space="0" w:color="auto"/>
        <w:right w:val="none" w:sz="0" w:space="0" w:color="auto"/>
      </w:divBdr>
    </w:div>
    <w:div w:id="822815431">
      <w:bodyDiv w:val="1"/>
      <w:marLeft w:val="0"/>
      <w:marRight w:val="0"/>
      <w:marTop w:val="0"/>
      <w:marBottom w:val="0"/>
      <w:divBdr>
        <w:top w:val="none" w:sz="0" w:space="0" w:color="auto"/>
        <w:left w:val="none" w:sz="0" w:space="0" w:color="auto"/>
        <w:bottom w:val="none" w:sz="0" w:space="0" w:color="auto"/>
        <w:right w:val="none" w:sz="0" w:space="0" w:color="auto"/>
      </w:divBdr>
    </w:div>
    <w:div w:id="981733572">
      <w:bodyDiv w:val="1"/>
      <w:marLeft w:val="0"/>
      <w:marRight w:val="0"/>
      <w:marTop w:val="0"/>
      <w:marBottom w:val="0"/>
      <w:divBdr>
        <w:top w:val="none" w:sz="0" w:space="0" w:color="auto"/>
        <w:left w:val="none" w:sz="0" w:space="0" w:color="auto"/>
        <w:bottom w:val="none" w:sz="0" w:space="0" w:color="auto"/>
        <w:right w:val="none" w:sz="0" w:space="0" w:color="auto"/>
      </w:divBdr>
    </w:div>
    <w:div w:id="1145514938">
      <w:bodyDiv w:val="1"/>
      <w:marLeft w:val="0"/>
      <w:marRight w:val="0"/>
      <w:marTop w:val="0"/>
      <w:marBottom w:val="0"/>
      <w:divBdr>
        <w:top w:val="none" w:sz="0" w:space="0" w:color="auto"/>
        <w:left w:val="none" w:sz="0" w:space="0" w:color="auto"/>
        <w:bottom w:val="none" w:sz="0" w:space="0" w:color="auto"/>
        <w:right w:val="none" w:sz="0" w:space="0" w:color="auto"/>
      </w:divBdr>
    </w:div>
    <w:div w:id="1516533507">
      <w:bodyDiv w:val="1"/>
      <w:marLeft w:val="0"/>
      <w:marRight w:val="0"/>
      <w:marTop w:val="0"/>
      <w:marBottom w:val="0"/>
      <w:divBdr>
        <w:top w:val="none" w:sz="0" w:space="0" w:color="auto"/>
        <w:left w:val="none" w:sz="0" w:space="0" w:color="auto"/>
        <w:bottom w:val="none" w:sz="0" w:space="0" w:color="auto"/>
        <w:right w:val="none" w:sz="0" w:space="0" w:color="auto"/>
      </w:divBdr>
    </w:div>
    <w:div w:id="1574198875">
      <w:bodyDiv w:val="1"/>
      <w:marLeft w:val="0"/>
      <w:marRight w:val="0"/>
      <w:marTop w:val="0"/>
      <w:marBottom w:val="0"/>
      <w:divBdr>
        <w:top w:val="none" w:sz="0" w:space="0" w:color="auto"/>
        <w:left w:val="none" w:sz="0" w:space="0" w:color="auto"/>
        <w:bottom w:val="none" w:sz="0" w:space="0" w:color="auto"/>
        <w:right w:val="none" w:sz="0" w:space="0" w:color="auto"/>
      </w:divBdr>
    </w:div>
    <w:div w:id="1604075834">
      <w:bodyDiv w:val="1"/>
      <w:marLeft w:val="0"/>
      <w:marRight w:val="0"/>
      <w:marTop w:val="0"/>
      <w:marBottom w:val="0"/>
      <w:divBdr>
        <w:top w:val="none" w:sz="0" w:space="0" w:color="auto"/>
        <w:left w:val="none" w:sz="0" w:space="0" w:color="auto"/>
        <w:bottom w:val="none" w:sz="0" w:space="0" w:color="auto"/>
        <w:right w:val="none" w:sz="0" w:space="0" w:color="auto"/>
      </w:divBdr>
    </w:div>
    <w:div w:id="1604260574">
      <w:bodyDiv w:val="1"/>
      <w:marLeft w:val="0"/>
      <w:marRight w:val="0"/>
      <w:marTop w:val="0"/>
      <w:marBottom w:val="0"/>
      <w:divBdr>
        <w:top w:val="none" w:sz="0" w:space="0" w:color="auto"/>
        <w:left w:val="none" w:sz="0" w:space="0" w:color="auto"/>
        <w:bottom w:val="none" w:sz="0" w:space="0" w:color="auto"/>
        <w:right w:val="none" w:sz="0" w:space="0" w:color="auto"/>
      </w:divBdr>
    </w:div>
    <w:div w:id="1768190495">
      <w:bodyDiv w:val="1"/>
      <w:marLeft w:val="0"/>
      <w:marRight w:val="0"/>
      <w:marTop w:val="0"/>
      <w:marBottom w:val="0"/>
      <w:divBdr>
        <w:top w:val="none" w:sz="0" w:space="0" w:color="auto"/>
        <w:left w:val="none" w:sz="0" w:space="0" w:color="auto"/>
        <w:bottom w:val="none" w:sz="0" w:space="0" w:color="auto"/>
        <w:right w:val="none" w:sz="0" w:space="0" w:color="auto"/>
      </w:divBdr>
    </w:div>
    <w:div w:id="1817258023">
      <w:bodyDiv w:val="1"/>
      <w:marLeft w:val="0"/>
      <w:marRight w:val="0"/>
      <w:marTop w:val="0"/>
      <w:marBottom w:val="0"/>
      <w:divBdr>
        <w:top w:val="none" w:sz="0" w:space="0" w:color="auto"/>
        <w:left w:val="none" w:sz="0" w:space="0" w:color="auto"/>
        <w:bottom w:val="none" w:sz="0" w:space="0" w:color="auto"/>
        <w:right w:val="none" w:sz="0" w:space="0" w:color="auto"/>
      </w:divBdr>
    </w:div>
    <w:div w:id="209573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www24</b:Tag>
    <b:SourceType>InternetSite</b:SourceType>
    <b:Guid>{ACAEE226-23B0-EA48-87F3-558DCCC48770}</b:Guid>
    <b:Title>www.gov.uk</b:Title>
    <b:URL>https://www.gov.uk/government/statistics/cyber-security-breaches-survey-2024/cyber-security-breaches-survey-2024</b:URL>
    <b:Year>2024</b:Year>
    <b:Month>04</b:Month>
    <b:Day>09</b:Day>
    <b:YearAccessed>2025</b:YearAccessed>
    <b:MonthAccessed>05</b:MonthAccessed>
    <b:RefOrder>1</b:RefOrder>
  </b:Source>
  <b:Source>
    <b:Tag>ncs25</b:Tag>
    <b:SourceType>InternetSite</b:SourceType>
    <b:Guid>{3F6A4B43-483D-604D-B7E5-6A06AD023FD7}</b:Guid>
    <b:Title>ncsc.gov.uk</b:Title>
    <b:URL>https://www.ncsc.gov.uk/collection/board-toolkit/principle-e-assurance-and-oversight/understanding-the-cyber-security-threat</b:URL>
    <b:YearAccessed>2025</b:YearAccessed>
    <b:MonthAccessed>05</b:MonthAccessed>
    <b:DayAccessed>02</b:DayAccessed>
    <b:RefOrder>2</b:RefOrder>
  </b:Source>
  <b:Source>
    <b:Tag>Jar23</b:Tag>
    <b:SourceType>InternetSite</b:SourceType>
    <b:Guid>{8839E5A0-7145-DA49-A837-2806AE2572E1}</b:Guid>
    <b:Author>
      <b:Author>
        <b:NameList>
          <b:Person>
            <b:Last>Thompson</b:Last>
            <b:First>Jared</b:First>
          </b:Person>
        </b:NameList>
      </b:Author>
    </b:Author>
    <b:Title>nwcrc.co.uk</b:Title>
    <b:URL>https://www.nwcrc.co.uk/post/cyber-security-policy</b:URL>
    <b:Year>2023</b:Year>
    <b:Month>06</b:Month>
    <b:Day>01</b:Day>
    <b:YearAccessed>2025</b:YearAccessed>
    <b:MonthAccessed>05</b:MonthAccessed>
    <b:DayAccessed>06</b:DayAccessed>
    <b:RefOrder>3</b:RefOrder>
  </b:Source>
  <b:Source>
    <b:Tag>Ter25</b:Tag>
    <b:SourceType>InternetSite</b:SourceType>
    <b:Guid>{908801B5-1425-3D46-8DE3-9DBA204F0E78}</b:Guid>
    <b:Author>
      <b:Author>
        <b:NameList>
          <b:Person>
            <b:Last>Olaes</b:Last>
            <b:First>Terry</b:First>
          </b:Person>
        </b:NameList>
      </b:Author>
    </b:Author>
    <b:Title>balbix.com</b:Title>
    <b:URL>https://www.balbix.com/insights/what-is-cyber-risk-mitigation/</b:URL>
    <b:Year>2025</b:Year>
    <b:Month>01</b:Month>
    <b:Day>16</b:Day>
    <b:YearAccessed>2025</b:YearAccessed>
    <b:MonthAccessed>05</b:MonthAccessed>
    <b:DayAccessed>07</b:DayAccessed>
    <b:RefOrder>4</b:RefOrder>
  </b:Source>
  <b:Source>
    <b:Tag>ont25</b:Tag>
    <b:SourceType>InternetSite</b:SourceType>
    <b:Guid>{1578D623-A816-6540-A4F6-E0185CCB0F03}</b:Guid>
    <b:Author>
      <b:Author>
        <b:NameList>
          <b:Person>
            <b:Last>ontinue</b:Last>
          </b:Person>
        </b:NameList>
      </b:Author>
    </b:Author>
    <b:Title>ontinue.com</b:Title>
    <b:URL>https://www.ontinue.com/cyber-security-monitoring/</b:URL>
    <b:Year>2025</b:Year>
    <b:YearAccessed>2025</b:YearAccessed>
    <b:MonthAccessed>05</b:MonthAccessed>
    <b:DayAccessed>10</b:DayAccessed>
    <b:RefOrder>5</b:RefOrder>
  </b:Source>
  <b:Source>
    <b:Tag>Luk24</b:Tag>
    <b:SourceType>InternetSite</b:SourceType>
    <b:Guid>{C9CAFAAA-5789-6C45-9930-AF8782292D45}</b:Guid>
    <b:Author>
      <b:Author>
        <b:NameList>
          <b:Person>
            <b:Last>Noonan</b:Last>
            <b:First>Luke</b:First>
          </b:Person>
        </b:NameList>
      </b:Author>
    </b:Author>
    <b:Title>metacompliance.com</b:Title>
    <b:URL>https://www.metacompliance.com/blog/security-awareness-training/essential-cyber-security-awareness-training</b:URL>
    <b:Year>2024</b:Year>
    <b:YearAccessed>2025</b:YearAccessed>
    <b:MonthAccessed>05</b:MonthAccessed>
    <b:DayAccessed>11</b:DayAccessed>
    <b:RefOrder>6</b:RefOrder>
  </b:Source>
</b:Sources>
</file>

<file path=customXml/itemProps1.xml><?xml version="1.0" encoding="utf-8"?>
<ds:datastoreItem xmlns:ds="http://schemas.openxmlformats.org/officeDocument/2006/customXml" ds:itemID="{B642D003-8F7F-6943-A603-C54737BAD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11</Pages>
  <Words>2098</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sanwar ahmed</dc:creator>
  <cp:keywords/>
  <dc:description/>
  <cp:lastModifiedBy>sanwar ahmed</cp:lastModifiedBy>
  <cp:revision>49</cp:revision>
  <dcterms:created xsi:type="dcterms:W3CDTF">2025-05-07T16:45:00Z</dcterms:created>
  <dcterms:modified xsi:type="dcterms:W3CDTF">2025-05-13T20:25:00Z</dcterms:modified>
</cp:coreProperties>
</file>