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100" w:firstLine="0"/>
        <w:jc w:val="left"/>
        <w:rPr>
          <w:rFonts w:ascii="Times New Roman" w:hAnsi="Times New Roman" w:cs="Times New Roman" w:eastAsia="Times New Roman"/>
          <w:color w:val="auto"/>
          <w:spacing w:val="0"/>
          <w:position w:val="0"/>
          <w:sz w:val="20"/>
          <w:shd w:fill="auto" w:val="clear"/>
        </w:rPr>
      </w:pPr>
      <w:r>
        <w:object w:dxaOrig="3420" w:dyaOrig="1133">
          <v:rect xmlns:o="urn:schemas-microsoft-com:office:office" xmlns:v="urn:schemas-microsoft-com:vml" id="rectole0000000000" style="width:171.000000pt;height:56.6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0" w:line="240"/>
        <w:ind w:right="0" w:left="0" w:firstLine="0"/>
        <w:jc w:val="left"/>
        <w:rPr>
          <w:rFonts w:ascii="Cambria" w:hAnsi="Cambria" w:cs="Cambria" w:eastAsia="Cambria"/>
          <w:b/>
          <w:color w:val="auto"/>
          <w:spacing w:val="0"/>
          <w:position w:val="0"/>
          <w:sz w:val="36"/>
          <w:shd w:fill="auto" w:val="clear"/>
        </w:rPr>
      </w:pPr>
      <w:r>
        <w:rPr>
          <w:rFonts w:ascii="Cambria" w:hAnsi="Cambria" w:cs="Cambria" w:eastAsia="Cambria"/>
          <w:b/>
          <w:color w:val="auto"/>
          <w:spacing w:val="0"/>
          <w:position w:val="0"/>
          <w:sz w:val="36"/>
          <w:shd w:fill="auto" w:val="clear"/>
        </w:rPr>
        <w:t xml:space="preserve">PETRU VARGA ID :2022595  </w:t>
      </w:r>
    </w:p>
    <w:p>
      <w:pPr>
        <w:spacing w:before="0" w:after="0" w:line="240"/>
        <w:ind w:right="0" w:left="111" w:firstLine="0"/>
        <w:jc w:val="left"/>
        <w:rPr>
          <w:rFonts w:ascii="Times New Roman" w:hAnsi="Times New Roman" w:cs="Times New Roman" w:eastAsia="Times New Roman"/>
          <w:color w:val="auto"/>
          <w:spacing w:val="0"/>
          <w:position w:val="0"/>
          <w:sz w:val="20"/>
          <w:shd w:fill="auto" w:val="clear"/>
        </w:rPr>
      </w:pPr>
      <w:r>
        <w:object w:dxaOrig="10831" w:dyaOrig="6414">
          <v:rect xmlns:o="urn:schemas-microsoft-com:office:office" xmlns:v="urn:schemas-microsoft-com:vml" id="rectole0000000001" style="width:541.550000pt;height:320.7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240"/>
        <w:ind w:right="0" w:left="111" w:firstLine="0"/>
        <w:jc w:val="left"/>
        <w:rPr>
          <w:rFonts w:ascii="Times New Roman" w:hAnsi="Times New Roman" w:cs="Times New Roman" w:eastAsia="Times New Roman"/>
          <w:color w:val="auto"/>
          <w:spacing w:val="0"/>
          <w:position w:val="0"/>
          <w:sz w:val="20"/>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0"/>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0"/>
          <w:shd w:fill="auto" w:val="clear"/>
        </w:rPr>
      </w:pPr>
      <w:r>
        <w:rPr>
          <w:rFonts w:ascii="Times New Roman" w:hAnsi="Times New Roman" w:cs="Times New Roman" w:eastAsia="Times New Roman"/>
          <w:b/>
          <w:color w:val="000000"/>
          <w:spacing w:val="0"/>
          <w:position w:val="0"/>
          <w:sz w:val="20"/>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0"/>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Student Learning Log: Reflection on Placement Development in the Peninsula London's Food and Beverage Department</w:t>
      </w:r>
    </w:p>
    <w:p>
      <w:pPr>
        <w:spacing w:before="0" w:after="160" w:line="360"/>
        <w:ind w:right="0" w:left="0" w:firstLine="0"/>
        <w:jc w:val="center"/>
        <w:rPr>
          <w:rFonts w:ascii="Times New Roman" w:hAnsi="Times New Roman" w:cs="Times New Roman" w:eastAsia="Times New Roman"/>
          <w:b/>
          <w:color w:val="000000"/>
          <w:spacing w:val="0"/>
          <w:position w:val="0"/>
          <w:sz w:val="32"/>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Introduction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Peninsula London, known for its luxury hospitality, has a sophisticated food and beverage department. This sector runs a variety of eating establishments, including fine dining restaurants, casual eateries, pubs, and event catering services. The department emphasises great guest service, combining culinary expertise with high service standards to provide visitors with unforgettable dining experiences. The placement sought to accomplish numerous learning goals, including understanding the F&amp;B department's operating dynamics, developing supervisory and managerial skills, learning about guest service standards, and improving communication, collaboration, and task management abilities (O’fallon and Rutherford, 2010). Furthermore, the placement attempted to connect academic knowledge with practical application in a real-world context.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Section 1: Reflection on Experience and Personal Development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With Gibbs' model of reflection, this paper gives a full evaluation of the personal experience in the management job in The Peninsula London's food and beverage area.</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Description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 worked in the food and drink area at The Peninsula London and watched a boss do his or her job while helping with smaller tasks. In addition to organising jobs and keeping an eye on service workers to make sure standards were met, I also had to answer questions from visitors. We learned a lot about how hard it is to be a boss in the high-end hotel business from this work.</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Feelings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For the first time, I felt both excited and worried. When one has a well-known brand like The Peninsula London, people have high expectations (Haag, 2013). The chance to learn from experienced professionals was exciting, but the high standards were scary. Soon after I started to feel less scared, my confidence grew as I learned more about the process and got help from my teachers.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Evaluation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It was helpful to meet someone. Attention to detail, good conversation, and working together were all things I learned to be very important. They showed how important these skills were by having good relationships with guests and being able to solve problems well. When I was under a lot of pressure, though, it was hard to keep up with different team relationships and service standards.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Analysis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Clear communication is key to making sure things run smoothly and providing great service, as I learned from this experience. Good task management skills are needed in a fast-paced environment, and working as a team makes things more efficient and more fun for visitors. It was also directly linked to meeting visitors' goals that I learned detailed information about food details and service standards.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Conclusion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experience of watching made me realise how important it is to have good management skills in order to maintain service standards. It also showed me areas where I could improve, like the way I talk to people and how my team works together. To advance professionally in the food and drink business, it stressed the importance of always learning new things and being able to change to new situations.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Action Plan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Soon, I want to look for opportunities to lead small groups so that I feel more comfortable being in charge. I also want to take advanced training in communication and leadership to stay up to date on best practices and industry trends. It will help to improve my skills and information to set personal goals for handling conflicts and getting things done.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Section 2: Critical Analysis of Work-Based Skills and Technical Knowledge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Maintaining high levels of customer service in the food and beverage industry requires both job-related skills and technology know-how (ASET, 2017). The Peninsula London internship taught me that good communication, teamwork, job management, and tech skills directly affect service quality and guest satisfaction.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Organisational success depends on clear communication. Effective, </w:t>
      </w:r>
      <w:r>
        <w:rPr>
          <w:rFonts w:ascii="Times New Roman" w:hAnsi="Times New Roman" w:cs="Times New Roman" w:eastAsia="Times New Roman"/>
          <w:b/>
          <w:color w:val="000000"/>
          <w:spacing w:val="0"/>
          <w:position w:val="0"/>
          <w:sz w:val="24"/>
          <w:shd w:fill="auto" w:val="clear"/>
        </w:rPr>
        <w:t xml:space="preserve">honest communication</w:t>
      </w:r>
      <w:r>
        <w:rPr>
          <w:rFonts w:ascii="Times New Roman" w:hAnsi="Times New Roman" w:cs="Times New Roman" w:eastAsia="Times New Roman"/>
          <w:color w:val="000000"/>
          <w:spacing w:val="0"/>
          <w:position w:val="0"/>
          <w:sz w:val="24"/>
          <w:shd w:fill="auto" w:val="clear"/>
        </w:rPr>
        <w:t xml:space="preserve"> between staff members allowed tasks to be finished quickly and guests' needs to be met right away (Johnston et al., 2021). For instance, at a high-profile event, it was very important for the cook and service crew to work together perfectly so that the whole eating experience went smoothly.</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order to create a positive work environment and enhance service quality, </w:t>
      </w:r>
      <w:r>
        <w:rPr>
          <w:rFonts w:ascii="Times New Roman" w:hAnsi="Times New Roman" w:cs="Times New Roman" w:eastAsia="Times New Roman"/>
          <w:b/>
          <w:color w:val="000000"/>
          <w:spacing w:val="0"/>
          <w:position w:val="0"/>
          <w:sz w:val="24"/>
          <w:shd w:fill="auto" w:val="clear"/>
        </w:rPr>
        <w:t xml:space="preserve">teamwork</w:t>
      </w:r>
      <w:r>
        <w:rPr>
          <w:rFonts w:ascii="Times New Roman" w:hAnsi="Times New Roman" w:cs="Times New Roman" w:eastAsia="Times New Roman"/>
          <w:color w:val="000000"/>
          <w:spacing w:val="0"/>
          <w:position w:val="0"/>
          <w:sz w:val="24"/>
          <w:shd w:fill="auto" w:val="clear"/>
        </w:rPr>
        <w:t xml:space="preserve"> was crucial. Teamwork was key to making sure visitors were happy during busy times. The importance of a united team dynamic was shown by how team members helped each other during busy times (Bourgault and Goforth, 2021).</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Controlling the fast-paced environment required great </w:t>
      </w:r>
      <w:r>
        <w:rPr>
          <w:rFonts w:ascii="Times New Roman" w:hAnsi="Times New Roman" w:cs="Times New Roman" w:eastAsia="Times New Roman"/>
          <w:b/>
          <w:color w:val="000000"/>
          <w:spacing w:val="0"/>
          <w:position w:val="0"/>
          <w:sz w:val="24"/>
          <w:shd w:fill="auto" w:val="clear"/>
        </w:rPr>
        <w:t xml:space="preserve">task management and planning.</w:t>
      </w:r>
      <w:r>
        <w:rPr>
          <w:rFonts w:ascii="Times New Roman" w:hAnsi="Times New Roman" w:cs="Times New Roman" w:eastAsia="Times New Roman"/>
          <w:color w:val="000000"/>
          <w:spacing w:val="0"/>
          <w:position w:val="0"/>
          <w:sz w:val="24"/>
          <w:shd w:fill="auto" w:val="clear"/>
        </w:rPr>
        <w:t xml:space="preserve"> Supervision requires setting priorities, assigning tasks, and using time efficiently. This boss successfully balanced many tasks, from overseeing service to addressing guest complaints, showing me how important it is to manage my time well.</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Technical knowledge,</w:t>
      </w:r>
      <w:r>
        <w:rPr>
          <w:rFonts w:ascii="Times New Roman" w:hAnsi="Times New Roman" w:cs="Times New Roman" w:eastAsia="Times New Roman"/>
          <w:color w:val="000000"/>
          <w:spacing w:val="0"/>
          <w:position w:val="0"/>
          <w:sz w:val="24"/>
          <w:shd w:fill="auto" w:val="clear"/>
        </w:rPr>
        <w:t xml:space="preserve"> such as an understanding of the food, wine pairing, and service standards, was necessary (Abel Duarte Alonso et al., 2024). This knowledge gave employees the confidence to give good advice and answer customers' questions. For example, knowing about different diets helped us accommodate guests' needs, which made their eating experience better.</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Section 3: Reflection on Organisational Issues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retrospect, one key organisational difficulty I experienced in the food and beverage area was personnel issues. Maintaining ideal personnel numbers during peak periods was challenging, putting additional strain on the existing workforce and possibly affecting service quality and client happiness. This problem often developed as a result of unexpected staff absences and fluctuating visitor levels.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Staffing shortages had a significant effect. It led in higher wait times for visitors, which might negatively impact their eating experience and brand impression. Furthermore, the increased burden on available workers often resulted in burnout and lowered morale, exacerbating the problem (Vallen and Vallen, 2014).</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 think that this problem can be solved by making the way workers are hired more open. Having part-time or on-call workers during busy times could help full-time employees handle the work. Cross-training employees to do more than one job may also help with handling unexpected gaps. Additionally, making the workplace better and starting reward programmes might help keep employees from leaving and ensure a steady staff (GT, 2023).</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approach is supported by Herzberg's Two-Factor Theory, which emphasises the relevance of hygiene elements, such as working environment, and motivators, such as recognition and development opportunities, in increasing employee happiness and retention. Addressing these concerns may help reduce personnel issues and improve overall departmental performance (Bexheti and Bexheti, 2019).</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Section 4: Future Action Plan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 want to focus on improving my job-related skills and technical knowledge based on my work in the food and beverage business. Take advanced training classes and look for opportunities to lead small teams to improve my communication, teamwork, and job management. For example, to improve personal skills like conflict resolution and time management, it's important to set clear growth goals and actively seek expert advice (Cameron, 2021). Keep me up to date on changes and the best ways to do things in the field of guest services to improve my skills. This action plan helps me keep growing and being successful in the food and drink business, which is one of my personal and work goals.</w:t>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Conclusion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shadowing experience at The Peninsula London's F&amp;B department gave essential insights into the value of job-related skills and technical expertise in providing great guest service. Reflecting on this event via Gibbs' model revealed the need of communication, cooperation, and task management in maintaining good service standards. Addressing organisational concerns, such as staffing constraints, using practical solutions and theoretical frameworks enhanced the learning experience. This placement emphasised the importance of personal and vocational growth in establishing future career goals in the F&amp;B business, as well as the necessity for constant learning and adaptation.</w:t>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References </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Abel Duarte Alonso, Kim, T., Thanh Duc Tran, Luong Ngoc Tran and Trung Thanh Nguyen (2024). Structuring food and wine pairing experiences in an emerging economy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Implications for food and wine pursuits, recreation, and tourism. </w:t>
      </w:r>
      <w:r>
        <w:rPr>
          <w:rFonts w:ascii="Times New Roman" w:hAnsi="Times New Roman" w:cs="Times New Roman" w:eastAsia="Times New Roman"/>
          <w:i/>
          <w:color w:val="000000"/>
          <w:spacing w:val="0"/>
          <w:position w:val="0"/>
          <w:sz w:val="24"/>
          <w:shd w:fill="auto" w:val="clear"/>
        </w:rPr>
        <w:t xml:space="preserve">Tourism recreation research/Tourism Recreation Research</w:t>
      </w:r>
      <w:r>
        <w:rPr>
          <w:rFonts w:ascii="Times New Roman" w:hAnsi="Times New Roman" w:cs="Times New Roman" w:eastAsia="Times New Roman"/>
          <w:color w:val="000000"/>
          <w:spacing w:val="0"/>
          <w:position w:val="0"/>
          <w:sz w:val="24"/>
          <w:shd w:fill="auto" w:val="clear"/>
        </w:rPr>
        <w:t xml:space="preserve">, 2(1), pp.1</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21. doi:https://doi.org/10.1080/02508281.2024.2315832.</w: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ASET (2017). </w:t>
      </w:r>
      <w:r>
        <w:rPr>
          <w:rFonts w:ascii="Times New Roman" w:hAnsi="Times New Roman" w:cs="Times New Roman" w:eastAsia="Times New Roman"/>
          <w:i/>
          <w:color w:val="000000"/>
          <w:spacing w:val="0"/>
          <w:position w:val="0"/>
          <w:sz w:val="24"/>
          <w:shd w:fill="auto" w:val="clear"/>
        </w:rPr>
        <w:t xml:space="preserve">ASET Good Practice Guide to Successful Work Based Learning for Apprenticeships in Higher Education</w:t>
      </w:r>
      <w:r>
        <w:rPr>
          <w:rFonts w:ascii="Times New Roman" w:hAnsi="Times New Roman" w:cs="Times New Roman" w:eastAsia="Times New Roman"/>
          <w:color w:val="000000"/>
          <w:spacing w:val="0"/>
          <w:position w:val="0"/>
          <w:sz w:val="24"/>
          <w:shd w:fill="auto" w:val="clear"/>
        </w:rPr>
        <w:t xml:space="preserve">. Sheffield: ASET, pp.4</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24.</w: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Bexheti, L. and Bexheti, A. (2019). The Impact of Herzberg’s Two Factor Theory and Efficiency at Work. </w:t>
      </w:r>
      <w:r>
        <w:rPr>
          <w:rFonts w:ascii="Times New Roman" w:hAnsi="Times New Roman" w:cs="Times New Roman" w:eastAsia="Times New Roman"/>
          <w:i/>
          <w:color w:val="000000"/>
          <w:spacing w:val="0"/>
          <w:position w:val="0"/>
          <w:sz w:val="24"/>
          <w:shd w:fill="auto" w:val="clear"/>
        </w:rPr>
        <w:t xml:space="preserve">European Journal of Multidisciplinary Studies</w:t>
      </w:r>
      <w:r>
        <w:rPr>
          <w:rFonts w:ascii="Times New Roman" w:hAnsi="Times New Roman" w:cs="Times New Roman" w:eastAsia="Times New Roman"/>
          <w:color w:val="000000"/>
          <w:spacing w:val="0"/>
          <w:position w:val="0"/>
          <w:sz w:val="24"/>
          <w:shd w:fill="auto" w:val="clear"/>
        </w:rPr>
        <w:t xml:space="preserve">, 1(2), p.378. doi:https://doi.org/10.26417/ejms.v1i2.p378-385.</w: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Bourgault, A.M. and Goforth, C. (2021). Embrace Teamwork to Create and Maintain a Positive Workplace Culture. </w:t>
      </w:r>
      <w:r>
        <w:rPr>
          <w:rFonts w:ascii="Times New Roman" w:hAnsi="Times New Roman" w:cs="Times New Roman" w:eastAsia="Times New Roman"/>
          <w:i/>
          <w:color w:val="000000"/>
          <w:spacing w:val="0"/>
          <w:position w:val="0"/>
          <w:sz w:val="24"/>
          <w:shd w:fill="auto" w:val="clear"/>
        </w:rPr>
        <w:t xml:space="preserve">Critical Care Nurse</w:t>
      </w:r>
      <w:r>
        <w:rPr>
          <w:rFonts w:ascii="Times New Roman" w:hAnsi="Times New Roman" w:cs="Times New Roman" w:eastAsia="Times New Roman"/>
          <w:color w:val="000000"/>
          <w:spacing w:val="0"/>
          <w:position w:val="0"/>
          <w:sz w:val="24"/>
          <w:shd w:fill="auto" w:val="clear"/>
        </w:rPr>
        <w:t xml:space="preserve">, [online] 41(3), pp.8</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10. doi:https://doi.org/10.4037/ccn2021662.</w: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Cameron, S. (2021). </w:t>
      </w:r>
      <w:r>
        <w:rPr>
          <w:rFonts w:ascii="Times New Roman" w:hAnsi="Times New Roman" w:cs="Times New Roman" w:eastAsia="Times New Roman"/>
          <w:i/>
          <w:color w:val="000000"/>
          <w:spacing w:val="0"/>
          <w:position w:val="0"/>
          <w:sz w:val="24"/>
          <w:shd w:fill="auto" w:val="clear"/>
        </w:rPr>
        <w:t xml:space="preserve">The Business student’s Handbook : Skills for Study and Employment</w:t>
      </w:r>
      <w:r>
        <w:rPr>
          <w:rFonts w:ascii="Times New Roman" w:hAnsi="Times New Roman" w:cs="Times New Roman" w:eastAsia="Times New Roman"/>
          <w:color w:val="000000"/>
          <w:spacing w:val="0"/>
          <w:position w:val="0"/>
          <w:sz w:val="24"/>
          <w:shd w:fill="auto" w:val="clear"/>
        </w:rPr>
        <w:t xml:space="preserve">. 6th ed. Harlow, England ; Amsterdam: Pearson.</w: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GT, P. (2023). </w:t>
      </w:r>
      <w:r>
        <w:rPr>
          <w:rFonts w:ascii="Times New Roman" w:hAnsi="Times New Roman" w:cs="Times New Roman" w:eastAsia="Times New Roman"/>
          <w:i/>
          <w:color w:val="000000"/>
          <w:spacing w:val="0"/>
          <w:position w:val="0"/>
          <w:sz w:val="24"/>
          <w:shd w:fill="auto" w:val="clear"/>
        </w:rPr>
        <w:t xml:space="preserve">The Pros and Cons of Cross-Training Your Employees</w:t>
      </w:r>
      <w:r>
        <w:rPr>
          <w:rFonts w:ascii="Times New Roman" w:hAnsi="Times New Roman" w:cs="Times New Roman" w:eastAsia="Times New Roman"/>
          <w:color w:val="000000"/>
          <w:spacing w:val="0"/>
          <w:position w:val="0"/>
          <w:sz w:val="24"/>
          <w:shd w:fill="auto" w:val="clear"/>
        </w:rPr>
        <w:t xml:space="preserve">. [online] blog.elblearning.com. Available at: </w:t>
      </w:r>
      <w:hyperlink xmlns:r="http://schemas.openxmlformats.org/officeDocument/2006/relationships" r:id="docRId4">
        <w:r>
          <w:rPr>
            <w:rFonts w:ascii="Times New Roman" w:hAnsi="Times New Roman" w:cs="Times New Roman" w:eastAsia="Times New Roman"/>
            <w:color w:val="000000"/>
            <w:spacing w:val="0"/>
            <w:position w:val="0"/>
            <w:sz w:val="24"/>
            <w:u w:val="single"/>
            <w:shd w:fill="auto" w:val="clear"/>
          </w:rPr>
          <w:t xml:space="preserve">https://blog.elblearning.com/the-pros-and-cons-of-cross-training-your-employees</w:t>
        </w:r>
      </w:hyperlink>
      <w:r>
        <w:rPr>
          <w:rFonts w:ascii="Times New Roman" w:hAnsi="Times New Roman" w:cs="Times New Roman" w:eastAsia="Times New Roman"/>
          <w:color w:val="000000"/>
          <w:spacing w:val="0"/>
          <w:position w:val="0"/>
          <w:sz w:val="24"/>
          <w:shd w:fill="auto" w:val="clear"/>
        </w:rPr>
        <w:t xml:space="preserve">.</w: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Haag, E. (2013). </w:t>
      </w:r>
      <w:r>
        <w:rPr>
          <w:rFonts w:ascii="Times New Roman" w:hAnsi="Times New Roman" w:cs="Times New Roman" w:eastAsia="Times New Roman"/>
          <w:i/>
          <w:color w:val="000000"/>
          <w:spacing w:val="0"/>
          <w:position w:val="0"/>
          <w:sz w:val="24"/>
          <w:shd w:fill="auto" w:val="clear"/>
        </w:rPr>
        <w:t xml:space="preserve">Internship guide : work placements step by step</w:t>
      </w:r>
      <w:r>
        <w:rPr>
          <w:rFonts w:ascii="Times New Roman" w:hAnsi="Times New Roman" w:cs="Times New Roman" w:eastAsia="Times New Roman"/>
          <w:color w:val="000000"/>
          <w:spacing w:val="0"/>
          <w:position w:val="0"/>
          <w:sz w:val="24"/>
          <w:shd w:fill="auto" w:val="clear"/>
        </w:rPr>
        <w:t xml:space="preserve">. 1st ed. The Hague: Eleven International Publishing, Cop.</w: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Johnston, R., Shulver, M., Slack, N. and Clark, G. (2021). </w:t>
      </w:r>
      <w:r>
        <w:rPr>
          <w:rFonts w:ascii="Times New Roman" w:hAnsi="Times New Roman" w:cs="Times New Roman" w:eastAsia="Times New Roman"/>
          <w:i/>
          <w:color w:val="000000"/>
          <w:spacing w:val="0"/>
          <w:position w:val="0"/>
          <w:sz w:val="24"/>
          <w:shd w:fill="auto" w:val="clear"/>
        </w:rPr>
        <w:t xml:space="preserve">SERVICE OPERATIONS MANAGEMENT : improving service delivery.</w:t>
      </w:r>
      <w:r>
        <w:rPr>
          <w:rFonts w:ascii="Times New Roman" w:hAnsi="Times New Roman" w:cs="Times New Roman" w:eastAsia="Times New Roman"/>
          <w:color w:val="000000"/>
          <w:spacing w:val="0"/>
          <w:position w:val="0"/>
          <w:sz w:val="24"/>
          <w:shd w:fill="auto" w:val="clear"/>
        </w:rPr>
        <w:t xml:space="preserve"> 5th ed. S.L.: Pearson Education Limited.</w: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O’fallon, M.J. and Rutherford, D.G. (2010). </w:t>
      </w:r>
      <w:r>
        <w:rPr>
          <w:rFonts w:ascii="Times New Roman" w:hAnsi="Times New Roman" w:cs="Times New Roman" w:eastAsia="Times New Roman"/>
          <w:i/>
          <w:color w:val="000000"/>
          <w:spacing w:val="0"/>
          <w:position w:val="0"/>
          <w:sz w:val="24"/>
          <w:shd w:fill="auto" w:val="clear"/>
        </w:rPr>
        <w:t xml:space="preserve">Hotel management and operations</w:t>
      </w:r>
      <w:r>
        <w:rPr>
          <w:rFonts w:ascii="Times New Roman" w:hAnsi="Times New Roman" w:cs="Times New Roman" w:eastAsia="Times New Roman"/>
          <w:color w:val="000000"/>
          <w:spacing w:val="0"/>
          <w:position w:val="0"/>
          <w:sz w:val="24"/>
          <w:shd w:fill="auto" w:val="clear"/>
        </w:rPr>
        <w:t xml:space="preserve">. 5th ed. Hoboken, N.J.: Wiley.</w: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Vallen, G.K. and Vallen, J.J. (2014). </w:t>
      </w:r>
      <w:r>
        <w:rPr>
          <w:rFonts w:ascii="Times New Roman" w:hAnsi="Times New Roman" w:cs="Times New Roman" w:eastAsia="Times New Roman"/>
          <w:i/>
          <w:color w:val="000000"/>
          <w:spacing w:val="0"/>
          <w:position w:val="0"/>
          <w:sz w:val="24"/>
          <w:shd w:fill="auto" w:val="clear"/>
        </w:rPr>
        <w:t xml:space="preserve">Check-in Check-Out: Managing Hotel Operations</w:t>
      </w:r>
      <w:r>
        <w:rPr>
          <w:rFonts w:ascii="Times New Roman" w:hAnsi="Times New Roman" w:cs="Times New Roman" w:eastAsia="Times New Roman"/>
          <w:color w:val="000000"/>
          <w:spacing w:val="0"/>
          <w:position w:val="0"/>
          <w:sz w:val="24"/>
          <w:shd w:fill="auto" w:val="clear"/>
        </w:rPr>
        <w:t xml:space="preserve">. 9th ed. Pearson Higher Ed.</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numbering.xml" Id="docRId5" Type="http://schemas.openxmlformats.org/officeDocument/2006/relationships/numbering" /><Relationship Target="embeddings/oleObject0.bin" Id="docRId0" Type="http://schemas.openxmlformats.org/officeDocument/2006/relationships/oleObject" /><Relationship Target="embeddings/oleObject1.bin" Id="docRId2" Type="http://schemas.openxmlformats.org/officeDocument/2006/relationships/oleObject" /><Relationship TargetMode="External" Target="https://blog.elblearning.com/the-pros-and-cons-of-cross-training-your-employees" Id="docRId4" Type="http://schemas.openxmlformats.org/officeDocument/2006/relationships/hyperlink" /><Relationship Target="styles.xml" Id="docRId6" Type="http://schemas.openxmlformats.org/officeDocument/2006/relationships/styles" /></Relationships>
</file>