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E7D435" w14:textId="77777777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76264564" w14:textId="77777777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18ABAEDF" w14:textId="77777777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42EC78B6" w14:textId="2D1282E6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1C40EE7C" w14:textId="77777777" w:rsidR="00A73A81" w:rsidRDefault="00A73A81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23CCD433" w14:textId="3C9E3415" w:rsidR="006233E2" w:rsidRDefault="007625FD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t>Name</w:t>
      </w:r>
      <w:r w:rsidR="000C7E66">
        <w:rPr>
          <w:rFonts w:asciiTheme="majorBidi" w:hAnsiTheme="majorBidi" w:cstheme="majorBidi"/>
          <w:b/>
          <w:bCs/>
          <w:sz w:val="32"/>
          <w:szCs w:val="32"/>
        </w:rPr>
        <w:t>:</w:t>
      </w:r>
      <w:r w:rsidR="006F2CE1">
        <w:rPr>
          <w:rFonts w:asciiTheme="majorBidi" w:hAnsiTheme="majorBidi" w:cstheme="majorBidi"/>
          <w:b/>
          <w:bCs/>
          <w:sz w:val="32"/>
          <w:szCs w:val="32"/>
        </w:rPr>
        <w:t xml:space="preserve"> Elayne Da Cruz</w:t>
      </w:r>
    </w:p>
    <w:p w14:paraId="78C8ADA9" w14:textId="38472F16" w:rsidR="006233E2" w:rsidRDefault="00E400C6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t>S</w:t>
      </w:r>
      <w:r w:rsidR="006C37B1">
        <w:rPr>
          <w:rFonts w:asciiTheme="majorBidi" w:hAnsiTheme="majorBidi" w:cstheme="majorBidi"/>
          <w:b/>
          <w:bCs/>
          <w:sz w:val="32"/>
          <w:szCs w:val="32"/>
        </w:rPr>
        <w:t>tudent Number:</w:t>
      </w:r>
      <w:r w:rsidR="006F2CE1">
        <w:rPr>
          <w:rFonts w:asciiTheme="majorBidi" w:hAnsiTheme="majorBidi" w:cstheme="majorBidi"/>
          <w:b/>
          <w:bCs/>
          <w:sz w:val="32"/>
          <w:szCs w:val="32"/>
        </w:rPr>
        <w:t>2016547</w:t>
      </w:r>
    </w:p>
    <w:p w14:paraId="6DDC14BE" w14:textId="41B59F69" w:rsidR="006233E2" w:rsidRDefault="00587BAD" w:rsidP="002057EC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t xml:space="preserve">Module </w:t>
      </w:r>
      <w:r w:rsidR="00183C8F">
        <w:rPr>
          <w:rFonts w:asciiTheme="majorBidi" w:hAnsiTheme="majorBidi" w:cstheme="majorBidi"/>
          <w:b/>
          <w:bCs/>
          <w:sz w:val="32"/>
          <w:szCs w:val="32"/>
        </w:rPr>
        <w:t>Code:</w:t>
      </w:r>
      <w:r w:rsidR="00062585">
        <w:rPr>
          <w:rFonts w:asciiTheme="majorBidi" w:hAnsiTheme="majorBidi" w:cstheme="majorBidi"/>
          <w:b/>
          <w:bCs/>
          <w:sz w:val="32"/>
          <w:szCs w:val="32"/>
        </w:rPr>
        <w:t xml:space="preserve"> </w:t>
      </w:r>
      <w:r w:rsidR="00183C8F">
        <w:rPr>
          <w:rFonts w:asciiTheme="majorBidi" w:hAnsiTheme="majorBidi" w:cstheme="majorBidi"/>
          <w:b/>
          <w:bCs/>
          <w:sz w:val="32"/>
          <w:szCs w:val="32"/>
        </w:rPr>
        <w:t>BMHP602</w:t>
      </w:r>
      <w:r w:rsidR="00062585">
        <w:rPr>
          <w:rFonts w:asciiTheme="majorBidi" w:hAnsiTheme="majorBidi" w:cstheme="majorBidi"/>
          <w:b/>
          <w:bCs/>
          <w:sz w:val="32"/>
          <w:szCs w:val="32"/>
        </w:rPr>
        <w:t>7</w:t>
      </w:r>
    </w:p>
    <w:p w14:paraId="341DAC06" w14:textId="77777777" w:rsidR="00A73A81" w:rsidRDefault="00A73A81" w:rsidP="002057EC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4F7182CC" w14:textId="1E4ABC11" w:rsidR="002057EC" w:rsidRDefault="00B67F38" w:rsidP="002057EC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t>Programme: BSc</w:t>
      </w:r>
      <w:r w:rsidR="000902C6">
        <w:rPr>
          <w:rFonts w:asciiTheme="majorBidi" w:hAnsiTheme="majorBidi" w:cstheme="majorBidi"/>
          <w:b/>
          <w:bCs/>
          <w:sz w:val="32"/>
          <w:szCs w:val="32"/>
        </w:rPr>
        <w:t xml:space="preserve"> (Hons)</w:t>
      </w:r>
      <w:r w:rsidR="00EE7E69">
        <w:rPr>
          <w:rFonts w:asciiTheme="majorBidi" w:hAnsiTheme="majorBidi" w:cstheme="majorBidi"/>
          <w:b/>
          <w:bCs/>
          <w:sz w:val="32"/>
          <w:szCs w:val="32"/>
        </w:rPr>
        <w:t xml:space="preserve"> </w:t>
      </w:r>
      <w:r w:rsidR="000902C6">
        <w:rPr>
          <w:rFonts w:asciiTheme="majorBidi" w:hAnsiTheme="majorBidi" w:cstheme="majorBidi"/>
          <w:b/>
          <w:bCs/>
          <w:sz w:val="32"/>
          <w:szCs w:val="32"/>
        </w:rPr>
        <w:t>H</w:t>
      </w:r>
      <w:r w:rsidR="00847C2A">
        <w:rPr>
          <w:rFonts w:asciiTheme="majorBidi" w:hAnsiTheme="majorBidi" w:cstheme="majorBidi"/>
          <w:b/>
          <w:bCs/>
          <w:sz w:val="32"/>
          <w:szCs w:val="32"/>
        </w:rPr>
        <w:t>eal</w:t>
      </w:r>
      <w:r w:rsidR="00EE7E69">
        <w:rPr>
          <w:rFonts w:asciiTheme="majorBidi" w:hAnsiTheme="majorBidi" w:cstheme="majorBidi"/>
          <w:b/>
          <w:bCs/>
          <w:sz w:val="32"/>
          <w:szCs w:val="32"/>
        </w:rPr>
        <w:t>th</w:t>
      </w:r>
      <w:r w:rsidR="00847C2A">
        <w:rPr>
          <w:rFonts w:asciiTheme="majorBidi" w:hAnsiTheme="majorBidi" w:cstheme="majorBidi"/>
          <w:b/>
          <w:bCs/>
          <w:sz w:val="32"/>
          <w:szCs w:val="32"/>
        </w:rPr>
        <w:t xml:space="preserve"> and Social Care</w:t>
      </w:r>
      <w:r w:rsidR="00A73A81">
        <w:rPr>
          <w:rFonts w:asciiTheme="majorBidi" w:hAnsiTheme="majorBidi" w:cstheme="majorBidi"/>
          <w:b/>
          <w:bCs/>
          <w:sz w:val="32"/>
          <w:szCs w:val="32"/>
        </w:rPr>
        <w:t>.</w:t>
      </w:r>
    </w:p>
    <w:p w14:paraId="09DAB5A3" w14:textId="77777777" w:rsidR="00C927FC" w:rsidRDefault="00C927FC" w:rsidP="002057EC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3C5AD6D7" w14:textId="77777777" w:rsidR="00C927FC" w:rsidRDefault="00C927FC" w:rsidP="002057EC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4829EB4D" w14:textId="2AE00441" w:rsidR="00C927FC" w:rsidRDefault="00C927FC" w:rsidP="002057EC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t>The Role of Residential</w:t>
      </w:r>
      <w:r w:rsidR="00035422">
        <w:rPr>
          <w:rFonts w:asciiTheme="majorBidi" w:hAnsiTheme="majorBidi" w:cstheme="majorBidi"/>
          <w:b/>
          <w:bCs/>
          <w:sz w:val="32"/>
          <w:szCs w:val="32"/>
        </w:rPr>
        <w:t xml:space="preserve"> Care Homes: Providing Q</w:t>
      </w:r>
      <w:r w:rsidR="005473F0">
        <w:rPr>
          <w:rFonts w:asciiTheme="majorBidi" w:hAnsiTheme="majorBidi" w:cstheme="majorBidi"/>
          <w:b/>
          <w:bCs/>
          <w:sz w:val="32"/>
          <w:szCs w:val="32"/>
        </w:rPr>
        <w:t xml:space="preserve">uality Care Rather Than </w:t>
      </w:r>
      <w:r w:rsidR="0098720E">
        <w:rPr>
          <w:rFonts w:asciiTheme="majorBidi" w:hAnsiTheme="majorBidi" w:cstheme="majorBidi"/>
          <w:b/>
          <w:bCs/>
          <w:sz w:val="32"/>
          <w:szCs w:val="32"/>
        </w:rPr>
        <w:t>Restricting</w:t>
      </w:r>
      <w:r w:rsidR="005E294C">
        <w:rPr>
          <w:rFonts w:asciiTheme="majorBidi" w:hAnsiTheme="majorBidi" w:cstheme="majorBidi"/>
          <w:b/>
          <w:bCs/>
          <w:sz w:val="32"/>
          <w:szCs w:val="32"/>
        </w:rPr>
        <w:t xml:space="preserve"> </w:t>
      </w:r>
      <w:r w:rsidR="0098720E">
        <w:rPr>
          <w:rFonts w:asciiTheme="majorBidi" w:hAnsiTheme="majorBidi" w:cstheme="majorBidi"/>
          <w:b/>
          <w:bCs/>
          <w:sz w:val="32"/>
          <w:szCs w:val="32"/>
        </w:rPr>
        <w:t xml:space="preserve"> </w:t>
      </w:r>
      <w:r w:rsidR="002F4BF4">
        <w:rPr>
          <w:rFonts w:asciiTheme="majorBidi" w:hAnsiTheme="majorBidi" w:cstheme="majorBidi"/>
          <w:b/>
          <w:bCs/>
          <w:sz w:val="32"/>
          <w:szCs w:val="32"/>
        </w:rPr>
        <w:t>Freedom.</w:t>
      </w:r>
    </w:p>
    <w:p w14:paraId="478CE42F" w14:textId="77777777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34E10769" w14:textId="77777777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12726D64" w14:textId="77777777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57E6EB21" w14:textId="77777777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6C337A6C" w14:textId="77777777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44540143" w14:textId="77777777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43D9DD45" w14:textId="77777777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62C3042B" w14:textId="77777777" w:rsid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</w:p>
    <w:p w14:paraId="2DD6EADB" w14:textId="180A6B4C" w:rsidR="006233E2" w:rsidRPr="006233E2" w:rsidRDefault="006233E2" w:rsidP="006233E2">
      <w:pPr>
        <w:spacing w:line="360" w:lineRule="auto"/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t>R</w:t>
      </w:r>
      <w:r w:rsidRPr="006233E2">
        <w:rPr>
          <w:rFonts w:asciiTheme="majorBidi" w:hAnsiTheme="majorBidi" w:cstheme="majorBidi"/>
          <w:b/>
          <w:bCs/>
          <w:sz w:val="32"/>
          <w:szCs w:val="32"/>
        </w:rPr>
        <w:t>eferences</w:t>
      </w:r>
    </w:p>
    <w:p w14:paraId="28FC9679" w14:textId="77777777" w:rsidR="006233E2" w:rsidRPr="005B3186" w:rsidRDefault="006233E2" w:rsidP="006233E2">
      <w:pPr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Age UK (2024) “Care homes”. Available at: </w:t>
      </w:r>
      <w:hyperlink r:id="rId4" w:tgtFrame="_new" w:history="1">
        <w:r w:rsidRPr="005B3186">
          <w:rPr>
            <w:rStyle w:val="Hyperlink"/>
            <w:rFonts w:asciiTheme="majorBidi" w:hAnsiTheme="majorBidi" w:cstheme="majorBidi"/>
          </w:rPr>
          <w:t>https://www.ageuk.org.uk/information-advice/care/arranging-care/care-homes/</w:t>
        </w:r>
      </w:hyperlink>
      <w:r w:rsidRPr="005B3186">
        <w:rPr>
          <w:rFonts w:asciiTheme="majorBidi" w:hAnsiTheme="majorBidi" w:cstheme="majorBidi"/>
        </w:rPr>
        <w:t xml:space="preserve"> (Accessed: 2 November 2025).</w:t>
      </w:r>
    </w:p>
    <w:p w14:paraId="7D255B4C" w14:textId="77777777" w:rsidR="006233E2" w:rsidRPr="005B3186" w:rsidRDefault="006233E2" w:rsidP="006233E2">
      <w:pPr>
        <w:pStyle w:val="NormalWeb"/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ARC West (2024) ‘Focusing on quality of life for </w:t>
      </w:r>
      <w:r>
        <w:rPr>
          <w:rFonts w:asciiTheme="majorBidi" w:hAnsiTheme="majorBidi" w:cstheme="majorBidi"/>
        </w:rPr>
        <w:t>person-centred</w:t>
      </w:r>
      <w:r w:rsidRPr="005B3186">
        <w:rPr>
          <w:rFonts w:asciiTheme="majorBidi" w:hAnsiTheme="majorBidi" w:cstheme="majorBidi"/>
        </w:rPr>
        <w:t xml:space="preserve"> care planning in care homes’, </w:t>
      </w:r>
      <w:r w:rsidRPr="005B3186">
        <w:rPr>
          <w:rStyle w:val="Emphasis"/>
          <w:rFonts w:asciiTheme="majorBidi" w:eastAsiaTheme="majorEastAsia" w:hAnsiTheme="majorBidi" w:cstheme="majorBidi"/>
        </w:rPr>
        <w:t>Wellbeing in Care Homes Research Project</w:t>
      </w:r>
      <w:r w:rsidRPr="005B3186">
        <w:rPr>
          <w:rFonts w:asciiTheme="majorBidi" w:hAnsiTheme="majorBidi" w:cstheme="majorBidi"/>
        </w:rPr>
        <w:t xml:space="preserve">. Available at: </w:t>
      </w:r>
      <w:hyperlink r:id="rId5" w:history="1">
        <w:r w:rsidRPr="005B3186">
          <w:rPr>
            <w:rStyle w:val="Hyperlink"/>
            <w:rFonts w:asciiTheme="majorBidi" w:hAnsiTheme="majorBidi" w:cstheme="majorBidi"/>
          </w:rPr>
          <w:t>https://arc-w.nihr.ac.uk/research/projects/focusing-on-quality-of-life-for-person-centred-care-planning-in-care-homes/</w:t>
        </w:r>
      </w:hyperlink>
      <w:r w:rsidRPr="005B3186">
        <w:rPr>
          <w:rFonts w:asciiTheme="majorBidi" w:hAnsiTheme="majorBidi" w:cstheme="majorBidi"/>
        </w:rPr>
        <w:t xml:space="preserve"> (Accessed: 2 November 2025)</w:t>
      </w:r>
    </w:p>
    <w:p w14:paraId="1D2C6D6B" w14:textId="77777777" w:rsidR="006233E2" w:rsidRPr="005B3186" w:rsidRDefault="006233E2" w:rsidP="006233E2">
      <w:pPr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Care Quality Commission (2023) </w:t>
      </w:r>
      <w:r w:rsidRPr="005B3186">
        <w:rPr>
          <w:rFonts w:asciiTheme="majorBidi" w:hAnsiTheme="majorBidi" w:cstheme="majorBidi"/>
          <w:i/>
          <w:iCs/>
        </w:rPr>
        <w:t>The state of health care and adult social care in England 2022/23</w:t>
      </w:r>
      <w:r w:rsidRPr="005B3186">
        <w:rPr>
          <w:rFonts w:asciiTheme="majorBidi" w:hAnsiTheme="majorBidi" w:cstheme="majorBidi"/>
        </w:rPr>
        <w:t xml:space="preserve">. Newcastle upon Tyne: CQC. Available at: </w:t>
      </w:r>
      <w:hyperlink r:id="rId6" w:tgtFrame="_new" w:history="1">
        <w:r w:rsidRPr="005B3186">
          <w:rPr>
            <w:rStyle w:val="Hyperlink"/>
            <w:rFonts w:asciiTheme="majorBidi" w:hAnsiTheme="majorBidi" w:cstheme="majorBidi"/>
          </w:rPr>
          <w:t>https://www.cqc.org.uk/publications/major-report/state-care</w:t>
        </w:r>
      </w:hyperlink>
      <w:r w:rsidRPr="005B3186">
        <w:rPr>
          <w:rFonts w:asciiTheme="majorBidi" w:hAnsiTheme="majorBidi" w:cstheme="majorBidi"/>
        </w:rPr>
        <w:t xml:space="preserve"> (Accessed: 1 November 2025).</w:t>
      </w:r>
    </w:p>
    <w:p w14:paraId="4C6E709F" w14:textId="77777777" w:rsidR="006233E2" w:rsidRPr="005B3186" w:rsidRDefault="006233E2" w:rsidP="006233E2">
      <w:pPr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Care Quality Commission (2023) </w:t>
      </w:r>
      <w:r w:rsidRPr="005B3186">
        <w:rPr>
          <w:rFonts w:asciiTheme="majorBidi" w:hAnsiTheme="majorBidi" w:cstheme="majorBidi"/>
          <w:i/>
          <w:iCs/>
        </w:rPr>
        <w:t>The state of health care and adult social care in England 2022/23</w:t>
      </w:r>
      <w:r w:rsidRPr="005B3186">
        <w:rPr>
          <w:rFonts w:asciiTheme="majorBidi" w:hAnsiTheme="majorBidi" w:cstheme="majorBidi"/>
        </w:rPr>
        <w:t xml:space="preserve">. Newcastle upon Tyne: CQC. Available at: </w:t>
      </w:r>
      <w:hyperlink r:id="rId7" w:tgtFrame="_new" w:history="1">
        <w:r w:rsidRPr="005B3186">
          <w:rPr>
            <w:rStyle w:val="Hyperlink"/>
            <w:rFonts w:asciiTheme="majorBidi" w:hAnsiTheme="majorBidi" w:cstheme="majorBidi"/>
          </w:rPr>
          <w:t>https://www.cqc.org.uk/publications/major-report/state-care</w:t>
        </w:r>
      </w:hyperlink>
      <w:r w:rsidRPr="005B3186">
        <w:rPr>
          <w:rFonts w:asciiTheme="majorBidi" w:hAnsiTheme="majorBidi" w:cstheme="majorBidi"/>
        </w:rPr>
        <w:t xml:space="preserve"> (Accessed: 2 November 2025).</w:t>
      </w:r>
    </w:p>
    <w:p w14:paraId="43E359EE" w14:textId="77777777" w:rsidR="006233E2" w:rsidRPr="005B3186" w:rsidRDefault="006233E2" w:rsidP="006233E2">
      <w:pPr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Care UK (2024) </w:t>
      </w:r>
      <w:r w:rsidRPr="005B3186">
        <w:rPr>
          <w:rFonts w:asciiTheme="majorBidi" w:hAnsiTheme="majorBidi" w:cstheme="majorBidi"/>
          <w:i/>
          <w:iCs/>
        </w:rPr>
        <w:t>Our performance</w:t>
      </w:r>
      <w:r w:rsidRPr="005B3186">
        <w:rPr>
          <w:rFonts w:asciiTheme="majorBidi" w:hAnsiTheme="majorBidi" w:cstheme="majorBidi"/>
        </w:rPr>
        <w:t xml:space="preserve">. Available at: </w:t>
      </w:r>
      <w:hyperlink r:id="rId8" w:tgtFrame="_new" w:history="1">
        <w:r w:rsidRPr="005B3186">
          <w:rPr>
            <w:rStyle w:val="Hyperlink"/>
            <w:rFonts w:asciiTheme="majorBidi" w:hAnsiTheme="majorBidi" w:cstheme="majorBidi"/>
          </w:rPr>
          <w:t>https://www.careuk.com/our-approach-to-care/our-performance</w:t>
        </w:r>
      </w:hyperlink>
      <w:r w:rsidRPr="005B3186">
        <w:rPr>
          <w:rFonts w:asciiTheme="majorBidi" w:hAnsiTheme="majorBidi" w:cstheme="majorBidi"/>
        </w:rPr>
        <w:t xml:space="preserve"> (Accessed: 2 November 2025).</w:t>
      </w:r>
    </w:p>
    <w:p w14:paraId="03FDD4F5" w14:textId="77777777" w:rsidR="006233E2" w:rsidRPr="005B3186" w:rsidRDefault="006233E2" w:rsidP="006233E2">
      <w:pPr>
        <w:pStyle w:val="NormalWeb"/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CQC (2025) </w:t>
      </w:r>
      <w:r w:rsidRPr="005B3186">
        <w:rPr>
          <w:rStyle w:val="Emphasis"/>
          <w:rFonts w:asciiTheme="majorBidi" w:eastAsiaTheme="majorEastAsia" w:hAnsiTheme="majorBidi" w:cstheme="majorBidi"/>
        </w:rPr>
        <w:t>Deprivation of Liberty Safeguards</w:t>
      </w:r>
      <w:r w:rsidRPr="005B3186">
        <w:rPr>
          <w:rFonts w:asciiTheme="majorBidi" w:hAnsiTheme="majorBidi" w:cstheme="majorBidi"/>
        </w:rPr>
        <w:t xml:space="preserve">. Available at: </w:t>
      </w:r>
      <w:hyperlink r:id="rId9" w:history="1">
        <w:r w:rsidRPr="005B3186">
          <w:rPr>
            <w:rStyle w:val="Hyperlink"/>
            <w:rFonts w:asciiTheme="majorBidi" w:hAnsiTheme="majorBidi" w:cstheme="majorBidi"/>
          </w:rPr>
          <w:t>https://www.cqc.org.uk/publications/major-report/state-care/2024-2025</w:t>
        </w:r>
      </w:hyperlink>
      <w:r w:rsidRPr="005B3186">
        <w:rPr>
          <w:rFonts w:asciiTheme="majorBidi" w:hAnsiTheme="majorBidi" w:cstheme="majorBidi"/>
        </w:rPr>
        <w:t xml:space="preserve"> (Accessed: 2 November 2025).</w:t>
      </w:r>
    </w:p>
    <w:p w14:paraId="3BDF7825" w14:textId="77777777" w:rsidR="006233E2" w:rsidRPr="005B3186" w:rsidRDefault="006233E2" w:rsidP="006233E2">
      <w:pPr>
        <w:pStyle w:val="NormalWeb"/>
        <w:spacing w:before="0" w:beforeAutospacing="0" w:after="0" w:afterAutospacing="0"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lastRenderedPageBreak/>
        <w:t xml:space="preserve">De Albuquerque Green, C.E. (2022) 'The human rights of people living in care homes: never again an afterthought,' </w:t>
      </w:r>
      <w:r w:rsidRPr="005B3186">
        <w:rPr>
          <w:rFonts w:asciiTheme="majorBidi" w:hAnsiTheme="majorBidi" w:cstheme="majorBidi"/>
          <w:i/>
          <w:iCs/>
        </w:rPr>
        <w:t>Nature Aging</w:t>
      </w:r>
      <w:r w:rsidRPr="005B3186">
        <w:rPr>
          <w:rFonts w:asciiTheme="majorBidi" w:hAnsiTheme="majorBidi" w:cstheme="majorBidi"/>
        </w:rPr>
        <w:t xml:space="preserve">, 2(9), pp. 767–769. </w:t>
      </w:r>
      <w:hyperlink r:id="rId10" w:history="1">
        <w:r w:rsidRPr="005B3186">
          <w:rPr>
            <w:rStyle w:val="Hyperlink"/>
            <w:rFonts w:asciiTheme="majorBidi" w:eastAsiaTheme="majorEastAsia" w:hAnsiTheme="majorBidi" w:cstheme="majorBidi"/>
          </w:rPr>
          <w:t>https://doi.org/10.1038/s43587-022-00283-z</w:t>
        </w:r>
      </w:hyperlink>
      <w:r w:rsidRPr="005B3186">
        <w:rPr>
          <w:rFonts w:asciiTheme="majorBidi" w:hAnsiTheme="majorBidi" w:cstheme="majorBidi"/>
        </w:rPr>
        <w:t xml:space="preserve">. </w:t>
      </w:r>
    </w:p>
    <w:p w14:paraId="071105AD" w14:textId="77777777" w:rsidR="006233E2" w:rsidRPr="005B3186" w:rsidRDefault="006233E2" w:rsidP="006233E2">
      <w:pPr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Department of Health and Social Care (2014) </w:t>
      </w:r>
      <w:r w:rsidRPr="005B3186">
        <w:rPr>
          <w:rFonts w:asciiTheme="majorBidi" w:hAnsiTheme="majorBidi" w:cstheme="majorBidi"/>
          <w:i/>
          <w:iCs/>
        </w:rPr>
        <w:t>Care and Support Statutory Guidance: Issued under the Care Act 2014</w:t>
      </w:r>
      <w:r w:rsidRPr="005B3186">
        <w:rPr>
          <w:rFonts w:asciiTheme="majorBidi" w:hAnsiTheme="majorBidi" w:cstheme="majorBidi"/>
        </w:rPr>
        <w:t xml:space="preserve">. London: HM Government. Available at: </w:t>
      </w:r>
      <w:hyperlink r:id="rId11" w:tgtFrame="_new" w:history="1">
        <w:r w:rsidRPr="005B3186">
          <w:rPr>
            <w:rStyle w:val="Hyperlink"/>
            <w:rFonts w:asciiTheme="majorBidi" w:hAnsiTheme="majorBidi" w:cstheme="majorBidi"/>
          </w:rPr>
          <w:t>https://www.gov.uk/government/publications/care-act-statutory-guidance/care-and-support-statutory-guidance</w:t>
        </w:r>
      </w:hyperlink>
      <w:r w:rsidRPr="005B3186">
        <w:rPr>
          <w:rFonts w:asciiTheme="majorBidi" w:hAnsiTheme="majorBidi" w:cstheme="majorBidi"/>
        </w:rPr>
        <w:t xml:space="preserve"> (Accessed: 1 November 2025).</w:t>
      </w:r>
    </w:p>
    <w:p w14:paraId="33137658" w14:textId="77777777" w:rsidR="006233E2" w:rsidRPr="005B3186" w:rsidRDefault="006233E2" w:rsidP="006233E2">
      <w:pPr>
        <w:pStyle w:val="NormalWeb"/>
        <w:spacing w:before="0" w:beforeAutospacing="0" w:after="0" w:afterAutospacing="0"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Gallagher, A. </w:t>
      </w:r>
      <w:r w:rsidRPr="005B3186">
        <w:rPr>
          <w:rFonts w:asciiTheme="majorBidi" w:hAnsiTheme="majorBidi" w:cstheme="majorBidi"/>
          <w:i/>
          <w:iCs/>
        </w:rPr>
        <w:t>et al.</w:t>
      </w:r>
      <w:r w:rsidRPr="005B3186">
        <w:rPr>
          <w:rFonts w:asciiTheme="majorBidi" w:hAnsiTheme="majorBidi" w:cstheme="majorBidi"/>
        </w:rPr>
        <w:t xml:space="preserve"> (2008) 'Dignity in the care of older people – a review of the theoretical and empirical literature,' </w:t>
      </w:r>
      <w:r w:rsidRPr="005B3186">
        <w:rPr>
          <w:rFonts w:asciiTheme="majorBidi" w:hAnsiTheme="majorBidi" w:cstheme="majorBidi"/>
          <w:i/>
          <w:iCs/>
        </w:rPr>
        <w:t>BMC Nursing</w:t>
      </w:r>
      <w:r w:rsidRPr="005B3186">
        <w:rPr>
          <w:rFonts w:asciiTheme="majorBidi" w:hAnsiTheme="majorBidi" w:cstheme="majorBidi"/>
        </w:rPr>
        <w:t xml:space="preserve">, 7(1). </w:t>
      </w:r>
      <w:hyperlink r:id="rId12" w:history="1">
        <w:r w:rsidRPr="005B3186">
          <w:rPr>
            <w:rStyle w:val="Hyperlink"/>
            <w:rFonts w:asciiTheme="majorBidi" w:eastAsiaTheme="majorEastAsia" w:hAnsiTheme="majorBidi" w:cstheme="majorBidi"/>
          </w:rPr>
          <w:t>https://doi.org/10.1186/1472-6955-7-11</w:t>
        </w:r>
      </w:hyperlink>
      <w:r w:rsidRPr="005B3186">
        <w:rPr>
          <w:rFonts w:asciiTheme="majorBidi" w:hAnsiTheme="majorBidi" w:cstheme="majorBidi"/>
        </w:rPr>
        <w:t xml:space="preserve">. </w:t>
      </w:r>
    </w:p>
    <w:p w14:paraId="0CAFE62A" w14:textId="77777777" w:rsidR="006233E2" w:rsidRPr="005B3186" w:rsidRDefault="006233E2" w:rsidP="006233E2">
      <w:pPr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GOV.UK (2024) </w:t>
      </w:r>
      <w:r w:rsidRPr="005B3186">
        <w:rPr>
          <w:rFonts w:asciiTheme="majorBidi" w:hAnsiTheme="majorBidi" w:cstheme="majorBidi"/>
          <w:i/>
          <w:iCs/>
        </w:rPr>
        <w:t>Adult social care: guidance</w:t>
      </w:r>
      <w:r w:rsidRPr="005B3186">
        <w:rPr>
          <w:rFonts w:asciiTheme="majorBidi" w:hAnsiTheme="majorBidi" w:cstheme="majorBidi"/>
        </w:rPr>
        <w:t xml:space="preserve">. London: HM Government. Available at: </w:t>
      </w:r>
      <w:hyperlink r:id="rId13" w:tgtFrame="_new" w:history="1">
        <w:r w:rsidRPr="005B3186">
          <w:rPr>
            <w:rStyle w:val="Hyperlink"/>
            <w:rFonts w:asciiTheme="majorBidi" w:hAnsiTheme="majorBidi" w:cstheme="majorBidi"/>
          </w:rPr>
          <w:t>https://www.gov.uk/government/collections/adult-social-care-guidance</w:t>
        </w:r>
      </w:hyperlink>
      <w:r w:rsidRPr="005B3186">
        <w:rPr>
          <w:rFonts w:asciiTheme="majorBidi" w:hAnsiTheme="majorBidi" w:cstheme="majorBidi"/>
        </w:rPr>
        <w:t xml:space="preserve"> (Accessed: 2 November 2025).</w:t>
      </w:r>
    </w:p>
    <w:p w14:paraId="531D84B7" w14:textId="77777777" w:rsidR="006233E2" w:rsidRPr="005B3186" w:rsidRDefault="006233E2" w:rsidP="006233E2">
      <w:pPr>
        <w:pStyle w:val="NormalWeb"/>
        <w:spacing w:before="0" w:beforeAutospacing="0" w:after="0" w:afterAutospacing="0"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Lynch, B. </w:t>
      </w:r>
      <w:r w:rsidRPr="005B3186">
        <w:rPr>
          <w:rFonts w:asciiTheme="majorBidi" w:hAnsiTheme="majorBidi" w:cstheme="majorBidi"/>
          <w:i/>
          <w:iCs/>
        </w:rPr>
        <w:t>et al.</w:t>
      </w:r>
      <w:r w:rsidRPr="005B3186">
        <w:rPr>
          <w:rFonts w:asciiTheme="majorBidi" w:hAnsiTheme="majorBidi" w:cstheme="majorBidi"/>
        </w:rPr>
        <w:t xml:space="preserve"> (2022) 'The factors that influence care home residents’ and families’ engagement with decision-making about their care and support: an integrative review of the literature,' </w:t>
      </w:r>
      <w:r w:rsidRPr="005B3186">
        <w:rPr>
          <w:rFonts w:asciiTheme="majorBidi" w:hAnsiTheme="majorBidi" w:cstheme="majorBidi"/>
          <w:i/>
          <w:iCs/>
        </w:rPr>
        <w:t>BMC Geriatrics</w:t>
      </w:r>
      <w:r w:rsidRPr="005B3186">
        <w:rPr>
          <w:rFonts w:asciiTheme="majorBidi" w:hAnsiTheme="majorBidi" w:cstheme="majorBidi"/>
        </w:rPr>
        <w:t xml:space="preserve">, 22(1). </w:t>
      </w:r>
      <w:hyperlink r:id="rId14" w:history="1">
        <w:r w:rsidRPr="005B3186">
          <w:rPr>
            <w:rStyle w:val="Hyperlink"/>
            <w:rFonts w:asciiTheme="majorBidi" w:eastAsiaTheme="majorEastAsia" w:hAnsiTheme="majorBidi" w:cstheme="majorBidi"/>
          </w:rPr>
          <w:t>https://doi.org/10.1186/s12877-022-03503-8</w:t>
        </w:r>
      </w:hyperlink>
      <w:r w:rsidRPr="005B3186">
        <w:rPr>
          <w:rFonts w:asciiTheme="majorBidi" w:hAnsiTheme="majorBidi" w:cstheme="majorBidi"/>
        </w:rPr>
        <w:t xml:space="preserve">. </w:t>
      </w:r>
    </w:p>
    <w:p w14:paraId="2E7947CF" w14:textId="77777777" w:rsidR="006233E2" w:rsidRPr="005B3186" w:rsidRDefault="006233E2" w:rsidP="006233E2">
      <w:pPr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>McCormack, B. (2003) ‘A conceptual framework for person</w:t>
      </w:r>
      <w:r w:rsidRPr="005B3186">
        <w:rPr>
          <w:rFonts w:asciiTheme="majorBidi" w:hAnsiTheme="majorBidi" w:cstheme="majorBidi"/>
        </w:rPr>
        <w:noBreakHyphen/>
        <w:t xml:space="preserve">centred practice with older people’, </w:t>
      </w:r>
      <w:r w:rsidRPr="005B3186">
        <w:rPr>
          <w:rStyle w:val="Emphasis"/>
          <w:rFonts w:asciiTheme="majorBidi" w:eastAsiaTheme="majorEastAsia" w:hAnsiTheme="majorBidi" w:cstheme="majorBidi"/>
        </w:rPr>
        <w:t>International Journal of Nursing Practice</w:t>
      </w:r>
      <w:r w:rsidRPr="005B3186">
        <w:rPr>
          <w:rFonts w:asciiTheme="majorBidi" w:hAnsiTheme="majorBidi" w:cstheme="majorBidi"/>
        </w:rPr>
        <w:t>, 9(3), pp. 202</w:t>
      </w:r>
      <w:r w:rsidRPr="005B3186">
        <w:rPr>
          <w:rFonts w:asciiTheme="majorBidi" w:hAnsiTheme="majorBidi" w:cstheme="majorBidi"/>
        </w:rPr>
        <w:noBreakHyphen/>
        <w:t xml:space="preserve">209. Available at: </w:t>
      </w:r>
      <w:hyperlink r:id="rId15" w:history="1">
        <w:r w:rsidRPr="005B3186">
          <w:rPr>
            <w:rStyle w:val="Hyperlink"/>
            <w:rFonts w:asciiTheme="majorBidi" w:eastAsiaTheme="majorEastAsia" w:hAnsiTheme="majorBidi" w:cstheme="majorBidi"/>
          </w:rPr>
          <w:t>https://pubmed.ncbi.nlm.nih.gov/12801252/</w:t>
        </w:r>
      </w:hyperlink>
      <w:r w:rsidRPr="005B3186">
        <w:rPr>
          <w:rStyle w:val="ms-1"/>
          <w:rFonts w:asciiTheme="majorBidi" w:eastAsiaTheme="majorEastAsia" w:hAnsiTheme="majorBidi" w:cstheme="majorBidi"/>
        </w:rPr>
        <w:t xml:space="preserve"> </w:t>
      </w:r>
      <w:r w:rsidRPr="005B3186">
        <w:rPr>
          <w:rFonts w:asciiTheme="majorBidi" w:hAnsiTheme="majorBidi" w:cstheme="majorBidi"/>
        </w:rPr>
        <w:t>(Accessed: 2 November 2025).</w:t>
      </w:r>
    </w:p>
    <w:p w14:paraId="7DC4962E" w14:textId="77777777" w:rsidR="006233E2" w:rsidRPr="005B3186" w:rsidRDefault="006233E2" w:rsidP="006233E2">
      <w:pPr>
        <w:pStyle w:val="NormalWeb"/>
        <w:spacing w:before="0" w:beforeAutospacing="0" w:after="0" w:afterAutospacing="0" w:line="360" w:lineRule="auto"/>
        <w:ind w:left="851" w:hanging="851"/>
        <w:rPr>
          <w:rFonts w:asciiTheme="majorBidi" w:hAnsiTheme="majorBidi" w:cstheme="majorBidi"/>
        </w:rPr>
      </w:pPr>
      <w:proofErr w:type="spellStart"/>
      <w:r w:rsidRPr="005B3186">
        <w:rPr>
          <w:rFonts w:asciiTheme="majorBidi" w:hAnsiTheme="majorBidi" w:cstheme="majorBidi"/>
        </w:rPr>
        <w:t>Moilanen</w:t>
      </w:r>
      <w:proofErr w:type="spellEnd"/>
      <w:r w:rsidRPr="005B3186">
        <w:rPr>
          <w:rFonts w:asciiTheme="majorBidi" w:hAnsiTheme="majorBidi" w:cstheme="majorBidi"/>
        </w:rPr>
        <w:t xml:space="preserve">, T., </w:t>
      </w:r>
      <w:proofErr w:type="spellStart"/>
      <w:r w:rsidRPr="005B3186">
        <w:rPr>
          <w:rFonts w:asciiTheme="majorBidi" w:hAnsiTheme="majorBidi" w:cstheme="majorBidi"/>
        </w:rPr>
        <w:t>Suhonen</w:t>
      </w:r>
      <w:proofErr w:type="spellEnd"/>
      <w:r w:rsidRPr="005B3186">
        <w:rPr>
          <w:rFonts w:asciiTheme="majorBidi" w:hAnsiTheme="majorBidi" w:cstheme="majorBidi"/>
        </w:rPr>
        <w:t xml:space="preserve">, R. and </w:t>
      </w:r>
      <w:proofErr w:type="spellStart"/>
      <w:r w:rsidRPr="005B3186">
        <w:rPr>
          <w:rFonts w:asciiTheme="majorBidi" w:hAnsiTheme="majorBidi" w:cstheme="majorBidi"/>
        </w:rPr>
        <w:t>Kangasniemi</w:t>
      </w:r>
      <w:proofErr w:type="spellEnd"/>
      <w:r w:rsidRPr="005B3186">
        <w:rPr>
          <w:rFonts w:asciiTheme="majorBidi" w:hAnsiTheme="majorBidi" w:cstheme="majorBidi"/>
        </w:rPr>
        <w:t xml:space="preserve">, M. (2021) 'Nursing support for older people’s autonomy in residential care: An integrative review,' </w:t>
      </w:r>
      <w:r w:rsidRPr="005B3186">
        <w:rPr>
          <w:rFonts w:asciiTheme="majorBidi" w:hAnsiTheme="majorBidi" w:cstheme="majorBidi"/>
          <w:i/>
          <w:iCs/>
        </w:rPr>
        <w:t>International Journal of Older People Nursing</w:t>
      </w:r>
      <w:r w:rsidRPr="005B3186">
        <w:rPr>
          <w:rFonts w:asciiTheme="majorBidi" w:hAnsiTheme="majorBidi" w:cstheme="majorBidi"/>
        </w:rPr>
        <w:t xml:space="preserve">, 17(2). </w:t>
      </w:r>
      <w:r w:rsidRPr="005B3186">
        <w:rPr>
          <w:rStyle w:val="url"/>
          <w:rFonts w:asciiTheme="majorBidi" w:eastAsiaTheme="majorEastAsia" w:hAnsiTheme="majorBidi" w:cstheme="majorBidi"/>
        </w:rPr>
        <w:t>https://doi.org/10.1111/opn.12428</w:t>
      </w:r>
      <w:r w:rsidRPr="005B3186">
        <w:rPr>
          <w:rFonts w:asciiTheme="majorBidi" w:hAnsiTheme="majorBidi" w:cstheme="majorBidi"/>
        </w:rPr>
        <w:t>.</w:t>
      </w:r>
    </w:p>
    <w:p w14:paraId="79C25593" w14:textId="77777777" w:rsidR="006233E2" w:rsidRPr="005B3186" w:rsidRDefault="006233E2" w:rsidP="006233E2">
      <w:pPr>
        <w:pStyle w:val="NormalWeb"/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Morgan Brett, B., Owen, T., Ryan, A., Hewitt, E., Thompson, S. and Davis, L. (2024) </w:t>
      </w:r>
      <w:r w:rsidRPr="005B3186">
        <w:rPr>
          <w:rStyle w:val="Emphasis"/>
          <w:rFonts w:asciiTheme="majorBidi" w:eastAsiaTheme="majorEastAsia" w:hAnsiTheme="majorBidi" w:cstheme="majorBidi"/>
        </w:rPr>
        <w:t xml:space="preserve">Thriving in Residential Care: The voices of older people, </w:t>
      </w:r>
      <w:proofErr w:type="gramStart"/>
      <w:r w:rsidRPr="005B3186">
        <w:rPr>
          <w:rStyle w:val="Emphasis"/>
          <w:rFonts w:asciiTheme="majorBidi" w:eastAsiaTheme="majorEastAsia" w:hAnsiTheme="majorBidi" w:cstheme="majorBidi"/>
        </w:rPr>
        <w:t>families</w:t>
      </w:r>
      <w:proofErr w:type="gramEnd"/>
      <w:r w:rsidRPr="005B3186">
        <w:rPr>
          <w:rStyle w:val="Emphasis"/>
          <w:rFonts w:asciiTheme="majorBidi" w:eastAsiaTheme="majorEastAsia" w:hAnsiTheme="majorBidi" w:cstheme="majorBidi"/>
        </w:rPr>
        <w:t xml:space="preserve"> and care teams</w:t>
      </w:r>
      <w:r w:rsidRPr="005B3186">
        <w:rPr>
          <w:rFonts w:asciiTheme="majorBidi" w:hAnsiTheme="majorBidi" w:cstheme="majorBidi"/>
        </w:rPr>
        <w:t xml:space="preserve">. London: My Home Life England, City, St George’s, University of London. </w:t>
      </w:r>
      <w:hyperlink r:id="rId16" w:history="1">
        <w:r w:rsidRPr="005B3186">
          <w:rPr>
            <w:rStyle w:val="Hyperlink"/>
            <w:rFonts w:asciiTheme="majorBidi" w:hAnsiTheme="majorBidi" w:cstheme="majorBidi"/>
          </w:rPr>
          <w:t>https://share.google/Bc8yeGbYx9dvGml2x</w:t>
        </w:r>
      </w:hyperlink>
    </w:p>
    <w:p w14:paraId="2F59D3C7" w14:textId="77777777" w:rsidR="006233E2" w:rsidRPr="005B3186" w:rsidRDefault="006233E2" w:rsidP="006233E2">
      <w:pPr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NIHR Evidence (2021) </w:t>
      </w:r>
      <w:r w:rsidRPr="005B3186">
        <w:rPr>
          <w:rFonts w:asciiTheme="majorBidi" w:hAnsiTheme="majorBidi" w:cstheme="majorBidi"/>
          <w:i/>
          <w:iCs/>
        </w:rPr>
        <w:t>Improving the quality of care in care homes: what does the evidence tell us?</w:t>
      </w:r>
      <w:r w:rsidRPr="005B3186">
        <w:rPr>
          <w:rFonts w:asciiTheme="majorBidi" w:hAnsiTheme="majorBidi" w:cstheme="majorBidi"/>
        </w:rPr>
        <w:t xml:space="preserve"> Available at: </w:t>
      </w:r>
      <w:hyperlink r:id="rId17" w:tgtFrame="_new" w:history="1">
        <w:r w:rsidRPr="005B3186">
          <w:rPr>
            <w:rStyle w:val="Hyperlink"/>
            <w:rFonts w:asciiTheme="majorBidi" w:hAnsiTheme="majorBidi" w:cstheme="majorBidi"/>
          </w:rPr>
          <w:t>https://evidence.nihr.ac.uk/collection/improving-the-quality-of-care-in-care-homes-what-does-the-evidence-tell-us/</w:t>
        </w:r>
      </w:hyperlink>
      <w:r w:rsidRPr="005B3186">
        <w:rPr>
          <w:rFonts w:asciiTheme="majorBidi" w:hAnsiTheme="majorBidi" w:cstheme="majorBidi"/>
        </w:rPr>
        <w:t xml:space="preserve"> (Accessed: 2 November 2025).</w:t>
      </w:r>
    </w:p>
    <w:p w14:paraId="241E3803" w14:textId="77777777" w:rsidR="006233E2" w:rsidRPr="005B3186" w:rsidRDefault="006233E2" w:rsidP="006233E2">
      <w:pPr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lastRenderedPageBreak/>
        <w:t xml:space="preserve">NIHR Evidence (2022) </w:t>
      </w:r>
      <w:r w:rsidRPr="005B3186">
        <w:rPr>
          <w:rFonts w:asciiTheme="majorBidi" w:hAnsiTheme="majorBidi" w:cstheme="majorBidi"/>
          <w:i/>
          <w:iCs/>
        </w:rPr>
        <w:t>Better CQC ratings linked to higher quality of life for care home residents</w:t>
      </w:r>
      <w:r w:rsidRPr="005B3186">
        <w:rPr>
          <w:rFonts w:asciiTheme="majorBidi" w:hAnsiTheme="majorBidi" w:cstheme="majorBidi"/>
        </w:rPr>
        <w:t xml:space="preserve">. National Institute for Health and Care Research. Available at: </w:t>
      </w:r>
      <w:hyperlink r:id="rId18" w:tgtFrame="_new" w:history="1">
        <w:r w:rsidRPr="005B3186">
          <w:rPr>
            <w:rStyle w:val="Hyperlink"/>
            <w:rFonts w:asciiTheme="majorBidi" w:hAnsiTheme="majorBidi" w:cstheme="majorBidi"/>
          </w:rPr>
          <w:t>https://evidence.nihr.ac.uk</w:t>
        </w:r>
      </w:hyperlink>
      <w:r w:rsidRPr="005B3186">
        <w:rPr>
          <w:rFonts w:asciiTheme="majorBidi" w:hAnsiTheme="majorBidi" w:cstheme="majorBidi"/>
        </w:rPr>
        <w:t xml:space="preserve"> (Accessed: 2 November 2025).</w:t>
      </w:r>
    </w:p>
    <w:p w14:paraId="36577FD7" w14:textId="77777777" w:rsidR="006233E2" w:rsidRPr="005B3186" w:rsidRDefault="006233E2" w:rsidP="006233E2">
      <w:pPr>
        <w:pStyle w:val="NormalWeb"/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SCIE (n.d.) </w:t>
      </w:r>
      <w:r w:rsidRPr="005B3186">
        <w:rPr>
          <w:rStyle w:val="Emphasis"/>
          <w:rFonts w:asciiTheme="majorBidi" w:eastAsiaTheme="majorEastAsia" w:hAnsiTheme="majorBidi" w:cstheme="majorBidi"/>
        </w:rPr>
        <w:t>What are Liberty Protection Safeguards?</w:t>
      </w:r>
      <w:r w:rsidRPr="005B3186">
        <w:rPr>
          <w:rFonts w:asciiTheme="majorBidi" w:hAnsiTheme="majorBidi" w:cstheme="majorBidi"/>
        </w:rPr>
        <w:t xml:space="preserve"> Available at: </w:t>
      </w:r>
      <w:hyperlink r:id="rId19" w:history="1">
        <w:r w:rsidRPr="005B3186">
          <w:rPr>
            <w:rStyle w:val="Hyperlink"/>
            <w:rFonts w:asciiTheme="majorBidi" w:hAnsiTheme="majorBidi" w:cstheme="majorBidi"/>
          </w:rPr>
          <w:t>https://www.scie.org.uk/mca/lps/</w:t>
        </w:r>
      </w:hyperlink>
      <w:r w:rsidRPr="005B3186">
        <w:rPr>
          <w:rFonts w:asciiTheme="majorBidi" w:hAnsiTheme="majorBidi" w:cstheme="majorBidi"/>
        </w:rPr>
        <w:t xml:space="preserve">  (Accessed: 2 November 2025).</w:t>
      </w:r>
    </w:p>
    <w:p w14:paraId="55D03026" w14:textId="77777777" w:rsidR="006233E2" w:rsidRPr="005B3186" w:rsidRDefault="006233E2" w:rsidP="006233E2">
      <w:pPr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Series, L. (2022) ‘Deprivation of liberty in the shadows of the institution’, </w:t>
      </w:r>
      <w:r w:rsidRPr="005B3186">
        <w:rPr>
          <w:rFonts w:asciiTheme="majorBidi" w:hAnsiTheme="majorBidi" w:cstheme="majorBidi"/>
          <w:i/>
          <w:iCs/>
        </w:rPr>
        <w:t>Oxford Journal of Legal Studies</w:t>
      </w:r>
      <w:r w:rsidRPr="005B3186">
        <w:rPr>
          <w:rFonts w:asciiTheme="majorBidi" w:hAnsiTheme="majorBidi" w:cstheme="majorBidi"/>
        </w:rPr>
        <w:t xml:space="preserve">, 37(4), pp. 778–804. Oxford: Oxford University Press. Available at: </w:t>
      </w:r>
      <w:hyperlink r:id="rId20" w:history="1">
        <w:r w:rsidRPr="005B3186">
          <w:rPr>
            <w:rStyle w:val="Hyperlink"/>
            <w:rFonts w:asciiTheme="majorBidi" w:hAnsiTheme="majorBidi" w:cstheme="majorBidi"/>
          </w:rPr>
          <w:t>https://www.ncbi.nlm.nih.gov/books/NBK592760/</w:t>
        </w:r>
      </w:hyperlink>
      <w:r w:rsidRPr="005B3186">
        <w:rPr>
          <w:rFonts w:asciiTheme="majorBidi" w:hAnsiTheme="majorBidi" w:cstheme="majorBidi"/>
        </w:rPr>
        <w:t xml:space="preserve">  (Accessed: 2 November 2025).</w:t>
      </w:r>
    </w:p>
    <w:p w14:paraId="2ED401DD" w14:textId="77777777" w:rsidR="006233E2" w:rsidRPr="005B3186" w:rsidRDefault="006233E2" w:rsidP="006233E2">
      <w:pPr>
        <w:pStyle w:val="NormalWeb"/>
        <w:spacing w:line="360" w:lineRule="auto"/>
        <w:ind w:left="851" w:hanging="851"/>
        <w:rPr>
          <w:rStyle w:val="ms-1"/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Social Care Institute for Excellence (SCIE) (n.d.) </w:t>
      </w:r>
      <w:r w:rsidRPr="005B3186">
        <w:rPr>
          <w:rStyle w:val="Emphasis"/>
          <w:rFonts w:asciiTheme="majorBidi" w:eastAsiaTheme="majorEastAsia" w:hAnsiTheme="majorBidi" w:cstheme="majorBidi"/>
        </w:rPr>
        <w:t>Dignity in care: what does it mean and how can we do it?</w:t>
      </w:r>
      <w:r w:rsidRPr="005B3186">
        <w:rPr>
          <w:rFonts w:asciiTheme="majorBidi" w:hAnsiTheme="majorBidi" w:cstheme="majorBidi"/>
        </w:rPr>
        <w:t xml:space="preserve"> London: SCIE. Available at: </w:t>
      </w:r>
      <w:hyperlink r:id="rId21" w:history="1">
        <w:r w:rsidRPr="005B3186">
          <w:rPr>
            <w:rStyle w:val="Hyperlink"/>
            <w:rFonts w:asciiTheme="majorBidi" w:hAnsiTheme="majorBidi" w:cstheme="majorBidi"/>
          </w:rPr>
          <w:t>https://www.scie.org.uk/providing-care/dignity-in-care/</w:t>
        </w:r>
      </w:hyperlink>
      <w:r w:rsidRPr="005B3186">
        <w:rPr>
          <w:rFonts w:asciiTheme="majorBidi" w:hAnsiTheme="majorBidi" w:cstheme="majorBidi"/>
        </w:rPr>
        <w:t xml:space="preserve">  (Accessed: 2 November 2025). </w:t>
      </w:r>
    </w:p>
    <w:p w14:paraId="16584FE2" w14:textId="77777777" w:rsidR="006233E2" w:rsidRPr="005B3186" w:rsidRDefault="006233E2" w:rsidP="006233E2">
      <w:pPr>
        <w:spacing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Towers, A.-M., Smith, N., Allan, S., </w:t>
      </w:r>
      <w:proofErr w:type="spellStart"/>
      <w:r w:rsidRPr="005B3186">
        <w:rPr>
          <w:rFonts w:asciiTheme="majorBidi" w:hAnsiTheme="majorBidi" w:cstheme="majorBidi"/>
        </w:rPr>
        <w:t>Vadean</w:t>
      </w:r>
      <w:proofErr w:type="spellEnd"/>
      <w:r w:rsidRPr="005B3186">
        <w:rPr>
          <w:rFonts w:asciiTheme="majorBidi" w:hAnsiTheme="majorBidi" w:cstheme="majorBidi"/>
        </w:rPr>
        <w:t xml:space="preserve">, F., Collins, G., Rand, S., Bostock, J., Ramsbottom, H., Forder, J. &amp; Lanza, S. (2021) </w:t>
      </w:r>
      <w:r w:rsidRPr="005B3186">
        <w:rPr>
          <w:rFonts w:asciiTheme="majorBidi" w:hAnsiTheme="majorBidi" w:cstheme="majorBidi"/>
          <w:i/>
          <w:iCs/>
        </w:rPr>
        <w:t xml:space="preserve">Care home residents’ quality of life and its association with CQC ratings and workforce issues: the </w:t>
      </w:r>
      <w:proofErr w:type="spellStart"/>
      <w:r w:rsidRPr="005B3186">
        <w:rPr>
          <w:rFonts w:asciiTheme="majorBidi" w:hAnsiTheme="majorBidi" w:cstheme="majorBidi"/>
          <w:i/>
          <w:iCs/>
        </w:rPr>
        <w:t>MiCareHQ</w:t>
      </w:r>
      <w:proofErr w:type="spellEnd"/>
      <w:r w:rsidRPr="005B3186">
        <w:rPr>
          <w:rFonts w:asciiTheme="majorBidi" w:hAnsiTheme="majorBidi" w:cstheme="majorBidi"/>
          <w:i/>
          <w:iCs/>
        </w:rPr>
        <w:t xml:space="preserve"> mixed-methods study</w:t>
      </w:r>
      <w:r w:rsidRPr="005B3186">
        <w:rPr>
          <w:rFonts w:asciiTheme="majorBidi" w:hAnsiTheme="majorBidi" w:cstheme="majorBidi"/>
        </w:rPr>
        <w:t xml:space="preserve">. Health Services and Delivery Research, 9(19). </w:t>
      </w:r>
    </w:p>
    <w:p w14:paraId="54FD4759" w14:textId="77777777" w:rsidR="006233E2" w:rsidRPr="005B3186" w:rsidRDefault="006233E2" w:rsidP="006233E2">
      <w:pPr>
        <w:pStyle w:val="NormalWeb"/>
        <w:spacing w:before="0" w:beforeAutospacing="0" w:after="0" w:afterAutospacing="0" w:line="360" w:lineRule="auto"/>
        <w:ind w:left="851" w:hanging="851"/>
        <w:rPr>
          <w:rFonts w:asciiTheme="majorBidi" w:hAnsiTheme="majorBidi" w:cstheme="majorBidi"/>
        </w:rPr>
      </w:pPr>
      <w:r w:rsidRPr="005B3186">
        <w:rPr>
          <w:rFonts w:asciiTheme="majorBidi" w:hAnsiTheme="majorBidi" w:cstheme="majorBidi"/>
        </w:rPr>
        <w:t xml:space="preserve">Van Loon, J. </w:t>
      </w:r>
      <w:r w:rsidRPr="005B3186">
        <w:rPr>
          <w:rFonts w:asciiTheme="majorBidi" w:hAnsiTheme="majorBidi" w:cstheme="majorBidi"/>
          <w:i/>
          <w:iCs/>
        </w:rPr>
        <w:t>et al.</w:t>
      </w:r>
      <w:r w:rsidRPr="005B3186">
        <w:rPr>
          <w:rFonts w:asciiTheme="majorBidi" w:hAnsiTheme="majorBidi" w:cstheme="majorBidi"/>
        </w:rPr>
        <w:t xml:space="preserve"> (2023) 'How older adults with physical impairments maintain their autonomy in nursing homes,' </w:t>
      </w:r>
      <w:r w:rsidRPr="005B3186">
        <w:rPr>
          <w:rFonts w:asciiTheme="majorBidi" w:hAnsiTheme="majorBidi" w:cstheme="majorBidi"/>
          <w:i/>
          <w:iCs/>
        </w:rPr>
        <w:t>Ageing and Society</w:t>
      </w:r>
      <w:r w:rsidRPr="005B3186">
        <w:rPr>
          <w:rFonts w:asciiTheme="majorBidi" w:hAnsiTheme="majorBidi" w:cstheme="majorBidi"/>
        </w:rPr>
        <w:t xml:space="preserve">, pp. 1–23. </w:t>
      </w:r>
      <w:hyperlink r:id="rId22" w:history="1">
        <w:r w:rsidRPr="005B3186">
          <w:rPr>
            <w:rStyle w:val="Hyperlink"/>
            <w:rFonts w:asciiTheme="majorBidi" w:eastAsiaTheme="majorEastAsia" w:hAnsiTheme="majorBidi" w:cstheme="majorBidi"/>
          </w:rPr>
          <w:t>https://doi.org/10.1017/s0144686x22001428</w:t>
        </w:r>
      </w:hyperlink>
      <w:r w:rsidRPr="005B3186">
        <w:rPr>
          <w:rFonts w:asciiTheme="majorBidi" w:hAnsiTheme="majorBidi" w:cstheme="majorBidi"/>
        </w:rPr>
        <w:t xml:space="preserve">. </w:t>
      </w:r>
    </w:p>
    <w:p w14:paraId="13A70EA8" w14:textId="77777777" w:rsidR="006233E2" w:rsidRPr="00C13C8C" w:rsidRDefault="006233E2" w:rsidP="006233E2">
      <w:pPr>
        <w:spacing w:line="360" w:lineRule="auto"/>
        <w:jc w:val="both"/>
        <w:rPr>
          <w:rFonts w:asciiTheme="majorBidi" w:hAnsiTheme="majorBidi" w:cstheme="majorBidi"/>
        </w:rPr>
      </w:pPr>
    </w:p>
    <w:p w14:paraId="0AE9F709" w14:textId="77777777" w:rsidR="006233E2" w:rsidRPr="00C13C8C" w:rsidRDefault="006233E2" w:rsidP="006233E2">
      <w:pPr>
        <w:spacing w:line="360" w:lineRule="auto"/>
        <w:jc w:val="both"/>
        <w:rPr>
          <w:rFonts w:asciiTheme="majorBidi" w:hAnsiTheme="majorBidi" w:cstheme="majorBidi"/>
        </w:rPr>
      </w:pPr>
    </w:p>
    <w:p w14:paraId="548A3CB2" w14:textId="77777777" w:rsidR="006233E2" w:rsidRDefault="006233E2"/>
    <w:sectPr w:rsidR="006233E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33E2"/>
    <w:rsid w:val="00035422"/>
    <w:rsid w:val="00062585"/>
    <w:rsid w:val="000902C6"/>
    <w:rsid w:val="000C7E66"/>
    <w:rsid w:val="00183C8F"/>
    <w:rsid w:val="002057EC"/>
    <w:rsid w:val="002F4BF4"/>
    <w:rsid w:val="002F5634"/>
    <w:rsid w:val="005473F0"/>
    <w:rsid w:val="00587BAD"/>
    <w:rsid w:val="005E294C"/>
    <w:rsid w:val="006233E2"/>
    <w:rsid w:val="006C37B1"/>
    <w:rsid w:val="006F2CE1"/>
    <w:rsid w:val="007625FD"/>
    <w:rsid w:val="00847C2A"/>
    <w:rsid w:val="0098720E"/>
    <w:rsid w:val="00A73A81"/>
    <w:rsid w:val="00B67F38"/>
    <w:rsid w:val="00C927FC"/>
    <w:rsid w:val="00D705E7"/>
    <w:rsid w:val="00E400C6"/>
    <w:rsid w:val="00EE7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73F4A6"/>
  <w15:chartTrackingRefBased/>
  <w15:docId w15:val="{A04E86E0-DF22-994E-8005-7E16D771F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233E2"/>
  </w:style>
  <w:style w:type="paragraph" w:styleId="Heading1">
    <w:name w:val="heading 1"/>
    <w:basedOn w:val="Normal"/>
    <w:next w:val="Normal"/>
    <w:link w:val="Heading1Char"/>
    <w:uiPriority w:val="9"/>
    <w:qFormat/>
    <w:rsid w:val="006233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33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33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33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33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33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33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33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33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33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33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33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33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33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33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33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33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33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33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33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33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33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33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33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33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33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33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33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33E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233E2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233E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Emphasis">
    <w:name w:val="Emphasis"/>
    <w:basedOn w:val="DefaultParagraphFont"/>
    <w:uiPriority w:val="20"/>
    <w:qFormat/>
    <w:rsid w:val="006233E2"/>
    <w:rPr>
      <w:i/>
      <w:iCs/>
    </w:rPr>
  </w:style>
  <w:style w:type="character" w:customStyle="1" w:styleId="ms-1">
    <w:name w:val="ms-1"/>
    <w:basedOn w:val="DefaultParagraphFont"/>
    <w:rsid w:val="006233E2"/>
  </w:style>
  <w:style w:type="character" w:customStyle="1" w:styleId="url">
    <w:name w:val="url"/>
    <w:basedOn w:val="DefaultParagraphFont"/>
    <w:rsid w:val="006233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euk.com/our-approach-to-care/our-performance?utm_source=chatgpt.com" TargetMode="External"/><Relationship Id="rId13" Type="http://schemas.openxmlformats.org/officeDocument/2006/relationships/hyperlink" Target="https://www.gov.uk/government/collections/adult-social-care-guidance?utm_source=chatgpt.com" TargetMode="External"/><Relationship Id="rId18" Type="http://schemas.openxmlformats.org/officeDocument/2006/relationships/hyperlink" Target="https://evidence.nihr.ac.uk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scie.org.uk/providing-care/dignity-in-care/" TargetMode="External"/><Relationship Id="rId7" Type="http://schemas.openxmlformats.org/officeDocument/2006/relationships/hyperlink" Target="https://www.cqc.org.uk/publications/major-report/state-care" TargetMode="External"/><Relationship Id="rId12" Type="http://schemas.openxmlformats.org/officeDocument/2006/relationships/hyperlink" Target="https://doi.org/10.1186/1472-6955-7-11" TargetMode="External"/><Relationship Id="rId17" Type="http://schemas.openxmlformats.org/officeDocument/2006/relationships/hyperlink" Target="https://evidence.nihr.ac.uk/collection/improving-the-quality-of-care-in-care-homes-what-does-the-evidence-tell-us/?utm_source=chatgpt.co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hare.google/Bc8yeGbYx9dvGml2x" TargetMode="External"/><Relationship Id="rId20" Type="http://schemas.openxmlformats.org/officeDocument/2006/relationships/hyperlink" Target="https://www.ncbi.nlm.nih.gov/books/NBK592760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qc.org.uk/publications/major-report/state-care" TargetMode="External"/><Relationship Id="rId11" Type="http://schemas.openxmlformats.org/officeDocument/2006/relationships/hyperlink" Target="https://www.gov.uk/government/publications/care-act-statutory-guidance/care-and-support-statutory-guidance?utm_source=chatgpt.com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arc-w.nihr.ac.uk/research/projects/focusing-on-quality-of-life-for-person-centred-care-planning-in-care-homes/" TargetMode="External"/><Relationship Id="rId15" Type="http://schemas.openxmlformats.org/officeDocument/2006/relationships/hyperlink" Target="https://pubmed.ncbi.nlm.nih.gov/12801252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oi.org/10.1038/s43587-022-00283-z" TargetMode="External"/><Relationship Id="rId19" Type="http://schemas.openxmlformats.org/officeDocument/2006/relationships/hyperlink" Target="https://www.scie.org.uk/mca/lps/" TargetMode="External"/><Relationship Id="rId4" Type="http://schemas.openxmlformats.org/officeDocument/2006/relationships/hyperlink" Target="https://www.ageuk.org.uk/information-advice/care/arranging-care/care-homes/?utm_source=chatgpt.com" TargetMode="External"/><Relationship Id="rId9" Type="http://schemas.openxmlformats.org/officeDocument/2006/relationships/hyperlink" Target="https://www.cqc.org.uk/publications/major-report/state-care/2024-2025" TargetMode="External"/><Relationship Id="rId14" Type="http://schemas.openxmlformats.org/officeDocument/2006/relationships/hyperlink" Target="https://doi.org/10.1186/s12877-022-03503-8" TargetMode="External"/><Relationship Id="rId22" Type="http://schemas.openxmlformats.org/officeDocument/2006/relationships/hyperlink" Target="https://doi.org/10.1017/s0144686x2200142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4</Pages>
  <Words>966</Words>
  <Characters>5510</Characters>
  <Application>Microsoft Office Word</Application>
  <DocSecurity>0</DocSecurity>
  <Lines>45</Lines>
  <Paragraphs>12</Paragraphs>
  <ScaleCrop>false</ScaleCrop>
  <Company/>
  <LinksUpToDate>false</LinksUpToDate>
  <CharactersWithSpaces>6464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Elayne Gaspar Pires Dos Santos Da Cruz (2016547)</dc:creator>
  <cp:keywords/>
  <dc:description/>
  <cp:lastModifiedBy>Elayne Gaspar Pires Dos Santos Da Cruz (2016547)</cp:lastModifiedBy>
  <cp:revision>24</cp:revision>
  <dcterms:created xsi:type="dcterms:W3CDTF">2025-11-07T23:49:00Z</dcterms:created>
  <dcterms:modified xsi:type="dcterms:W3CDTF">2025-11-08T20:52:00Z</dcterms:modified>
</cp:coreProperties>
</file>