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70AD7DF4" w:rsidP="70AD7DF4" w:rsidRDefault="70AD7DF4" w14:paraId="3ED4EE97" w14:textId="269DA847">
      <w:pPr>
        <w:pStyle w:val="Normal"/>
        <w:spacing w:after="0" w:line="360" w:lineRule="auto"/>
        <w:jc w:val="center"/>
        <w:rPr>
          <w:rFonts w:ascii="Arial" w:hAnsi="Arial" w:cs="Arial"/>
          <w:b w:val="1"/>
          <w:bCs w:val="1"/>
          <w:sz w:val="32"/>
          <w:szCs w:val="32"/>
          <w:u w:val="single"/>
        </w:rPr>
      </w:pPr>
    </w:p>
    <w:p w:rsidR="70AD7DF4" w:rsidP="70AD7DF4" w:rsidRDefault="70AD7DF4" w14:paraId="0891371C" w14:textId="70A208B1" w14:noSpellErr="1">
      <w:pPr>
        <w:spacing w:after="0" w:line="360" w:lineRule="auto"/>
        <w:jc w:val="center"/>
        <w:rPr>
          <w:rFonts w:ascii="Arial" w:hAnsi="Arial" w:cs="Arial"/>
          <w:b w:val="1"/>
          <w:bCs w:val="1"/>
          <w:sz w:val="32"/>
          <w:szCs w:val="32"/>
          <w:u w:val="single"/>
        </w:rPr>
      </w:pPr>
    </w:p>
    <w:p w:rsidR="2E0A1432" w:rsidP="2E0A1432" w:rsidRDefault="2E0A1432" w14:paraId="75E0BA1E" w14:textId="490FEAD6">
      <w:pPr>
        <w:pStyle w:val="Normal"/>
        <w:spacing w:after="0" w:line="360" w:lineRule="auto"/>
        <w:jc w:val="center"/>
        <w:rPr>
          <w:rFonts w:ascii="Arial" w:hAnsi="Arial" w:cs="Arial"/>
          <w:b w:val="1"/>
          <w:bCs w:val="1"/>
          <w:sz w:val="32"/>
          <w:szCs w:val="32"/>
          <w:u w:val="single"/>
        </w:rPr>
      </w:pPr>
    </w:p>
    <w:p w:rsidR="70AD7DF4" w:rsidP="70AD7DF4" w:rsidRDefault="70AD7DF4" w14:paraId="5BA225AA" w14:textId="4B98AECF">
      <w:pPr>
        <w:spacing w:after="0" w:line="360" w:lineRule="auto"/>
        <w:jc w:val="center"/>
        <w:rPr>
          <w:rFonts w:ascii="Arial" w:hAnsi="Arial" w:cs="Arial"/>
          <w:b w:val="1"/>
          <w:bCs w:val="1"/>
          <w:sz w:val="32"/>
          <w:szCs w:val="32"/>
          <w:u w:val="single"/>
        </w:rPr>
      </w:pPr>
    </w:p>
    <w:p w:rsidRPr="00681F19" w:rsidR="004E5BCA" w:rsidP="70AD7DF4" w:rsidRDefault="00212039" w14:paraId="51BC590B" w14:textId="370A45A7">
      <w:pPr>
        <w:spacing w:after="0" w:line="360" w:lineRule="auto"/>
        <w:jc w:val="center"/>
        <w:rPr>
          <w:rFonts w:ascii="Arial" w:hAnsi="Arial" w:eastAsia="Arial" w:cs="Arial"/>
          <w:b w:val="1"/>
          <w:bCs w:val="1"/>
          <w:sz w:val="40"/>
          <w:szCs w:val="40"/>
          <w:u w:val="none"/>
        </w:rPr>
      </w:pPr>
      <w:r w:rsidRPr="75A5B6D9" w:rsidR="00212039">
        <w:rPr>
          <w:rFonts w:ascii="Arial" w:hAnsi="Arial" w:eastAsia="Arial" w:cs="Arial"/>
          <w:b w:val="1"/>
          <w:bCs w:val="1"/>
          <w:sz w:val="40"/>
          <w:szCs w:val="40"/>
          <w:u w:val="none"/>
        </w:rPr>
        <w:t>EMPLOYEE</w:t>
      </w:r>
      <w:r w:rsidRPr="75A5B6D9" w:rsidR="5A3ED1F4">
        <w:rPr>
          <w:rFonts w:ascii="Arial" w:hAnsi="Arial" w:eastAsia="Arial" w:cs="Arial"/>
          <w:b w:val="1"/>
          <w:bCs w:val="1"/>
          <w:sz w:val="40"/>
          <w:szCs w:val="40"/>
          <w:u w:val="none"/>
        </w:rPr>
        <w:t xml:space="preserve"> ENGAGEMENT</w:t>
      </w:r>
    </w:p>
    <w:p w:rsidR="70AD7DF4" w:rsidP="70AD7DF4" w:rsidRDefault="70AD7DF4" w14:paraId="43CC6036" w14:noSpellErr="1" w14:textId="32295FA8">
      <w:pPr>
        <w:pStyle w:val="Normal"/>
        <w:spacing w:after="0" w:line="360" w:lineRule="auto"/>
        <w:jc w:val="center"/>
        <w:rPr>
          <w:rFonts w:ascii="Arial" w:hAnsi="Arial" w:cs="Arial"/>
          <w:b w:val="1"/>
          <w:bCs w:val="1"/>
          <w:sz w:val="32"/>
          <w:szCs w:val="32"/>
          <w:u w:val="single"/>
        </w:rPr>
      </w:pPr>
    </w:p>
    <w:p w:rsidR="70AD7DF4" w:rsidP="70AD7DF4" w:rsidRDefault="70AD7DF4" w14:paraId="3183E024" w14:textId="008FC341">
      <w:pPr>
        <w:pStyle w:val="Normal"/>
        <w:spacing w:after="0" w:line="360" w:lineRule="auto"/>
        <w:jc w:val="center"/>
        <w:rPr>
          <w:rFonts w:ascii="Arial" w:hAnsi="Arial" w:cs="Arial"/>
          <w:b w:val="1"/>
          <w:bCs w:val="1"/>
          <w:sz w:val="32"/>
          <w:szCs w:val="32"/>
          <w:u w:val="single"/>
        </w:rPr>
      </w:pPr>
    </w:p>
    <w:p w:rsidR="70AD7DF4" w:rsidP="70AD7DF4" w:rsidRDefault="70AD7DF4" w14:paraId="50E0A054" w14:textId="34A88762" w14:noSpellErr="1">
      <w:pPr>
        <w:pStyle w:val="Normal"/>
        <w:spacing w:after="0" w:line="360" w:lineRule="auto"/>
        <w:jc w:val="center"/>
        <w:rPr>
          <w:rFonts w:ascii="Arial" w:hAnsi="Arial" w:cs="Arial"/>
          <w:b w:val="1"/>
          <w:bCs w:val="1"/>
          <w:sz w:val="32"/>
          <w:szCs w:val="32"/>
          <w:u w:val="single"/>
        </w:rPr>
      </w:pPr>
    </w:p>
    <w:p w:rsidR="75A5B6D9" w:rsidP="75A5B6D9" w:rsidRDefault="75A5B6D9" w14:paraId="41F55FD6" w14:textId="53BE5FAD">
      <w:pPr>
        <w:pStyle w:val="Normal"/>
        <w:spacing w:after="0" w:line="360" w:lineRule="auto"/>
        <w:jc w:val="center"/>
        <w:rPr>
          <w:rFonts w:ascii="Arial" w:hAnsi="Arial" w:cs="Arial"/>
          <w:b w:val="1"/>
          <w:bCs w:val="1"/>
          <w:sz w:val="32"/>
          <w:szCs w:val="32"/>
          <w:u w:val="single"/>
        </w:rPr>
      </w:pPr>
    </w:p>
    <w:p w:rsidR="2E0A1432" w:rsidP="2E0A1432" w:rsidRDefault="2E0A1432" w14:paraId="24CF4311" w14:textId="0ACA1785">
      <w:pPr>
        <w:pStyle w:val="Normal"/>
        <w:spacing w:after="0" w:line="360" w:lineRule="auto"/>
        <w:jc w:val="center"/>
        <w:rPr>
          <w:rFonts w:ascii="Arial" w:hAnsi="Arial" w:cs="Arial"/>
          <w:b w:val="1"/>
          <w:bCs w:val="1"/>
          <w:sz w:val="32"/>
          <w:szCs w:val="32"/>
          <w:u w:val="single"/>
        </w:rPr>
      </w:pPr>
    </w:p>
    <w:p w:rsidR="2E0A1432" w:rsidP="2E0A1432" w:rsidRDefault="2E0A1432" w14:paraId="455C83A9" w14:textId="2329CD98">
      <w:pPr>
        <w:pStyle w:val="Normal"/>
        <w:spacing w:after="0" w:line="360" w:lineRule="auto"/>
        <w:jc w:val="center"/>
        <w:rPr>
          <w:rFonts w:ascii="Arial" w:hAnsi="Arial" w:cs="Arial"/>
          <w:b w:val="1"/>
          <w:bCs w:val="1"/>
          <w:sz w:val="32"/>
          <w:szCs w:val="32"/>
          <w:u w:val="single"/>
        </w:rPr>
      </w:pPr>
    </w:p>
    <w:p w:rsidR="70AD7DF4" w:rsidP="70AD7DF4" w:rsidRDefault="70AD7DF4" w14:paraId="07EC2A26" w14:textId="33A195CF">
      <w:pPr>
        <w:pStyle w:val="Normal"/>
        <w:spacing w:after="0" w:line="360" w:lineRule="auto"/>
        <w:jc w:val="center"/>
        <w:rPr>
          <w:rFonts w:ascii="Arial" w:hAnsi="Arial" w:cs="Arial"/>
          <w:b w:val="1"/>
          <w:bCs w:val="1"/>
          <w:sz w:val="32"/>
          <w:szCs w:val="32"/>
          <w:u w:val="single"/>
        </w:rPr>
      </w:pPr>
    </w:p>
    <w:p w:rsidR="110336E0" w:rsidP="70AD7DF4" w:rsidRDefault="110336E0" w14:paraId="71B5B741" w14:textId="0BDDC0D7">
      <w:pPr>
        <w:pStyle w:val="Normal"/>
        <w:spacing w:after="0" w:line="360" w:lineRule="auto"/>
        <w:jc w:val="center"/>
        <w:rPr>
          <w:rFonts w:ascii="Arial" w:hAnsi="Arial" w:cs="Arial"/>
          <w:b w:val="0"/>
          <w:bCs w:val="0"/>
          <w:sz w:val="32"/>
          <w:szCs w:val="32"/>
          <w:u w:val="none"/>
        </w:rPr>
      </w:pPr>
      <w:r w:rsidRPr="70AD7DF4" w:rsidR="110336E0">
        <w:rPr>
          <w:rFonts w:ascii="Arial" w:hAnsi="Arial" w:cs="Arial"/>
          <w:b w:val="0"/>
          <w:bCs w:val="0"/>
          <w:i w:val="1"/>
          <w:iCs w:val="1"/>
          <w:sz w:val="32"/>
          <w:szCs w:val="32"/>
          <w:u w:val="none"/>
        </w:rPr>
        <w:t>Student Name</w:t>
      </w:r>
      <w:r w:rsidRPr="70AD7DF4" w:rsidR="110336E0">
        <w:rPr>
          <w:rFonts w:ascii="Arial" w:hAnsi="Arial" w:cs="Arial"/>
          <w:b w:val="0"/>
          <w:bCs w:val="0"/>
          <w:sz w:val="32"/>
          <w:szCs w:val="32"/>
          <w:u w:val="none"/>
        </w:rPr>
        <w:t>: Liliana Petrache</w:t>
      </w:r>
    </w:p>
    <w:p w:rsidR="110336E0" w:rsidP="70AD7DF4" w:rsidRDefault="110336E0" w14:paraId="3B016CBC" w14:textId="7A36DC26">
      <w:pPr>
        <w:pStyle w:val="Normal"/>
        <w:spacing w:after="0" w:line="360" w:lineRule="auto"/>
        <w:jc w:val="center"/>
        <w:rPr>
          <w:rFonts w:ascii="Arial" w:hAnsi="Arial" w:cs="Arial"/>
          <w:b w:val="0"/>
          <w:bCs w:val="0"/>
          <w:sz w:val="32"/>
          <w:szCs w:val="32"/>
          <w:u w:val="none"/>
        </w:rPr>
      </w:pPr>
      <w:r w:rsidRPr="70AD7DF4" w:rsidR="110336E0">
        <w:rPr>
          <w:rFonts w:ascii="Arial" w:hAnsi="Arial" w:cs="Arial"/>
          <w:b w:val="0"/>
          <w:bCs w:val="0"/>
          <w:i w:val="1"/>
          <w:iCs w:val="1"/>
          <w:sz w:val="32"/>
          <w:szCs w:val="32"/>
          <w:u w:val="none"/>
        </w:rPr>
        <w:t>Student ID</w:t>
      </w:r>
      <w:r w:rsidRPr="70AD7DF4" w:rsidR="110336E0">
        <w:rPr>
          <w:rFonts w:ascii="Arial" w:hAnsi="Arial" w:cs="Arial"/>
          <w:b w:val="0"/>
          <w:bCs w:val="0"/>
          <w:sz w:val="32"/>
          <w:szCs w:val="32"/>
          <w:u w:val="none"/>
        </w:rPr>
        <w:t>: 2025333</w:t>
      </w:r>
    </w:p>
    <w:p w:rsidR="110336E0" w:rsidP="70AD7DF4" w:rsidRDefault="110336E0" w14:paraId="54E572EB" w14:textId="58180BA3">
      <w:pPr>
        <w:pStyle w:val="Normal"/>
        <w:spacing w:after="0" w:line="360" w:lineRule="auto"/>
        <w:jc w:val="center"/>
        <w:rPr>
          <w:rFonts w:ascii="Arial" w:hAnsi="Arial" w:cs="Arial"/>
          <w:b w:val="0"/>
          <w:bCs w:val="0"/>
          <w:sz w:val="32"/>
          <w:szCs w:val="32"/>
          <w:u w:val="none"/>
        </w:rPr>
      </w:pPr>
      <w:r w:rsidRPr="70AD7DF4" w:rsidR="110336E0">
        <w:rPr>
          <w:rFonts w:ascii="Arial" w:hAnsi="Arial" w:cs="Arial"/>
          <w:b w:val="0"/>
          <w:bCs w:val="0"/>
          <w:i w:val="1"/>
          <w:iCs w:val="1"/>
          <w:sz w:val="32"/>
          <w:szCs w:val="32"/>
          <w:u w:val="none"/>
        </w:rPr>
        <w:t>Lecturer</w:t>
      </w:r>
      <w:r w:rsidRPr="70AD7DF4" w:rsidR="110336E0">
        <w:rPr>
          <w:rFonts w:ascii="Arial" w:hAnsi="Arial" w:cs="Arial"/>
          <w:b w:val="0"/>
          <w:bCs w:val="0"/>
          <w:sz w:val="32"/>
          <w:szCs w:val="32"/>
          <w:u w:val="none"/>
        </w:rPr>
        <w:t>:</w:t>
      </w:r>
      <w:r w:rsidRPr="70AD7DF4" w:rsidR="5BF116B7">
        <w:rPr>
          <w:rFonts w:ascii="Arial" w:hAnsi="Arial" w:cs="Arial"/>
          <w:b w:val="0"/>
          <w:bCs w:val="0"/>
          <w:sz w:val="32"/>
          <w:szCs w:val="32"/>
          <w:u w:val="none"/>
        </w:rPr>
        <w:t xml:space="preserve"> Lisa Knight</w:t>
      </w:r>
    </w:p>
    <w:p w:rsidR="70AD7DF4" w:rsidP="70AD7DF4" w:rsidRDefault="70AD7DF4" w14:paraId="029699A9" w14:textId="3E58FBAD">
      <w:pPr>
        <w:pStyle w:val="Normal"/>
        <w:spacing w:after="0" w:line="360" w:lineRule="auto"/>
        <w:jc w:val="center"/>
        <w:rPr>
          <w:rFonts w:ascii="Arial" w:hAnsi="Arial" w:cs="Arial"/>
          <w:b w:val="0"/>
          <w:bCs w:val="0"/>
          <w:sz w:val="28"/>
          <w:szCs w:val="28"/>
          <w:u w:val="none"/>
        </w:rPr>
      </w:pPr>
    </w:p>
    <w:p w:rsidR="70AD7DF4" w:rsidP="70AD7DF4" w:rsidRDefault="70AD7DF4" w14:paraId="5CA3B7E7" w14:textId="36837E10">
      <w:pPr>
        <w:pStyle w:val="Normal"/>
        <w:spacing w:after="0" w:line="360" w:lineRule="auto"/>
        <w:jc w:val="center"/>
        <w:rPr>
          <w:rFonts w:ascii="Arial" w:hAnsi="Arial" w:cs="Arial"/>
          <w:b w:val="0"/>
          <w:bCs w:val="0"/>
          <w:sz w:val="28"/>
          <w:szCs w:val="28"/>
          <w:u w:val="none"/>
        </w:rPr>
      </w:pPr>
    </w:p>
    <w:p w:rsidR="70AD7DF4" w:rsidP="70AD7DF4" w:rsidRDefault="70AD7DF4" w14:paraId="31581DFE" w14:textId="1081E7B3">
      <w:pPr>
        <w:pStyle w:val="Normal"/>
        <w:spacing w:after="0" w:line="360" w:lineRule="auto"/>
        <w:jc w:val="center"/>
        <w:rPr>
          <w:rFonts w:ascii="Arial" w:hAnsi="Arial" w:cs="Arial"/>
          <w:b w:val="0"/>
          <w:bCs w:val="0"/>
          <w:sz w:val="28"/>
          <w:szCs w:val="28"/>
          <w:u w:val="none"/>
        </w:rPr>
      </w:pPr>
    </w:p>
    <w:p w:rsidR="70AD7DF4" w:rsidP="70AD7DF4" w:rsidRDefault="70AD7DF4" w14:paraId="63FAF808" w14:textId="1FD9A9FB">
      <w:pPr>
        <w:pStyle w:val="Normal"/>
        <w:spacing w:after="0" w:line="360" w:lineRule="auto"/>
        <w:jc w:val="center"/>
        <w:rPr>
          <w:rFonts w:ascii="Arial" w:hAnsi="Arial" w:cs="Arial"/>
          <w:b w:val="0"/>
          <w:bCs w:val="0"/>
          <w:sz w:val="28"/>
          <w:szCs w:val="28"/>
          <w:u w:val="none"/>
        </w:rPr>
      </w:pPr>
    </w:p>
    <w:p w:rsidR="70AD7DF4" w:rsidP="70AD7DF4" w:rsidRDefault="70AD7DF4" w14:paraId="7C3E72FF" w14:textId="035D7EF4">
      <w:pPr>
        <w:pStyle w:val="Normal"/>
        <w:spacing w:after="0" w:line="360" w:lineRule="auto"/>
        <w:jc w:val="center"/>
        <w:rPr>
          <w:rFonts w:ascii="Arial" w:hAnsi="Arial" w:cs="Arial"/>
          <w:b w:val="0"/>
          <w:bCs w:val="0"/>
          <w:sz w:val="28"/>
          <w:szCs w:val="28"/>
          <w:u w:val="none"/>
        </w:rPr>
      </w:pPr>
    </w:p>
    <w:p w:rsidR="7286BD60" w:rsidP="7286BD60" w:rsidRDefault="7286BD60" w14:paraId="7748B71D" w14:textId="71F58A79">
      <w:pPr>
        <w:pStyle w:val="Normal"/>
        <w:spacing w:after="0" w:line="360" w:lineRule="auto"/>
        <w:jc w:val="center"/>
        <w:rPr>
          <w:rFonts w:ascii="Arial" w:hAnsi="Arial" w:cs="Arial"/>
          <w:b w:val="0"/>
          <w:bCs w:val="0"/>
          <w:sz w:val="28"/>
          <w:szCs w:val="28"/>
          <w:u w:val="none"/>
        </w:rPr>
      </w:pPr>
    </w:p>
    <w:p w:rsidR="2E0A1432" w:rsidP="2E0A1432" w:rsidRDefault="2E0A1432" w14:paraId="290C0DCA" w14:textId="1695C00C" w14:noSpellErr="1">
      <w:pPr>
        <w:pStyle w:val="Normal"/>
        <w:spacing w:after="0" w:line="360" w:lineRule="auto"/>
        <w:jc w:val="center"/>
        <w:rPr>
          <w:rFonts w:ascii="Arial" w:hAnsi="Arial" w:cs="Arial"/>
          <w:b w:val="0"/>
          <w:bCs w:val="0"/>
          <w:sz w:val="28"/>
          <w:szCs w:val="28"/>
          <w:u w:val="none"/>
        </w:rPr>
      </w:pPr>
    </w:p>
    <w:p w:rsidR="190C75D3" w:rsidP="190C75D3" w:rsidRDefault="190C75D3" w14:paraId="0CDF15E0" w14:textId="4F616B15">
      <w:pPr>
        <w:pStyle w:val="Normal"/>
        <w:spacing w:after="0" w:line="360" w:lineRule="auto"/>
        <w:jc w:val="center"/>
        <w:rPr>
          <w:rFonts w:ascii="Arial" w:hAnsi="Arial" w:cs="Arial"/>
          <w:b w:val="0"/>
          <w:bCs w:val="0"/>
          <w:sz w:val="28"/>
          <w:szCs w:val="28"/>
          <w:u w:val="none"/>
        </w:rPr>
      </w:pPr>
    </w:p>
    <w:p w:rsidR="5BF116B7" w:rsidP="70AD7DF4" w:rsidRDefault="5BF116B7" w14:paraId="52A0B2AD" w14:textId="264054EA">
      <w:pPr>
        <w:pStyle w:val="Normal"/>
        <w:spacing w:after="0" w:line="360" w:lineRule="auto"/>
        <w:jc w:val="center"/>
        <w:rPr>
          <w:rFonts w:ascii="Arial" w:hAnsi="Arial" w:cs="Arial"/>
          <w:b w:val="0"/>
          <w:bCs w:val="0"/>
          <w:sz w:val="32"/>
          <w:szCs w:val="32"/>
          <w:u w:val="none"/>
        </w:rPr>
      </w:pPr>
      <w:r w:rsidRPr="70AD7DF4" w:rsidR="5BF116B7">
        <w:rPr>
          <w:rFonts w:ascii="Arial" w:hAnsi="Arial" w:cs="Arial"/>
          <w:b w:val="0"/>
          <w:bCs w:val="0"/>
          <w:sz w:val="32"/>
          <w:szCs w:val="32"/>
          <w:u w:val="none"/>
        </w:rPr>
        <w:t>Hospitality and Tourism Management</w:t>
      </w:r>
    </w:p>
    <w:p w:rsidR="5BF116B7" w:rsidP="70AD7DF4" w:rsidRDefault="5BF116B7" w14:paraId="0623D5B4" w14:textId="1DF0E9C5">
      <w:pPr>
        <w:pStyle w:val="Normal"/>
        <w:spacing w:after="0" w:line="360" w:lineRule="auto"/>
        <w:jc w:val="center"/>
        <w:rPr>
          <w:rFonts w:ascii="Arial" w:hAnsi="Arial" w:cs="Arial"/>
          <w:b w:val="0"/>
          <w:bCs w:val="0"/>
          <w:sz w:val="32"/>
          <w:szCs w:val="32"/>
          <w:u w:val="none"/>
        </w:rPr>
      </w:pPr>
      <w:r w:rsidRPr="70AD7DF4" w:rsidR="5BF116B7">
        <w:rPr>
          <w:rFonts w:ascii="Arial" w:hAnsi="Arial" w:cs="Arial"/>
          <w:b w:val="0"/>
          <w:bCs w:val="0"/>
          <w:sz w:val="32"/>
          <w:szCs w:val="32"/>
          <w:u w:val="none"/>
        </w:rPr>
        <w:t>Personnel Resourcing &amp; Development</w:t>
      </w:r>
    </w:p>
    <w:p w:rsidR="00681F19" w:rsidP="2E0A1432" w:rsidRDefault="00681F19" w14:paraId="76D358E1" w14:textId="6CE5828F">
      <w:pPr>
        <w:pStyle w:val="Normal"/>
        <w:spacing w:after="0" w:line="360" w:lineRule="auto"/>
        <w:jc w:val="center"/>
        <w:rPr>
          <w:rFonts w:ascii="Arial" w:hAnsi="Arial" w:cs="Arial"/>
          <w:b w:val="0"/>
          <w:bCs w:val="0"/>
          <w:sz w:val="32"/>
          <w:szCs w:val="32"/>
          <w:u w:val="none"/>
        </w:rPr>
      </w:pPr>
      <w:r w:rsidRPr="2E0A1432" w:rsidR="5BF116B7">
        <w:rPr>
          <w:rFonts w:ascii="Arial" w:hAnsi="Arial" w:cs="Arial"/>
          <w:b w:val="0"/>
          <w:bCs w:val="0"/>
          <w:sz w:val="32"/>
          <w:szCs w:val="32"/>
          <w:u w:val="none"/>
        </w:rPr>
        <w:t>BMIH5005</w:t>
      </w:r>
    </w:p>
    <w:p w:rsidR="00681F19" w:rsidP="00590B15" w:rsidRDefault="00681F19" w14:paraId="660AA492" w14:textId="77777777">
      <w:pPr>
        <w:spacing w:after="0" w:line="360" w:lineRule="auto"/>
        <w:jc w:val="both"/>
        <w:rPr>
          <w:rFonts w:ascii="Arial" w:hAnsi="Arial" w:cs="Arial"/>
        </w:rPr>
      </w:pPr>
    </w:p>
    <w:p w:rsidR="00F03FC0" w:rsidP="00590B15" w:rsidRDefault="00F03FC0" w14:paraId="73434451" w14:textId="77777777">
      <w:pPr>
        <w:spacing w:after="0" w:line="360" w:lineRule="auto"/>
        <w:jc w:val="both"/>
        <w:rPr>
          <w:rFonts w:ascii="Arial" w:hAnsi="Arial" w:cs="Arial"/>
        </w:rPr>
      </w:pPr>
      <w:r>
        <w:rPr>
          <w:rFonts w:ascii="Arial" w:hAnsi="Arial" w:cs="Arial"/>
        </w:rPr>
        <w:t xml:space="preserve">Throughout this entire essay, a detailed assessment of employee engagement during overall employee lifecycle will be discussed in. </w:t>
      </w:r>
      <w:r w:rsidRPr="0085472D" w:rsidR="0085472D">
        <w:rPr>
          <w:rFonts w:ascii="Arial" w:hAnsi="Arial" w:cs="Arial"/>
        </w:rPr>
        <w:t>Employees who make significant contributions their thoughts, feelings, and activities to the achievement of the company's objectives are said to be engaged in their job.</w:t>
      </w:r>
      <w:r w:rsidR="0085472D">
        <w:rPr>
          <w:rFonts w:ascii="Arial" w:hAnsi="Arial" w:cs="Arial"/>
        </w:rPr>
        <w:t xml:space="preserve"> The business firms and HR departments are required to</w:t>
      </w:r>
      <w:r w:rsidRPr="00681F19" w:rsidR="00A51A42">
        <w:rPr>
          <w:rFonts w:ascii="Arial" w:hAnsi="Arial" w:cs="Arial"/>
        </w:rPr>
        <w:t xml:space="preserve"> </w:t>
      </w:r>
      <w:r w:rsidR="0085472D">
        <w:rPr>
          <w:rFonts w:ascii="Arial" w:hAnsi="Arial" w:cs="Arial"/>
        </w:rPr>
        <w:t>s</w:t>
      </w:r>
      <w:r w:rsidRPr="00681F19" w:rsidR="00A51A42">
        <w:rPr>
          <w:rFonts w:ascii="Arial" w:hAnsi="Arial" w:cs="Arial"/>
        </w:rPr>
        <w:t xml:space="preserve">earch for deeper significance in their actions. For this reason, it's important to emphasise that employee engagement is a cornerstone notion in the quest to characterise the nature of the business's connection with its staff, in both qualitative and quantitative terms. By investing more of one's own mental, emotional, and physical resources into a role, workers who report high levels of engagement in their work are more likely to succeed in their positions. </w:t>
      </w:r>
    </w:p>
    <w:p w:rsidRPr="00681F19" w:rsidR="00A51A42" w:rsidP="00590B15" w:rsidRDefault="00A51A42" w14:paraId="2DC4B390" w14:textId="0BE104C9">
      <w:pPr>
        <w:spacing w:after="0" w:line="360" w:lineRule="auto"/>
        <w:jc w:val="both"/>
        <w:rPr>
          <w:rFonts w:ascii="Arial" w:hAnsi="Arial" w:cs="Arial"/>
        </w:rPr>
      </w:pPr>
      <w:r w:rsidRPr="00681F19">
        <w:rPr>
          <w:rFonts w:ascii="Arial" w:hAnsi="Arial" w:cs="Arial"/>
        </w:rPr>
        <w:t>The connection between a company and its staff is a key factor in employee motivation. Increasing employee buy-in to the company's mission and values may be accomplished through fostering a more positive and supportive work environment. Thus, it is possible to assert that the HR division may have a significant bearing on boosting employee enthusiasm and commitment. A fantastic method to boost employee engagement is to provide them well-defined internal chances for advancement. Some employees may believe that advancement in rank and salary is their sole path to fulfilment in their careers. Companies and HR departments alike have a major challenge when trying to increase employee participation in their workplace</w:t>
      </w:r>
      <w:r w:rsidR="00727383">
        <w:rPr>
          <w:rFonts w:ascii="Arial" w:hAnsi="Arial" w:cs="Arial"/>
        </w:rPr>
        <w:t xml:space="preserve"> (</w:t>
      </w:r>
      <w:r w:rsidRPr="00D86BCF">
        <w:rPr>
          <w:rFonts w:ascii="Arial" w:hAnsi="Arial" w:cs="Arial"/>
        </w:rPr>
        <w:t>Chandni and Rahman, 2020</w:t>
      </w:r>
      <w:r w:rsidR="00727383">
        <w:rPr>
          <w:rFonts w:ascii="Arial" w:hAnsi="Arial" w:cs="Arial"/>
        </w:rPr>
        <w:t>)</w:t>
      </w:r>
      <w:r w:rsidRPr="00681F19">
        <w:rPr>
          <w:rFonts w:ascii="Arial" w:hAnsi="Arial" w:cs="Arial"/>
        </w:rPr>
        <w:t>. Given that Gallup, a US-based research organisation, reports that employee engagement is dangerously low,</w:t>
      </w:r>
      <w:r w:rsidR="00470688">
        <w:rPr>
          <w:rFonts w:ascii="Arial" w:hAnsi="Arial" w:cs="Arial"/>
        </w:rPr>
        <w:t xml:space="preserve"> and the management members</w:t>
      </w:r>
      <w:r w:rsidRPr="00681F19">
        <w:rPr>
          <w:rFonts w:ascii="Arial" w:hAnsi="Arial" w:cs="Arial"/>
        </w:rPr>
        <w:t xml:space="preserve"> can see why. According to the company's annual study on the state of the workforce, just 15% of workers throughout the globe are fully invested in their jobs. Looking at employee engagement rates across all industries in the UK, the numbers are even more dismal. According to Gallup's 2017 'State of the Global Workforce' study, just around one in ten (11% to be exact) British workers are really invested in their jobs. In the United States, where things are generally better, 33% of employees report feeling interested in their jobs</w:t>
      </w:r>
      <w:r w:rsidR="00727383">
        <w:rPr>
          <w:rFonts w:ascii="Arial" w:hAnsi="Arial" w:cs="Arial"/>
        </w:rPr>
        <w:t xml:space="preserve"> (</w:t>
      </w:r>
      <w:r w:rsidRPr="00D86BCF">
        <w:rPr>
          <w:rFonts w:ascii="Arial" w:hAnsi="Arial" w:cs="Arial"/>
        </w:rPr>
        <w:t>Shen and Jiang, 2019</w:t>
      </w:r>
      <w:r w:rsidR="00727383">
        <w:rPr>
          <w:rFonts w:ascii="Arial" w:hAnsi="Arial" w:cs="Arial"/>
        </w:rPr>
        <w:t>)</w:t>
      </w:r>
      <w:r w:rsidRPr="00681F19">
        <w:rPr>
          <w:rFonts w:ascii="Arial" w:hAnsi="Arial" w:cs="Arial"/>
        </w:rPr>
        <w:t xml:space="preserve">. Data like this makes it clear why employee engagement is a priority for management and human resources departments. And that's why there are so many different types of employment, consulting services, and even tools and studies devoted to the topic of </w:t>
      </w:r>
      <w:r w:rsidRPr="00681F19">
        <w:rPr>
          <w:rFonts w:ascii="Arial" w:hAnsi="Arial" w:cs="Arial"/>
        </w:rPr>
        <w:lastRenderedPageBreak/>
        <w:t xml:space="preserve">employee engagement. Human resources plays a critical part in boosting morale at all organisational levels. There are dedicated positions and programmes for boosting morale and productivity among workers, but ultimately, all HR professionals should be concerned with this issue. </w:t>
      </w:r>
    </w:p>
    <w:p w:rsidRPr="00681F19" w:rsidR="00A51A42" w:rsidP="00590B15" w:rsidRDefault="00A51A42" w14:paraId="42D180C5" w14:textId="217484BC">
      <w:pPr>
        <w:spacing w:after="0" w:line="360" w:lineRule="auto"/>
        <w:jc w:val="both"/>
        <w:rPr>
          <w:rFonts w:ascii="Arial" w:hAnsi="Arial" w:cs="Arial"/>
        </w:rPr>
      </w:pPr>
      <w:r w:rsidRPr="00681F19">
        <w:rPr>
          <w:rFonts w:ascii="Arial" w:hAnsi="Arial" w:cs="Arial"/>
        </w:rPr>
        <w:t>In addition to helping each individual worker, teamwork is enhanced when people are invested in their work. This is due to the improved output that results from having an engaged workforce. If everyone on the team is enthusiastic about their task, everyone will do their best. When workers are invested in their jobs, they work faster and better. Simply said, they have skin in the game and their success at work matters to them on a personal level</w:t>
      </w:r>
      <w:r w:rsidR="00727383">
        <w:rPr>
          <w:rFonts w:ascii="Arial" w:hAnsi="Arial" w:cs="Arial"/>
        </w:rPr>
        <w:t xml:space="preserve"> (</w:t>
      </w:r>
      <w:r w:rsidRPr="00D86BCF">
        <w:rPr>
          <w:rFonts w:ascii="Arial" w:hAnsi="Arial" w:cs="Arial"/>
        </w:rPr>
        <w:t>Turner and Turner</w:t>
      </w:r>
      <w:r w:rsidR="00727383">
        <w:rPr>
          <w:rFonts w:ascii="Arial" w:hAnsi="Arial" w:cs="Arial"/>
        </w:rPr>
        <w:t>,</w:t>
      </w:r>
      <w:r w:rsidRPr="00D86BCF">
        <w:rPr>
          <w:rFonts w:ascii="Arial" w:hAnsi="Arial" w:cs="Arial"/>
        </w:rPr>
        <w:t xml:space="preserve"> 2020</w:t>
      </w:r>
      <w:r w:rsidR="00727383">
        <w:rPr>
          <w:rFonts w:ascii="Arial" w:hAnsi="Arial" w:cs="Arial"/>
        </w:rPr>
        <w:t>)</w:t>
      </w:r>
      <w:r w:rsidRPr="00681F19">
        <w:rPr>
          <w:rFonts w:ascii="Arial" w:hAnsi="Arial" w:cs="Arial"/>
        </w:rPr>
        <w:t xml:space="preserve">. </w:t>
      </w:r>
      <w:r w:rsidRPr="0085472D" w:rsidR="0085472D">
        <w:rPr>
          <w:rFonts w:ascii="Arial" w:hAnsi="Arial" w:cs="Arial"/>
        </w:rPr>
        <w:t>They are dedicated to the accomplishments of the group as well as the overall goals of the organisation, and they accept individual accountability for the quality of their output.</w:t>
      </w:r>
      <w:r w:rsidR="0085472D">
        <w:rPr>
          <w:rFonts w:ascii="Arial" w:hAnsi="Arial" w:cs="Arial"/>
        </w:rPr>
        <w:t xml:space="preserve"> </w:t>
      </w:r>
      <w:r w:rsidRPr="00681F19">
        <w:rPr>
          <w:rFonts w:ascii="Arial" w:hAnsi="Arial" w:cs="Arial"/>
        </w:rPr>
        <w:t>Talking about accomplishing goals, employee enthusiasm is crucial. It's only natural for a manager to stress the importance of the team's objectives to the Human Resources staff. While this is true, HR leaders still can't ignore the need of a motivated workforce to achieve their goals. Workers who are actively involved in their jobs are no more likely to experience stress than those who are not. Where things diverge is in the response to stress and the results that follow</w:t>
      </w:r>
    </w:p>
    <w:p w:rsidRPr="00681F19" w:rsidR="00A51A42" w:rsidP="00590B15" w:rsidRDefault="008366D3" w14:paraId="66829F78" w14:textId="27107318">
      <w:pPr>
        <w:spacing w:after="0" w:line="360" w:lineRule="auto"/>
        <w:jc w:val="both"/>
        <w:rPr>
          <w:rFonts w:ascii="Arial" w:hAnsi="Arial" w:cs="Arial"/>
        </w:rPr>
      </w:pPr>
      <w:r w:rsidRPr="00681F19">
        <w:rPr>
          <w:rFonts w:ascii="Arial" w:hAnsi="Arial" w:cs="Arial"/>
        </w:rPr>
        <w:t>Long before a candidate is ever considered a serious prospect, they are attracted to the company. The potential employee is researching the business online through review websites including Glassdoor as well as LinkedIn to get a feel for the organization's growth and the perks of working there</w:t>
      </w:r>
      <w:r w:rsidR="00727383">
        <w:rPr>
          <w:rFonts w:ascii="Arial" w:hAnsi="Arial" w:cs="Arial"/>
        </w:rPr>
        <w:t xml:space="preserve"> (</w:t>
      </w:r>
      <w:r w:rsidRPr="00D86BCF">
        <w:rPr>
          <w:rFonts w:ascii="Arial" w:hAnsi="Arial" w:cs="Arial"/>
        </w:rPr>
        <w:t>Bailey</w:t>
      </w:r>
      <w:r w:rsidR="00727383">
        <w:rPr>
          <w:rFonts w:ascii="Arial" w:hAnsi="Arial" w:cs="Arial"/>
        </w:rPr>
        <w:t>, 2022)</w:t>
      </w:r>
      <w:r w:rsidRPr="00681F19">
        <w:rPr>
          <w:rFonts w:ascii="Arial" w:hAnsi="Arial" w:cs="Arial"/>
        </w:rPr>
        <w:t xml:space="preserve">. Other important considerations include the recommendations of those they know and trust, as well as their own experiences with the organisation (whether as consumers, investors, or employees) in question. Through the "Attraction" phase, businesses may better engage prospective employees by capitalising on workplace and product branding based on a firm understanding of who they are as people and what they would like to gain from working for the company. In order to </w:t>
      </w:r>
      <w:r w:rsidRPr="00681F19" w:rsidR="007D0A88">
        <w:rPr>
          <w:rFonts w:ascii="Arial" w:hAnsi="Arial" w:cs="Arial"/>
        </w:rPr>
        <w:t>stay connected</w:t>
      </w:r>
      <w:r w:rsidRPr="00681F19">
        <w:rPr>
          <w:rFonts w:ascii="Arial" w:hAnsi="Arial" w:cs="Arial"/>
        </w:rPr>
        <w:t xml:space="preserve"> with new recruits throughout the hiring process, HR executives must pay attention to a broad range of methods of interaction and provide customized choices. The new hire checklist, the induction paperwork, and appeasing the regulatory authorities are simply the commencement of a productive relationship during the onboarding process. The goal is to leave a positive impression on new employees by providing them with a memorable and interesting onboarding experience</w:t>
      </w:r>
      <w:r w:rsidR="00727383">
        <w:rPr>
          <w:rFonts w:ascii="Arial" w:hAnsi="Arial" w:cs="Arial"/>
        </w:rPr>
        <w:t xml:space="preserve"> (</w:t>
      </w:r>
      <w:r w:rsidRPr="00D86BCF">
        <w:rPr>
          <w:rFonts w:ascii="Arial" w:hAnsi="Arial" w:cs="Arial"/>
        </w:rPr>
        <w:t>Kwon and Kim, 2020</w:t>
      </w:r>
      <w:r w:rsidR="00727383">
        <w:rPr>
          <w:rFonts w:ascii="Arial" w:hAnsi="Arial" w:cs="Arial"/>
        </w:rPr>
        <w:t>)</w:t>
      </w:r>
      <w:r w:rsidRPr="00681F19">
        <w:rPr>
          <w:rFonts w:ascii="Arial" w:hAnsi="Arial" w:cs="Arial"/>
        </w:rPr>
        <w:t xml:space="preserve">. Work experience helps employees grow into more valuable assets to the firm. It's true that "opportunities for personal improvement" is a </w:t>
      </w:r>
      <w:r w:rsidRPr="00681F19">
        <w:rPr>
          <w:rFonts w:ascii="Arial" w:hAnsi="Arial" w:cs="Arial"/>
        </w:rPr>
        <w:lastRenderedPageBreak/>
        <w:t xml:space="preserve">major factor in whether or not an employee would stay with a company. Engaging in the process of learning gives individuals a feeling of accomplishment and significance that extends beyond the monetary gains they may experience. Employees are more inclined to stay with a company over the long run if they are given the </w:t>
      </w:r>
      <w:r w:rsidRPr="00681F19" w:rsidR="00840A07">
        <w:rPr>
          <w:rFonts w:ascii="Arial" w:hAnsi="Arial" w:cs="Arial"/>
        </w:rPr>
        <w:t>tools,</w:t>
      </w:r>
      <w:r w:rsidRPr="00681F19">
        <w:rPr>
          <w:rFonts w:ascii="Arial" w:hAnsi="Arial" w:cs="Arial"/>
        </w:rPr>
        <w:t xml:space="preserve"> they need to form true connections with both their colleagues and the company as a whole. Employees may be kept around with the assistance of financial incentives and other advantages, but the most important aspect of successful retention techniques is genuine employee gratitude</w:t>
      </w:r>
      <w:r w:rsidR="00D63E88">
        <w:rPr>
          <w:rFonts w:ascii="Arial" w:hAnsi="Arial" w:cs="Arial"/>
        </w:rPr>
        <w:t xml:space="preserve"> (</w:t>
      </w:r>
      <w:r w:rsidRPr="00D86BCF">
        <w:rPr>
          <w:rFonts w:ascii="Arial" w:hAnsi="Arial" w:cs="Arial"/>
        </w:rPr>
        <w:t>Sharma and Kumra, 2020</w:t>
      </w:r>
      <w:r w:rsidR="00D63E88">
        <w:rPr>
          <w:rFonts w:ascii="Arial" w:hAnsi="Arial" w:cs="Arial"/>
        </w:rPr>
        <w:t>)</w:t>
      </w:r>
      <w:r w:rsidRPr="00681F19">
        <w:rPr>
          <w:rFonts w:ascii="Arial" w:hAnsi="Arial" w:cs="Arial"/>
        </w:rPr>
        <w:t>. At first appearance, there doesn't seem to be much of a purpose to continue talking to a departing employee if they're doing so voluntarily. The fact that existing and prospective new personnel may benefit greatly from the suggestions of content professionals (or unionized employees) is a crucial factor in this. The deep connections that alumni employees maintain with their large personal networks, relatives, as well as previous colleagues allow them to continue recommending people for employment. Maintaining regular, low-key touch with them will then keep the brand relevant in their minds and set businesses up as the default suggestion choice for HR executives.</w:t>
      </w:r>
    </w:p>
    <w:p w:rsidRPr="00681F19" w:rsidR="00A51A42" w:rsidP="00590B15" w:rsidRDefault="00A51A42" w14:paraId="0EE2B1F0" w14:textId="2E0EB7E4">
      <w:pPr>
        <w:spacing w:after="0" w:line="360" w:lineRule="auto"/>
        <w:jc w:val="both"/>
        <w:rPr>
          <w:rFonts w:ascii="Arial" w:hAnsi="Arial" w:cs="Arial"/>
        </w:rPr>
      </w:pPr>
      <w:r w:rsidRPr="00681F19">
        <w:rPr>
          <w:rFonts w:ascii="Arial" w:hAnsi="Arial" w:cs="Arial"/>
        </w:rPr>
        <w:t xml:space="preserve">A fantastic method to boost employee engagement is to provide them well-defined internal chances for advancement. Some employees may believe that advancement in rank and salary is their sole path to fulfilment in their careers. People who are trying to climb the corporate ladder could be tempted to search for every advantage they can get while doing so, such as adding more impressive skills and experiences to their resumes. </w:t>
      </w:r>
      <w:proofErr w:type="gramStart"/>
      <w:r w:rsidRPr="00681F19">
        <w:rPr>
          <w:rFonts w:ascii="Arial" w:hAnsi="Arial" w:cs="Arial"/>
        </w:rPr>
        <w:t>An</w:t>
      </w:r>
      <w:proofErr w:type="gramEnd"/>
      <w:r w:rsidRPr="00681F19">
        <w:rPr>
          <w:rFonts w:ascii="Arial" w:hAnsi="Arial" w:cs="Arial"/>
        </w:rPr>
        <w:t xml:space="preserve"> business may assist its personnel acquire marketable abilities by designing and delivering training programmes and certification courses</w:t>
      </w:r>
      <w:r w:rsidR="00D63E88">
        <w:rPr>
          <w:rFonts w:ascii="Arial" w:hAnsi="Arial" w:cs="Arial"/>
        </w:rPr>
        <w:t xml:space="preserve"> (</w:t>
      </w:r>
      <w:r w:rsidRPr="00D86BCF">
        <w:rPr>
          <w:rFonts w:ascii="Arial" w:hAnsi="Arial" w:cs="Arial"/>
        </w:rPr>
        <w:t>Ahmed</w:t>
      </w:r>
      <w:r w:rsidR="00D63E88">
        <w:rPr>
          <w:rFonts w:ascii="Arial" w:hAnsi="Arial" w:cs="Arial"/>
        </w:rPr>
        <w:t xml:space="preserve"> </w:t>
      </w:r>
      <w:r w:rsidR="00D63E88">
        <w:rPr>
          <w:rFonts w:ascii="Arial" w:hAnsi="Arial" w:cs="Arial"/>
          <w:i/>
          <w:iCs/>
        </w:rPr>
        <w:t>et al.</w:t>
      </w:r>
      <w:r w:rsidR="00D63E88">
        <w:rPr>
          <w:rFonts w:ascii="Arial" w:hAnsi="Arial" w:cs="Arial"/>
        </w:rPr>
        <w:t xml:space="preserve"> 2020)</w:t>
      </w:r>
      <w:r w:rsidRPr="00681F19">
        <w:rPr>
          <w:rFonts w:ascii="Arial" w:hAnsi="Arial" w:cs="Arial"/>
        </w:rPr>
        <w:t>. An additional benefit of investing in this area is that it helps workers understand the steps they should take to rise in the organisation. Worker confidence and openness to new opportunities both improve when responsibilities are distributed among team members. Managers should remember that the staff they are delegating work to are still learning the ropes, and they should make clear expectations before handing off any projects. Creating a culture of educated risk-taking, which may emerge as innovation that provides enormous advantages to the firm, is one of the many benefits of cultivating a "failure-tolerant" leadership style</w:t>
      </w:r>
      <w:r w:rsidR="00D63E88">
        <w:rPr>
          <w:rFonts w:ascii="Arial" w:hAnsi="Arial" w:cs="Arial"/>
        </w:rPr>
        <w:t xml:space="preserve"> (</w:t>
      </w:r>
      <w:r w:rsidRPr="00D86BCF">
        <w:rPr>
          <w:rFonts w:ascii="Arial" w:hAnsi="Arial" w:cs="Arial"/>
        </w:rPr>
        <w:t>Jha</w:t>
      </w:r>
      <w:r w:rsidR="00D63E88">
        <w:rPr>
          <w:rFonts w:ascii="Arial" w:hAnsi="Arial" w:cs="Arial"/>
        </w:rPr>
        <w:t xml:space="preserve"> </w:t>
      </w:r>
      <w:r w:rsidR="00D63E88">
        <w:rPr>
          <w:rFonts w:ascii="Arial" w:hAnsi="Arial" w:cs="Arial"/>
          <w:i/>
          <w:iCs/>
        </w:rPr>
        <w:t>et al.</w:t>
      </w:r>
      <w:r w:rsidR="00D63E88">
        <w:rPr>
          <w:rFonts w:ascii="Arial" w:hAnsi="Arial" w:cs="Arial"/>
        </w:rPr>
        <w:t xml:space="preserve"> 2019)</w:t>
      </w:r>
      <w:r w:rsidRPr="00681F19">
        <w:rPr>
          <w:rFonts w:ascii="Arial" w:hAnsi="Arial" w:cs="Arial"/>
        </w:rPr>
        <w:t xml:space="preserve">. The performance review has evolved significantly over the last several decades from its previous form as a top-down, yearly event that was unpleasant for both managers and workers. The majority of businesses now engage their staff in frequent, transparent talks that culminate in the establishment </w:t>
      </w:r>
      <w:r w:rsidRPr="00681F19">
        <w:rPr>
          <w:rFonts w:ascii="Arial" w:hAnsi="Arial" w:cs="Arial"/>
        </w:rPr>
        <w:lastRenderedPageBreak/>
        <w:t>of specific, measurable objectives for each worker. Involved workers are more likely to be invested than those who aren't in the end result of the goal-setting process. Self-accountability increases when workers have a role in creating objectives. There is a positive effect on the employee-manager relationship as a result of this participation.</w:t>
      </w:r>
    </w:p>
    <w:p w:rsidRPr="00681F19" w:rsidR="00AB32D1" w:rsidP="00590B15" w:rsidRDefault="00A51A42" w14:paraId="65986827" w14:textId="5C796470">
      <w:pPr>
        <w:spacing w:after="0" w:line="360" w:lineRule="auto"/>
        <w:jc w:val="both"/>
        <w:rPr>
          <w:rFonts w:ascii="Arial" w:hAnsi="Arial" w:cs="Arial"/>
        </w:rPr>
      </w:pPr>
      <w:r w:rsidRPr="00681F19">
        <w:rPr>
          <w:rFonts w:ascii="Arial" w:hAnsi="Arial" w:cs="Arial"/>
        </w:rPr>
        <w:t>By building trust between management and staff, open communication in the workplace boosts productivity and morale while reducing the strain of labour. This includes not just facilitating communication between upper and lower-level management but also fostering openness and communication inside teams and between departments. Communicating ideas and encouraging teamwork may unite employees around a common objective and give them a sense of agency in contributing to the company's success. Companies' methods for keeping tabs on progress toward goals may differ, but in recent years, many of them have shifted to paperless, web-based dashboards</w:t>
      </w:r>
      <w:r w:rsidR="00D63E88">
        <w:rPr>
          <w:rFonts w:ascii="Arial" w:hAnsi="Arial" w:cs="Arial"/>
        </w:rPr>
        <w:t xml:space="preserve"> (</w:t>
      </w:r>
      <w:r w:rsidRPr="00D86BCF">
        <w:rPr>
          <w:rFonts w:ascii="Arial" w:hAnsi="Arial" w:cs="Arial"/>
        </w:rPr>
        <w:t>Johansen and Sowa, 2019</w:t>
      </w:r>
      <w:r w:rsidR="00D63E88">
        <w:rPr>
          <w:rFonts w:ascii="Arial" w:hAnsi="Arial" w:cs="Arial"/>
        </w:rPr>
        <w:t>)</w:t>
      </w:r>
      <w:r w:rsidRPr="00681F19">
        <w:rPr>
          <w:rFonts w:ascii="Arial" w:hAnsi="Arial" w:cs="Arial"/>
        </w:rPr>
        <w:t>. The tone for future performance conversations may be established by providing a visual picture of the expectations placed on the employee. When workers accomplish their objectives, it gives them a wonderful feeling of accomplishment on a personal level and a sense of pride in their contributions to the organisation as a whole. People who work for a company are one of its most significant assets, therefore it's important that the HR team is always looking for new methods to help them develop professionally. Investing in their workers' education is one of the finest methods for HR to achieve this goal, and it also increases employee engagement and retention</w:t>
      </w:r>
      <w:r w:rsidR="00D63E88">
        <w:rPr>
          <w:rFonts w:ascii="Arial" w:hAnsi="Arial" w:cs="Arial"/>
        </w:rPr>
        <w:t xml:space="preserve"> (</w:t>
      </w:r>
      <w:r w:rsidRPr="00D86BCF">
        <w:rPr>
          <w:rFonts w:ascii="Arial" w:hAnsi="Arial" w:cs="Arial"/>
        </w:rPr>
        <w:t>Saks</w:t>
      </w:r>
      <w:r w:rsidR="00D63E88">
        <w:rPr>
          <w:rFonts w:ascii="Arial" w:hAnsi="Arial" w:cs="Arial"/>
        </w:rPr>
        <w:t>, 2022)</w:t>
      </w:r>
      <w:r w:rsidRPr="00681F19">
        <w:rPr>
          <w:rFonts w:ascii="Arial" w:hAnsi="Arial" w:cs="Arial"/>
        </w:rPr>
        <w:t>. In order to improve their performance in their current roles or to advance in the organisation, many companies are opting to invest in their employees by providing them with professional certification programmes.</w:t>
      </w:r>
    </w:p>
    <w:p w:rsidRPr="00681F19" w:rsidR="00A51A42" w:rsidP="00590B15" w:rsidRDefault="00A51A42" w14:paraId="21B1C053" w14:textId="76A0CABD">
      <w:pPr>
        <w:spacing w:after="0" w:line="360" w:lineRule="auto"/>
        <w:jc w:val="both"/>
        <w:rPr>
          <w:rFonts w:ascii="Arial" w:hAnsi="Arial" w:cs="Arial"/>
        </w:rPr>
      </w:pPr>
      <w:r w:rsidRPr="00A51A42">
        <w:rPr>
          <w:rFonts w:ascii="Arial" w:hAnsi="Arial" w:cs="Arial"/>
        </w:rPr>
        <w:t xml:space="preserve">There is a wide variety of reasons, such as having meaningful work, having supportive management, having promising career paths, receiving enough training, being fairly compensated, and having a stake in the organization's success. To put it simply, if human resources managers want to see high levels of employee engagement, they need to master the HR basics. </w:t>
      </w:r>
      <w:r w:rsidRPr="0085472D" w:rsidR="0085472D">
        <w:rPr>
          <w:rFonts w:ascii="Arial" w:hAnsi="Arial" w:cs="Arial"/>
        </w:rPr>
        <w:t>Employee engagement is not quite as straightforward as it might appear at first look since it influences every aspect of human resource management.</w:t>
      </w:r>
      <w:r w:rsidR="00F03FC0">
        <w:rPr>
          <w:rFonts w:ascii="Arial" w:hAnsi="Arial" w:cs="Arial"/>
        </w:rPr>
        <w:t xml:space="preserve"> </w:t>
      </w:r>
      <w:r w:rsidRPr="00A51A42">
        <w:rPr>
          <w:rFonts w:ascii="Arial" w:hAnsi="Arial" w:cs="Arial"/>
        </w:rPr>
        <w:t xml:space="preserve">To rephrase, "engaged employees" are individuals who are happy in their occupations, feel valued by their employers, are able to put their abilities to good use, like their relationships with co-workers and superiors, and see opportunities for advancement. Human resources have to have a birds-eye perspective of the contract between the company and its workers if it wants to encourage high levels of employee engagement. </w:t>
      </w:r>
      <w:r w:rsidRPr="00A51A42">
        <w:rPr>
          <w:rFonts w:ascii="Arial" w:hAnsi="Arial" w:cs="Arial"/>
        </w:rPr>
        <w:lastRenderedPageBreak/>
        <w:t>One of the greatest methods for businesses to boost output is to increase employee involvement. An estimated 70% of the workforce is not fully committed to their jobs. A disengaged worker is difficult to foresee and may abruptly quit their job. However, there are other strategies that may boost morale and productivity by increasing employee involvement.</w:t>
      </w:r>
    </w:p>
    <w:p w:rsidR="00840A07" w:rsidP="00590B15" w:rsidRDefault="008366D3" w14:paraId="6AD9E3E4" w14:textId="3A50916C">
      <w:pPr>
        <w:spacing w:after="0" w:line="360" w:lineRule="auto"/>
        <w:jc w:val="both"/>
        <w:rPr>
          <w:rFonts w:ascii="Arial" w:hAnsi="Arial" w:cs="Arial"/>
        </w:rPr>
      </w:pPr>
      <w:r w:rsidRPr="00681F19">
        <w:rPr>
          <w:rFonts w:ascii="Arial" w:hAnsi="Arial" w:cs="Arial"/>
        </w:rPr>
        <w:t xml:space="preserve">In terms of enhancing the employee engagement during the overall period of employee life-cycle, conduction of Kahn’s model of engagement can be beneficial for the HR department and the businesses. </w:t>
      </w:r>
      <w:r w:rsidRPr="00681F19" w:rsidR="00681F19">
        <w:rPr>
          <w:rFonts w:ascii="Arial" w:hAnsi="Arial" w:cs="Arial"/>
        </w:rPr>
        <w:t>According to this engagement model of Kahn, work engagement may be defined as the extent to which a person exhibits a self-preference in their work responsibilities in order to develop connections between themselves and their jobs</w:t>
      </w:r>
      <w:r w:rsidR="00D63E88">
        <w:rPr>
          <w:rFonts w:ascii="Arial" w:hAnsi="Arial" w:cs="Arial"/>
        </w:rPr>
        <w:t xml:space="preserve"> (</w:t>
      </w:r>
      <w:r w:rsidRPr="00D86BCF">
        <w:rPr>
          <w:rFonts w:ascii="Arial" w:hAnsi="Arial" w:cs="Arial"/>
        </w:rPr>
        <w:t>Kerdpitak and Jermsittiparsert, 2020</w:t>
      </w:r>
      <w:r w:rsidR="00D63E88">
        <w:rPr>
          <w:rFonts w:ascii="Arial" w:hAnsi="Arial" w:cs="Arial"/>
        </w:rPr>
        <w:t>)</w:t>
      </w:r>
      <w:r w:rsidRPr="00681F19" w:rsidR="00681F19">
        <w:rPr>
          <w:rFonts w:ascii="Arial" w:hAnsi="Arial" w:cs="Arial"/>
        </w:rPr>
        <w:t xml:space="preserve">. These linkages may increase intellectual, psychological, as well as behavioral consciousness in the task, which may lead to improved effectiveness in the role. However, in terms of implementing this model, it is important for the business firms to consider the core 3 dimension of this model which are mentioned as follows- </w:t>
      </w:r>
      <w:r w:rsidRPr="00681F19" w:rsidR="00681F19">
        <w:rPr>
          <w:rFonts w:ascii="Arial" w:hAnsi="Arial" w:cs="Arial"/>
          <w:b/>
          <w:bCs w:val="0"/>
          <w:i/>
          <w:iCs/>
        </w:rPr>
        <w:t xml:space="preserve">physical, cognitive, </w:t>
      </w:r>
      <w:r w:rsidRPr="00681F19" w:rsidR="00681F19">
        <w:rPr>
          <w:rFonts w:ascii="Arial" w:hAnsi="Arial" w:cs="Arial"/>
        </w:rPr>
        <w:t xml:space="preserve">and </w:t>
      </w:r>
      <w:r w:rsidRPr="00681F19" w:rsidR="00681F19">
        <w:rPr>
          <w:rFonts w:ascii="Arial" w:hAnsi="Arial" w:cs="Arial"/>
          <w:b/>
          <w:bCs w:val="0"/>
          <w:i/>
          <w:iCs/>
        </w:rPr>
        <w:t xml:space="preserve">emotional. </w:t>
      </w:r>
      <w:r w:rsidRPr="00681F19" w:rsidR="00681F19">
        <w:rPr>
          <w:rFonts w:ascii="Arial" w:hAnsi="Arial" w:cs="Arial"/>
        </w:rPr>
        <w:t>In order for this theory to be put into effect, organisations need to ensure that every employee is aware of the significance and influence that their specific function has on the larger organisation. Individuals are motivated to completely dedicate themselves to their roles because they have a true appreciation for the contributions they make, and this appreciation pushes them to do so. For example, Amazon has implemented this strategy to keep employee involvement at a high level throughout the organisation at all instances</w:t>
      </w:r>
      <w:r w:rsidR="00D63E88">
        <w:rPr>
          <w:rFonts w:ascii="Arial" w:hAnsi="Arial" w:cs="Arial"/>
        </w:rPr>
        <w:t xml:space="preserve"> (</w:t>
      </w:r>
      <w:r w:rsidRPr="00D86BCF">
        <w:rPr>
          <w:rFonts w:ascii="Arial" w:hAnsi="Arial" w:cs="Arial"/>
        </w:rPr>
        <w:t>Othman and Mahmood, 2019</w:t>
      </w:r>
      <w:r w:rsidR="00D63E88">
        <w:rPr>
          <w:rFonts w:ascii="Arial" w:hAnsi="Arial" w:cs="Arial"/>
        </w:rPr>
        <w:t>)</w:t>
      </w:r>
      <w:r w:rsidRPr="00681F19" w:rsidR="00681F19">
        <w:rPr>
          <w:rFonts w:ascii="Arial" w:hAnsi="Arial" w:cs="Arial"/>
        </w:rPr>
        <w:t>. At Amazon, they have what they call a "open-door policy," which means that any employee is free to approach their supervisor, a representative of Human Resources, or a representative of Amazon's executive team with any suggestions, concerns, or feedback. Any employee of Amazon's executive staff is covered by this policy as well. Amazon also allows its employees the choice of uninhibited speech. As a result, Amazon's HR team can confidently guarantee increased employee engagement over their whole careers.</w:t>
      </w:r>
    </w:p>
    <w:p w:rsidR="00840A07" w:rsidP="00590B15" w:rsidRDefault="00840A07" w14:paraId="72275670" w14:textId="77777777">
      <w:pPr>
        <w:spacing w:line="360" w:lineRule="auto"/>
        <w:rPr>
          <w:rFonts w:ascii="Arial" w:hAnsi="Arial" w:cs="Arial"/>
        </w:rPr>
      </w:pPr>
      <w:r>
        <w:rPr>
          <w:rFonts w:ascii="Arial" w:hAnsi="Arial" w:cs="Arial"/>
        </w:rPr>
        <w:br w:type="page"/>
      </w:r>
    </w:p>
    <w:p w:rsidR="008366D3" w:rsidP="00590B15" w:rsidRDefault="00840A07" w14:paraId="1D56EED7" w14:textId="1D63B09D">
      <w:pPr>
        <w:spacing w:after="0" w:line="360" w:lineRule="auto"/>
        <w:jc w:val="both"/>
        <w:rPr>
          <w:rFonts w:ascii="Arial" w:hAnsi="Arial" w:cs="Arial"/>
          <w:b/>
          <w:bCs w:val="0"/>
          <w:sz w:val="28"/>
          <w:szCs w:val="32"/>
        </w:rPr>
      </w:pPr>
      <w:r>
        <w:rPr>
          <w:rFonts w:ascii="Arial" w:hAnsi="Arial" w:cs="Arial"/>
          <w:b/>
          <w:bCs w:val="0"/>
          <w:sz w:val="28"/>
          <w:szCs w:val="32"/>
        </w:rPr>
        <w:lastRenderedPageBreak/>
        <w:t>Reference List</w:t>
      </w:r>
    </w:p>
    <w:p w:rsidRPr="007D0A88" w:rsidR="007D0A88" w:rsidP="00590B15" w:rsidRDefault="007D0A88" w14:paraId="2AF49EA6" w14:textId="77777777">
      <w:pPr>
        <w:spacing w:after="0" w:line="360" w:lineRule="auto"/>
        <w:jc w:val="both"/>
        <w:rPr>
          <w:rFonts w:ascii="Arial" w:hAnsi="Arial" w:cs="Arial"/>
        </w:rPr>
      </w:pPr>
      <w:bookmarkStart w:name="_Hlk126420925" w:id="0"/>
      <w:r w:rsidRPr="007D0A88">
        <w:rPr>
          <w:rFonts w:ascii="Arial" w:hAnsi="Arial" w:cs="Arial"/>
        </w:rPr>
        <w:t>Ahmed, T., Khan, M.S., Thitivesa, D., Siraphatthada, Y. and Phumdara, T., 2020. Impact of employees engagement and knowledge sharing on organizational performance: Study of HR challenges in COVID-19 pandemic. </w:t>
      </w:r>
      <w:r w:rsidRPr="007D0A88">
        <w:rPr>
          <w:rFonts w:ascii="Arial" w:hAnsi="Arial" w:cs="Arial"/>
          <w:i/>
          <w:iCs/>
        </w:rPr>
        <w:t>Human Systems Management</w:t>
      </w:r>
      <w:r w:rsidRPr="007D0A88">
        <w:rPr>
          <w:rFonts w:ascii="Arial" w:hAnsi="Arial" w:cs="Arial"/>
        </w:rPr>
        <w:t>, </w:t>
      </w:r>
      <w:r w:rsidRPr="007D0A88">
        <w:rPr>
          <w:rFonts w:ascii="Arial" w:hAnsi="Arial" w:cs="Arial"/>
          <w:i/>
          <w:iCs/>
        </w:rPr>
        <w:t>39</w:t>
      </w:r>
      <w:r w:rsidRPr="007D0A88">
        <w:rPr>
          <w:rFonts w:ascii="Arial" w:hAnsi="Arial" w:cs="Arial"/>
        </w:rPr>
        <w:t>(4), pp.589-601.</w:t>
      </w:r>
    </w:p>
    <w:p w:rsidRPr="007D0A88" w:rsidR="007D0A88" w:rsidP="00590B15" w:rsidRDefault="007D0A88" w14:paraId="05771A3A" w14:textId="77777777">
      <w:pPr>
        <w:spacing w:after="0" w:line="360" w:lineRule="auto"/>
        <w:jc w:val="both"/>
        <w:rPr>
          <w:rFonts w:ascii="Arial" w:hAnsi="Arial" w:cs="Arial"/>
        </w:rPr>
      </w:pPr>
      <w:r w:rsidRPr="007D0A88">
        <w:rPr>
          <w:rFonts w:ascii="Arial" w:hAnsi="Arial" w:cs="Arial"/>
        </w:rPr>
        <w:t>Bailey, C., 2022. Employee engagement: Do practitioners care what academics have to say–and should they? </w:t>
      </w:r>
      <w:r w:rsidRPr="007D0A88">
        <w:rPr>
          <w:rFonts w:ascii="Arial" w:hAnsi="Arial" w:cs="Arial"/>
          <w:i/>
          <w:iCs/>
        </w:rPr>
        <w:t>Human Resource Management Review</w:t>
      </w:r>
      <w:r w:rsidRPr="007D0A88">
        <w:rPr>
          <w:rFonts w:ascii="Arial" w:hAnsi="Arial" w:cs="Arial"/>
        </w:rPr>
        <w:t>, </w:t>
      </w:r>
      <w:r w:rsidRPr="007D0A88">
        <w:rPr>
          <w:rFonts w:ascii="Arial" w:hAnsi="Arial" w:cs="Arial"/>
          <w:i/>
          <w:iCs/>
        </w:rPr>
        <w:t>32</w:t>
      </w:r>
      <w:r w:rsidRPr="007D0A88">
        <w:rPr>
          <w:rFonts w:ascii="Arial" w:hAnsi="Arial" w:cs="Arial"/>
        </w:rPr>
        <w:t xml:space="preserve">(1), p.100589. </w:t>
      </w:r>
    </w:p>
    <w:p w:rsidRPr="007D0A88" w:rsidR="007D0A88" w:rsidP="00590B15" w:rsidRDefault="007D0A88" w14:paraId="4535E754" w14:textId="77777777">
      <w:pPr>
        <w:spacing w:after="0" w:line="360" w:lineRule="auto"/>
        <w:jc w:val="both"/>
        <w:rPr>
          <w:rFonts w:ascii="Arial" w:hAnsi="Arial" w:cs="Arial"/>
        </w:rPr>
      </w:pPr>
      <w:r w:rsidRPr="007D0A88">
        <w:rPr>
          <w:rFonts w:ascii="Arial" w:hAnsi="Arial" w:cs="Arial"/>
        </w:rPr>
        <w:t>Chandni, S. and Rahman, Z., 2020. Customer engagement and employee engagement: Systematic review and future directions. </w:t>
      </w:r>
      <w:r w:rsidRPr="007D0A88">
        <w:rPr>
          <w:rFonts w:ascii="Arial" w:hAnsi="Arial" w:cs="Arial"/>
          <w:i/>
          <w:iCs/>
        </w:rPr>
        <w:t>The Service Industries Journal</w:t>
      </w:r>
      <w:r w:rsidRPr="007D0A88">
        <w:rPr>
          <w:rFonts w:ascii="Arial" w:hAnsi="Arial" w:cs="Arial"/>
        </w:rPr>
        <w:t>, </w:t>
      </w:r>
      <w:r w:rsidRPr="007D0A88">
        <w:rPr>
          <w:rFonts w:ascii="Arial" w:hAnsi="Arial" w:cs="Arial"/>
          <w:i/>
          <w:iCs/>
        </w:rPr>
        <w:t>40</w:t>
      </w:r>
      <w:r w:rsidRPr="007D0A88">
        <w:rPr>
          <w:rFonts w:ascii="Arial" w:hAnsi="Arial" w:cs="Arial"/>
        </w:rPr>
        <w:t>(13-14), pp.932-959.</w:t>
      </w:r>
    </w:p>
    <w:p w:rsidRPr="007D0A88" w:rsidR="007D0A88" w:rsidP="00590B15" w:rsidRDefault="007D0A88" w14:paraId="3FF86D90" w14:textId="77777777">
      <w:pPr>
        <w:spacing w:after="0" w:line="360" w:lineRule="auto"/>
        <w:jc w:val="both"/>
        <w:rPr>
          <w:rFonts w:ascii="Arial" w:hAnsi="Arial" w:cs="Arial"/>
        </w:rPr>
      </w:pPr>
      <w:r w:rsidRPr="007D0A88">
        <w:rPr>
          <w:rFonts w:ascii="Arial" w:hAnsi="Arial" w:cs="Arial"/>
        </w:rPr>
        <w:t>Jha, N., Sareen, P. and Potnuru, R.K.G., 2019. Employee engagement for millennials: considering technology as an enabler. </w:t>
      </w:r>
      <w:r w:rsidRPr="007D0A88">
        <w:rPr>
          <w:rFonts w:ascii="Arial" w:hAnsi="Arial" w:cs="Arial"/>
          <w:i/>
          <w:iCs/>
        </w:rPr>
        <w:t>Development and learning in organizations: An international journal</w:t>
      </w:r>
      <w:r w:rsidRPr="007D0A88">
        <w:rPr>
          <w:rFonts w:ascii="Arial" w:hAnsi="Arial" w:cs="Arial"/>
        </w:rPr>
        <w:t>, </w:t>
      </w:r>
      <w:r w:rsidRPr="007D0A88">
        <w:rPr>
          <w:rFonts w:ascii="Arial" w:hAnsi="Arial" w:cs="Arial"/>
          <w:i/>
          <w:iCs/>
        </w:rPr>
        <w:t>33</w:t>
      </w:r>
      <w:r w:rsidRPr="007D0A88">
        <w:rPr>
          <w:rFonts w:ascii="Arial" w:hAnsi="Arial" w:cs="Arial"/>
        </w:rPr>
        <w:t>(1), pp.9-11.</w:t>
      </w:r>
    </w:p>
    <w:p w:rsidRPr="007D0A88" w:rsidR="007D0A88" w:rsidP="00590B15" w:rsidRDefault="007D0A88" w14:paraId="3890044E" w14:textId="77777777">
      <w:pPr>
        <w:spacing w:after="0" w:line="360" w:lineRule="auto"/>
        <w:jc w:val="both"/>
        <w:rPr>
          <w:rFonts w:ascii="Arial" w:hAnsi="Arial" w:cs="Arial"/>
        </w:rPr>
      </w:pPr>
      <w:r w:rsidRPr="007D0A88">
        <w:rPr>
          <w:rFonts w:ascii="Arial" w:hAnsi="Arial" w:cs="Arial"/>
        </w:rPr>
        <w:t>Johansen, M.S. and Sowa, J.E., 2019. Human resource management, employee engagement, and nonprofit hospital performance. </w:t>
      </w:r>
      <w:r w:rsidRPr="007D0A88">
        <w:rPr>
          <w:rFonts w:ascii="Arial" w:hAnsi="Arial" w:cs="Arial"/>
          <w:i/>
          <w:iCs/>
        </w:rPr>
        <w:t>Nonprofit Management and Leadership</w:t>
      </w:r>
      <w:r w:rsidRPr="007D0A88">
        <w:rPr>
          <w:rFonts w:ascii="Arial" w:hAnsi="Arial" w:cs="Arial"/>
        </w:rPr>
        <w:t>, </w:t>
      </w:r>
      <w:r w:rsidRPr="007D0A88">
        <w:rPr>
          <w:rFonts w:ascii="Arial" w:hAnsi="Arial" w:cs="Arial"/>
          <w:i/>
          <w:iCs/>
        </w:rPr>
        <w:t>29</w:t>
      </w:r>
      <w:r w:rsidRPr="007D0A88">
        <w:rPr>
          <w:rFonts w:ascii="Arial" w:hAnsi="Arial" w:cs="Arial"/>
        </w:rPr>
        <w:t>(4), pp.549-567.</w:t>
      </w:r>
    </w:p>
    <w:p w:rsidRPr="007D0A88" w:rsidR="007D0A88" w:rsidP="00590B15" w:rsidRDefault="007D0A88" w14:paraId="0801F9C2" w14:textId="77777777">
      <w:pPr>
        <w:spacing w:after="0" w:line="360" w:lineRule="auto"/>
        <w:jc w:val="both"/>
        <w:rPr>
          <w:rFonts w:ascii="Arial" w:hAnsi="Arial" w:cs="Arial"/>
        </w:rPr>
      </w:pPr>
      <w:r w:rsidRPr="007D0A88">
        <w:rPr>
          <w:rFonts w:ascii="Arial" w:hAnsi="Arial" w:cs="Arial"/>
        </w:rPr>
        <w:t>Kerdpitak, C. and Jermsittiparsert, K., 2020. The impact of human resource management practices on competitive advantage: Mediating role of employee engagement in Thailand. </w:t>
      </w:r>
      <w:r w:rsidRPr="007D0A88">
        <w:rPr>
          <w:rFonts w:ascii="Arial" w:hAnsi="Arial" w:cs="Arial"/>
          <w:i/>
          <w:iCs/>
        </w:rPr>
        <w:t>Systematic Reviews in Pharmacy</w:t>
      </w:r>
      <w:r w:rsidRPr="007D0A88">
        <w:rPr>
          <w:rFonts w:ascii="Arial" w:hAnsi="Arial" w:cs="Arial"/>
        </w:rPr>
        <w:t>, </w:t>
      </w:r>
      <w:r w:rsidRPr="007D0A88">
        <w:rPr>
          <w:rFonts w:ascii="Arial" w:hAnsi="Arial" w:cs="Arial"/>
          <w:i/>
          <w:iCs/>
        </w:rPr>
        <w:t>11</w:t>
      </w:r>
      <w:r w:rsidRPr="007D0A88">
        <w:rPr>
          <w:rFonts w:ascii="Arial" w:hAnsi="Arial" w:cs="Arial"/>
        </w:rPr>
        <w:t>(1), pp.443-452.</w:t>
      </w:r>
    </w:p>
    <w:p w:rsidRPr="007D0A88" w:rsidR="007D0A88" w:rsidP="00590B15" w:rsidRDefault="007D0A88" w14:paraId="4ED73DA6" w14:textId="77777777">
      <w:pPr>
        <w:spacing w:after="0" w:line="360" w:lineRule="auto"/>
        <w:jc w:val="both"/>
        <w:rPr>
          <w:rFonts w:ascii="Arial" w:hAnsi="Arial" w:cs="Arial"/>
        </w:rPr>
      </w:pPr>
      <w:r w:rsidRPr="007D0A88">
        <w:rPr>
          <w:rFonts w:ascii="Arial" w:hAnsi="Arial" w:cs="Arial"/>
        </w:rPr>
        <w:t>Kwon, K. and Kim, T., 2020. An integrative literature review of employee engagement and innovative behavior: Revisiting the JD-R model. </w:t>
      </w:r>
      <w:r w:rsidRPr="007D0A88">
        <w:rPr>
          <w:rFonts w:ascii="Arial" w:hAnsi="Arial" w:cs="Arial"/>
          <w:i/>
          <w:iCs/>
        </w:rPr>
        <w:t>Human Resource Management Review</w:t>
      </w:r>
      <w:r w:rsidRPr="007D0A88">
        <w:rPr>
          <w:rFonts w:ascii="Arial" w:hAnsi="Arial" w:cs="Arial"/>
        </w:rPr>
        <w:t>, </w:t>
      </w:r>
      <w:r w:rsidRPr="007D0A88">
        <w:rPr>
          <w:rFonts w:ascii="Arial" w:hAnsi="Arial" w:cs="Arial"/>
          <w:i/>
          <w:iCs/>
        </w:rPr>
        <w:t>30</w:t>
      </w:r>
      <w:r w:rsidRPr="007D0A88">
        <w:rPr>
          <w:rFonts w:ascii="Arial" w:hAnsi="Arial" w:cs="Arial"/>
        </w:rPr>
        <w:t>(2), p.100704.</w:t>
      </w:r>
    </w:p>
    <w:p w:rsidRPr="007D0A88" w:rsidR="007D0A88" w:rsidP="00590B15" w:rsidRDefault="007D0A88" w14:paraId="3264EFA8" w14:textId="77777777">
      <w:pPr>
        <w:spacing w:after="0" w:line="360" w:lineRule="auto"/>
        <w:jc w:val="both"/>
        <w:rPr>
          <w:rFonts w:ascii="Arial" w:hAnsi="Arial" w:cs="Arial"/>
        </w:rPr>
      </w:pPr>
      <w:r w:rsidRPr="007D0A88">
        <w:rPr>
          <w:rFonts w:ascii="Arial" w:hAnsi="Arial" w:cs="Arial"/>
        </w:rPr>
        <w:t>Othman, S. and Mahmood, N., 2019. Linking employee engagement towards individual work performance through human resource management practice: From high potential employee’s perspectives. </w:t>
      </w:r>
      <w:r w:rsidRPr="007D0A88">
        <w:rPr>
          <w:rFonts w:ascii="Arial" w:hAnsi="Arial" w:cs="Arial"/>
          <w:i/>
          <w:iCs/>
        </w:rPr>
        <w:t>Management Science Letters</w:t>
      </w:r>
      <w:r w:rsidRPr="007D0A88">
        <w:rPr>
          <w:rFonts w:ascii="Arial" w:hAnsi="Arial" w:cs="Arial"/>
        </w:rPr>
        <w:t>, </w:t>
      </w:r>
      <w:r w:rsidRPr="007D0A88">
        <w:rPr>
          <w:rFonts w:ascii="Arial" w:hAnsi="Arial" w:cs="Arial"/>
          <w:i/>
          <w:iCs/>
        </w:rPr>
        <w:t>9</w:t>
      </w:r>
      <w:r w:rsidRPr="007D0A88">
        <w:rPr>
          <w:rFonts w:ascii="Arial" w:hAnsi="Arial" w:cs="Arial"/>
        </w:rPr>
        <w:t>(7), pp.1083-1092.</w:t>
      </w:r>
    </w:p>
    <w:p w:rsidRPr="007D0A88" w:rsidR="007D0A88" w:rsidP="00590B15" w:rsidRDefault="007D0A88" w14:paraId="654ADE84" w14:textId="77777777">
      <w:pPr>
        <w:spacing w:after="0" w:line="360" w:lineRule="auto"/>
        <w:jc w:val="both"/>
        <w:rPr>
          <w:rFonts w:ascii="Arial" w:hAnsi="Arial" w:cs="Arial"/>
        </w:rPr>
      </w:pPr>
      <w:r w:rsidRPr="007D0A88">
        <w:rPr>
          <w:rFonts w:ascii="Arial" w:hAnsi="Arial" w:cs="Arial"/>
        </w:rPr>
        <w:t>Saks, A.M., 2022. Caring human resources management and employee engagement. </w:t>
      </w:r>
      <w:r w:rsidRPr="007D0A88">
        <w:rPr>
          <w:rFonts w:ascii="Arial" w:hAnsi="Arial" w:cs="Arial"/>
          <w:i/>
          <w:iCs/>
        </w:rPr>
        <w:t>Human Resource Management Review</w:t>
      </w:r>
      <w:r w:rsidRPr="007D0A88">
        <w:rPr>
          <w:rFonts w:ascii="Arial" w:hAnsi="Arial" w:cs="Arial"/>
        </w:rPr>
        <w:t>, </w:t>
      </w:r>
      <w:r w:rsidRPr="007D0A88">
        <w:rPr>
          <w:rFonts w:ascii="Arial" w:hAnsi="Arial" w:cs="Arial"/>
          <w:i/>
          <w:iCs/>
        </w:rPr>
        <w:t>32</w:t>
      </w:r>
      <w:r w:rsidRPr="007D0A88">
        <w:rPr>
          <w:rFonts w:ascii="Arial" w:hAnsi="Arial" w:cs="Arial"/>
        </w:rPr>
        <w:t>(3), p.100835.</w:t>
      </w:r>
    </w:p>
    <w:p w:rsidRPr="007D0A88" w:rsidR="007D0A88" w:rsidP="00590B15" w:rsidRDefault="007D0A88" w14:paraId="044749AB" w14:textId="77777777">
      <w:pPr>
        <w:spacing w:after="0" w:line="360" w:lineRule="auto"/>
        <w:jc w:val="both"/>
        <w:rPr>
          <w:rFonts w:ascii="Arial" w:hAnsi="Arial" w:cs="Arial"/>
        </w:rPr>
      </w:pPr>
      <w:r w:rsidRPr="007D0A88">
        <w:rPr>
          <w:rFonts w:ascii="Arial" w:hAnsi="Arial" w:cs="Arial"/>
        </w:rPr>
        <w:t>Sharma, P.K. and Kumra, R., 2020. Relationship between workplace spirituality, organizational justice and mental health: mediation role of employee engagement. </w:t>
      </w:r>
      <w:r w:rsidRPr="007D0A88">
        <w:rPr>
          <w:rFonts w:ascii="Arial" w:hAnsi="Arial" w:cs="Arial"/>
          <w:i/>
          <w:iCs/>
        </w:rPr>
        <w:t>Journal of Advances in Management Research</w:t>
      </w:r>
      <w:r w:rsidRPr="007D0A88">
        <w:rPr>
          <w:rFonts w:ascii="Arial" w:hAnsi="Arial" w:cs="Arial"/>
        </w:rPr>
        <w:t>, </w:t>
      </w:r>
      <w:r w:rsidRPr="007D0A88">
        <w:rPr>
          <w:rFonts w:ascii="Arial" w:hAnsi="Arial" w:cs="Arial"/>
          <w:i/>
          <w:iCs/>
        </w:rPr>
        <w:t>17</w:t>
      </w:r>
      <w:r w:rsidRPr="007D0A88">
        <w:rPr>
          <w:rFonts w:ascii="Arial" w:hAnsi="Arial" w:cs="Arial"/>
        </w:rPr>
        <w:t>(5), pp.627-650.</w:t>
      </w:r>
    </w:p>
    <w:p w:rsidRPr="007D0A88" w:rsidR="007D0A88" w:rsidP="00590B15" w:rsidRDefault="007D0A88" w14:paraId="3DE1E52F" w14:textId="77777777">
      <w:pPr>
        <w:spacing w:after="0" w:line="360" w:lineRule="auto"/>
        <w:jc w:val="both"/>
        <w:rPr>
          <w:rFonts w:ascii="Arial" w:hAnsi="Arial" w:cs="Arial"/>
        </w:rPr>
      </w:pPr>
      <w:r w:rsidRPr="007D0A88">
        <w:rPr>
          <w:rFonts w:ascii="Arial" w:hAnsi="Arial" w:cs="Arial"/>
        </w:rPr>
        <w:t>Shen, H. and Jiang, H., 2019. Engaged at work? An employee engagement model in public relations. </w:t>
      </w:r>
      <w:r w:rsidRPr="007D0A88">
        <w:rPr>
          <w:rFonts w:ascii="Arial" w:hAnsi="Arial" w:cs="Arial"/>
          <w:i/>
          <w:iCs/>
        </w:rPr>
        <w:t>Journal of Public Relations Research</w:t>
      </w:r>
      <w:r w:rsidRPr="007D0A88">
        <w:rPr>
          <w:rFonts w:ascii="Arial" w:hAnsi="Arial" w:cs="Arial"/>
        </w:rPr>
        <w:t>, </w:t>
      </w:r>
      <w:r w:rsidRPr="007D0A88">
        <w:rPr>
          <w:rFonts w:ascii="Arial" w:hAnsi="Arial" w:cs="Arial"/>
          <w:i/>
          <w:iCs/>
        </w:rPr>
        <w:t>31</w:t>
      </w:r>
      <w:r w:rsidRPr="007D0A88">
        <w:rPr>
          <w:rFonts w:ascii="Arial" w:hAnsi="Arial" w:cs="Arial"/>
        </w:rPr>
        <w:t>(1-2), pp.32-49.</w:t>
      </w:r>
    </w:p>
    <w:p w:rsidRPr="00681F19" w:rsidR="00A51A42" w:rsidP="00590B15" w:rsidRDefault="007D0A88" w14:paraId="4450B751" w14:textId="1509089A">
      <w:pPr>
        <w:spacing w:after="0" w:line="360" w:lineRule="auto"/>
        <w:jc w:val="both"/>
        <w:rPr>
          <w:rFonts w:ascii="Arial" w:hAnsi="Arial" w:cs="Arial"/>
        </w:rPr>
      </w:pPr>
      <w:r w:rsidRPr="007D0A88">
        <w:rPr>
          <w:rFonts w:ascii="Arial" w:hAnsi="Arial" w:cs="Arial"/>
        </w:rPr>
        <w:t>Turner, P. and Turner, P., 2020. </w:t>
      </w:r>
      <w:r w:rsidRPr="007D0A88">
        <w:rPr>
          <w:rFonts w:ascii="Arial" w:hAnsi="Arial" w:cs="Arial"/>
          <w:i/>
          <w:iCs/>
        </w:rPr>
        <w:t>What Is Employee Engagement?</w:t>
      </w:r>
      <w:r w:rsidRPr="007D0A88">
        <w:rPr>
          <w:rFonts w:ascii="Arial" w:hAnsi="Arial" w:cs="Arial"/>
        </w:rPr>
        <w:t> (pp. 27-56). Springer International Publishing.</w:t>
      </w:r>
      <w:bookmarkEnd w:id="0"/>
    </w:p>
    <w:sectPr w:rsidRPr="00681F19" w:rsidR="00A51A42" w:rsidSect="00AC762B">
      <w:pgSz w:w="11910" w:h="16840" w:orient="portrait"/>
      <w:pgMar w:top="1360" w:right="1260" w:bottom="1180" w:left="1340" w:header="0" w:footer="998"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E3B2E" w:rsidP="00D64051" w:rsidRDefault="00DE3B2E" w14:paraId="24480BEC" w14:textId="77777777">
      <w:pPr>
        <w:spacing w:after="0" w:line="240" w:lineRule="auto"/>
      </w:pPr>
      <w:r>
        <w:separator/>
      </w:r>
    </w:p>
  </w:endnote>
  <w:endnote w:type="continuationSeparator" w:id="0">
    <w:p w:rsidR="00DE3B2E" w:rsidP="00D64051" w:rsidRDefault="00DE3B2E" w14:paraId="00DA6C9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E3B2E" w:rsidP="00D64051" w:rsidRDefault="00DE3B2E" w14:paraId="11762A2D" w14:textId="77777777">
      <w:pPr>
        <w:spacing w:after="0" w:line="240" w:lineRule="auto"/>
      </w:pPr>
      <w:r>
        <w:separator/>
      </w:r>
    </w:p>
  </w:footnote>
  <w:footnote w:type="continuationSeparator" w:id="0">
    <w:p w:rsidR="00DE3B2E" w:rsidP="00D64051" w:rsidRDefault="00DE3B2E" w14:paraId="1C35FE0D"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776062"/>
    <w:multiLevelType w:val="hybridMultilevel"/>
    <w:tmpl w:val="D7AEE7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98897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drawingGridHorizontalSpacing w:val="110"/>
  <w:drawingGridVerticalSpacing w:val="299"/>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039"/>
    <w:rsid w:val="00212039"/>
    <w:rsid w:val="00470688"/>
    <w:rsid w:val="004E5BCA"/>
    <w:rsid w:val="00590B15"/>
    <w:rsid w:val="00681F19"/>
    <w:rsid w:val="00727383"/>
    <w:rsid w:val="007D0A88"/>
    <w:rsid w:val="008366D3"/>
    <w:rsid w:val="00840A07"/>
    <w:rsid w:val="0085472D"/>
    <w:rsid w:val="008A6AF6"/>
    <w:rsid w:val="00905268"/>
    <w:rsid w:val="00907D2C"/>
    <w:rsid w:val="00933AA5"/>
    <w:rsid w:val="00A51A42"/>
    <w:rsid w:val="00AB32D1"/>
    <w:rsid w:val="00AC762B"/>
    <w:rsid w:val="00D63E88"/>
    <w:rsid w:val="00D64051"/>
    <w:rsid w:val="00DE3B2E"/>
    <w:rsid w:val="00F03FC0"/>
    <w:rsid w:val="110336E0"/>
    <w:rsid w:val="190C75D3"/>
    <w:rsid w:val="23551973"/>
    <w:rsid w:val="2E0A1432"/>
    <w:rsid w:val="35FAD091"/>
    <w:rsid w:val="42026C13"/>
    <w:rsid w:val="5A3ED1F4"/>
    <w:rsid w:val="5AD02614"/>
    <w:rsid w:val="5BF116B7"/>
    <w:rsid w:val="70AD7DF4"/>
    <w:rsid w:val="7286BD60"/>
    <w:rsid w:val="753AFC09"/>
    <w:rsid w:val="75A5B6D9"/>
    <w:rsid w:val="7703971B"/>
    <w:rsid w:val="789F677C"/>
    <w:rsid w:val="79229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15799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cs="Times New Roman" w:eastAsiaTheme="minorHAnsi"/>
        <w:bCs/>
        <w:color w:val="000000" w:themeColor="text1"/>
        <w:sz w:val="24"/>
        <w:szCs w:val="28"/>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7D0A88"/>
    <w:pPr>
      <w:ind w:left="720"/>
      <w:contextualSpacing/>
    </w:pPr>
  </w:style>
  <w:style w:type="paragraph" w:styleId="Header">
    <w:name w:val="header"/>
    <w:basedOn w:val="Normal"/>
    <w:link w:val="HeaderChar"/>
    <w:uiPriority w:val="99"/>
    <w:unhideWhenUsed/>
    <w:rsid w:val="00D64051"/>
    <w:pPr>
      <w:tabs>
        <w:tab w:val="center" w:pos="4513"/>
        <w:tab w:val="right" w:pos="9026"/>
      </w:tabs>
      <w:spacing w:after="0" w:line="240" w:lineRule="auto"/>
    </w:pPr>
  </w:style>
  <w:style w:type="character" w:styleId="HeaderChar" w:customStyle="1">
    <w:name w:val="Header Char"/>
    <w:basedOn w:val="DefaultParagraphFont"/>
    <w:link w:val="Header"/>
    <w:uiPriority w:val="99"/>
    <w:rsid w:val="00D64051"/>
  </w:style>
  <w:style w:type="paragraph" w:styleId="Footer">
    <w:name w:val="footer"/>
    <w:basedOn w:val="Normal"/>
    <w:link w:val="FooterChar"/>
    <w:uiPriority w:val="99"/>
    <w:unhideWhenUsed/>
    <w:rsid w:val="00D64051"/>
    <w:pPr>
      <w:tabs>
        <w:tab w:val="center" w:pos="4513"/>
        <w:tab w:val="right" w:pos="9026"/>
      </w:tabs>
      <w:spacing w:after="0" w:line="240" w:lineRule="auto"/>
    </w:pPr>
  </w:style>
  <w:style w:type="character" w:styleId="FooterChar" w:customStyle="1">
    <w:name w:val="Footer Char"/>
    <w:basedOn w:val="DefaultParagraphFont"/>
    <w:link w:val="Footer"/>
    <w:uiPriority w:val="99"/>
    <w:rsid w:val="00D640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Liliana Petrache (2025333)</lastModifiedBy>
  <revision>8</revision>
  <dcterms:created xsi:type="dcterms:W3CDTF">2023-02-04T17:50:00.0000000Z</dcterms:created>
  <dcterms:modified xsi:type="dcterms:W3CDTF">2023-02-08T14:06:45.8625193Z</dcterms:modified>
</coreProperties>
</file>