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A3BB77" w14:textId="0A8A0F16" w:rsidR="00FB65AF" w:rsidRPr="00355C61" w:rsidRDefault="00355C61" w:rsidP="00355C61">
      <w:pPr>
        <w:jc w:val="center"/>
        <w:rPr>
          <w:rFonts w:ascii="Times New Roman" w:hAnsi="Times New Roman" w:cs="Times New Roman"/>
          <w:b/>
          <w:bCs/>
          <w:sz w:val="32"/>
          <w:szCs w:val="32"/>
          <w:u w:val="single"/>
        </w:rPr>
      </w:pPr>
      <w:r w:rsidRPr="00355C61">
        <w:rPr>
          <w:rFonts w:ascii="Times New Roman" w:hAnsi="Times New Roman" w:cs="Times New Roman"/>
          <w:b/>
          <w:bCs/>
          <w:sz w:val="32"/>
          <w:szCs w:val="32"/>
          <w:u w:val="single"/>
        </w:rPr>
        <w:t xml:space="preserve">Britain and the Great War </w:t>
      </w:r>
      <w:r w:rsidR="00581F13" w:rsidRPr="00355C61">
        <w:rPr>
          <w:rFonts w:ascii="Times New Roman" w:hAnsi="Times New Roman" w:cs="Times New Roman"/>
          <w:b/>
          <w:bCs/>
          <w:sz w:val="32"/>
          <w:szCs w:val="32"/>
          <w:u w:val="single"/>
        </w:rPr>
        <w:t>Portfolio</w:t>
      </w:r>
    </w:p>
    <w:p w14:paraId="33651AF4" w14:textId="4426CB8B" w:rsidR="00E01D51" w:rsidRPr="00355C61" w:rsidRDefault="003E4556" w:rsidP="00355C61">
      <w:pPr>
        <w:jc w:val="center"/>
        <w:rPr>
          <w:rFonts w:ascii="Times New Roman" w:hAnsi="Times New Roman" w:cs="Times New Roman"/>
          <w:b/>
          <w:bCs/>
          <w:sz w:val="32"/>
          <w:szCs w:val="32"/>
          <w:u w:val="single"/>
        </w:rPr>
      </w:pPr>
      <w:r w:rsidRPr="00355C61">
        <w:rPr>
          <w:rFonts w:ascii="Times New Roman" w:hAnsi="Times New Roman" w:cs="Times New Roman"/>
          <w:b/>
          <w:bCs/>
          <w:sz w:val="32"/>
          <w:szCs w:val="32"/>
          <w:u w:val="single"/>
        </w:rPr>
        <w:t xml:space="preserve">Article </w:t>
      </w:r>
      <w:r w:rsidR="00355C61" w:rsidRPr="00355C61">
        <w:rPr>
          <w:rFonts w:ascii="Times New Roman" w:hAnsi="Times New Roman" w:cs="Times New Roman"/>
          <w:b/>
          <w:bCs/>
          <w:sz w:val="32"/>
          <w:szCs w:val="32"/>
          <w:u w:val="single"/>
        </w:rPr>
        <w:t>review:</w:t>
      </w:r>
      <w:r w:rsidR="00355C61">
        <w:rPr>
          <w:rFonts w:ascii="Times New Roman" w:hAnsi="Times New Roman" w:cs="Times New Roman"/>
          <w:b/>
          <w:bCs/>
          <w:sz w:val="32"/>
          <w:szCs w:val="32"/>
          <w:u w:val="single"/>
        </w:rPr>
        <w:t xml:space="preserve"> </w:t>
      </w:r>
      <w:bookmarkStart w:id="0" w:name="_Hlk24754503"/>
      <w:r w:rsidR="00355C61">
        <w:rPr>
          <w:rFonts w:ascii="Times New Roman" w:hAnsi="Times New Roman" w:cs="Times New Roman"/>
          <w:b/>
          <w:bCs/>
          <w:sz w:val="32"/>
          <w:szCs w:val="32"/>
          <w:u w:val="single"/>
        </w:rPr>
        <w:t>‘</w:t>
      </w:r>
      <w:r w:rsidR="00355C61" w:rsidRPr="00355C61">
        <w:rPr>
          <w:rFonts w:ascii="Times New Roman" w:hAnsi="Times New Roman" w:cs="Times New Roman"/>
          <w:b/>
          <w:bCs/>
          <w:i/>
          <w:iCs/>
          <w:sz w:val="32"/>
          <w:szCs w:val="32"/>
          <w:u w:val="single"/>
        </w:rPr>
        <w:t>The ‘Step-by-Step’ Approach: British Military Thought and Operational Method on the Western Front, 1915–191</w:t>
      </w:r>
      <w:r w:rsidR="00355C61" w:rsidRPr="00355C61">
        <w:rPr>
          <w:rFonts w:ascii="Times New Roman" w:hAnsi="Times New Roman" w:cs="Times New Roman"/>
          <w:b/>
          <w:bCs/>
          <w:i/>
          <w:iCs/>
          <w:sz w:val="32"/>
          <w:szCs w:val="32"/>
          <w:u w:val="single"/>
        </w:rPr>
        <w:t>7</w:t>
      </w:r>
      <w:r w:rsidR="00355C61">
        <w:rPr>
          <w:rFonts w:ascii="Times New Roman" w:hAnsi="Times New Roman" w:cs="Times New Roman"/>
          <w:b/>
          <w:bCs/>
          <w:i/>
          <w:iCs/>
          <w:sz w:val="32"/>
          <w:szCs w:val="32"/>
          <w:u w:val="single"/>
        </w:rPr>
        <w:t>’</w:t>
      </w:r>
      <w:r w:rsidR="00355C61">
        <w:rPr>
          <w:rFonts w:ascii="Times New Roman" w:hAnsi="Times New Roman" w:cs="Times New Roman"/>
          <w:b/>
          <w:bCs/>
          <w:sz w:val="32"/>
          <w:szCs w:val="32"/>
          <w:u w:val="single"/>
        </w:rPr>
        <w:t xml:space="preserve"> by Paul Harris and Sanders Marble</w:t>
      </w:r>
      <w:bookmarkEnd w:id="0"/>
      <w:r w:rsidR="00355C61">
        <w:rPr>
          <w:rFonts w:ascii="Times New Roman" w:hAnsi="Times New Roman" w:cs="Times New Roman"/>
          <w:b/>
          <w:bCs/>
          <w:sz w:val="32"/>
          <w:szCs w:val="32"/>
          <w:u w:val="single"/>
        </w:rPr>
        <w:t>.</w:t>
      </w:r>
    </w:p>
    <w:p w14:paraId="5B7DFE06" w14:textId="54A43944" w:rsidR="003E4556" w:rsidRPr="00355C61" w:rsidRDefault="0014409C">
      <w:pPr>
        <w:rPr>
          <w:rFonts w:ascii="Times New Roman" w:hAnsi="Times New Roman" w:cs="Times New Roman"/>
          <w:sz w:val="24"/>
          <w:szCs w:val="24"/>
        </w:rPr>
      </w:pPr>
      <w:r w:rsidRPr="00355C61">
        <w:rPr>
          <w:rFonts w:ascii="Times New Roman" w:hAnsi="Times New Roman" w:cs="Times New Roman"/>
          <w:sz w:val="24"/>
          <w:szCs w:val="24"/>
        </w:rPr>
        <w:t xml:space="preserve">One of the most </w:t>
      </w:r>
      <w:r w:rsidR="00441DE3" w:rsidRPr="00355C61">
        <w:rPr>
          <w:rFonts w:ascii="Times New Roman" w:hAnsi="Times New Roman" w:cs="Times New Roman"/>
          <w:sz w:val="24"/>
          <w:szCs w:val="24"/>
        </w:rPr>
        <w:t>contentious</w:t>
      </w:r>
      <w:r w:rsidRPr="00355C61">
        <w:rPr>
          <w:rFonts w:ascii="Times New Roman" w:hAnsi="Times New Roman" w:cs="Times New Roman"/>
          <w:sz w:val="24"/>
          <w:szCs w:val="24"/>
        </w:rPr>
        <w:t xml:space="preserve"> debates about the First World War</w:t>
      </w:r>
      <w:r w:rsidR="00441DE3" w:rsidRPr="00355C61">
        <w:rPr>
          <w:rFonts w:ascii="Times New Roman" w:hAnsi="Times New Roman" w:cs="Times New Roman"/>
          <w:sz w:val="24"/>
          <w:szCs w:val="24"/>
        </w:rPr>
        <w:t xml:space="preserve"> is the one relating to the issue </w:t>
      </w:r>
      <w:r w:rsidR="00893144" w:rsidRPr="00355C61">
        <w:rPr>
          <w:rFonts w:ascii="Times New Roman" w:hAnsi="Times New Roman" w:cs="Times New Roman"/>
          <w:sz w:val="24"/>
          <w:szCs w:val="24"/>
        </w:rPr>
        <w:t>of British Generals and the</w:t>
      </w:r>
      <w:r w:rsidR="00564E5B" w:rsidRPr="00355C61">
        <w:rPr>
          <w:rFonts w:ascii="Times New Roman" w:hAnsi="Times New Roman" w:cs="Times New Roman"/>
          <w:sz w:val="24"/>
          <w:szCs w:val="24"/>
        </w:rPr>
        <w:t xml:space="preserve"> tactics employed by them on the western front. </w:t>
      </w:r>
      <w:r w:rsidR="0026259A" w:rsidRPr="00355C61">
        <w:rPr>
          <w:rFonts w:ascii="Times New Roman" w:hAnsi="Times New Roman" w:cs="Times New Roman"/>
          <w:sz w:val="24"/>
          <w:szCs w:val="24"/>
        </w:rPr>
        <w:t xml:space="preserve">In particular, </w:t>
      </w:r>
      <w:r w:rsidR="009A4CDA" w:rsidRPr="00355C61">
        <w:rPr>
          <w:rFonts w:ascii="Times New Roman" w:hAnsi="Times New Roman" w:cs="Times New Roman"/>
          <w:sz w:val="24"/>
          <w:szCs w:val="24"/>
        </w:rPr>
        <w:t>the view</w:t>
      </w:r>
      <w:r w:rsidR="005301C0" w:rsidRPr="00355C61">
        <w:rPr>
          <w:rFonts w:ascii="Times New Roman" w:hAnsi="Times New Roman" w:cs="Times New Roman"/>
          <w:sz w:val="24"/>
          <w:szCs w:val="24"/>
        </w:rPr>
        <w:t xml:space="preserve"> that British Generals like Haig were incompetent or unwilling to adapt their strategies to combat the realities of the war</w:t>
      </w:r>
      <w:r w:rsidR="009A4CDA" w:rsidRPr="00355C61">
        <w:rPr>
          <w:rFonts w:ascii="Times New Roman" w:hAnsi="Times New Roman" w:cs="Times New Roman"/>
          <w:sz w:val="24"/>
          <w:szCs w:val="24"/>
        </w:rPr>
        <w:t>. Yet Paul Harris and Sanders Marble argue differently, stating in the article “The ‘Step-by-Step’ Approach: British Military Thought and Operational Method on the Western Front, 1915–1917</w:t>
      </w:r>
      <w:r w:rsidR="00271D7A">
        <w:rPr>
          <w:rStyle w:val="FootnoteReference"/>
          <w:rFonts w:ascii="Times New Roman" w:hAnsi="Times New Roman" w:cs="Times New Roman"/>
          <w:sz w:val="24"/>
          <w:szCs w:val="24"/>
        </w:rPr>
        <w:footnoteReference w:id="1"/>
      </w:r>
      <w:r w:rsidR="009A4CDA" w:rsidRPr="00355C61">
        <w:rPr>
          <w:rFonts w:ascii="Times New Roman" w:hAnsi="Times New Roman" w:cs="Times New Roman"/>
          <w:sz w:val="24"/>
          <w:szCs w:val="24"/>
        </w:rPr>
        <w:t xml:space="preserve">“, that the BEF and the Generals were in fact anything but that of stagnation and rejection. Rather they aimed to do the what they could when they could, adopting technology and tactics either slowly or in naivety, but never in </w:t>
      </w:r>
      <w:r w:rsidR="00CB516E">
        <w:rPr>
          <w:rFonts w:ascii="Times New Roman" w:hAnsi="Times New Roman" w:cs="Times New Roman"/>
          <w:sz w:val="24"/>
          <w:szCs w:val="24"/>
        </w:rPr>
        <w:t>a way that could be interpreted as foolish.</w:t>
      </w:r>
    </w:p>
    <w:p w14:paraId="64442E27" w14:textId="234F70EC" w:rsidR="006154FF" w:rsidRPr="00355C61" w:rsidRDefault="009A4CDA">
      <w:pPr>
        <w:rPr>
          <w:rFonts w:ascii="Times New Roman" w:hAnsi="Times New Roman" w:cs="Times New Roman"/>
          <w:sz w:val="24"/>
          <w:szCs w:val="24"/>
        </w:rPr>
      </w:pPr>
      <w:r w:rsidRPr="00355C61">
        <w:rPr>
          <w:rFonts w:ascii="Times New Roman" w:hAnsi="Times New Roman" w:cs="Times New Roman"/>
          <w:sz w:val="24"/>
          <w:szCs w:val="24"/>
        </w:rPr>
        <w:t xml:space="preserve">The </w:t>
      </w:r>
      <w:r w:rsidR="00CE64C9" w:rsidRPr="00355C61">
        <w:rPr>
          <w:rFonts w:ascii="Times New Roman" w:hAnsi="Times New Roman" w:cs="Times New Roman"/>
          <w:sz w:val="24"/>
          <w:szCs w:val="24"/>
        </w:rPr>
        <w:t xml:space="preserve">first aspect of the article to consider is its </w:t>
      </w:r>
      <w:r w:rsidR="008366DE" w:rsidRPr="00355C61">
        <w:rPr>
          <w:rFonts w:ascii="Times New Roman" w:hAnsi="Times New Roman" w:cs="Times New Roman"/>
          <w:sz w:val="24"/>
          <w:szCs w:val="24"/>
        </w:rPr>
        <w:t>provenance</w:t>
      </w:r>
      <w:r w:rsidR="00CE64C9" w:rsidRPr="00355C61">
        <w:rPr>
          <w:rFonts w:ascii="Times New Roman" w:hAnsi="Times New Roman" w:cs="Times New Roman"/>
          <w:sz w:val="24"/>
          <w:szCs w:val="24"/>
        </w:rPr>
        <w:t>. The article itself is taken from “War in History” published in the fifteenth volume in 2008</w:t>
      </w:r>
      <w:r w:rsidR="007629B2">
        <w:rPr>
          <w:rStyle w:val="FootnoteReference"/>
          <w:rFonts w:ascii="Times New Roman" w:hAnsi="Times New Roman" w:cs="Times New Roman"/>
          <w:sz w:val="24"/>
          <w:szCs w:val="24"/>
        </w:rPr>
        <w:footnoteReference w:id="2"/>
      </w:r>
      <w:r w:rsidR="00D86264" w:rsidRPr="00355C61">
        <w:rPr>
          <w:rFonts w:ascii="Times New Roman" w:hAnsi="Times New Roman" w:cs="Times New Roman"/>
          <w:sz w:val="24"/>
          <w:szCs w:val="24"/>
        </w:rPr>
        <w:t xml:space="preserve">. </w:t>
      </w:r>
      <w:r w:rsidR="00534B54" w:rsidRPr="00355C61">
        <w:rPr>
          <w:rFonts w:ascii="Times New Roman" w:hAnsi="Times New Roman" w:cs="Times New Roman"/>
          <w:sz w:val="24"/>
          <w:szCs w:val="24"/>
        </w:rPr>
        <w:t>The authors of this article are Paul Harris and Sanders Marble</w:t>
      </w:r>
      <w:r w:rsidR="00534B54">
        <w:rPr>
          <w:rFonts w:ascii="Times New Roman" w:hAnsi="Times New Roman" w:cs="Times New Roman"/>
          <w:sz w:val="24"/>
          <w:szCs w:val="24"/>
        </w:rPr>
        <w:t>, both of whom are accredited published historians</w:t>
      </w:r>
      <w:r w:rsidR="00534B54">
        <w:rPr>
          <w:rFonts w:ascii="Times New Roman" w:hAnsi="Times New Roman" w:cs="Times New Roman"/>
          <w:sz w:val="24"/>
          <w:szCs w:val="24"/>
        </w:rPr>
        <w:t xml:space="preserve">, with Marble being </w:t>
      </w:r>
      <w:r w:rsidR="00534B54" w:rsidRPr="00534B54">
        <w:rPr>
          <w:rFonts w:ascii="Times New Roman" w:hAnsi="Times New Roman" w:cs="Times New Roman"/>
          <w:sz w:val="24"/>
          <w:szCs w:val="24"/>
        </w:rPr>
        <w:t>senior historian of the United States Army’s Office of Medical History</w:t>
      </w:r>
      <w:r w:rsidR="00534B54">
        <w:rPr>
          <w:rFonts w:ascii="Times New Roman" w:hAnsi="Times New Roman" w:cs="Times New Roman"/>
          <w:sz w:val="24"/>
          <w:szCs w:val="24"/>
        </w:rPr>
        <w:t xml:space="preserve">. </w:t>
      </w:r>
      <w:r w:rsidR="00D86264" w:rsidRPr="00355C61">
        <w:rPr>
          <w:rFonts w:ascii="Times New Roman" w:hAnsi="Times New Roman" w:cs="Times New Roman"/>
          <w:sz w:val="24"/>
          <w:szCs w:val="24"/>
        </w:rPr>
        <w:t xml:space="preserve">The publication date is one that is of significant interest as it highlights </w:t>
      </w:r>
      <w:r w:rsidR="00CB516E">
        <w:rPr>
          <w:rFonts w:ascii="Times New Roman" w:hAnsi="Times New Roman" w:cs="Times New Roman"/>
          <w:sz w:val="24"/>
          <w:szCs w:val="24"/>
        </w:rPr>
        <w:t>the</w:t>
      </w:r>
      <w:r w:rsidR="00D86264" w:rsidRPr="00355C61">
        <w:rPr>
          <w:rFonts w:ascii="Times New Roman" w:hAnsi="Times New Roman" w:cs="Times New Roman"/>
          <w:sz w:val="24"/>
          <w:szCs w:val="24"/>
        </w:rPr>
        <w:t xml:space="preserve"> </w:t>
      </w:r>
      <w:r w:rsidR="00CB516E" w:rsidRPr="00355C61">
        <w:rPr>
          <w:rFonts w:ascii="Times New Roman" w:hAnsi="Times New Roman" w:cs="Times New Roman"/>
          <w:sz w:val="24"/>
          <w:szCs w:val="24"/>
        </w:rPr>
        <w:t>long-standing</w:t>
      </w:r>
      <w:r w:rsidR="00D86264" w:rsidRPr="00355C61">
        <w:rPr>
          <w:rFonts w:ascii="Times New Roman" w:hAnsi="Times New Roman" w:cs="Times New Roman"/>
          <w:sz w:val="24"/>
          <w:szCs w:val="24"/>
        </w:rPr>
        <w:t xml:space="preserve"> </w:t>
      </w:r>
      <w:r w:rsidR="00CB516E">
        <w:rPr>
          <w:rFonts w:ascii="Times New Roman" w:hAnsi="Times New Roman" w:cs="Times New Roman"/>
          <w:sz w:val="24"/>
          <w:szCs w:val="24"/>
        </w:rPr>
        <w:t xml:space="preserve">academic </w:t>
      </w:r>
      <w:r w:rsidR="00D86264" w:rsidRPr="00355C61">
        <w:rPr>
          <w:rFonts w:ascii="Times New Roman" w:hAnsi="Times New Roman" w:cs="Times New Roman"/>
          <w:sz w:val="24"/>
          <w:szCs w:val="24"/>
        </w:rPr>
        <w:t xml:space="preserve">debate on the nature of the Generals </w:t>
      </w:r>
      <w:r w:rsidR="00CB516E">
        <w:rPr>
          <w:rFonts w:ascii="Times New Roman" w:hAnsi="Times New Roman" w:cs="Times New Roman"/>
          <w:sz w:val="24"/>
          <w:szCs w:val="24"/>
        </w:rPr>
        <w:t>of the Great War</w:t>
      </w:r>
      <w:r w:rsidR="007629B2">
        <w:rPr>
          <w:rFonts w:ascii="Times New Roman" w:hAnsi="Times New Roman" w:cs="Times New Roman"/>
          <w:sz w:val="24"/>
          <w:szCs w:val="24"/>
        </w:rPr>
        <w:t>, as well as the continued interest in dissecting the decisions of Haig.</w:t>
      </w:r>
      <w:r w:rsidR="00434997">
        <w:rPr>
          <w:rFonts w:ascii="Times New Roman" w:hAnsi="Times New Roman" w:cs="Times New Roman"/>
          <w:sz w:val="24"/>
          <w:szCs w:val="24"/>
        </w:rPr>
        <w:t xml:space="preserve"> </w:t>
      </w:r>
      <w:r w:rsidR="007629B2">
        <w:rPr>
          <w:rFonts w:ascii="Times New Roman" w:hAnsi="Times New Roman" w:cs="Times New Roman"/>
          <w:sz w:val="24"/>
          <w:szCs w:val="24"/>
        </w:rPr>
        <w:t xml:space="preserve"> </w:t>
      </w:r>
      <w:r w:rsidR="00D86264" w:rsidRPr="00355C61">
        <w:rPr>
          <w:rFonts w:ascii="Times New Roman" w:hAnsi="Times New Roman" w:cs="Times New Roman"/>
          <w:sz w:val="24"/>
          <w:szCs w:val="24"/>
        </w:rPr>
        <w:t xml:space="preserve">Furthermore, </w:t>
      </w:r>
      <w:r w:rsidR="006154FF" w:rsidRPr="00355C61">
        <w:rPr>
          <w:rFonts w:ascii="Times New Roman" w:hAnsi="Times New Roman" w:cs="Times New Roman"/>
          <w:sz w:val="24"/>
          <w:szCs w:val="24"/>
        </w:rPr>
        <w:t xml:space="preserve">the date of publication also demonstrates the shifting </w:t>
      </w:r>
      <w:r w:rsidR="007629B2">
        <w:rPr>
          <w:rFonts w:ascii="Times New Roman" w:hAnsi="Times New Roman" w:cs="Times New Roman"/>
          <w:sz w:val="24"/>
          <w:szCs w:val="24"/>
        </w:rPr>
        <w:t>stance of historians on</w:t>
      </w:r>
      <w:r w:rsidR="006154FF" w:rsidRPr="00355C61">
        <w:rPr>
          <w:rFonts w:ascii="Times New Roman" w:hAnsi="Times New Roman" w:cs="Times New Roman"/>
          <w:sz w:val="24"/>
          <w:szCs w:val="24"/>
        </w:rPr>
        <w:t xml:space="preserve"> </w:t>
      </w:r>
      <w:r w:rsidR="00CB516E">
        <w:rPr>
          <w:rFonts w:ascii="Times New Roman" w:hAnsi="Times New Roman" w:cs="Times New Roman"/>
          <w:sz w:val="24"/>
          <w:szCs w:val="24"/>
        </w:rPr>
        <w:t xml:space="preserve">the </w:t>
      </w:r>
      <w:r w:rsidR="007629B2">
        <w:rPr>
          <w:rFonts w:ascii="Times New Roman" w:hAnsi="Times New Roman" w:cs="Times New Roman"/>
          <w:sz w:val="24"/>
          <w:szCs w:val="24"/>
        </w:rPr>
        <w:t xml:space="preserve">historical judgement </w:t>
      </w:r>
      <w:r w:rsidR="00CB516E">
        <w:rPr>
          <w:rFonts w:ascii="Times New Roman" w:hAnsi="Times New Roman" w:cs="Times New Roman"/>
          <w:sz w:val="24"/>
          <w:szCs w:val="24"/>
        </w:rPr>
        <w:t xml:space="preserve">of the generals. </w:t>
      </w:r>
      <w:r w:rsidR="007629B2">
        <w:rPr>
          <w:rFonts w:ascii="Times New Roman" w:hAnsi="Times New Roman" w:cs="Times New Roman"/>
          <w:sz w:val="24"/>
          <w:szCs w:val="24"/>
        </w:rPr>
        <w:t>This particular topic has been greatly contested since arguably the war ended</w:t>
      </w:r>
      <w:r w:rsidR="00C20D4F">
        <w:rPr>
          <w:rStyle w:val="FootnoteReference"/>
          <w:rFonts w:ascii="Times New Roman" w:hAnsi="Times New Roman" w:cs="Times New Roman"/>
          <w:sz w:val="24"/>
          <w:szCs w:val="24"/>
        </w:rPr>
        <w:footnoteReference w:id="3"/>
      </w:r>
      <w:r w:rsidR="007629B2">
        <w:rPr>
          <w:rFonts w:ascii="Times New Roman" w:hAnsi="Times New Roman" w:cs="Times New Roman"/>
          <w:sz w:val="24"/>
          <w:szCs w:val="24"/>
        </w:rPr>
        <w:t>, with some historians such as John Keegan arguing that Haig was less tha</w:t>
      </w:r>
      <w:r w:rsidR="00A035E0">
        <w:rPr>
          <w:rFonts w:ascii="Times New Roman" w:hAnsi="Times New Roman" w:cs="Times New Roman"/>
          <w:sz w:val="24"/>
          <w:szCs w:val="24"/>
        </w:rPr>
        <w:t>n</w:t>
      </w:r>
      <w:r w:rsidR="007629B2">
        <w:rPr>
          <w:rFonts w:ascii="Times New Roman" w:hAnsi="Times New Roman" w:cs="Times New Roman"/>
          <w:sz w:val="24"/>
          <w:szCs w:val="24"/>
        </w:rPr>
        <w:t xml:space="preserve"> competent at times</w:t>
      </w:r>
      <w:r w:rsidR="007629B2">
        <w:rPr>
          <w:rStyle w:val="FootnoteReference"/>
          <w:rFonts w:ascii="Times New Roman" w:hAnsi="Times New Roman" w:cs="Times New Roman"/>
          <w:sz w:val="24"/>
          <w:szCs w:val="24"/>
        </w:rPr>
        <w:footnoteReference w:id="4"/>
      </w:r>
      <w:r w:rsidR="007629B2">
        <w:rPr>
          <w:rFonts w:ascii="Times New Roman" w:hAnsi="Times New Roman" w:cs="Times New Roman"/>
          <w:sz w:val="24"/>
          <w:szCs w:val="24"/>
        </w:rPr>
        <w:t xml:space="preserve">, while others such as Spencer C. Tucker put forward that Haig attempted to do the best he could </w:t>
      </w:r>
      <w:r w:rsidR="00A035E0">
        <w:rPr>
          <w:rFonts w:ascii="Times New Roman" w:hAnsi="Times New Roman" w:cs="Times New Roman"/>
          <w:sz w:val="24"/>
          <w:szCs w:val="24"/>
        </w:rPr>
        <w:t xml:space="preserve">in the </w:t>
      </w:r>
      <w:r w:rsidR="007629B2">
        <w:rPr>
          <w:rFonts w:ascii="Times New Roman" w:hAnsi="Times New Roman" w:cs="Times New Roman"/>
          <w:sz w:val="24"/>
          <w:szCs w:val="24"/>
        </w:rPr>
        <w:t xml:space="preserve">face of </w:t>
      </w:r>
      <w:r w:rsidR="00A035E0">
        <w:rPr>
          <w:rFonts w:ascii="Times New Roman" w:hAnsi="Times New Roman" w:cs="Times New Roman"/>
          <w:sz w:val="24"/>
          <w:szCs w:val="24"/>
        </w:rPr>
        <w:t>challenges</w:t>
      </w:r>
      <w:r w:rsidR="007629B2">
        <w:rPr>
          <w:rStyle w:val="FootnoteReference"/>
          <w:rFonts w:ascii="Times New Roman" w:hAnsi="Times New Roman" w:cs="Times New Roman"/>
          <w:sz w:val="24"/>
          <w:szCs w:val="24"/>
        </w:rPr>
        <w:footnoteReference w:id="5"/>
      </w:r>
      <w:r w:rsidR="007629B2">
        <w:rPr>
          <w:rFonts w:ascii="Times New Roman" w:hAnsi="Times New Roman" w:cs="Times New Roman"/>
          <w:sz w:val="24"/>
          <w:szCs w:val="24"/>
        </w:rPr>
        <w:t xml:space="preserve">. </w:t>
      </w:r>
      <w:r w:rsidR="00C20D4F">
        <w:rPr>
          <w:rFonts w:ascii="Times New Roman" w:hAnsi="Times New Roman" w:cs="Times New Roman"/>
          <w:sz w:val="24"/>
          <w:szCs w:val="24"/>
        </w:rPr>
        <w:t xml:space="preserve">In the case of Harris and Marble, their view of Haig is </w:t>
      </w:r>
      <w:r w:rsidR="00A035E0">
        <w:rPr>
          <w:rFonts w:ascii="Times New Roman" w:hAnsi="Times New Roman" w:cs="Times New Roman"/>
          <w:sz w:val="24"/>
          <w:szCs w:val="24"/>
        </w:rPr>
        <w:t xml:space="preserve">one that is more positive, </w:t>
      </w:r>
      <w:r w:rsidR="00780B5D">
        <w:rPr>
          <w:rFonts w:ascii="Times New Roman" w:hAnsi="Times New Roman" w:cs="Times New Roman"/>
          <w:sz w:val="24"/>
          <w:szCs w:val="24"/>
        </w:rPr>
        <w:t>insisting he was not a butcher but rather a man adapting to a different style of warfare, saying that he “did as well as could be expected in the circumstances</w:t>
      </w:r>
      <w:r w:rsidR="00780B5D">
        <w:rPr>
          <w:rStyle w:val="FootnoteReference"/>
          <w:rFonts w:ascii="Times New Roman" w:hAnsi="Times New Roman" w:cs="Times New Roman"/>
          <w:sz w:val="24"/>
          <w:szCs w:val="24"/>
        </w:rPr>
        <w:footnoteReference w:id="6"/>
      </w:r>
      <w:r w:rsidR="00780B5D">
        <w:rPr>
          <w:rFonts w:ascii="Times New Roman" w:hAnsi="Times New Roman" w:cs="Times New Roman"/>
          <w:sz w:val="24"/>
          <w:szCs w:val="24"/>
        </w:rPr>
        <w:t>”</w:t>
      </w:r>
      <w:r w:rsidR="00196F13">
        <w:rPr>
          <w:rFonts w:ascii="Times New Roman" w:hAnsi="Times New Roman" w:cs="Times New Roman"/>
          <w:sz w:val="24"/>
          <w:szCs w:val="24"/>
        </w:rPr>
        <w:t xml:space="preserve">. </w:t>
      </w:r>
    </w:p>
    <w:p w14:paraId="5C9E4AFD" w14:textId="3575E861" w:rsidR="00CB516E" w:rsidRDefault="006154FF" w:rsidP="00CB516E">
      <w:pPr>
        <w:rPr>
          <w:rFonts w:ascii="Times New Roman" w:hAnsi="Times New Roman" w:cs="Times New Roman"/>
          <w:sz w:val="24"/>
          <w:szCs w:val="24"/>
        </w:rPr>
      </w:pPr>
      <w:r w:rsidRPr="00355C61">
        <w:rPr>
          <w:rFonts w:ascii="Times New Roman" w:hAnsi="Times New Roman" w:cs="Times New Roman"/>
          <w:sz w:val="24"/>
          <w:szCs w:val="24"/>
        </w:rPr>
        <w:t xml:space="preserve">Academically, this article represents </w:t>
      </w:r>
      <w:r w:rsidR="00CB516E">
        <w:rPr>
          <w:rFonts w:ascii="Times New Roman" w:hAnsi="Times New Roman" w:cs="Times New Roman"/>
          <w:sz w:val="24"/>
          <w:szCs w:val="24"/>
        </w:rPr>
        <w:t>a</w:t>
      </w:r>
      <w:r w:rsidR="00CB516E" w:rsidRPr="00CB516E">
        <w:rPr>
          <w:rFonts w:ascii="Times New Roman" w:hAnsi="Times New Roman" w:cs="Times New Roman"/>
          <w:sz w:val="24"/>
          <w:szCs w:val="24"/>
        </w:rPr>
        <w:t xml:space="preserve"> </w:t>
      </w:r>
      <w:r w:rsidR="00A035E0">
        <w:rPr>
          <w:rFonts w:ascii="Times New Roman" w:hAnsi="Times New Roman" w:cs="Times New Roman"/>
          <w:sz w:val="24"/>
          <w:szCs w:val="24"/>
        </w:rPr>
        <w:t xml:space="preserve">very useful and insightful piece into the </w:t>
      </w:r>
      <w:r w:rsidR="00780B5D">
        <w:rPr>
          <w:rFonts w:ascii="Times New Roman" w:hAnsi="Times New Roman" w:cs="Times New Roman"/>
          <w:sz w:val="24"/>
          <w:szCs w:val="24"/>
        </w:rPr>
        <w:t xml:space="preserve">multiple aspects of the </w:t>
      </w:r>
      <w:r w:rsidR="00A035E0">
        <w:rPr>
          <w:rFonts w:ascii="Times New Roman" w:hAnsi="Times New Roman" w:cs="Times New Roman"/>
          <w:sz w:val="24"/>
          <w:szCs w:val="24"/>
        </w:rPr>
        <w:t xml:space="preserve">British military between 1915 and 1917. Rather, the article </w:t>
      </w:r>
      <w:r w:rsidR="00780B5D">
        <w:rPr>
          <w:rFonts w:ascii="Times New Roman" w:hAnsi="Times New Roman" w:cs="Times New Roman"/>
          <w:sz w:val="24"/>
          <w:szCs w:val="24"/>
        </w:rPr>
        <w:t xml:space="preserve">analysis </w:t>
      </w:r>
      <w:r w:rsidR="00196F13">
        <w:rPr>
          <w:rFonts w:ascii="Times New Roman" w:hAnsi="Times New Roman" w:cs="Times New Roman"/>
          <w:sz w:val="24"/>
          <w:szCs w:val="24"/>
        </w:rPr>
        <w:t xml:space="preserve">specifically </w:t>
      </w:r>
      <w:r w:rsidR="00780B5D">
        <w:rPr>
          <w:rFonts w:ascii="Times New Roman" w:hAnsi="Times New Roman" w:cs="Times New Roman"/>
          <w:sz w:val="24"/>
          <w:szCs w:val="24"/>
        </w:rPr>
        <w:t xml:space="preserve">the unjust </w:t>
      </w:r>
      <w:r w:rsidR="00196F13">
        <w:rPr>
          <w:rFonts w:ascii="Times New Roman" w:hAnsi="Times New Roman" w:cs="Times New Roman"/>
          <w:sz w:val="24"/>
          <w:szCs w:val="24"/>
        </w:rPr>
        <w:t>reputation</w:t>
      </w:r>
      <w:r w:rsidR="00780B5D">
        <w:rPr>
          <w:rFonts w:ascii="Times New Roman" w:hAnsi="Times New Roman" w:cs="Times New Roman"/>
          <w:sz w:val="24"/>
          <w:szCs w:val="24"/>
        </w:rPr>
        <w:t xml:space="preserve"> of General Haig, the rise to prominence of new infantry tactics, and the various key battles the BEF were involved in in this time.</w:t>
      </w:r>
      <w:r w:rsidR="00FC48C4">
        <w:rPr>
          <w:rFonts w:ascii="Times New Roman" w:hAnsi="Times New Roman" w:cs="Times New Roman"/>
          <w:sz w:val="24"/>
          <w:szCs w:val="24"/>
        </w:rPr>
        <w:t xml:space="preserve"> </w:t>
      </w:r>
      <w:r w:rsidR="00780B5D">
        <w:rPr>
          <w:rFonts w:ascii="Times New Roman" w:hAnsi="Times New Roman" w:cs="Times New Roman"/>
          <w:sz w:val="24"/>
          <w:szCs w:val="24"/>
        </w:rPr>
        <w:t>T</w:t>
      </w:r>
      <w:r w:rsidR="00196F13">
        <w:rPr>
          <w:rFonts w:ascii="Times New Roman" w:hAnsi="Times New Roman" w:cs="Times New Roman"/>
          <w:sz w:val="24"/>
          <w:szCs w:val="24"/>
        </w:rPr>
        <w:t>he article is strengthened by its direct quotation of various primary sources, such GHQ memorandums</w:t>
      </w:r>
      <w:r w:rsidR="00196F13">
        <w:rPr>
          <w:rStyle w:val="FootnoteReference"/>
          <w:rFonts w:ascii="Times New Roman" w:hAnsi="Times New Roman" w:cs="Times New Roman"/>
          <w:sz w:val="24"/>
          <w:szCs w:val="24"/>
        </w:rPr>
        <w:footnoteReference w:id="7"/>
      </w:r>
      <w:r w:rsidR="00196F13">
        <w:rPr>
          <w:rFonts w:ascii="Times New Roman" w:hAnsi="Times New Roman" w:cs="Times New Roman"/>
          <w:sz w:val="24"/>
          <w:szCs w:val="24"/>
        </w:rPr>
        <w:t xml:space="preserve">. Through the use of </w:t>
      </w:r>
      <w:r w:rsidR="00196F13">
        <w:rPr>
          <w:rFonts w:ascii="Times New Roman" w:hAnsi="Times New Roman" w:cs="Times New Roman"/>
          <w:sz w:val="24"/>
          <w:szCs w:val="24"/>
        </w:rPr>
        <w:lastRenderedPageBreak/>
        <w:t xml:space="preserve">these sources, the authors are able to more accurately interpret the thinking and internal debates that were happening </w:t>
      </w:r>
      <w:r w:rsidR="00534B54">
        <w:rPr>
          <w:rFonts w:ascii="Times New Roman" w:hAnsi="Times New Roman" w:cs="Times New Roman"/>
          <w:sz w:val="24"/>
          <w:szCs w:val="24"/>
        </w:rPr>
        <w:t xml:space="preserve">in the British command during the war. As mentioned, the </w:t>
      </w:r>
      <w:r w:rsidR="00FC48C4">
        <w:rPr>
          <w:rFonts w:ascii="Times New Roman" w:hAnsi="Times New Roman" w:cs="Times New Roman"/>
          <w:sz w:val="24"/>
          <w:szCs w:val="24"/>
        </w:rPr>
        <w:t>primary function of the article is discussing how the tactic of “step by step" eventually appeared as official strategy in 1917. One of the key arguments of the authors is that the strategy of “Step by Step” was known by GHQ as early as February 1915</w:t>
      </w:r>
      <w:r w:rsidR="00FC48C4">
        <w:rPr>
          <w:rStyle w:val="FootnoteReference"/>
          <w:rFonts w:ascii="Times New Roman" w:hAnsi="Times New Roman" w:cs="Times New Roman"/>
          <w:sz w:val="24"/>
          <w:szCs w:val="24"/>
        </w:rPr>
        <w:footnoteReference w:id="8"/>
      </w:r>
      <w:r w:rsidR="00FC48C4">
        <w:rPr>
          <w:rFonts w:ascii="Times New Roman" w:hAnsi="Times New Roman" w:cs="Times New Roman"/>
          <w:sz w:val="24"/>
          <w:szCs w:val="24"/>
        </w:rPr>
        <w:t>, and it was not adopted, not due to backwards thinking, but rather a wider tactical consideration by Haig and other advisors. For example, the authors examine another historians that Haig was a “slave of pre-war military ideas</w:t>
      </w:r>
      <w:r w:rsidR="00007858">
        <w:rPr>
          <w:rStyle w:val="FootnoteReference"/>
          <w:rFonts w:ascii="Times New Roman" w:hAnsi="Times New Roman" w:cs="Times New Roman"/>
          <w:sz w:val="24"/>
          <w:szCs w:val="24"/>
        </w:rPr>
        <w:footnoteReference w:id="9"/>
      </w:r>
      <w:r w:rsidR="00FC48C4">
        <w:rPr>
          <w:rFonts w:ascii="Times New Roman" w:hAnsi="Times New Roman" w:cs="Times New Roman"/>
          <w:sz w:val="24"/>
          <w:szCs w:val="24"/>
        </w:rPr>
        <w:t>”</w:t>
      </w:r>
      <w:r w:rsidR="00007858">
        <w:rPr>
          <w:rFonts w:ascii="Times New Roman" w:hAnsi="Times New Roman" w:cs="Times New Roman"/>
          <w:sz w:val="24"/>
          <w:szCs w:val="24"/>
        </w:rPr>
        <w:t xml:space="preserve">, a view they point out was not </w:t>
      </w:r>
      <w:r w:rsidR="00F604F8">
        <w:rPr>
          <w:rFonts w:ascii="Times New Roman" w:hAnsi="Times New Roman" w:cs="Times New Roman"/>
          <w:sz w:val="24"/>
          <w:szCs w:val="24"/>
        </w:rPr>
        <w:t>directly</w:t>
      </w:r>
      <w:r w:rsidR="00007858">
        <w:rPr>
          <w:rFonts w:ascii="Times New Roman" w:hAnsi="Times New Roman" w:cs="Times New Roman"/>
          <w:sz w:val="24"/>
          <w:szCs w:val="24"/>
        </w:rPr>
        <w:t xml:space="preserve"> true or the reality, as Haig’s advisors often possessed with a </w:t>
      </w:r>
      <w:r w:rsidR="00007858">
        <w:rPr>
          <w:rStyle w:val="FootnoteReference"/>
          <w:rFonts w:ascii="Times New Roman" w:hAnsi="Times New Roman" w:cs="Times New Roman"/>
          <w:sz w:val="24"/>
          <w:szCs w:val="24"/>
        </w:rPr>
        <w:footnoteReference w:id="10"/>
      </w:r>
      <w:r w:rsidR="00007858">
        <w:rPr>
          <w:rFonts w:ascii="Times New Roman" w:hAnsi="Times New Roman" w:cs="Times New Roman"/>
          <w:sz w:val="24"/>
          <w:szCs w:val="24"/>
        </w:rPr>
        <w:t xml:space="preserve"> “reluctance to confront Haig” in regards to other military strategies or tactics. Moreover, the authors go on to argue that internal strife and discord at GHQ often impacted the ability to discuss or mediate on issues, describing how people were “not verbally articulate</w:t>
      </w:r>
      <w:r w:rsidR="00007858">
        <w:rPr>
          <w:rStyle w:val="FootnoteReference"/>
          <w:rFonts w:ascii="Times New Roman" w:hAnsi="Times New Roman" w:cs="Times New Roman"/>
          <w:sz w:val="24"/>
          <w:szCs w:val="24"/>
        </w:rPr>
        <w:footnoteReference w:id="11"/>
      </w:r>
      <w:r w:rsidR="00007858">
        <w:rPr>
          <w:rFonts w:ascii="Times New Roman" w:hAnsi="Times New Roman" w:cs="Times New Roman"/>
          <w:sz w:val="24"/>
          <w:szCs w:val="24"/>
        </w:rPr>
        <w:t xml:space="preserve">” in this matter. </w:t>
      </w:r>
      <w:r w:rsidR="00904670">
        <w:rPr>
          <w:rFonts w:ascii="Times New Roman" w:hAnsi="Times New Roman" w:cs="Times New Roman"/>
          <w:sz w:val="24"/>
          <w:szCs w:val="24"/>
        </w:rPr>
        <w:t xml:space="preserve">In </w:t>
      </w:r>
      <w:r w:rsidR="00F604F8">
        <w:rPr>
          <w:rFonts w:ascii="Times New Roman" w:hAnsi="Times New Roman" w:cs="Times New Roman"/>
          <w:sz w:val="24"/>
          <w:szCs w:val="24"/>
        </w:rPr>
        <w:t>addition,</w:t>
      </w:r>
      <w:r w:rsidR="00904670">
        <w:rPr>
          <w:rFonts w:ascii="Times New Roman" w:hAnsi="Times New Roman" w:cs="Times New Roman"/>
          <w:sz w:val="24"/>
          <w:szCs w:val="24"/>
        </w:rPr>
        <w:t xml:space="preserve"> however, the authors also consider the opposing views about Haig, which further adds to the academic useful of the article.</w:t>
      </w:r>
    </w:p>
    <w:p w14:paraId="2A311113" w14:textId="20064D2B" w:rsidR="00904670" w:rsidRDefault="00904670" w:rsidP="00CB516E">
      <w:pPr>
        <w:rPr>
          <w:rFonts w:ascii="Times New Roman" w:hAnsi="Times New Roman" w:cs="Times New Roman"/>
          <w:sz w:val="24"/>
          <w:szCs w:val="24"/>
        </w:rPr>
      </w:pPr>
      <w:r>
        <w:rPr>
          <w:rFonts w:ascii="Times New Roman" w:hAnsi="Times New Roman" w:cs="Times New Roman"/>
          <w:sz w:val="24"/>
          <w:szCs w:val="24"/>
        </w:rPr>
        <w:t xml:space="preserve">Personally, I would argue that Harris and Marbles’ article is useful for understanding relationship between </w:t>
      </w:r>
      <w:r w:rsidR="00F604F8">
        <w:rPr>
          <w:rFonts w:ascii="Times New Roman" w:hAnsi="Times New Roman" w:cs="Times New Roman"/>
          <w:sz w:val="24"/>
          <w:szCs w:val="24"/>
        </w:rPr>
        <w:t>the various important figures in the British command structure and how these relationships impacted the implementation of different strategy and tactics. Yet, as an insight into Haig, the article does struggle to keep a consistent view of him, moving between the view of him as a man attempting to do this best despite the circumstances, and a man who’s preconceptions of military thinking clouded his judgement and adoption of new ideas. It is this inconsistency that does impact the articles usefulness, and it is most evident in the tone the authors take regarding this area. The line in penultimate paragraph “</w:t>
      </w:r>
      <w:r w:rsidR="00F604F8" w:rsidRPr="00F604F8">
        <w:rPr>
          <w:rFonts w:ascii="Times New Roman" w:hAnsi="Times New Roman" w:cs="Times New Roman"/>
          <w:sz w:val="24"/>
          <w:szCs w:val="24"/>
        </w:rPr>
        <w:t>pre-war military education proving an insuperable obstacl</w:t>
      </w:r>
      <w:r w:rsidR="00F604F8">
        <w:rPr>
          <w:rFonts w:ascii="Times New Roman" w:hAnsi="Times New Roman" w:cs="Times New Roman"/>
          <w:sz w:val="24"/>
          <w:szCs w:val="24"/>
        </w:rPr>
        <w:t>e</w:t>
      </w:r>
      <w:r w:rsidR="00F604F8">
        <w:rPr>
          <w:rStyle w:val="FootnoteReference"/>
          <w:rFonts w:ascii="Times New Roman" w:hAnsi="Times New Roman" w:cs="Times New Roman"/>
          <w:sz w:val="24"/>
          <w:szCs w:val="24"/>
        </w:rPr>
        <w:footnoteReference w:id="12"/>
      </w:r>
      <w:r w:rsidR="00F604F8">
        <w:rPr>
          <w:rFonts w:ascii="Times New Roman" w:hAnsi="Times New Roman" w:cs="Times New Roman"/>
          <w:sz w:val="24"/>
          <w:szCs w:val="24"/>
        </w:rPr>
        <w:t xml:space="preserve">” gives the impression that the authors have used the great power of hindsight to pass judgement on Haig for failing to see what to them is clearly obvious and need. </w:t>
      </w:r>
    </w:p>
    <w:p w14:paraId="21BDDBFA" w14:textId="0C187519" w:rsidR="009A4CDA" w:rsidRPr="00355C61" w:rsidRDefault="00F604F8">
      <w:pPr>
        <w:rPr>
          <w:rFonts w:ascii="Times New Roman" w:hAnsi="Times New Roman" w:cs="Times New Roman"/>
          <w:sz w:val="24"/>
          <w:szCs w:val="24"/>
        </w:rPr>
      </w:pPr>
      <w:r>
        <w:rPr>
          <w:rFonts w:ascii="Times New Roman" w:hAnsi="Times New Roman" w:cs="Times New Roman"/>
          <w:sz w:val="24"/>
          <w:szCs w:val="24"/>
        </w:rPr>
        <w:t xml:space="preserve">In conclusion, the article </w:t>
      </w:r>
      <w:r w:rsidRPr="00F604F8">
        <w:rPr>
          <w:rFonts w:ascii="Times New Roman" w:hAnsi="Times New Roman" w:cs="Times New Roman"/>
          <w:sz w:val="24"/>
          <w:szCs w:val="24"/>
        </w:rPr>
        <w:t>‘The ‘Step-by-Step’ Approach: British Military Thought and Operational Method on the Western Front, 1915–1917’ by Paul Harris and Sanders Marble</w:t>
      </w:r>
      <w:r>
        <w:rPr>
          <w:rFonts w:ascii="Times New Roman" w:hAnsi="Times New Roman" w:cs="Times New Roman"/>
          <w:sz w:val="24"/>
          <w:szCs w:val="24"/>
        </w:rPr>
        <w:t xml:space="preserve"> is a useful article for those of the military history school, providing a clear and insightful look in the adoption of the ‘step by step’ doctrine, while being able to use the relationship between the various figures to show how the reality of military decision making in the war actually happened. </w:t>
      </w:r>
    </w:p>
    <w:p w14:paraId="36B1D677" w14:textId="0DB18999" w:rsidR="00392459" w:rsidRPr="00671169" w:rsidRDefault="00671169" w:rsidP="00671169">
      <w:pPr>
        <w:jc w:val="center"/>
        <w:rPr>
          <w:rFonts w:ascii="Times New Roman" w:hAnsi="Times New Roman" w:cs="Times New Roman"/>
          <w:b/>
          <w:bCs/>
          <w:sz w:val="32"/>
          <w:szCs w:val="32"/>
          <w:u w:val="single"/>
        </w:rPr>
      </w:pPr>
      <w:r w:rsidRPr="00671169">
        <w:rPr>
          <w:rFonts w:ascii="Times New Roman" w:hAnsi="Times New Roman" w:cs="Times New Roman"/>
          <w:b/>
          <w:bCs/>
          <w:sz w:val="32"/>
          <w:szCs w:val="32"/>
          <w:u w:val="single"/>
        </w:rPr>
        <w:t xml:space="preserve">Primary Source report: </w:t>
      </w:r>
      <w:r>
        <w:rPr>
          <w:rFonts w:ascii="Times New Roman" w:hAnsi="Times New Roman" w:cs="Times New Roman"/>
          <w:b/>
          <w:bCs/>
          <w:sz w:val="32"/>
          <w:szCs w:val="32"/>
          <w:u w:val="single"/>
        </w:rPr>
        <w:t>‘</w:t>
      </w:r>
      <w:r w:rsidRPr="00671169">
        <w:rPr>
          <w:rFonts w:ascii="Times New Roman" w:hAnsi="Times New Roman" w:cs="Times New Roman"/>
          <w:b/>
          <w:bCs/>
          <w:i/>
          <w:iCs/>
          <w:sz w:val="32"/>
          <w:szCs w:val="32"/>
          <w:u w:val="single"/>
        </w:rPr>
        <w:t>Goodbye to All That</w:t>
      </w:r>
      <w:r>
        <w:rPr>
          <w:rFonts w:ascii="Times New Roman" w:hAnsi="Times New Roman" w:cs="Times New Roman"/>
          <w:b/>
          <w:bCs/>
          <w:i/>
          <w:iCs/>
          <w:sz w:val="32"/>
          <w:szCs w:val="32"/>
          <w:u w:val="single"/>
        </w:rPr>
        <w:t>’</w:t>
      </w:r>
      <w:r w:rsidRPr="00671169">
        <w:rPr>
          <w:rFonts w:ascii="Times New Roman" w:hAnsi="Times New Roman" w:cs="Times New Roman"/>
          <w:b/>
          <w:bCs/>
          <w:sz w:val="32"/>
          <w:szCs w:val="32"/>
          <w:u w:val="single"/>
        </w:rPr>
        <w:t xml:space="preserve"> by Robert Graves (1929)</w:t>
      </w:r>
    </w:p>
    <w:p w14:paraId="0CE812CF" w14:textId="693D9020" w:rsidR="008D2532" w:rsidRPr="00441DE3" w:rsidRDefault="008D2532" w:rsidP="00441DE3">
      <w:pPr>
        <w:spacing w:line="360" w:lineRule="auto"/>
        <w:rPr>
          <w:rFonts w:ascii="Times New Roman" w:hAnsi="Times New Roman" w:cs="Times New Roman"/>
          <w:sz w:val="24"/>
          <w:szCs w:val="24"/>
        </w:rPr>
      </w:pPr>
      <w:r w:rsidRPr="00441DE3">
        <w:rPr>
          <w:rFonts w:ascii="Times New Roman" w:hAnsi="Times New Roman" w:cs="Times New Roman"/>
          <w:sz w:val="24"/>
          <w:szCs w:val="24"/>
        </w:rPr>
        <w:t>The First World War was one of the first truly modern wars, utilising technology and scale unseen in previous conflicts. It only makes that in the aftermath, those who were there would attempt</w:t>
      </w:r>
      <w:r w:rsidR="00CD5C0B" w:rsidRPr="00441DE3">
        <w:rPr>
          <w:rFonts w:ascii="Times New Roman" w:hAnsi="Times New Roman" w:cs="Times New Roman"/>
          <w:sz w:val="24"/>
          <w:szCs w:val="24"/>
        </w:rPr>
        <w:t xml:space="preserve"> to</w:t>
      </w:r>
      <w:r w:rsidRPr="00441DE3">
        <w:rPr>
          <w:rFonts w:ascii="Times New Roman" w:hAnsi="Times New Roman" w:cs="Times New Roman"/>
          <w:sz w:val="24"/>
          <w:szCs w:val="24"/>
        </w:rPr>
        <w:t xml:space="preserve"> come to terms with what they experienced.</w:t>
      </w:r>
      <w:r w:rsidR="00CD5C0B" w:rsidRPr="00441DE3">
        <w:rPr>
          <w:rFonts w:ascii="Times New Roman" w:hAnsi="Times New Roman" w:cs="Times New Roman"/>
          <w:sz w:val="24"/>
          <w:szCs w:val="24"/>
        </w:rPr>
        <w:t xml:space="preserve"> One of the responses to the war would the</w:t>
      </w:r>
      <w:r w:rsidRPr="00441DE3">
        <w:rPr>
          <w:rFonts w:ascii="Times New Roman" w:hAnsi="Times New Roman" w:cs="Times New Roman"/>
          <w:sz w:val="24"/>
          <w:szCs w:val="24"/>
        </w:rPr>
        <w:t xml:space="preserve"> publication of numerous memoirs and testaments from soldiers who had been served in the First World War in various capacities</w:t>
      </w:r>
      <w:r w:rsidR="00CD5C0B" w:rsidRPr="00441DE3">
        <w:rPr>
          <w:rFonts w:ascii="Times New Roman" w:hAnsi="Times New Roman" w:cs="Times New Roman"/>
          <w:sz w:val="24"/>
          <w:szCs w:val="24"/>
        </w:rPr>
        <w:t xml:space="preserve"> and from both sides of the trenches. For this </w:t>
      </w:r>
      <w:r w:rsidR="00CD5C0B" w:rsidRPr="00441DE3">
        <w:rPr>
          <w:rFonts w:ascii="Times New Roman" w:hAnsi="Times New Roman" w:cs="Times New Roman"/>
          <w:sz w:val="24"/>
          <w:szCs w:val="24"/>
        </w:rPr>
        <w:lastRenderedPageBreak/>
        <w:t>portfolio, the discussion shall be on Robert Graves “Goodbye to All That”, initially published in 1929</w:t>
      </w:r>
      <w:r w:rsidR="00CD5C0B" w:rsidRPr="00441DE3">
        <w:rPr>
          <w:rStyle w:val="FootnoteReference"/>
          <w:rFonts w:ascii="Times New Roman" w:hAnsi="Times New Roman" w:cs="Times New Roman"/>
          <w:sz w:val="24"/>
          <w:szCs w:val="24"/>
        </w:rPr>
        <w:footnoteReference w:id="13"/>
      </w:r>
      <w:r w:rsidR="00CD5C0B" w:rsidRPr="00441DE3">
        <w:rPr>
          <w:rFonts w:ascii="Times New Roman" w:hAnsi="Times New Roman" w:cs="Times New Roman"/>
          <w:sz w:val="24"/>
          <w:szCs w:val="24"/>
        </w:rPr>
        <w:t>.</w:t>
      </w:r>
    </w:p>
    <w:p w14:paraId="6AE8CFF2" w14:textId="4E6C453E" w:rsidR="00D352D9" w:rsidRPr="00441DE3" w:rsidRDefault="0078183C" w:rsidP="00441DE3">
      <w:pPr>
        <w:spacing w:line="360" w:lineRule="auto"/>
        <w:rPr>
          <w:rFonts w:ascii="Times New Roman" w:hAnsi="Times New Roman" w:cs="Times New Roman"/>
          <w:sz w:val="24"/>
          <w:szCs w:val="24"/>
        </w:rPr>
      </w:pPr>
      <w:r w:rsidRPr="00441DE3">
        <w:rPr>
          <w:rFonts w:ascii="Times New Roman" w:hAnsi="Times New Roman" w:cs="Times New Roman"/>
          <w:sz w:val="24"/>
          <w:szCs w:val="24"/>
        </w:rPr>
        <w:t xml:space="preserve">This </w:t>
      </w:r>
      <w:r w:rsidR="00305988" w:rsidRPr="00441DE3">
        <w:rPr>
          <w:rFonts w:ascii="Times New Roman" w:hAnsi="Times New Roman" w:cs="Times New Roman"/>
          <w:sz w:val="24"/>
          <w:szCs w:val="24"/>
        </w:rPr>
        <w:t>specific</w:t>
      </w:r>
      <w:r w:rsidRPr="00441DE3">
        <w:rPr>
          <w:rFonts w:ascii="Times New Roman" w:hAnsi="Times New Roman" w:cs="Times New Roman"/>
          <w:sz w:val="24"/>
          <w:szCs w:val="24"/>
        </w:rPr>
        <w:t xml:space="preserve"> </w:t>
      </w:r>
      <w:r w:rsidR="00305988" w:rsidRPr="00441DE3">
        <w:rPr>
          <w:rFonts w:ascii="Times New Roman" w:hAnsi="Times New Roman" w:cs="Times New Roman"/>
          <w:sz w:val="24"/>
          <w:szCs w:val="24"/>
        </w:rPr>
        <w:t>memoir</w:t>
      </w:r>
      <w:r w:rsidRPr="00441DE3">
        <w:rPr>
          <w:rFonts w:ascii="Times New Roman" w:hAnsi="Times New Roman" w:cs="Times New Roman"/>
          <w:sz w:val="24"/>
          <w:szCs w:val="24"/>
        </w:rPr>
        <w:t xml:space="preserve"> </w:t>
      </w:r>
      <w:r w:rsidR="00CD5C0B" w:rsidRPr="00441DE3">
        <w:rPr>
          <w:rFonts w:ascii="Times New Roman" w:hAnsi="Times New Roman" w:cs="Times New Roman"/>
          <w:sz w:val="24"/>
          <w:szCs w:val="24"/>
        </w:rPr>
        <w:t>was written</w:t>
      </w:r>
      <w:r w:rsidR="00176564" w:rsidRPr="00441DE3">
        <w:rPr>
          <w:rFonts w:ascii="Times New Roman" w:hAnsi="Times New Roman" w:cs="Times New Roman"/>
          <w:sz w:val="24"/>
          <w:szCs w:val="24"/>
        </w:rPr>
        <w:t xml:space="preserve"> b</w:t>
      </w:r>
      <w:r w:rsidR="00CD5C0B" w:rsidRPr="00441DE3">
        <w:rPr>
          <w:rFonts w:ascii="Times New Roman" w:hAnsi="Times New Roman" w:cs="Times New Roman"/>
          <w:sz w:val="24"/>
          <w:szCs w:val="24"/>
        </w:rPr>
        <w:t>y an officer by the name of Robert</w:t>
      </w:r>
      <w:r w:rsidRPr="00441DE3">
        <w:rPr>
          <w:rFonts w:ascii="Times New Roman" w:hAnsi="Times New Roman" w:cs="Times New Roman"/>
          <w:sz w:val="24"/>
          <w:szCs w:val="24"/>
        </w:rPr>
        <w:t xml:space="preserve"> Graves</w:t>
      </w:r>
      <w:r w:rsidR="00176564" w:rsidRPr="00441DE3">
        <w:rPr>
          <w:rFonts w:ascii="Times New Roman" w:hAnsi="Times New Roman" w:cs="Times New Roman"/>
          <w:sz w:val="24"/>
          <w:szCs w:val="24"/>
        </w:rPr>
        <w:t xml:space="preserve"> and falls into a similar stance as many of the other memoirs of the war, being both written and published a substantial time after the war had ended, in this case 10 years after the official peace treaty was signed</w:t>
      </w:r>
      <w:r w:rsidR="00CC15C7" w:rsidRPr="00441DE3">
        <w:rPr>
          <w:rFonts w:ascii="Times New Roman" w:hAnsi="Times New Roman" w:cs="Times New Roman"/>
          <w:sz w:val="24"/>
          <w:szCs w:val="24"/>
        </w:rPr>
        <w:t xml:space="preserve"> in 1929</w:t>
      </w:r>
      <w:r w:rsidR="00CC15C7" w:rsidRPr="00441DE3">
        <w:rPr>
          <w:rStyle w:val="FootnoteReference"/>
          <w:rFonts w:ascii="Times New Roman" w:hAnsi="Times New Roman" w:cs="Times New Roman"/>
          <w:sz w:val="24"/>
          <w:szCs w:val="24"/>
        </w:rPr>
        <w:footnoteReference w:id="14"/>
      </w:r>
      <w:r w:rsidR="00176564" w:rsidRPr="00441DE3">
        <w:rPr>
          <w:rFonts w:ascii="Times New Roman" w:hAnsi="Times New Roman" w:cs="Times New Roman"/>
          <w:sz w:val="24"/>
          <w:szCs w:val="24"/>
        </w:rPr>
        <w:t xml:space="preserve">. </w:t>
      </w:r>
      <w:r w:rsidR="00756335" w:rsidRPr="00441DE3">
        <w:rPr>
          <w:rFonts w:ascii="Times New Roman" w:hAnsi="Times New Roman" w:cs="Times New Roman"/>
          <w:sz w:val="24"/>
          <w:szCs w:val="24"/>
        </w:rPr>
        <w:t xml:space="preserve">Now, the circumstances behind Graves’ writing and publication of “Goodbye to All That” </w:t>
      </w:r>
      <w:r w:rsidR="00ED2F11" w:rsidRPr="00441DE3">
        <w:rPr>
          <w:rFonts w:ascii="Times New Roman" w:hAnsi="Times New Roman" w:cs="Times New Roman"/>
          <w:sz w:val="24"/>
          <w:szCs w:val="24"/>
        </w:rPr>
        <w:t>is something will be explored later</w:t>
      </w:r>
      <w:r w:rsidR="00CC15C7" w:rsidRPr="00441DE3">
        <w:rPr>
          <w:rFonts w:ascii="Times New Roman" w:hAnsi="Times New Roman" w:cs="Times New Roman"/>
          <w:sz w:val="24"/>
          <w:szCs w:val="24"/>
        </w:rPr>
        <w:t xml:space="preserve"> but is important to analyse who he was.</w:t>
      </w:r>
      <w:r w:rsidR="00ED2F11" w:rsidRPr="00441DE3">
        <w:rPr>
          <w:rFonts w:ascii="Times New Roman" w:hAnsi="Times New Roman" w:cs="Times New Roman"/>
          <w:sz w:val="24"/>
          <w:szCs w:val="24"/>
        </w:rPr>
        <w:t xml:space="preserve"> Graves </w:t>
      </w:r>
      <w:r w:rsidR="00CC15C7" w:rsidRPr="00441DE3">
        <w:rPr>
          <w:rFonts w:ascii="Times New Roman" w:hAnsi="Times New Roman" w:cs="Times New Roman"/>
          <w:sz w:val="24"/>
          <w:szCs w:val="24"/>
        </w:rPr>
        <w:t>came from a middle-class family in Wimbledon</w:t>
      </w:r>
      <w:r w:rsidR="00CC15C7" w:rsidRPr="00441DE3">
        <w:rPr>
          <w:rStyle w:val="FootnoteReference"/>
          <w:rFonts w:ascii="Times New Roman" w:hAnsi="Times New Roman" w:cs="Times New Roman"/>
          <w:sz w:val="24"/>
          <w:szCs w:val="24"/>
        </w:rPr>
        <w:footnoteReference w:id="15"/>
      </w:r>
      <w:r w:rsidR="00CC15C7" w:rsidRPr="00441DE3">
        <w:rPr>
          <w:rFonts w:ascii="Times New Roman" w:hAnsi="Times New Roman" w:cs="Times New Roman"/>
          <w:sz w:val="24"/>
          <w:szCs w:val="24"/>
        </w:rPr>
        <w:t xml:space="preserve">, </w:t>
      </w:r>
      <w:r w:rsidR="003E3813" w:rsidRPr="00441DE3">
        <w:rPr>
          <w:rFonts w:ascii="Times New Roman" w:hAnsi="Times New Roman" w:cs="Times New Roman"/>
          <w:sz w:val="24"/>
          <w:szCs w:val="24"/>
        </w:rPr>
        <w:t>before attending various schools before obtaining a scholarship at Charterhouse boarding school in Surrey</w:t>
      </w:r>
      <w:r w:rsidR="003E3813" w:rsidRPr="00441DE3">
        <w:rPr>
          <w:rStyle w:val="FootnoteReference"/>
          <w:rFonts w:ascii="Times New Roman" w:hAnsi="Times New Roman" w:cs="Times New Roman"/>
          <w:sz w:val="24"/>
          <w:szCs w:val="24"/>
        </w:rPr>
        <w:footnoteReference w:id="16"/>
      </w:r>
      <w:r w:rsidR="003E3813" w:rsidRPr="00441DE3">
        <w:rPr>
          <w:rFonts w:ascii="Times New Roman" w:hAnsi="Times New Roman" w:cs="Times New Roman"/>
          <w:sz w:val="24"/>
          <w:szCs w:val="24"/>
        </w:rPr>
        <w:t xml:space="preserve">. </w:t>
      </w:r>
      <w:r w:rsidR="002314A1" w:rsidRPr="00441DE3">
        <w:rPr>
          <w:rFonts w:ascii="Times New Roman" w:hAnsi="Times New Roman" w:cs="Times New Roman"/>
          <w:sz w:val="24"/>
          <w:szCs w:val="24"/>
        </w:rPr>
        <w:t xml:space="preserve">We can infer from this that Graves </w:t>
      </w:r>
      <w:r w:rsidR="00A94231" w:rsidRPr="00441DE3">
        <w:rPr>
          <w:rFonts w:ascii="Times New Roman" w:hAnsi="Times New Roman" w:cs="Times New Roman"/>
          <w:sz w:val="24"/>
          <w:szCs w:val="24"/>
        </w:rPr>
        <w:t xml:space="preserve">grew up and was educated in </w:t>
      </w:r>
      <w:r w:rsidR="002F5712" w:rsidRPr="00441DE3">
        <w:rPr>
          <w:rFonts w:ascii="Times New Roman" w:hAnsi="Times New Roman" w:cs="Times New Roman"/>
          <w:sz w:val="24"/>
          <w:szCs w:val="24"/>
        </w:rPr>
        <w:t>the</w:t>
      </w:r>
      <w:r w:rsidR="00A94231" w:rsidRPr="00441DE3">
        <w:rPr>
          <w:rFonts w:ascii="Times New Roman" w:hAnsi="Times New Roman" w:cs="Times New Roman"/>
          <w:sz w:val="24"/>
          <w:szCs w:val="24"/>
        </w:rPr>
        <w:t xml:space="preserve"> rather typical upper-middle class ways of the Edwardian period, </w:t>
      </w:r>
      <w:r w:rsidR="002F5712" w:rsidRPr="00441DE3">
        <w:rPr>
          <w:rFonts w:ascii="Times New Roman" w:hAnsi="Times New Roman" w:cs="Times New Roman"/>
          <w:sz w:val="24"/>
          <w:szCs w:val="24"/>
        </w:rPr>
        <w:t xml:space="preserve">which means his reflections on the war come from that level of British society, and thus offer an insight into how that social class faired in the war. In addition, Graves </w:t>
      </w:r>
      <w:r w:rsidR="00ED2F11" w:rsidRPr="00441DE3">
        <w:rPr>
          <w:rFonts w:ascii="Times New Roman" w:hAnsi="Times New Roman" w:cs="Times New Roman"/>
          <w:sz w:val="24"/>
          <w:szCs w:val="24"/>
        </w:rPr>
        <w:t>served as an officer in the war, enlisting “a day or two</w:t>
      </w:r>
      <w:r w:rsidR="00ED2F11" w:rsidRPr="00441DE3">
        <w:rPr>
          <w:rStyle w:val="FootnoteReference"/>
          <w:rFonts w:ascii="Times New Roman" w:hAnsi="Times New Roman" w:cs="Times New Roman"/>
          <w:sz w:val="24"/>
          <w:szCs w:val="24"/>
        </w:rPr>
        <w:footnoteReference w:id="17"/>
      </w:r>
      <w:r w:rsidR="00ED2F11" w:rsidRPr="00441DE3">
        <w:rPr>
          <w:rFonts w:ascii="Times New Roman" w:hAnsi="Times New Roman" w:cs="Times New Roman"/>
          <w:sz w:val="24"/>
          <w:szCs w:val="24"/>
        </w:rPr>
        <w:t xml:space="preserve">” after England declared war on Germany. </w:t>
      </w:r>
      <w:r w:rsidR="00F953BA" w:rsidRPr="00441DE3">
        <w:rPr>
          <w:rFonts w:ascii="Times New Roman" w:hAnsi="Times New Roman" w:cs="Times New Roman"/>
          <w:sz w:val="24"/>
          <w:szCs w:val="24"/>
        </w:rPr>
        <w:t xml:space="preserve">And while such a statement could </w:t>
      </w:r>
      <w:r w:rsidR="002F5712" w:rsidRPr="00441DE3">
        <w:rPr>
          <w:rFonts w:ascii="Times New Roman" w:hAnsi="Times New Roman" w:cs="Times New Roman"/>
          <w:sz w:val="24"/>
          <w:szCs w:val="24"/>
        </w:rPr>
        <w:t>be interpreted as a sign of the mass waves of enthusiast enlistment that swept the country following the declaration, bur Graves notes that he did it to “delay my going to Oxford in October</w:t>
      </w:r>
      <w:r w:rsidR="002F5712" w:rsidRPr="00441DE3">
        <w:rPr>
          <w:rStyle w:val="FootnoteReference"/>
          <w:rFonts w:ascii="Times New Roman" w:hAnsi="Times New Roman" w:cs="Times New Roman"/>
          <w:sz w:val="24"/>
          <w:szCs w:val="24"/>
        </w:rPr>
        <w:footnoteReference w:id="18"/>
      </w:r>
      <w:r w:rsidR="002F5712" w:rsidRPr="00441DE3">
        <w:rPr>
          <w:rFonts w:ascii="Times New Roman" w:hAnsi="Times New Roman" w:cs="Times New Roman"/>
          <w:sz w:val="24"/>
          <w:szCs w:val="24"/>
        </w:rPr>
        <w:t>”</w:t>
      </w:r>
      <w:r w:rsidR="00C824DE" w:rsidRPr="00441DE3">
        <w:rPr>
          <w:rFonts w:ascii="Times New Roman" w:hAnsi="Times New Roman" w:cs="Times New Roman"/>
          <w:sz w:val="24"/>
          <w:szCs w:val="24"/>
        </w:rPr>
        <w:t>. Such a statement, while expected in an autobiographical memoir such as this, does reveal a certain tell about attitudes towards the war and those signing up. Rather than the popularised rush of patriotism that certainly did occur, it seems that not everyone signed up for such grander notions or with any real interest in fighting Germany, as Graves’ expectation of “garrison duty at home</w:t>
      </w:r>
      <w:r w:rsidR="00C824DE" w:rsidRPr="00441DE3">
        <w:rPr>
          <w:rStyle w:val="FootnoteReference"/>
          <w:rFonts w:ascii="Times New Roman" w:hAnsi="Times New Roman" w:cs="Times New Roman"/>
          <w:sz w:val="24"/>
          <w:szCs w:val="24"/>
        </w:rPr>
        <w:footnoteReference w:id="19"/>
      </w:r>
      <w:r w:rsidR="00C824DE" w:rsidRPr="00441DE3">
        <w:rPr>
          <w:rFonts w:ascii="Times New Roman" w:hAnsi="Times New Roman" w:cs="Times New Roman"/>
          <w:sz w:val="24"/>
          <w:szCs w:val="24"/>
        </w:rPr>
        <w:t xml:space="preserve">” certainly seems to suggest. Therefore, </w:t>
      </w:r>
      <w:r w:rsidR="00A24D8F" w:rsidRPr="00441DE3">
        <w:rPr>
          <w:rFonts w:ascii="Times New Roman" w:hAnsi="Times New Roman" w:cs="Times New Roman"/>
          <w:sz w:val="24"/>
          <w:szCs w:val="24"/>
        </w:rPr>
        <w:t xml:space="preserve">Graves’ war experiences are primarily that of a British Officer, which for understanding the war makes him more useful as he would be </w:t>
      </w:r>
      <w:r w:rsidR="00D931FC" w:rsidRPr="00441DE3">
        <w:rPr>
          <w:rFonts w:ascii="Times New Roman" w:hAnsi="Times New Roman" w:cs="Times New Roman"/>
          <w:sz w:val="24"/>
          <w:szCs w:val="24"/>
        </w:rPr>
        <w:t>privier</w:t>
      </w:r>
      <w:r w:rsidR="00A24D8F" w:rsidRPr="00441DE3">
        <w:rPr>
          <w:rFonts w:ascii="Times New Roman" w:hAnsi="Times New Roman" w:cs="Times New Roman"/>
          <w:sz w:val="24"/>
          <w:szCs w:val="24"/>
        </w:rPr>
        <w:t xml:space="preserve"> to official orders and briefings, as opposed to the ordinary soldier who would not. </w:t>
      </w:r>
    </w:p>
    <w:p w14:paraId="165575B9" w14:textId="731D8460" w:rsidR="0078183C" w:rsidRPr="00441DE3" w:rsidRDefault="00A24D8F" w:rsidP="00441DE3">
      <w:pPr>
        <w:spacing w:line="360" w:lineRule="auto"/>
        <w:rPr>
          <w:rFonts w:ascii="Times New Roman" w:hAnsi="Times New Roman" w:cs="Times New Roman"/>
          <w:sz w:val="24"/>
          <w:szCs w:val="24"/>
        </w:rPr>
      </w:pPr>
      <w:r w:rsidRPr="00441DE3">
        <w:rPr>
          <w:rFonts w:ascii="Times New Roman" w:hAnsi="Times New Roman" w:cs="Times New Roman"/>
          <w:sz w:val="24"/>
          <w:szCs w:val="24"/>
        </w:rPr>
        <w:t>As previously mentioned, th</w:t>
      </w:r>
      <w:r w:rsidR="00C21AD2" w:rsidRPr="00441DE3">
        <w:rPr>
          <w:rFonts w:ascii="Times New Roman" w:hAnsi="Times New Roman" w:cs="Times New Roman"/>
          <w:sz w:val="24"/>
          <w:szCs w:val="24"/>
        </w:rPr>
        <w:t>e</w:t>
      </w:r>
      <w:r w:rsidRPr="00441DE3">
        <w:rPr>
          <w:rFonts w:ascii="Times New Roman" w:hAnsi="Times New Roman" w:cs="Times New Roman"/>
          <w:sz w:val="24"/>
          <w:szCs w:val="24"/>
        </w:rPr>
        <w:t xml:space="preserve"> first</w:t>
      </w:r>
      <w:r w:rsidR="00C21AD2" w:rsidRPr="00441DE3">
        <w:rPr>
          <w:rFonts w:ascii="Times New Roman" w:hAnsi="Times New Roman" w:cs="Times New Roman"/>
          <w:sz w:val="24"/>
          <w:szCs w:val="24"/>
        </w:rPr>
        <w:t xml:space="preserve"> publication of “Goodbye to </w:t>
      </w:r>
      <w:r w:rsidRPr="00441DE3">
        <w:rPr>
          <w:rFonts w:ascii="Times New Roman" w:hAnsi="Times New Roman" w:cs="Times New Roman"/>
          <w:sz w:val="24"/>
          <w:szCs w:val="24"/>
        </w:rPr>
        <w:t>All That” occurred in 1929</w:t>
      </w:r>
      <w:r w:rsidRPr="00441DE3">
        <w:rPr>
          <w:rStyle w:val="FootnoteReference"/>
          <w:rFonts w:ascii="Times New Roman" w:hAnsi="Times New Roman" w:cs="Times New Roman"/>
          <w:sz w:val="24"/>
          <w:szCs w:val="24"/>
        </w:rPr>
        <w:footnoteReference w:id="20"/>
      </w:r>
      <w:r w:rsidRPr="00441DE3">
        <w:rPr>
          <w:rFonts w:ascii="Times New Roman" w:hAnsi="Times New Roman" w:cs="Times New Roman"/>
          <w:sz w:val="24"/>
          <w:szCs w:val="24"/>
        </w:rPr>
        <w:t xml:space="preserve"> and was later revised and republished in 1957</w:t>
      </w:r>
      <w:r w:rsidRPr="00441DE3">
        <w:rPr>
          <w:rStyle w:val="FootnoteReference"/>
          <w:rFonts w:ascii="Times New Roman" w:hAnsi="Times New Roman" w:cs="Times New Roman"/>
          <w:sz w:val="24"/>
          <w:szCs w:val="24"/>
        </w:rPr>
        <w:footnoteReference w:id="21"/>
      </w:r>
      <w:r w:rsidRPr="00441DE3">
        <w:rPr>
          <w:rFonts w:ascii="Times New Roman" w:hAnsi="Times New Roman" w:cs="Times New Roman"/>
          <w:sz w:val="24"/>
          <w:szCs w:val="24"/>
        </w:rPr>
        <w:t xml:space="preserve">. </w:t>
      </w:r>
      <w:r w:rsidR="00D931FC" w:rsidRPr="00441DE3">
        <w:rPr>
          <w:rFonts w:ascii="Times New Roman" w:hAnsi="Times New Roman" w:cs="Times New Roman"/>
          <w:sz w:val="24"/>
          <w:szCs w:val="24"/>
        </w:rPr>
        <w:t xml:space="preserve">As with any First World War memoir, the date of publication as well as other factors are crucial to evaluating its reliability and </w:t>
      </w:r>
      <w:r w:rsidR="00D931FC" w:rsidRPr="00441DE3">
        <w:rPr>
          <w:rFonts w:ascii="Times New Roman" w:hAnsi="Times New Roman" w:cs="Times New Roman"/>
          <w:sz w:val="24"/>
          <w:szCs w:val="24"/>
        </w:rPr>
        <w:lastRenderedPageBreak/>
        <w:t xml:space="preserve">relevance. 1929 marked ten years since the official peace was signed and eleven years since the signing of the armistice. </w:t>
      </w:r>
      <w:r w:rsidR="007B5838" w:rsidRPr="00441DE3">
        <w:rPr>
          <w:rFonts w:ascii="Times New Roman" w:hAnsi="Times New Roman" w:cs="Times New Roman"/>
          <w:sz w:val="24"/>
          <w:szCs w:val="24"/>
        </w:rPr>
        <w:t xml:space="preserve">Considering that other memoirs, such as Ernst Jungers “Storm of Steel” had been published as early as 1920, it is possible to suggest that Graves’ recollections of his own experiences could certainly have been faulty or misremembered, subtracting from its usefulness as a source on the war. Yet, as with many of the memoirs of the war, for Graces’ to have left it so long to have published is not that of a detractor, especially considering that it took many veterans, Graves included, years to come to terms with the war. Now, as the book was written years after the war it grants Graves the power of hindsight, </w:t>
      </w:r>
      <w:r w:rsidR="00361446" w:rsidRPr="00441DE3">
        <w:rPr>
          <w:rFonts w:ascii="Times New Roman" w:hAnsi="Times New Roman" w:cs="Times New Roman"/>
          <w:sz w:val="24"/>
          <w:szCs w:val="24"/>
        </w:rPr>
        <w:t xml:space="preserve">from which he can both examine his own experiences in relation to the wider war and reveal information which could not be disclosed earlier. For example, Graves’ remarks quite </w:t>
      </w:r>
      <w:r w:rsidR="00271D7A" w:rsidRPr="00441DE3">
        <w:rPr>
          <w:rFonts w:ascii="Times New Roman" w:hAnsi="Times New Roman" w:cs="Times New Roman"/>
          <w:sz w:val="24"/>
          <w:szCs w:val="24"/>
        </w:rPr>
        <w:t>remark</w:t>
      </w:r>
      <w:r w:rsidR="00361446" w:rsidRPr="00441DE3">
        <w:rPr>
          <w:rFonts w:ascii="Times New Roman" w:hAnsi="Times New Roman" w:cs="Times New Roman"/>
          <w:sz w:val="24"/>
          <w:szCs w:val="24"/>
        </w:rPr>
        <w:t xml:space="preserve"> at the start of chapter 13 that he has “restored the names of places</w:t>
      </w:r>
      <w:r w:rsidR="00361446" w:rsidRPr="00441DE3">
        <w:rPr>
          <w:rStyle w:val="FootnoteReference"/>
          <w:rFonts w:ascii="Times New Roman" w:hAnsi="Times New Roman" w:cs="Times New Roman"/>
          <w:sz w:val="24"/>
          <w:szCs w:val="24"/>
        </w:rPr>
        <w:footnoteReference w:id="22"/>
      </w:r>
      <w:r w:rsidR="00361446" w:rsidRPr="00441DE3">
        <w:rPr>
          <w:rFonts w:ascii="Times New Roman" w:hAnsi="Times New Roman" w:cs="Times New Roman"/>
          <w:sz w:val="24"/>
          <w:szCs w:val="24"/>
        </w:rPr>
        <w:t>” something that at the time “we were forbidden to mention</w:t>
      </w:r>
      <w:r w:rsidR="00361446" w:rsidRPr="00441DE3">
        <w:rPr>
          <w:rStyle w:val="FootnoteReference"/>
          <w:rFonts w:ascii="Times New Roman" w:hAnsi="Times New Roman" w:cs="Times New Roman"/>
          <w:sz w:val="24"/>
          <w:szCs w:val="24"/>
        </w:rPr>
        <w:footnoteReference w:id="23"/>
      </w:r>
      <w:r w:rsidR="00361446" w:rsidRPr="00441DE3">
        <w:rPr>
          <w:rFonts w:ascii="Times New Roman" w:hAnsi="Times New Roman" w:cs="Times New Roman"/>
          <w:sz w:val="24"/>
          <w:szCs w:val="24"/>
        </w:rPr>
        <w:t>”</w:t>
      </w:r>
      <w:r w:rsidR="00E81276" w:rsidRPr="00441DE3">
        <w:rPr>
          <w:rFonts w:ascii="Times New Roman" w:hAnsi="Times New Roman" w:cs="Times New Roman"/>
          <w:sz w:val="24"/>
          <w:szCs w:val="24"/>
        </w:rPr>
        <w:t xml:space="preserve">. Even though this is on the surface a very minor detail, the fact that now Graves’ can mention all the details about where he was stationed on the Western Front, allows for a greater appreciation for where and when experienced things, and allows for the ability to compare and contrast what Graves’ experienced with other memoirs and the official history. </w:t>
      </w:r>
    </w:p>
    <w:p w14:paraId="63B88CB8" w14:textId="1D6C79DA" w:rsidR="00310F54" w:rsidRPr="00441DE3" w:rsidRDefault="00310F54" w:rsidP="00441DE3">
      <w:pPr>
        <w:spacing w:line="360" w:lineRule="auto"/>
        <w:rPr>
          <w:rFonts w:ascii="Times New Roman" w:hAnsi="Times New Roman" w:cs="Times New Roman"/>
          <w:sz w:val="24"/>
          <w:szCs w:val="24"/>
        </w:rPr>
      </w:pPr>
      <w:r w:rsidRPr="00441DE3">
        <w:rPr>
          <w:rFonts w:ascii="Times New Roman" w:hAnsi="Times New Roman" w:cs="Times New Roman"/>
          <w:sz w:val="24"/>
          <w:szCs w:val="24"/>
        </w:rPr>
        <w:t>Now that it has been established who Graves’ was and when his memoir was published, the discussion can now turn to what “Goodbye to all that” is about. At its core, Goodbye to All That is a chronicle of Robert Graves’ life from his earliest memories of Wimbledon</w:t>
      </w:r>
      <w:r w:rsidRPr="00441DE3">
        <w:rPr>
          <w:rStyle w:val="FootnoteReference"/>
          <w:rFonts w:ascii="Times New Roman" w:hAnsi="Times New Roman" w:cs="Times New Roman"/>
          <w:sz w:val="24"/>
          <w:szCs w:val="24"/>
        </w:rPr>
        <w:footnoteReference w:id="24"/>
      </w:r>
      <w:r w:rsidRPr="00441DE3">
        <w:rPr>
          <w:rFonts w:ascii="Times New Roman" w:hAnsi="Times New Roman" w:cs="Times New Roman"/>
          <w:sz w:val="24"/>
          <w:szCs w:val="24"/>
        </w:rPr>
        <w:t>, through his unpleasant school years</w:t>
      </w:r>
      <w:r w:rsidRPr="00441DE3">
        <w:rPr>
          <w:rStyle w:val="FootnoteReference"/>
          <w:rFonts w:ascii="Times New Roman" w:hAnsi="Times New Roman" w:cs="Times New Roman"/>
          <w:sz w:val="24"/>
          <w:szCs w:val="24"/>
        </w:rPr>
        <w:footnoteReference w:id="25"/>
      </w:r>
      <w:r w:rsidRPr="00441DE3">
        <w:rPr>
          <w:rFonts w:ascii="Times New Roman" w:hAnsi="Times New Roman" w:cs="Times New Roman"/>
          <w:sz w:val="24"/>
          <w:szCs w:val="24"/>
        </w:rPr>
        <w:t>, and culminating in his war experience and the meetings he had with other prominent figures of the war such</w:t>
      </w:r>
      <w:r w:rsidR="0052067B" w:rsidRPr="00441DE3">
        <w:rPr>
          <w:rFonts w:ascii="Times New Roman" w:hAnsi="Times New Roman" w:cs="Times New Roman"/>
          <w:sz w:val="24"/>
          <w:szCs w:val="24"/>
        </w:rPr>
        <w:t xml:space="preserve"> as</w:t>
      </w:r>
      <w:r w:rsidRPr="00441DE3">
        <w:rPr>
          <w:rFonts w:ascii="Times New Roman" w:hAnsi="Times New Roman" w:cs="Times New Roman"/>
          <w:sz w:val="24"/>
          <w:szCs w:val="24"/>
        </w:rPr>
        <w:t xml:space="preserve"> Siegfried Sassoon</w:t>
      </w:r>
      <w:r w:rsidRPr="00441DE3">
        <w:rPr>
          <w:rStyle w:val="FootnoteReference"/>
          <w:rFonts w:ascii="Times New Roman" w:hAnsi="Times New Roman" w:cs="Times New Roman"/>
          <w:sz w:val="24"/>
          <w:szCs w:val="24"/>
        </w:rPr>
        <w:footnoteReference w:id="26"/>
      </w:r>
      <w:r w:rsidRPr="00441DE3">
        <w:rPr>
          <w:rFonts w:ascii="Times New Roman" w:hAnsi="Times New Roman" w:cs="Times New Roman"/>
          <w:sz w:val="24"/>
          <w:szCs w:val="24"/>
        </w:rPr>
        <w:t xml:space="preserve"> and T.E. Lawrence</w:t>
      </w:r>
      <w:r w:rsidRPr="00441DE3">
        <w:rPr>
          <w:rStyle w:val="FootnoteReference"/>
          <w:rFonts w:ascii="Times New Roman" w:hAnsi="Times New Roman" w:cs="Times New Roman"/>
          <w:sz w:val="24"/>
          <w:szCs w:val="24"/>
        </w:rPr>
        <w:footnoteReference w:id="27"/>
      </w:r>
      <w:r w:rsidRPr="00441DE3">
        <w:rPr>
          <w:rFonts w:ascii="Times New Roman" w:hAnsi="Times New Roman" w:cs="Times New Roman"/>
          <w:sz w:val="24"/>
          <w:szCs w:val="24"/>
        </w:rPr>
        <w:t xml:space="preserve">. But what sets Graves’ work apart is that it allows for deeper </w:t>
      </w:r>
      <w:r w:rsidR="00671169" w:rsidRPr="00441DE3">
        <w:rPr>
          <w:rFonts w:ascii="Times New Roman" w:hAnsi="Times New Roman" w:cs="Times New Roman"/>
          <w:sz w:val="24"/>
          <w:szCs w:val="24"/>
        </w:rPr>
        <w:t>analysation</w:t>
      </w:r>
      <w:r w:rsidRPr="00441DE3">
        <w:rPr>
          <w:rFonts w:ascii="Times New Roman" w:hAnsi="Times New Roman" w:cs="Times New Roman"/>
          <w:sz w:val="24"/>
          <w:szCs w:val="24"/>
        </w:rPr>
        <w:t xml:space="preserve"> of the </w:t>
      </w:r>
      <w:r w:rsidR="0052067B" w:rsidRPr="00441DE3">
        <w:rPr>
          <w:rFonts w:ascii="Times New Roman" w:hAnsi="Times New Roman" w:cs="Times New Roman"/>
          <w:sz w:val="24"/>
          <w:szCs w:val="24"/>
        </w:rPr>
        <w:t>war experience from the British perspective and its impact upon Graves’ and those he served with. For example, Graves’ informs the reader about the difference between British and German sniping techniques, commenting that while the German snipers “were kept for months in the same sector</w:t>
      </w:r>
      <w:r w:rsidR="0052067B" w:rsidRPr="00441DE3">
        <w:rPr>
          <w:rStyle w:val="FootnoteReference"/>
          <w:rFonts w:ascii="Times New Roman" w:hAnsi="Times New Roman" w:cs="Times New Roman"/>
          <w:sz w:val="24"/>
          <w:szCs w:val="24"/>
        </w:rPr>
        <w:footnoteReference w:id="28"/>
      </w:r>
      <w:r w:rsidR="0052067B" w:rsidRPr="00441DE3">
        <w:rPr>
          <w:rFonts w:ascii="Times New Roman" w:hAnsi="Times New Roman" w:cs="Times New Roman"/>
          <w:sz w:val="24"/>
          <w:szCs w:val="24"/>
        </w:rPr>
        <w:t>”, British snipers changed trenches “every week or two</w:t>
      </w:r>
      <w:r w:rsidR="0052067B" w:rsidRPr="00441DE3">
        <w:rPr>
          <w:rStyle w:val="FootnoteReference"/>
          <w:rFonts w:ascii="Times New Roman" w:hAnsi="Times New Roman" w:cs="Times New Roman"/>
          <w:sz w:val="24"/>
          <w:szCs w:val="24"/>
        </w:rPr>
        <w:footnoteReference w:id="29"/>
      </w:r>
      <w:r w:rsidR="0052067B" w:rsidRPr="00441DE3">
        <w:rPr>
          <w:rFonts w:ascii="Times New Roman" w:hAnsi="Times New Roman" w:cs="Times New Roman"/>
          <w:sz w:val="24"/>
          <w:szCs w:val="24"/>
        </w:rPr>
        <w:t xml:space="preserve">”. This section which in the book is very brief, gives the reader a wealth of information and insight </w:t>
      </w:r>
      <w:r w:rsidR="0052067B" w:rsidRPr="00441DE3">
        <w:rPr>
          <w:rFonts w:ascii="Times New Roman" w:hAnsi="Times New Roman" w:cs="Times New Roman"/>
          <w:sz w:val="24"/>
          <w:szCs w:val="24"/>
        </w:rPr>
        <w:lastRenderedPageBreak/>
        <w:t xml:space="preserve">into </w:t>
      </w:r>
      <w:r w:rsidR="00A203D1" w:rsidRPr="00441DE3">
        <w:rPr>
          <w:rFonts w:ascii="Times New Roman" w:hAnsi="Times New Roman" w:cs="Times New Roman"/>
          <w:sz w:val="24"/>
          <w:szCs w:val="24"/>
        </w:rPr>
        <w:t xml:space="preserve">how </w:t>
      </w:r>
      <w:r w:rsidR="0052067B" w:rsidRPr="00441DE3">
        <w:rPr>
          <w:rFonts w:ascii="Times New Roman" w:hAnsi="Times New Roman" w:cs="Times New Roman"/>
          <w:sz w:val="24"/>
          <w:szCs w:val="24"/>
        </w:rPr>
        <w:t xml:space="preserve">the British operated </w:t>
      </w:r>
      <w:r w:rsidR="00A203D1" w:rsidRPr="00441DE3">
        <w:rPr>
          <w:rFonts w:ascii="Times New Roman" w:hAnsi="Times New Roman" w:cs="Times New Roman"/>
          <w:sz w:val="24"/>
          <w:szCs w:val="24"/>
        </w:rPr>
        <w:t xml:space="preserve">in the trenches, while relating it to Graves’ personal experience, which is something that other documents such as official reports do not do. Therefore, </w:t>
      </w:r>
      <w:r w:rsidR="00DA274E" w:rsidRPr="00441DE3">
        <w:rPr>
          <w:rFonts w:ascii="Times New Roman" w:hAnsi="Times New Roman" w:cs="Times New Roman"/>
          <w:sz w:val="24"/>
          <w:szCs w:val="24"/>
        </w:rPr>
        <w:t>memoirs such as these provide a great of useful information both academically and culturally.</w:t>
      </w:r>
    </w:p>
    <w:p w14:paraId="7D936687" w14:textId="658B728A" w:rsidR="00DA274E" w:rsidRDefault="00DA274E" w:rsidP="00441DE3">
      <w:pPr>
        <w:spacing w:line="360" w:lineRule="auto"/>
        <w:rPr>
          <w:rFonts w:ascii="Times New Roman" w:hAnsi="Times New Roman" w:cs="Times New Roman"/>
          <w:sz w:val="24"/>
          <w:szCs w:val="24"/>
        </w:rPr>
      </w:pPr>
      <w:r w:rsidRPr="00441DE3">
        <w:rPr>
          <w:rFonts w:ascii="Times New Roman" w:hAnsi="Times New Roman" w:cs="Times New Roman"/>
          <w:sz w:val="24"/>
          <w:szCs w:val="24"/>
        </w:rPr>
        <w:t xml:space="preserve">In conclusion, the 1929 memoir “Goodbye to All That” by Robert Graves is a useful and insightful primary source into the life and experience that those who served in the Great War had. </w:t>
      </w:r>
    </w:p>
    <w:p w14:paraId="31B609E0" w14:textId="2FA5A5E0" w:rsidR="00671169" w:rsidRDefault="00671169" w:rsidP="00441DE3">
      <w:pPr>
        <w:spacing w:line="360" w:lineRule="auto"/>
        <w:rPr>
          <w:rFonts w:ascii="Times New Roman" w:hAnsi="Times New Roman" w:cs="Times New Roman"/>
          <w:sz w:val="24"/>
          <w:szCs w:val="24"/>
        </w:rPr>
      </w:pPr>
    </w:p>
    <w:p w14:paraId="5D95D9CA" w14:textId="58D1108B" w:rsidR="00F604F8" w:rsidRPr="00F604F8" w:rsidRDefault="00671169" w:rsidP="00441DE3">
      <w:pPr>
        <w:spacing w:line="360" w:lineRule="auto"/>
        <w:rPr>
          <w:rFonts w:ascii="Times New Roman" w:hAnsi="Times New Roman" w:cs="Times New Roman"/>
          <w:b/>
          <w:bCs/>
          <w:sz w:val="32"/>
          <w:szCs w:val="32"/>
          <w:u w:val="single"/>
        </w:rPr>
      </w:pPr>
      <w:r w:rsidRPr="00F604F8">
        <w:rPr>
          <w:rFonts w:ascii="Times New Roman" w:hAnsi="Times New Roman" w:cs="Times New Roman"/>
          <w:b/>
          <w:bCs/>
          <w:sz w:val="32"/>
          <w:szCs w:val="32"/>
          <w:u w:val="single"/>
        </w:rPr>
        <w:t xml:space="preserve">Bibliography </w:t>
      </w:r>
    </w:p>
    <w:p w14:paraId="0F1BED93" w14:textId="67748F7E" w:rsidR="00671169" w:rsidRDefault="00671169" w:rsidP="00441DE3">
      <w:pPr>
        <w:spacing w:line="360" w:lineRule="auto"/>
        <w:rPr>
          <w:rFonts w:ascii="Times New Roman" w:hAnsi="Times New Roman" w:cs="Times New Roman"/>
          <w:sz w:val="24"/>
          <w:szCs w:val="24"/>
        </w:rPr>
      </w:pPr>
      <w:r>
        <w:rPr>
          <w:rFonts w:ascii="Times New Roman" w:hAnsi="Times New Roman" w:cs="Times New Roman"/>
          <w:sz w:val="24"/>
          <w:szCs w:val="24"/>
        </w:rPr>
        <w:t>Graves, R., Goodbye to All That. London: Penguin Classics, 2000.</w:t>
      </w:r>
    </w:p>
    <w:p w14:paraId="7DB1BD4C" w14:textId="014B7E70" w:rsidR="00F604F8" w:rsidRDefault="00F604F8" w:rsidP="00441DE3">
      <w:pPr>
        <w:spacing w:line="360" w:lineRule="auto"/>
        <w:rPr>
          <w:rFonts w:ascii="Times New Roman" w:hAnsi="Times New Roman" w:cs="Times New Roman"/>
          <w:sz w:val="24"/>
          <w:szCs w:val="24"/>
        </w:rPr>
      </w:pPr>
      <w:r>
        <w:rPr>
          <w:rFonts w:ascii="Times New Roman" w:hAnsi="Times New Roman" w:cs="Times New Roman"/>
          <w:sz w:val="24"/>
          <w:szCs w:val="24"/>
        </w:rPr>
        <w:t xml:space="preserve">Harris, P, and S. Marble. "The `Step-by-Step' Approach: British Military Thought and Operational Method on the Western Front, 1915—1917." War in History 15, no. 1 (2008): 17-42. Available online: </w:t>
      </w:r>
      <w:hyperlink r:id="rId7" w:history="1">
        <w:r>
          <w:rPr>
            <w:rStyle w:val="Hyperlink"/>
            <w:rFonts w:ascii="Times New Roman" w:hAnsi="Times New Roman" w:cs="Times New Roman"/>
            <w:sz w:val="24"/>
            <w:szCs w:val="24"/>
          </w:rPr>
          <w:t>https://whel-primo.hosted.exlibrisgroup.com/permalink/f/mqg008/TN_sage_s10_1177_09683445080150010101</w:t>
        </w:r>
      </w:hyperlink>
      <w:r>
        <w:rPr>
          <w:rFonts w:ascii="Times New Roman" w:hAnsi="Times New Roman" w:cs="Times New Roman"/>
          <w:sz w:val="24"/>
          <w:szCs w:val="24"/>
        </w:rPr>
        <w:t xml:space="preserve"> [Accessed 15/11/2019].</w:t>
      </w:r>
      <w:bookmarkStart w:id="1" w:name="_GoBack"/>
      <w:bookmarkEnd w:id="1"/>
    </w:p>
    <w:p w14:paraId="17CDCE4D" w14:textId="77777777" w:rsidR="00F604F8" w:rsidRDefault="00F604F8" w:rsidP="00F604F8">
      <w:pPr>
        <w:spacing w:line="360" w:lineRule="auto"/>
        <w:rPr>
          <w:rFonts w:ascii="Times New Roman" w:hAnsi="Times New Roman" w:cs="Times New Roman"/>
          <w:sz w:val="24"/>
          <w:szCs w:val="24"/>
        </w:rPr>
      </w:pPr>
      <w:r>
        <w:rPr>
          <w:rFonts w:ascii="Times New Roman" w:hAnsi="Times New Roman" w:cs="Times New Roman"/>
          <w:sz w:val="24"/>
          <w:szCs w:val="24"/>
        </w:rPr>
        <w:t xml:space="preserve">Keegan, J., The First World War. London: Hutchinson, 1999. </w:t>
      </w:r>
    </w:p>
    <w:p w14:paraId="4D700C2E" w14:textId="77777777" w:rsidR="00F604F8" w:rsidRDefault="00F604F8" w:rsidP="00F604F8">
      <w:pPr>
        <w:spacing w:line="360" w:lineRule="auto"/>
        <w:rPr>
          <w:rFonts w:ascii="Times New Roman" w:hAnsi="Times New Roman" w:cs="Times New Roman"/>
          <w:sz w:val="24"/>
          <w:szCs w:val="24"/>
        </w:rPr>
      </w:pPr>
      <w:r>
        <w:rPr>
          <w:rFonts w:ascii="Times New Roman" w:hAnsi="Times New Roman" w:cs="Times New Roman"/>
          <w:sz w:val="24"/>
          <w:szCs w:val="24"/>
        </w:rPr>
        <w:t xml:space="preserve">Stevens, P., The Great War Explained. Barnsley: Pen and Sword Books Ltd, 2014. </w:t>
      </w:r>
    </w:p>
    <w:p w14:paraId="1015F026" w14:textId="77777777" w:rsidR="00F604F8" w:rsidRPr="00441DE3" w:rsidRDefault="00F604F8" w:rsidP="00441DE3">
      <w:pPr>
        <w:spacing w:line="360" w:lineRule="auto"/>
        <w:rPr>
          <w:rFonts w:ascii="Times New Roman" w:hAnsi="Times New Roman" w:cs="Times New Roman"/>
          <w:sz w:val="24"/>
          <w:szCs w:val="24"/>
        </w:rPr>
      </w:pPr>
    </w:p>
    <w:sectPr w:rsidR="00F604F8" w:rsidRPr="00441DE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C43828" w14:textId="77777777" w:rsidR="009E0104" w:rsidRDefault="009E0104" w:rsidP="00CD5C0B">
      <w:pPr>
        <w:spacing w:after="0" w:line="240" w:lineRule="auto"/>
      </w:pPr>
      <w:r>
        <w:separator/>
      </w:r>
    </w:p>
  </w:endnote>
  <w:endnote w:type="continuationSeparator" w:id="0">
    <w:p w14:paraId="531004DA" w14:textId="77777777" w:rsidR="009E0104" w:rsidRDefault="009E0104" w:rsidP="00CD5C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458AF2" w14:textId="77777777" w:rsidR="009E0104" w:rsidRDefault="009E0104" w:rsidP="00CD5C0B">
      <w:pPr>
        <w:spacing w:after="0" w:line="240" w:lineRule="auto"/>
      </w:pPr>
      <w:r>
        <w:separator/>
      </w:r>
    </w:p>
  </w:footnote>
  <w:footnote w:type="continuationSeparator" w:id="0">
    <w:p w14:paraId="7954D196" w14:textId="77777777" w:rsidR="009E0104" w:rsidRDefault="009E0104" w:rsidP="00CD5C0B">
      <w:pPr>
        <w:spacing w:after="0" w:line="240" w:lineRule="auto"/>
      </w:pPr>
      <w:r>
        <w:continuationSeparator/>
      </w:r>
    </w:p>
  </w:footnote>
  <w:footnote w:id="1">
    <w:p w14:paraId="28347A82" w14:textId="2EE2CBA7" w:rsidR="00271D7A" w:rsidRDefault="00271D7A">
      <w:pPr>
        <w:pStyle w:val="FootnoteText"/>
      </w:pPr>
      <w:r>
        <w:rPr>
          <w:rStyle w:val="FootnoteReference"/>
        </w:rPr>
        <w:footnoteRef/>
      </w:r>
      <w:r>
        <w:t xml:space="preserve"> </w:t>
      </w:r>
      <w:r w:rsidR="007629B2">
        <w:rPr>
          <w:rFonts w:ascii="Times New Roman" w:hAnsi="Times New Roman" w:cs="Times New Roman"/>
        </w:rPr>
        <w:t>P. Harris, and S. Marble, "</w:t>
      </w:r>
      <w:r w:rsidR="007629B2">
        <w:rPr>
          <w:rFonts w:ascii="Times New Roman" w:hAnsi="Times New Roman" w:cs="Times New Roman"/>
          <w:i/>
          <w:iCs/>
        </w:rPr>
        <w:t>The `Step-by-Step' Approach: British Military Thought and Operational Method on the Western Front, 1915—1917."</w:t>
      </w:r>
      <w:r w:rsidR="007629B2">
        <w:rPr>
          <w:rFonts w:ascii="Times New Roman" w:hAnsi="Times New Roman" w:cs="Times New Roman"/>
        </w:rPr>
        <w:t xml:space="preserve"> War in History 15, no. 1 (2008): 17-42. Available online: https://whel-primo.hosted.exlibrisgroup.com/permalink/f/mqg008/TN_sage_s10_1177_09683445080150010101 [Accessed 15/11/2019].</w:t>
      </w:r>
    </w:p>
  </w:footnote>
  <w:footnote w:id="2">
    <w:p w14:paraId="21F559E3" w14:textId="797F7B54" w:rsidR="007629B2" w:rsidRDefault="007629B2">
      <w:pPr>
        <w:pStyle w:val="FootnoteText"/>
      </w:pPr>
      <w:r>
        <w:rPr>
          <w:rStyle w:val="FootnoteReference"/>
        </w:rPr>
        <w:footnoteRef/>
      </w:r>
      <w:r>
        <w:t xml:space="preserve"> </w:t>
      </w:r>
      <w:r w:rsidR="00434997">
        <w:t xml:space="preserve">Ibid. </w:t>
      </w:r>
    </w:p>
  </w:footnote>
  <w:footnote w:id="3">
    <w:p w14:paraId="3E6690FD" w14:textId="78533B54" w:rsidR="00C20D4F" w:rsidRDefault="00C20D4F">
      <w:pPr>
        <w:pStyle w:val="FootnoteText"/>
      </w:pPr>
      <w:r>
        <w:rPr>
          <w:rStyle w:val="FootnoteReference"/>
        </w:rPr>
        <w:footnoteRef/>
      </w:r>
      <w:r>
        <w:t xml:space="preserve"> Ibid. 17.</w:t>
      </w:r>
    </w:p>
  </w:footnote>
  <w:footnote w:id="4">
    <w:p w14:paraId="0A9A3799" w14:textId="1C5BBB56" w:rsidR="007629B2" w:rsidRDefault="007629B2">
      <w:pPr>
        <w:pStyle w:val="FootnoteText"/>
      </w:pPr>
      <w:r>
        <w:rPr>
          <w:rStyle w:val="FootnoteReference"/>
        </w:rPr>
        <w:footnoteRef/>
      </w:r>
      <w:r>
        <w:t xml:space="preserve"> </w:t>
      </w:r>
      <w:r w:rsidR="00434997">
        <w:rPr>
          <w:rFonts w:ascii="Times New Roman" w:hAnsi="Times New Roman" w:cs="Times New Roman"/>
        </w:rPr>
        <w:t xml:space="preserve">J. Keegan, </w:t>
      </w:r>
      <w:r w:rsidR="00434997">
        <w:rPr>
          <w:rFonts w:ascii="Times New Roman" w:hAnsi="Times New Roman" w:cs="Times New Roman"/>
          <w:i/>
          <w:iCs/>
        </w:rPr>
        <w:t>The First World War</w:t>
      </w:r>
      <w:r w:rsidR="00434997">
        <w:rPr>
          <w:rFonts w:ascii="Times New Roman" w:hAnsi="Times New Roman" w:cs="Times New Roman"/>
        </w:rPr>
        <w:t>. (London: Hutchinson, 1999).</w:t>
      </w:r>
      <w:r w:rsidR="00434997">
        <w:rPr>
          <w:rFonts w:ascii="Times New Roman" w:hAnsi="Times New Roman" w:cs="Times New Roman"/>
        </w:rPr>
        <w:t xml:space="preserve"> </w:t>
      </w:r>
      <w:r>
        <w:t>318.</w:t>
      </w:r>
    </w:p>
  </w:footnote>
  <w:footnote w:id="5">
    <w:p w14:paraId="5A2F7FA9" w14:textId="7C4BB2BC" w:rsidR="007629B2" w:rsidRDefault="007629B2">
      <w:pPr>
        <w:pStyle w:val="FootnoteText"/>
      </w:pPr>
      <w:r>
        <w:rPr>
          <w:rStyle w:val="FootnoteReference"/>
        </w:rPr>
        <w:footnoteRef/>
      </w:r>
      <w:r>
        <w:t xml:space="preserve"> </w:t>
      </w:r>
      <w:r w:rsidR="00434997">
        <w:rPr>
          <w:rFonts w:ascii="Times New Roman" w:hAnsi="Times New Roman" w:cs="Times New Roman"/>
        </w:rPr>
        <w:t xml:space="preserve">S. C. Tucker, </w:t>
      </w:r>
      <w:r w:rsidR="00434997">
        <w:rPr>
          <w:rFonts w:ascii="Times New Roman" w:hAnsi="Times New Roman" w:cs="Times New Roman"/>
          <w:i/>
          <w:iCs/>
        </w:rPr>
        <w:t>The Great War 1914 – 18.</w:t>
      </w:r>
      <w:r w:rsidR="00434997">
        <w:rPr>
          <w:rFonts w:ascii="Times New Roman" w:hAnsi="Times New Roman" w:cs="Times New Roman"/>
        </w:rPr>
        <w:t xml:space="preserve"> (London: UCL Press, 1998).</w:t>
      </w:r>
      <w:r>
        <w:t xml:space="preserve"> 107.</w:t>
      </w:r>
    </w:p>
  </w:footnote>
  <w:footnote w:id="6">
    <w:p w14:paraId="18FAE6FE" w14:textId="41AADE5E" w:rsidR="00780B5D" w:rsidRDefault="00780B5D">
      <w:pPr>
        <w:pStyle w:val="FootnoteText"/>
      </w:pPr>
      <w:r>
        <w:rPr>
          <w:rStyle w:val="FootnoteReference"/>
        </w:rPr>
        <w:footnoteRef/>
      </w:r>
      <w:r>
        <w:t xml:space="preserve"> </w:t>
      </w:r>
      <w:r>
        <w:rPr>
          <w:rFonts w:ascii="Times New Roman" w:hAnsi="Times New Roman" w:cs="Times New Roman"/>
        </w:rPr>
        <w:t>P. Harris, and S. Marble, "</w:t>
      </w:r>
      <w:r>
        <w:rPr>
          <w:rFonts w:ascii="Times New Roman" w:hAnsi="Times New Roman" w:cs="Times New Roman"/>
          <w:i/>
          <w:iCs/>
        </w:rPr>
        <w:t>The `Step-by-Step' Approach: British Military Thought and Operational Method on the Western Front, 1915—1917."</w:t>
      </w:r>
      <w:r>
        <w:rPr>
          <w:rFonts w:ascii="Times New Roman" w:hAnsi="Times New Roman" w:cs="Times New Roman"/>
        </w:rPr>
        <w:t xml:space="preserve"> War in History 15, no. 1 (2008): 17-42. Available online: https://whel-primo.hosted.exlibrisgroup.com/permalink/f/mqg008/TN_sage_s10_1177_09683445080150010101 [Accessed 15/11/2019].</w:t>
      </w:r>
      <w:r>
        <w:rPr>
          <w:rFonts w:ascii="Times New Roman" w:hAnsi="Times New Roman" w:cs="Times New Roman"/>
        </w:rPr>
        <w:t xml:space="preserve"> 18.</w:t>
      </w:r>
    </w:p>
  </w:footnote>
  <w:footnote w:id="7">
    <w:p w14:paraId="29480FFF" w14:textId="601480B9" w:rsidR="00196F13" w:rsidRDefault="00196F13">
      <w:pPr>
        <w:pStyle w:val="FootnoteText"/>
      </w:pPr>
      <w:r>
        <w:rPr>
          <w:rStyle w:val="FootnoteReference"/>
        </w:rPr>
        <w:footnoteRef/>
      </w:r>
      <w:r>
        <w:t xml:space="preserve"> Ibid. 20. </w:t>
      </w:r>
    </w:p>
  </w:footnote>
  <w:footnote w:id="8">
    <w:p w14:paraId="0378A0BE" w14:textId="5100C831" w:rsidR="00FC48C4" w:rsidRDefault="00FC48C4">
      <w:pPr>
        <w:pStyle w:val="FootnoteText"/>
      </w:pPr>
      <w:r>
        <w:rPr>
          <w:rStyle w:val="FootnoteReference"/>
        </w:rPr>
        <w:footnoteRef/>
      </w:r>
      <w:r>
        <w:t xml:space="preserve"> Ibid. 41. </w:t>
      </w:r>
    </w:p>
  </w:footnote>
  <w:footnote w:id="9">
    <w:p w14:paraId="238358F6" w14:textId="0C13630C" w:rsidR="00007858" w:rsidRDefault="00007858">
      <w:pPr>
        <w:pStyle w:val="FootnoteText"/>
      </w:pPr>
      <w:r>
        <w:rPr>
          <w:rStyle w:val="FootnoteReference"/>
        </w:rPr>
        <w:footnoteRef/>
      </w:r>
      <w:r>
        <w:t xml:space="preserve"> Ibid. 31. </w:t>
      </w:r>
    </w:p>
  </w:footnote>
  <w:footnote w:id="10">
    <w:p w14:paraId="3A3D7DCE" w14:textId="100D83F5" w:rsidR="00007858" w:rsidRDefault="00007858">
      <w:pPr>
        <w:pStyle w:val="FootnoteText"/>
      </w:pPr>
      <w:r>
        <w:rPr>
          <w:rStyle w:val="FootnoteReference"/>
        </w:rPr>
        <w:footnoteRef/>
      </w:r>
      <w:r>
        <w:t xml:space="preserve"> Ibid. 31.</w:t>
      </w:r>
    </w:p>
  </w:footnote>
  <w:footnote w:id="11">
    <w:p w14:paraId="1E313677" w14:textId="140E9CEB" w:rsidR="00007858" w:rsidRDefault="00007858">
      <w:pPr>
        <w:pStyle w:val="FootnoteText"/>
      </w:pPr>
      <w:r>
        <w:rPr>
          <w:rStyle w:val="FootnoteReference"/>
        </w:rPr>
        <w:footnoteRef/>
      </w:r>
      <w:r>
        <w:t xml:space="preserve"> Ibid. 31. </w:t>
      </w:r>
    </w:p>
  </w:footnote>
  <w:footnote w:id="12">
    <w:p w14:paraId="75611FB5" w14:textId="139B3378" w:rsidR="00F604F8" w:rsidRDefault="00F604F8">
      <w:pPr>
        <w:pStyle w:val="FootnoteText"/>
      </w:pPr>
      <w:r>
        <w:rPr>
          <w:rStyle w:val="FootnoteReference"/>
        </w:rPr>
        <w:footnoteRef/>
      </w:r>
      <w:r>
        <w:t xml:space="preserve"> Ibid. 41.</w:t>
      </w:r>
    </w:p>
  </w:footnote>
  <w:footnote w:id="13">
    <w:p w14:paraId="465C60E4" w14:textId="188E4F1E" w:rsidR="00CD5C0B" w:rsidRDefault="00CD5C0B">
      <w:pPr>
        <w:pStyle w:val="FootnoteText"/>
      </w:pPr>
      <w:r>
        <w:rPr>
          <w:rStyle w:val="FootnoteReference"/>
        </w:rPr>
        <w:footnoteRef/>
      </w:r>
      <w:r>
        <w:t xml:space="preserve"> </w:t>
      </w:r>
      <w:r w:rsidR="00671169" w:rsidRPr="00671169">
        <w:t xml:space="preserve">R. Graves, </w:t>
      </w:r>
      <w:r w:rsidR="00671169" w:rsidRPr="00671169">
        <w:rPr>
          <w:i/>
          <w:iCs/>
        </w:rPr>
        <w:t>Goodbye to All That</w:t>
      </w:r>
      <w:r w:rsidR="00671169" w:rsidRPr="00671169">
        <w:t xml:space="preserve">. </w:t>
      </w:r>
      <w:r w:rsidR="00671169">
        <w:t>(</w:t>
      </w:r>
      <w:r w:rsidR="00671169" w:rsidRPr="00671169">
        <w:t>London: Penguin Classics, 2000</w:t>
      </w:r>
      <w:r w:rsidR="00671169">
        <w:t>). 7.</w:t>
      </w:r>
      <w:r>
        <w:t xml:space="preserve"> </w:t>
      </w:r>
    </w:p>
  </w:footnote>
  <w:footnote w:id="14">
    <w:p w14:paraId="2A149C54" w14:textId="5EC1DD50" w:rsidR="00CC15C7" w:rsidRDefault="00CC15C7">
      <w:pPr>
        <w:pStyle w:val="FootnoteText"/>
      </w:pPr>
      <w:r>
        <w:rPr>
          <w:rStyle w:val="FootnoteReference"/>
        </w:rPr>
        <w:footnoteRef/>
      </w:r>
      <w:r>
        <w:t xml:space="preserve"> </w:t>
      </w:r>
      <w:r w:rsidR="00671169">
        <w:t>Ibid.</w:t>
      </w:r>
    </w:p>
  </w:footnote>
  <w:footnote w:id="15">
    <w:p w14:paraId="369F6542" w14:textId="0B31C9D1" w:rsidR="00CC15C7" w:rsidRDefault="00CC15C7">
      <w:pPr>
        <w:pStyle w:val="FootnoteText"/>
      </w:pPr>
      <w:r>
        <w:rPr>
          <w:rStyle w:val="FootnoteReference"/>
        </w:rPr>
        <w:footnoteRef/>
      </w:r>
      <w:r>
        <w:t xml:space="preserve"> </w:t>
      </w:r>
      <w:r w:rsidR="00671169">
        <w:t>Ibid. 9.</w:t>
      </w:r>
    </w:p>
  </w:footnote>
  <w:footnote w:id="16">
    <w:p w14:paraId="0F74B805" w14:textId="2E5A38E8" w:rsidR="003E3813" w:rsidRDefault="003E3813">
      <w:pPr>
        <w:pStyle w:val="FootnoteText"/>
      </w:pPr>
      <w:r>
        <w:rPr>
          <w:rStyle w:val="FootnoteReference"/>
        </w:rPr>
        <w:footnoteRef/>
      </w:r>
      <w:r>
        <w:t xml:space="preserve"> </w:t>
      </w:r>
      <w:r w:rsidR="00671169">
        <w:t xml:space="preserve">Ibid. </w:t>
      </w:r>
      <w:r>
        <w:t>40</w:t>
      </w:r>
      <w:r w:rsidR="00671169">
        <w:t>.</w:t>
      </w:r>
    </w:p>
  </w:footnote>
  <w:footnote w:id="17">
    <w:p w14:paraId="5674E988" w14:textId="651D3E55" w:rsidR="00ED2F11" w:rsidRDefault="00ED2F11">
      <w:pPr>
        <w:pStyle w:val="FootnoteText"/>
      </w:pPr>
      <w:r>
        <w:rPr>
          <w:rStyle w:val="FootnoteReference"/>
        </w:rPr>
        <w:footnoteRef/>
      </w:r>
      <w:r>
        <w:t xml:space="preserve"> </w:t>
      </w:r>
      <w:r w:rsidR="00671169">
        <w:t>Ibid.</w:t>
      </w:r>
      <w:r>
        <w:t xml:space="preserve"> 60</w:t>
      </w:r>
      <w:r w:rsidR="00671169">
        <w:t>.</w:t>
      </w:r>
    </w:p>
  </w:footnote>
  <w:footnote w:id="18">
    <w:p w14:paraId="25C0B1DE" w14:textId="2DD69FAB" w:rsidR="002F5712" w:rsidRDefault="002F5712">
      <w:pPr>
        <w:pStyle w:val="FootnoteText"/>
      </w:pPr>
      <w:r>
        <w:rPr>
          <w:rStyle w:val="FootnoteReference"/>
        </w:rPr>
        <w:footnoteRef/>
      </w:r>
      <w:r>
        <w:t xml:space="preserve"> </w:t>
      </w:r>
      <w:r w:rsidR="00671169">
        <w:t xml:space="preserve">Ibid. </w:t>
      </w:r>
      <w:r>
        <w:t>60</w:t>
      </w:r>
      <w:r w:rsidR="00671169">
        <w:t>.</w:t>
      </w:r>
    </w:p>
  </w:footnote>
  <w:footnote w:id="19">
    <w:p w14:paraId="3F22E57A" w14:textId="52871B74" w:rsidR="00C824DE" w:rsidRDefault="00C824DE">
      <w:pPr>
        <w:pStyle w:val="FootnoteText"/>
      </w:pPr>
      <w:r>
        <w:rPr>
          <w:rStyle w:val="FootnoteReference"/>
        </w:rPr>
        <w:footnoteRef/>
      </w:r>
      <w:r>
        <w:t xml:space="preserve"> </w:t>
      </w:r>
      <w:r w:rsidR="00671169">
        <w:t xml:space="preserve">Ibid. </w:t>
      </w:r>
      <w:r>
        <w:t>60</w:t>
      </w:r>
      <w:r w:rsidR="00671169">
        <w:t>.</w:t>
      </w:r>
    </w:p>
  </w:footnote>
  <w:footnote w:id="20">
    <w:p w14:paraId="13A4062A" w14:textId="01D6DAFB" w:rsidR="00A24D8F" w:rsidRDefault="00A24D8F">
      <w:pPr>
        <w:pStyle w:val="FootnoteText"/>
      </w:pPr>
      <w:r>
        <w:rPr>
          <w:rStyle w:val="FootnoteReference"/>
        </w:rPr>
        <w:footnoteRef/>
      </w:r>
      <w:r>
        <w:t xml:space="preserve"> </w:t>
      </w:r>
      <w:r w:rsidR="00671169">
        <w:t xml:space="preserve">Ibid. </w:t>
      </w:r>
      <w:r>
        <w:t>7</w:t>
      </w:r>
      <w:r w:rsidR="00671169">
        <w:t>.</w:t>
      </w:r>
    </w:p>
  </w:footnote>
  <w:footnote w:id="21">
    <w:p w14:paraId="35FD73E5" w14:textId="697F2016" w:rsidR="00A24D8F" w:rsidRDefault="00A24D8F">
      <w:pPr>
        <w:pStyle w:val="FootnoteText"/>
      </w:pPr>
      <w:r>
        <w:rPr>
          <w:rStyle w:val="FootnoteReference"/>
        </w:rPr>
        <w:footnoteRef/>
      </w:r>
      <w:r>
        <w:t xml:space="preserve"> </w:t>
      </w:r>
      <w:r w:rsidR="00671169">
        <w:t xml:space="preserve">Ibid. </w:t>
      </w:r>
      <w:r>
        <w:t>7</w:t>
      </w:r>
      <w:r w:rsidR="00671169">
        <w:t>.</w:t>
      </w:r>
    </w:p>
  </w:footnote>
  <w:footnote w:id="22">
    <w:p w14:paraId="43FAB6AE" w14:textId="0E972E75" w:rsidR="00361446" w:rsidRDefault="00361446">
      <w:pPr>
        <w:pStyle w:val="FootnoteText"/>
      </w:pPr>
      <w:r>
        <w:rPr>
          <w:rStyle w:val="FootnoteReference"/>
        </w:rPr>
        <w:footnoteRef/>
      </w:r>
      <w:r>
        <w:t xml:space="preserve"> </w:t>
      </w:r>
      <w:r w:rsidR="00671169">
        <w:t xml:space="preserve">Ibid. </w:t>
      </w:r>
      <w:r>
        <w:t>91</w:t>
      </w:r>
      <w:r w:rsidR="00671169">
        <w:t>.</w:t>
      </w:r>
    </w:p>
  </w:footnote>
  <w:footnote w:id="23">
    <w:p w14:paraId="572FB00E" w14:textId="5DC76BCD" w:rsidR="00361446" w:rsidRDefault="00361446">
      <w:pPr>
        <w:pStyle w:val="FootnoteText"/>
      </w:pPr>
      <w:r>
        <w:rPr>
          <w:rStyle w:val="FootnoteReference"/>
        </w:rPr>
        <w:footnoteRef/>
      </w:r>
      <w:r>
        <w:t xml:space="preserve"> </w:t>
      </w:r>
      <w:r w:rsidR="00671169">
        <w:t xml:space="preserve">Ibid. </w:t>
      </w:r>
      <w:r>
        <w:t>91</w:t>
      </w:r>
      <w:r w:rsidR="00671169">
        <w:t>.</w:t>
      </w:r>
    </w:p>
  </w:footnote>
  <w:footnote w:id="24">
    <w:p w14:paraId="35B45C36" w14:textId="34BB7553" w:rsidR="00310F54" w:rsidRDefault="00310F54">
      <w:pPr>
        <w:pStyle w:val="FootnoteText"/>
      </w:pPr>
      <w:r>
        <w:rPr>
          <w:rStyle w:val="FootnoteReference"/>
        </w:rPr>
        <w:footnoteRef/>
      </w:r>
      <w:r>
        <w:t xml:space="preserve"> </w:t>
      </w:r>
      <w:r w:rsidR="00671169">
        <w:t xml:space="preserve">Ibid. </w:t>
      </w:r>
      <w:r>
        <w:t>10</w:t>
      </w:r>
      <w:r w:rsidR="00671169">
        <w:t>.</w:t>
      </w:r>
    </w:p>
  </w:footnote>
  <w:footnote w:id="25">
    <w:p w14:paraId="4C293F3F" w14:textId="2927AC28" w:rsidR="00310F54" w:rsidRDefault="00310F54">
      <w:pPr>
        <w:pStyle w:val="FootnoteText"/>
      </w:pPr>
      <w:r>
        <w:rPr>
          <w:rStyle w:val="FootnoteReference"/>
        </w:rPr>
        <w:footnoteRef/>
      </w:r>
      <w:r>
        <w:t xml:space="preserve"> </w:t>
      </w:r>
      <w:r w:rsidR="00671169">
        <w:t>Ibid. 44.</w:t>
      </w:r>
    </w:p>
  </w:footnote>
  <w:footnote w:id="26">
    <w:p w14:paraId="2036ACF3" w14:textId="24C830A4" w:rsidR="00310F54" w:rsidRDefault="00310F54">
      <w:pPr>
        <w:pStyle w:val="FootnoteText"/>
      </w:pPr>
      <w:r>
        <w:rPr>
          <w:rStyle w:val="FootnoteReference"/>
        </w:rPr>
        <w:footnoteRef/>
      </w:r>
      <w:r>
        <w:t xml:space="preserve"> </w:t>
      </w:r>
      <w:r w:rsidR="00671169">
        <w:t>Ibid. 192.</w:t>
      </w:r>
    </w:p>
  </w:footnote>
  <w:footnote w:id="27">
    <w:p w14:paraId="752705B1" w14:textId="3F6F0640" w:rsidR="00310F54" w:rsidRDefault="00310F54">
      <w:pPr>
        <w:pStyle w:val="FootnoteText"/>
      </w:pPr>
      <w:r>
        <w:rPr>
          <w:rStyle w:val="FootnoteReference"/>
        </w:rPr>
        <w:footnoteRef/>
      </w:r>
      <w:r>
        <w:t xml:space="preserve"> </w:t>
      </w:r>
      <w:r w:rsidR="00671169">
        <w:t>Ibid. 264.</w:t>
      </w:r>
    </w:p>
  </w:footnote>
  <w:footnote w:id="28">
    <w:p w14:paraId="24EFF68E" w14:textId="74CBC6E0" w:rsidR="0052067B" w:rsidRDefault="0052067B">
      <w:pPr>
        <w:pStyle w:val="FootnoteText"/>
      </w:pPr>
      <w:r>
        <w:rPr>
          <w:rStyle w:val="FootnoteReference"/>
        </w:rPr>
        <w:footnoteRef/>
      </w:r>
      <w:r>
        <w:t xml:space="preserve"> </w:t>
      </w:r>
      <w:r w:rsidR="00671169">
        <w:t xml:space="preserve">Ibid. </w:t>
      </w:r>
      <w:r>
        <w:t>114</w:t>
      </w:r>
      <w:r w:rsidR="00671169">
        <w:t>.</w:t>
      </w:r>
    </w:p>
  </w:footnote>
  <w:footnote w:id="29">
    <w:p w14:paraId="6DB6D10C" w14:textId="2F64E721" w:rsidR="0052067B" w:rsidRDefault="0052067B">
      <w:pPr>
        <w:pStyle w:val="FootnoteText"/>
      </w:pPr>
      <w:r>
        <w:rPr>
          <w:rStyle w:val="FootnoteReference"/>
        </w:rPr>
        <w:footnoteRef/>
      </w:r>
      <w:r>
        <w:t xml:space="preserve"> </w:t>
      </w:r>
      <w:r w:rsidR="00671169">
        <w:t xml:space="preserve">Ibid. </w:t>
      </w:r>
      <w:r>
        <w:t>114</w:t>
      </w:r>
      <w:r w:rsidR="00671169">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D51"/>
    <w:rsid w:val="00007858"/>
    <w:rsid w:val="0014409C"/>
    <w:rsid w:val="00176564"/>
    <w:rsid w:val="00196F13"/>
    <w:rsid w:val="002314A1"/>
    <w:rsid w:val="0026259A"/>
    <w:rsid w:val="00271D7A"/>
    <w:rsid w:val="00274BD9"/>
    <w:rsid w:val="00291F6E"/>
    <w:rsid w:val="002D7992"/>
    <w:rsid w:val="002F5712"/>
    <w:rsid w:val="00305988"/>
    <w:rsid w:val="00310F54"/>
    <w:rsid w:val="00355C61"/>
    <w:rsid w:val="00361446"/>
    <w:rsid w:val="00392459"/>
    <w:rsid w:val="003E3813"/>
    <w:rsid w:val="003E4556"/>
    <w:rsid w:val="00434997"/>
    <w:rsid w:val="00441DE3"/>
    <w:rsid w:val="0052067B"/>
    <w:rsid w:val="005301C0"/>
    <w:rsid w:val="00534B54"/>
    <w:rsid w:val="00564E5B"/>
    <w:rsid w:val="00581F13"/>
    <w:rsid w:val="005F23B9"/>
    <w:rsid w:val="006154FF"/>
    <w:rsid w:val="00671169"/>
    <w:rsid w:val="00677EED"/>
    <w:rsid w:val="0070363B"/>
    <w:rsid w:val="00756335"/>
    <w:rsid w:val="007629B2"/>
    <w:rsid w:val="00780B5D"/>
    <w:rsid w:val="0078183C"/>
    <w:rsid w:val="007B5838"/>
    <w:rsid w:val="007B6861"/>
    <w:rsid w:val="008366DE"/>
    <w:rsid w:val="00893144"/>
    <w:rsid w:val="008D2532"/>
    <w:rsid w:val="00904670"/>
    <w:rsid w:val="0094620D"/>
    <w:rsid w:val="009A4CDA"/>
    <w:rsid w:val="009E0104"/>
    <w:rsid w:val="00A035E0"/>
    <w:rsid w:val="00A203D1"/>
    <w:rsid w:val="00A24D8F"/>
    <w:rsid w:val="00A8435F"/>
    <w:rsid w:val="00A94231"/>
    <w:rsid w:val="00B064D9"/>
    <w:rsid w:val="00C00D74"/>
    <w:rsid w:val="00C20D4F"/>
    <w:rsid w:val="00C21AD2"/>
    <w:rsid w:val="00C824DE"/>
    <w:rsid w:val="00CB516E"/>
    <w:rsid w:val="00CC03EB"/>
    <w:rsid w:val="00CC15C7"/>
    <w:rsid w:val="00CD5C0B"/>
    <w:rsid w:val="00CE64C9"/>
    <w:rsid w:val="00D352D9"/>
    <w:rsid w:val="00D75151"/>
    <w:rsid w:val="00D86264"/>
    <w:rsid w:val="00D931FC"/>
    <w:rsid w:val="00DA274E"/>
    <w:rsid w:val="00E01D51"/>
    <w:rsid w:val="00E350DA"/>
    <w:rsid w:val="00E4391F"/>
    <w:rsid w:val="00E81276"/>
    <w:rsid w:val="00ED2F11"/>
    <w:rsid w:val="00F15CC1"/>
    <w:rsid w:val="00F604F8"/>
    <w:rsid w:val="00F953BA"/>
    <w:rsid w:val="00FB65AF"/>
    <w:rsid w:val="00FC48C4"/>
    <w:rsid w:val="00FC6C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8D5EB"/>
  <w15:chartTrackingRefBased/>
  <w15:docId w15:val="{3F0BC05C-8189-4763-B78A-7BD86A57A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D5C0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D5C0B"/>
    <w:rPr>
      <w:sz w:val="20"/>
      <w:szCs w:val="20"/>
    </w:rPr>
  </w:style>
  <w:style w:type="character" w:styleId="FootnoteReference">
    <w:name w:val="footnote reference"/>
    <w:basedOn w:val="DefaultParagraphFont"/>
    <w:uiPriority w:val="99"/>
    <w:semiHidden/>
    <w:unhideWhenUsed/>
    <w:rsid w:val="00CD5C0B"/>
    <w:rPr>
      <w:vertAlign w:val="superscript"/>
    </w:rPr>
  </w:style>
  <w:style w:type="character" w:styleId="Hyperlink">
    <w:name w:val="Hyperlink"/>
    <w:basedOn w:val="DefaultParagraphFont"/>
    <w:uiPriority w:val="99"/>
    <w:semiHidden/>
    <w:unhideWhenUsed/>
    <w:rsid w:val="00F604F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0292698">
      <w:bodyDiv w:val="1"/>
      <w:marLeft w:val="0"/>
      <w:marRight w:val="0"/>
      <w:marTop w:val="0"/>
      <w:marBottom w:val="0"/>
      <w:divBdr>
        <w:top w:val="none" w:sz="0" w:space="0" w:color="auto"/>
        <w:left w:val="none" w:sz="0" w:space="0" w:color="auto"/>
        <w:bottom w:val="none" w:sz="0" w:space="0" w:color="auto"/>
        <w:right w:val="none" w:sz="0" w:space="0" w:color="auto"/>
      </w:divBdr>
    </w:div>
    <w:div w:id="1760101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hel-primo.hosted.exlibrisgroup.com/permalink/f/mqg008/TN_sage_s10_1177_0968344508015001010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35C113-7E2A-4F92-81A2-21C11D70F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TotalTime>
  <Pages>5</Pages>
  <Words>1735</Words>
  <Characters>9892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Smith</dc:creator>
  <cp:keywords/>
  <dc:description/>
  <cp:lastModifiedBy>Thomas Smith</cp:lastModifiedBy>
  <cp:revision>16</cp:revision>
  <dcterms:created xsi:type="dcterms:W3CDTF">2019-11-14T18:36:00Z</dcterms:created>
  <dcterms:modified xsi:type="dcterms:W3CDTF">2019-11-15T23:56:00Z</dcterms:modified>
</cp:coreProperties>
</file>