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E488F" w14:textId="2FF31C8D" w:rsidR="7CFB2C14" w:rsidRPr="00E0512B" w:rsidRDefault="7CFB2C14" w:rsidP="008859A9">
      <w:pPr>
        <w:spacing w:line="360" w:lineRule="auto"/>
        <w:ind w:left="2880"/>
        <w:rPr>
          <w:rFonts w:ascii="Arial" w:eastAsia="Arial" w:hAnsi="Arial" w:cs="Arial"/>
          <w:b/>
          <w:bCs/>
          <w:color w:val="000000" w:themeColor="text1"/>
          <w:sz w:val="22"/>
          <w:szCs w:val="22"/>
        </w:rPr>
      </w:pPr>
    </w:p>
    <w:p w14:paraId="0BE0AEAA" w14:textId="44E6A917" w:rsidR="6AB913BE" w:rsidRPr="00E0512B" w:rsidRDefault="7D6A3440" w:rsidP="008859A9">
      <w:pPr>
        <w:spacing w:line="360" w:lineRule="auto"/>
        <w:ind w:left="2880"/>
        <w:rPr>
          <w:rFonts w:ascii="Arial" w:eastAsia="Arial" w:hAnsi="Arial" w:cs="Arial"/>
          <w:color w:val="000000" w:themeColor="text1"/>
          <w:sz w:val="22"/>
          <w:szCs w:val="22"/>
        </w:rPr>
      </w:pPr>
      <w:r w:rsidRPr="00E0512B">
        <w:rPr>
          <w:rFonts w:ascii="Arial" w:eastAsia="Arial" w:hAnsi="Arial" w:cs="Arial"/>
          <w:b/>
          <w:bCs/>
          <w:color w:val="000000" w:themeColor="text1"/>
          <w:sz w:val="22"/>
          <w:szCs w:val="22"/>
        </w:rPr>
        <w:t>BSc Health and Social Care</w:t>
      </w:r>
    </w:p>
    <w:p w14:paraId="5C91D0F2" w14:textId="2BC7CC56" w:rsidR="6AB913BE" w:rsidRPr="00E0512B" w:rsidRDefault="7D6A3440" w:rsidP="008859A9">
      <w:pPr>
        <w:spacing w:line="360" w:lineRule="auto"/>
        <w:ind w:left="1440"/>
        <w:rPr>
          <w:rFonts w:ascii="Arial" w:eastAsia="Arial" w:hAnsi="Arial" w:cs="Arial"/>
          <w:color w:val="000000" w:themeColor="text1"/>
          <w:sz w:val="22"/>
          <w:szCs w:val="22"/>
        </w:rPr>
      </w:pPr>
      <w:r w:rsidRPr="00E0512B">
        <w:rPr>
          <w:rFonts w:ascii="Arial" w:eastAsia="Arial" w:hAnsi="Arial" w:cs="Arial"/>
          <w:b/>
          <w:bCs/>
          <w:color w:val="000000" w:themeColor="text1"/>
          <w:sz w:val="22"/>
          <w:szCs w:val="22"/>
        </w:rPr>
        <w:t xml:space="preserve">         Principles of Health and Social Care Practice</w:t>
      </w:r>
    </w:p>
    <w:p w14:paraId="4230D480" w14:textId="217DF455" w:rsidR="6AB913BE" w:rsidRPr="00E0512B" w:rsidRDefault="7D6A3440" w:rsidP="008859A9">
      <w:pPr>
        <w:spacing w:before="120" w:after="120" w:line="360" w:lineRule="auto"/>
        <w:ind w:left="2880"/>
        <w:jc w:val="both"/>
        <w:rPr>
          <w:rFonts w:ascii="Arial" w:eastAsia="Arial" w:hAnsi="Arial" w:cs="Arial"/>
          <w:color w:val="000000" w:themeColor="text1"/>
          <w:sz w:val="22"/>
          <w:szCs w:val="22"/>
        </w:rPr>
      </w:pPr>
      <w:r w:rsidRPr="00E0512B">
        <w:rPr>
          <w:rFonts w:ascii="Arial" w:eastAsia="Arial" w:hAnsi="Arial" w:cs="Arial"/>
          <w:b/>
          <w:bCs/>
          <w:color w:val="000000" w:themeColor="text1"/>
          <w:sz w:val="22"/>
          <w:szCs w:val="22"/>
        </w:rPr>
        <w:t>Module code: BMHP5016</w:t>
      </w:r>
    </w:p>
    <w:p w14:paraId="1217EA87" w14:textId="78E38D67" w:rsidR="7CFB2C14" w:rsidRPr="00E0512B" w:rsidRDefault="7CFB2C14" w:rsidP="008859A9">
      <w:pPr>
        <w:spacing w:before="120" w:after="120" w:line="360" w:lineRule="auto"/>
        <w:ind w:left="2880"/>
        <w:jc w:val="both"/>
        <w:rPr>
          <w:rFonts w:ascii="Arial" w:eastAsia="Arial" w:hAnsi="Arial" w:cs="Arial"/>
          <w:color w:val="000000" w:themeColor="text1"/>
          <w:sz w:val="22"/>
          <w:szCs w:val="22"/>
        </w:rPr>
      </w:pPr>
    </w:p>
    <w:p w14:paraId="5A30F450" w14:textId="4A8B8BDF" w:rsidR="7CFB2C14" w:rsidRPr="00E0512B" w:rsidRDefault="7CFB2C14" w:rsidP="008859A9">
      <w:pPr>
        <w:spacing w:before="120" w:after="120" w:line="360" w:lineRule="auto"/>
        <w:ind w:left="2880"/>
        <w:jc w:val="both"/>
        <w:rPr>
          <w:rFonts w:ascii="Arial" w:eastAsia="Arial" w:hAnsi="Arial" w:cs="Arial"/>
          <w:color w:val="000000" w:themeColor="text1"/>
          <w:sz w:val="22"/>
          <w:szCs w:val="22"/>
        </w:rPr>
      </w:pPr>
    </w:p>
    <w:p w14:paraId="4396E5D1" w14:textId="55FA2EF5" w:rsidR="6AB913BE" w:rsidRPr="00E0512B" w:rsidRDefault="7D6A3440" w:rsidP="008859A9">
      <w:pPr>
        <w:spacing w:line="360" w:lineRule="auto"/>
        <w:rPr>
          <w:rFonts w:ascii="Arial" w:eastAsia="Arial" w:hAnsi="Arial" w:cs="Arial"/>
          <w:color w:val="000000" w:themeColor="text1"/>
          <w:sz w:val="22"/>
          <w:szCs w:val="22"/>
        </w:rPr>
      </w:pPr>
      <w:r w:rsidRPr="00E0512B">
        <w:rPr>
          <w:rFonts w:ascii="Arial" w:eastAsia="Arial" w:hAnsi="Arial" w:cs="Arial"/>
          <w:b/>
          <w:bCs/>
          <w:color w:val="000000" w:themeColor="text1"/>
          <w:sz w:val="22"/>
          <w:szCs w:val="22"/>
        </w:rPr>
        <w:t>Student Number: 2413669</w:t>
      </w:r>
    </w:p>
    <w:p w14:paraId="3140ED2B" w14:textId="777951C3" w:rsidR="6AB913BE" w:rsidRPr="00E0512B" w:rsidRDefault="7D6A3440" w:rsidP="008859A9">
      <w:pPr>
        <w:spacing w:before="240" w:after="240" w:line="360" w:lineRule="auto"/>
        <w:rPr>
          <w:rFonts w:ascii="Arial" w:eastAsia="Arial" w:hAnsi="Arial" w:cs="Arial"/>
          <w:color w:val="000000" w:themeColor="text1"/>
          <w:sz w:val="22"/>
          <w:szCs w:val="22"/>
        </w:rPr>
      </w:pPr>
      <w:r w:rsidRPr="00E0512B">
        <w:rPr>
          <w:rFonts w:ascii="Arial" w:eastAsia="Arial" w:hAnsi="Arial" w:cs="Arial"/>
          <w:b/>
          <w:bCs/>
          <w:color w:val="000000" w:themeColor="text1"/>
          <w:sz w:val="22"/>
          <w:szCs w:val="22"/>
        </w:rPr>
        <w:t>Student Name: Misba Mahmood</w:t>
      </w:r>
    </w:p>
    <w:p w14:paraId="7D7561BB" w14:textId="210150A4" w:rsidR="6AB913BE" w:rsidRPr="00E0512B" w:rsidRDefault="7D6A3440" w:rsidP="008859A9">
      <w:pPr>
        <w:spacing w:before="240" w:after="240" w:line="360" w:lineRule="auto"/>
        <w:rPr>
          <w:rFonts w:ascii="Arial" w:eastAsia="Arial" w:hAnsi="Arial" w:cs="Arial"/>
          <w:color w:val="000000" w:themeColor="text1"/>
          <w:sz w:val="22"/>
          <w:szCs w:val="22"/>
        </w:rPr>
      </w:pPr>
      <w:r w:rsidRPr="00E0512B">
        <w:rPr>
          <w:rFonts w:ascii="Arial" w:eastAsia="Arial" w:hAnsi="Arial" w:cs="Arial"/>
          <w:b/>
          <w:bCs/>
          <w:color w:val="000000" w:themeColor="text1"/>
          <w:sz w:val="22"/>
          <w:szCs w:val="22"/>
        </w:rPr>
        <w:t>Tutors Details: Helen Parson</w:t>
      </w:r>
      <w:r w:rsidR="09E82178" w:rsidRPr="00E0512B">
        <w:rPr>
          <w:rFonts w:ascii="Arial" w:eastAsia="Arial" w:hAnsi="Arial" w:cs="Arial"/>
          <w:b/>
          <w:bCs/>
          <w:color w:val="000000" w:themeColor="text1"/>
          <w:sz w:val="22"/>
          <w:szCs w:val="22"/>
        </w:rPr>
        <w:t>s</w:t>
      </w:r>
    </w:p>
    <w:p w14:paraId="1DD53418" w14:textId="7ED8050F" w:rsidR="6AB913BE" w:rsidRPr="00E0512B" w:rsidRDefault="7D6A3440" w:rsidP="008859A9">
      <w:pPr>
        <w:spacing w:before="120" w:after="120" w:line="360" w:lineRule="auto"/>
        <w:rPr>
          <w:rFonts w:ascii="Arial" w:eastAsia="Arial" w:hAnsi="Arial" w:cs="Arial"/>
          <w:color w:val="000000" w:themeColor="text1"/>
          <w:sz w:val="22"/>
          <w:szCs w:val="22"/>
        </w:rPr>
      </w:pPr>
      <w:r w:rsidRPr="00E0512B">
        <w:rPr>
          <w:rFonts w:ascii="Arial" w:eastAsia="Arial" w:hAnsi="Arial" w:cs="Arial"/>
          <w:b/>
          <w:bCs/>
          <w:color w:val="000000" w:themeColor="text1"/>
          <w:sz w:val="22"/>
          <w:szCs w:val="22"/>
        </w:rPr>
        <w:t>Portfolio: Component 2: Written Assignment (Report)</w:t>
      </w:r>
    </w:p>
    <w:p w14:paraId="08B25432" w14:textId="6DE1C260" w:rsidR="6AB913BE" w:rsidRPr="00E0512B" w:rsidRDefault="7D6A3440" w:rsidP="008859A9">
      <w:pPr>
        <w:spacing w:before="120" w:after="120" w:line="360" w:lineRule="auto"/>
        <w:rPr>
          <w:rFonts w:ascii="Arial" w:eastAsia="Arial" w:hAnsi="Arial" w:cs="Arial"/>
          <w:b/>
          <w:bCs/>
          <w:color w:val="000000" w:themeColor="text1"/>
          <w:sz w:val="22"/>
          <w:szCs w:val="22"/>
        </w:rPr>
      </w:pPr>
      <w:r w:rsidRPr="00E0512B">
        <w:rPr>
          <w:rFonts w:ascii="Arial" w:eastAsia="Arial" w:hAnsi="Arial" w:cs="Arial"/>
          <w:b/>
          <w:bCs/>
          <w:color w:val="000000" w:themeColor="text1"/>
          <w:sz w:val="22"/>
          <w:szCs w:val="22"/>
        </w:rPr>
        <w:t>Submission date: 17</w:t>
      </w:r>
      <w:r w:rsidRPr="00E0512B">
        <w:rPr>
          <w:rFonts w:ascii="Arial" w:eastAsia="Arial" w:hAnsi="Arial" w:cs="Arial"/>
          <w:b/>
          <w:bCs/>
          <w:color w:val="000000" w:themeColor="text1"/>
          <w:sz w:val="22"/>
          <w:szCs w:val="22"/>
          <w:vertAlign w:val="superscript"/>
        </w:rPr>
        <w:t>th</w:t>
      </w:r>
      <w:r w:rsidRPr="00E0512B">
        <w:rPr>
          <w:rFonts w:ascii="Arial" w:eastAsia="Arial" w:hAnsi="Arial" w:cs="Arial"/>
          <w:b/>
          <w:bCs/>
          <w:color w:val="000000" w:themeColor="text1"/>
          <w:sz w:val="22"/>
          <w:szCs w:val="22"/>
        </w:rPr>
        <w:t xml:space="preserve"> November 2025</w:t>
      </w:r>
    </w:p>
    <w:p w14:paraId="7B8D49AF" w14:textId="76CD6DE0" w:rsidR="00975531" w:rsidRPr="00E0512B" w:rsidRDefault="00975531" w:rsidP="008859A9">
      <w:pPr>
        <w:spacing w:line="360" w:lineRule="auto"/>
        <w:rPr>
          <w:rFonts w:ascii="Arial" w:eastAsia="Arial" w:hAnsi="Arial" w:cs="Arial"/>
          <w:b/>
          <w:bCs/>
          <w:color w:val="000000" w:themeColor="text1"/>
          <w:sz w:val="22"/>
          <w:szCs w:val="22"/>
        </w:rPr>
      </w:pPr>
      <w:r w:rsidRPr="00E0512B">
        <w:rPr>
          <w:rFonts w:ascii="Arial" w:eastAsia="Arial" w:hAnsi="Arial" w:cs="Arial"/>
          <w:b/>
          <w:bCs/>
          <w:color w:val="000000" w:themeColor="text1"/>
          <w:sz w:val="22"/>
          <w:szCs w:val="22"/>
        </w:rPr>
        <w:br w:type="page"/>
      </w:r>
    </w:p>
    <w:p w14:paraId="637C6975" w14:textId="77777777" w:rsidR="00740904" w:rsidRPr="00E0512B" w:rsidRDefault="00740904" w:rsidP="00740904">
      <w:pPr>
        <w:spacing w:before="240" w:after="240" w:line="360" w:lineRule="auto"/>
        <w:rPr>
          <w:rFonts w:ascii="Arial" w:hAnsi="Arial" w:cs="Arial"/>
          <w:sz w:val="22"/>
          <w:szCs w:val="22"/>
        </w:rPr>
      </w:pPr>
    </w:p>
    <w:p w14:paraId="36E692A8" w14:textId="77777777" w:rsidR="00740904" w:rsidRPr="00E0512B" w:rsidRDefault="00740904" w:rsidP="00740904">
      <w:pPr>
        <w:spacing w:before="120" w:after="120" w:line="360" w:lineRule="auto"/>
        <w:rPr>
          <w:rFonts w:ascii="Arial" w:eastAsia="Arial" w:hAnsi="Arial" w:cs="Arial"/>
          <w:b/>
          <w:bCs/>
          <w:sz w:val="22"/>
          <w:szCs w:val="22"/>
        </w:rPr>
      </w:pPr>
      <w:r w:rsidRPr="00E0512B">
        <w:rPr>
          <w:rFonts w:ascii="Arial" w:eastAsia="Arial" w:hAnsi="Arial" w:cs="Arial"/>
          <w:b/>
          <w:bCs/>
          <w:sz w:val="22"/>
          <w:szCs w:val="22"/>
        </w:rPr>
        <w:t xml:space="preserve">Abstract </w:t>
      </w:r>
    </w:p>
    <w:p w14:paraId="4695191D" w14:textId="77777777" w:rsidR="00740904" w:rsidRPr="00E0512B" w:rsidRDefault="00740904" w:rsidP="00740904">
      <w:pPr>
        <w:spacing w:line="360" w:lineRule="auto"/>
        <w:rPr>
          <w:rFonts w:ascii="Arial" w:eastAsia="Arial" w:hAnsi="Arial" w:cs="Arial"/>
          <w:sz w:val="22"/>
          <w:szCs w:val="22"/>
        </w:rPr>
      </w:pPr>
      <w:r w:rsidRPr="00E0512B">
        <w:rPr>
          <w:rFonts w:ascii="Arial" w:eastAsia="Arial" w:hAnsi="Arial" w:cs="Arial"/>
          <w:sz w:val="22"/>
          <w:szCs w:val="22"/>
        </w:rPr>
        <w:t xml:space="preserve">This report examines the applications of Person-Centred Care (PCC) and Partnership Working (PW) in a residential care home for older adults. The analysis revealed that PCC enhances residents' dignity, autonomy, and emotional wellbeing by recognising individual preferences, values, and life histories. Effective PW between professional, care staff, families and residents promote holistic and coordinated care; however, challenges such as staffing pressures and communication barriers remain significant. Maslow's hierarchy of needs was applied to illustrate how addressing physical, social, and psychological needs support overall wellbeing. Ethical principles and relevant legislation, including the Care Act (2014) and the Mental Capacity Act (2005), were used to evaluate decision-making and the protection of residents’ rights. The report concludes that improved teamwork continuous professional development and enhanced digital care documentation can strengthen collaborative practice and ensure high- quality, person-centred outcomes for residents. </w:t>
      </w:r>
    </w:p>
    <w:p w14:paraId="48258C19" w14:textId="7D766368" w:rsidR="00740904" w:rsidRDefault="00740904" w:rsidP="00740904">
      <w:pPr>
        <w:rPr>
          <w:rFonts w:ascii="Arial" w:eastAsia="Arial" w:hAnsi="Arial" w:cs="Arial"/>
          <w:b/>
          <w:bCs/>
          <w:color w:val="000000" w:themeColor="text1"/>
          <w:sz w:val="22"/>
          <w:szCs w:val="22"/>
        </w:rPr>
      </w:pPr>
      <w:r>
        <w:rPr>
          <w:rFonts w:ascii="Arial" w:eastAsia="Arial" w:hAnsi="Arial" w:cs="Arial"/>
          <w:b/>
          <w:bCs/>
          <w:color w:val="000000" w:themeColor="text1"/>
          <w:sz w:val="22"/>
          <w:szCs w:val="22"/>
        </w:rPr>
        <w:br w:type="page"/>
      </w:r>
    </w:p>
    <w:p w14:paraId="759B754C" w14:textId="77777777" w:rsidR="00740904" w:rsidRPr="00E0512B" w:rsidRDefault="00740904" w:rsidP="00740904">
      <w:pPr>
        <w:rPr>
          <w:rFonts w:ascii="Arial" w:eastAsia="Arial" w:hAnsi="Arial" w:cs="Arial"/>
          <w:b/>
          <w:bCs/>
          <w:color w:val="000000" w:themeColor="text1"/>
          <w:sz w:val="22"/>
          <w:szCs w:val="22"/>
        </w:rPr>
      </w:pPr>
    </w:p>
    <w:p w14:paraId="49173F9A" w14:textId="2983DF6F" w:rsidR="008B762B" w:rsidRPr="008B762B" w:rsidRDefault="4371AE8E" w:rsidP="008B762B">
      <w:pPr>
        <w:spacing w:before="240" w:after="240" w:line="360" w:lineRule="auto"/>
        <w:rPr>
          <w:rFonts w:ascii="Arial" w:eastAsia="Aptos" w:hAnsi="Arial" w:cs="Arial"/>
          <w:b/>
          <w:bCs/>
          <w:sz w:val="22"/>
          <w:szCs w:val="22"/>
        </w:rPr>
      </w:pPr>
      <w:r w:rsidRPr="00E0512B">
        <w:rPr>
          <w:rFonts w:ascii="Arial" w:eastAsia="Aptos" w:hAnsi="Arial" w:cs="Arial"/>
          <w:b/>
          <w:bCs/>
          <w:sz w:val="22"/>
          <w:szCs w:val="22"/>
        </w:rPr>
        <w:t xml:space="preserve">Contents </w:t>
      </w:r>
    </w:p>
    <w:p w14:paraId="1BEFDDAD" w14:textId="0BB45D50" w:rsidR="008B762B" w:rsidRPr="008B762B" w:rsidRDefault="008B762B" w:rsidP="008B762B">
      <w:pPr>
        <w:spacing w:line="360" w:lineRule="auto"/>
        <w:rPr>
          <w:rFonts w:ascii="Arial" w:eastAsia="Aptos" w:hAnsi="Arial" w:cs="Arial"/>
          <w:sz w:val="22"/>
          <w:szCs w:val="22"/>
        </w:rPr>
      </w:pPr>
      <w:r w:rsidRPr="68E38A93">
        <w:rPr>
          <w:rFonts w:ascii="Arial" w:eastAsia="Aptos" w:hAnsi="Arial" w:cs="Arial"/>
          <w:sz w:val="22"/>
          <w:szCs w:val="22"/>
        </w:rPr>
        <w:t>1.0 Introduction ........................................................................................................ 3</w:t>
      </w:r>
      <w:r>
        <w:br/>
      </w:r>
      <w:r w:rsidRPr="68E38A93">
        <w:rPr>
          <w:rFonts w:ascii="Arial" w:eastAsia="Aptos" w:hAnsi="Arial" w:cs="Arial"/>
          <w:sz w:val="22"/>
          <w:szCs w:val="22"/>
        </w:rPr>
        <w:t>2.0 What is Person-Centred Care (PCC)? ............................................................ 4</w:t>
      </w:r>
      <w:r>
        <w:br/>
      </w:r>
      <w:r w:rsidRPr="68E38A93">
        <w:rPr>
          <w:rFonts w:ascii="Arial" w:eastAsia="Aptos" w:hAnsi="Arial" w:cs="Arial"/>
          <w:sz w:val="22"/>
          <w:szCs w:val="22"/>
        </w:rPr>
        <w:t>3.0 Theoretical Framework: Maslow’s Hierarchy of Needs ................................</w:t>
      </w:r>
      <w:r w:rsidR="03B9FACA" w:rsidRPr="68E38A93">
        <w:rPr>
          <w:rFonts w:ascii="Arial" w:eastAsia="Aptos" w:hAnsi="Arial" w:cs="Arial"/>
          <w:sz w:val="22"/>
          <w:szCs w:val="22"/>
        </w:rPr>
        <w:t>.</w:t>
      </w:r>
      <w:r w:rsidRPr="68E38A93">
        <w:rPr>
          <w:rFonts w:ascii="Arial" w:eastAsia="Aptos" w:hAnsi="Arial" w:cs="Arial"/>
          <w:sz w:val="22"/>
          <w:szCs w:val="22"/>
        </w:rPr>
        <w:t>. 5</w:t>
      </w:r>
      <w:r>
        <w:br/>
      </w:r>
      <w:r w:rsidRPr="68E38A93">
        <w:rPr>
          <w:rFonts w:ascii="Arial" w:eastAsia="Aptos" w:hAnsi="Arial" w:cs="Arial"/>
          <w:sz w:val="22"/>
          <w:szCs w:val="22"/>
        </w:rPr>
        <w:t>4.0 Ethical Fundamentals in Person-Centred Care (PCC) .................................. 7</w:t>
      </w:r>
      <w:r>
        <w:br/>
      </w:r>
      <w:r w:rsidRPr="68E38A93">
        <w:rPr>
          <w:rFonts w:ascii="Arial" w:eastAsia="Aptos" w:hAnsi="Arial" w:cs="Arial"/>
          <w:sz w:val="22"/>
          <w:szCs w:val="22"/>
        </w:rPr>
        <w:t xml:space="preserve">5.0 What is Partnership Working (PW)? ............................................................... </w:t>
      </w:r>
      <w:r w:rsidR="00363262" w:rsidRPr="68E38A93">
        <w:rPr>
          <w:rFonts w:ascii="Arial" w:eastAsia="Aptos" w:hAnsi="Arial" w:cs="Arial"/>
          <w:sz w:val="22"/>
          <w:szCs w:val="22"/>
        </w:rPr>
        <w:t>7</w:t>
      </w:r>
      <w:r>
        <w:br/>
      </w:r>
      <w:r w:rsidRPr="68E38A93">
        <w:rPr>
          <w:rFonts w:ascii="Arial" w:eastAsia="Aptos" w:hAnsi="Arial" w:cs="Arial"/>
          <w:sz w:val="22"/>
          <w:szCs w:val="22"/>
        </w:rPr>
        <w:t xml:space="preserve">6.0 Recommendations ............................................................................................ </w:t>
      </w:r>
      <w:r w:rsidR="00363262" w:rsidRPr="68E38A93">
        <w:rPr>
          <w:rFonts w:ascii="Arial" w:eastAsia="Aptos" w:hAnsi="Arial" w:cs="Arial"/>
          <w:sz w:val="22"/>
          <w:szCs w:val="22"/>
        </w:rPr>
        <w:t>8</w:t>
      </w:r>
      <w:r>
        <w:br/>
      </w:r>
      <w:r w:rsidRPr="68E38A93">
        <w:rPr>
          <w:rFonts w:ascii="Arial" w:eastAsia="Aptos" w:hAnsi="Arial" w:cs="Arial"/>
          <w:sz w:val="22"/>
          <w:szCs w:val="22"/>
        </w:rPr>
        <w:t xml:space="preserve">7.0 Conclusion ........................................................................................................ </w:t>
      </w:r>
      <w:r w:rsidR="00400CC2" w:rsidRPr="68E38A93">
        <w:rPr>
          <w:rFonts w:ascii="Arial" w:eastAsia="Aptos" w:hAnsi="Arial" w:cs="Arial"/>
          <w:sz w:val="22"/>
          <w:szCs w:val="22"/>
        </w:rPr>
        <w:t>9</w:t>
      </w:r>
      <w:r>
        <w:br/>
      </w:r>
      <w:r w:rsidRPr="68E38A93">
        <w:rPr>
          <w:rFonts w:ascii="Arial" w:eastAsia="Aptos" w:hAnsi="Arial" w:cs="Arial"/>
          <w:sz w:val="22"/>
          <w:szCs w:val="22"/>
        </w:rPr>
        <w:t>Reference List ......................................................................................................... 1</w:t>
      </w:r>
      <w:r w:rsidR="00400CC2" w:rsidRPr="68E38A93">
        <w:rPr>
          <w:rFonts w:ascii="Arial" w:eastAsia="Aptos" w:hAnsi="Arial" w:cs="Arial"/>
          <w:sz w:val="22"/>
          <w:szCs w:val="22"/>
        </w:rPr>
        <w:t>0</w:t>
      </w:r>
    </w:p>
    <w:p w14:paraId="5C17EA72" w14:textId="77777777" w:rsidR="008B762B" w:rsidRPr="008B762B" w:rsidRDefault="008B762B" w:rsidP="008B762B">
      <w:pPr>
        <w:spacing w:line="360" w:lineRule="auto"/>
        <w:rPr>
          <w:rFonts w:ascii="Arial" w:eastAsia="Aptos" w:hAnsi="Arial" w:cs="Arial"/>
          <w:sz w:val="22"/>
          <w:szCs w:val="22"/>
        </w:rPr>
      </w:pPr>
      <w:r w:rsidRPr="008B762B">
        <w:rPr>
          <w:rFonts w:ascii="Arial" w:eastAsia="Aptos" w:hAnsi="Arial" w:cs="Arial"/>
          <w:b/>
          <w:bCs/>
          <w:sz w:val="22"/>
          <w:szCs w:val="22"/>
        </w:rPr>
        <w:t>List of Tables</w:t>
      </w:r>
      <w:r w:rsidRPr="008B762B">
        <w:rPr>
          <w:rFonts w:ascii="Arial" w:eastAsia="Aptos" w:hAnsi="Arial" w:cs="Arial"/>
          <w:sz w:val="22"/>
          <w:szCs w:val="22"/>
        </w:rPr>
        <w:t xml:space="preserve"> Table 1. Application of Maslow’s Hierarchy of Needs in Residential Care Homes ............. 6</w:t>
      </w:r>
    </w:p>
    <w:p w14:paraId="03142395" w14:textId="36A5AF78" w:rsidR="00975531" w:rsidRPr="00E0512B" w:rsidRDefault="00975531" w:rsidP="008859A9">
      <w:pPr>
        <w:spacing w:line="360" w:lineRule="auto"/>
        <w:rPr>
          <w:rFonts w:ascii="Arial" w:eastAsia="Aptos" w:hAnsi="Arial" w:cs="Arial"/>
          <w:sz w:val="22"/>
          <w:szCs w:val="22"/>
        </w:rPr>
      </w:pPr>
      <w:r w:rsidRPr="00E0512B">
        <w:rPr>
          <w:rFonts w:ascii="Arial" w:eastAsia="Aptos" w:hAnsi="Arial" w:cs="Arial"/>
          <w:sz w:val="22"/>
          <w:szCs w:val="22"/>
        </w:rPr>
        <w:br w:type="page"/>
      </w:r>
    </w:p>
    <w:p w14:paraId="7A895EA6" w14:textId="0EE10511" w:rsidR="7CFB2C14" w:rsidRPr="00E0512B" w:rsidRDefault="7CFB2C14" w:rsidP="008859A9">
      <w:pPr>
        <w:spacing w:line="360" w:lineRule="auto"/>
        <w:rPr>
          <w:rFonts w:ascii="Arial" w:eastAsia="Arial" w:hAnsi="Arial" w:cs="Arial"/>
          <w:sz w:val="22"/>
          <w:szCs w:val="22"/>
        </w:rPr>
      </w:pPr>
    </w:p>
    <w:p w14:paraId="7FDA46F5" w14:textId="3447D1EA" w:rsidR="4A8C5990" w:rsidRPr="00E0512B" w:rsidRDefault="2CE8B30C" w:rsidP="008859A9">
      <w:pPr>
        <w:spacing w:line="360" w:lineRule="auto"/>
        <w:rPr>
          <w:rFonts w:ascii="Arial" w:eastAsia="Arial" w:hAnsi="Arial" w:cs="Arial"/>
          <w:b/>
          <w:bCs/>
          <w:sz w:val="22"/>
          <w:szCs w:val="22"/>
        </w:rPr>
      </w:pPr>
      <w:r w:rsidRPr="00E0512B">
        <w:rPr>
          <w:rFonts w:ascii="Arial" w:eastAsia="Arial" w:hAnsi="Arial" w:cs="Arial"/>
          <w:b/>
          <w:bCs/>
          <w:sz w:val="22"/>
          <w:szCs w:val="22"/>
        </w:rPr>
        <w:t xml:space="preserve">Introduction </w:t>
      </w:r>
    </w:p>
    <w:p w14:paraId="60EE945F" w14:textId="0B84A601" w:rsidR="7CFB2C14" w:rsidRPr="00E0512B" w:rsidRDefault="699DEC0C" w:rsidP="008859A9">
      <w:pPr>
        <w:spacing w:line="360" w:lineRule="auto"/>
        <w:rPr>
          <w:rFonts w:ascii="Arial" w:eastAsia="Arial" w:hAnsi="Arial" w:cs="Arial"/>
          <w:sz w:val="22"/>
          <w:szCs w:val="22"/>
        </w:rPr>
      </w:pPr>
      <w:r w:rsidRPr="00E0512B">
        <w:rPr>
          <w:rFonts w:ascii="Arial" w:eastAsia="Arial" w:hAnsi="Arial" w:cs="Arial"/>
          <w:sz w:val="22"/>
          <w:szCs w:val="22"/>
        </w:rPr>
        <w:t xml:space="preserve">Person-Centred Care (PCC) and Partnership Working (PW) are essential approaches in modern health and social care, with PCC emphasising the importance of viewing each individual as a unique person with their own history, identity, beliefs and preferences rather than focusing solely on illness or disability (Health Foundation, 2016), while PW involves professionals, agencies, care staff, families and the individual working together to ensure that care is coordinated, holistic and effective (Glasby and Dickinson, 2014). These approaches are </w:t>
      </w:r>
      <w:r w:rsidR="7435478D" w:rsidRPr="00E0512B">
        <w:rPr>
          <w:rFonts w:ascii="Arial" w:eastAsia="Arial" w:hAnsi="Arial" w:cs="Arial"/>
          <w:sz w:val="22"/>
          <w:szCs w:val="22"/>
        </w:rPr>
        <w:t>supported</w:t>
      </w:r>
      <w:r w:rsidRPr="00E0512B">
        <w:rPr>
          <w:rFonts w:ascii="Arial" w:eastAsia="Arial" w:hAnsi="Arial" w:cs="Arial"/>
          <w:sz w:val="22"/>
          <w:szCs w:val="22"/>
        </w:rPr>
        <w:t xml:space="preserve"> by legislation such as the Care Act 2014, which promotes personal choice, control and well-being, and the Health and Care Act 2022, which strengthens integration between health and social care services. In residential care homes, where people may experience reduced independence, mobility difficulties and emotional loneliness, PCC and PW ensure that residents’ voices shape their support and that both their physical and emotional needs are prioritised. This report will use Maslow’s Hierarchy of Needs, alongside ethical principles, legal </w:t>
      </w:r>
      <w:r w:rsidR="6DE722DF" w:rsidRPr="00E0512B">
        <w:rPr>
          <w:rFonts w:ascii="Arial" w:eastAsia="Arial" w:hAnsi="Arial" w:cs="Arial"/>
          <w:sz w:val="22"/>
          <w:szCs w:val="22"/>
        </w:rPr>
        <w:t>responsibilities,</w:t>
      </w:r>
      <w:r w:rsidRPr="00E0512B">
        <w:rPr>
          <w:rFonts w:ascii="Arial" w:eastAsia="Arial" w:hAnsi="Arial" w:cs="Arial"/>
          <w:sz w:val="22"/>
          <w:szCs w:val="22"/>
        </w:rPr>
        <w:t xml:space="preserve"> and evidence-based practice, to explore how PCC and PW work together to improve the quality of care in residential settings.</w:t>
      </w:r>
    </w:p>
    <w:p w14:paraId="4A76CB4B" w14:textId="1114CA34" w:rsidR="7CFB2C14" w:rsidRPr="00E0512B" w:rsidRDefault="7CFB2C14" w:rsidP="008859A9">
      <w:pPr>
        <w:spacing w:line="360" w:lineRule="auto"/>
        <w:rPr>
          <w:rFonts w:ascii="Arial" w:eastAsia="Arial" w:hAnsi="Arial" w:cs="Arial"/>
          <w:b/>
          <w:bCs/>
          <w:sz w:val="22"/>
          <w:szCs w:val="22"/>
        </w:rPr>
      </w:pPr>
    </w:p>
    <w:p w14:paraId="19FC579D" w14:textId="0A4F78DB" w:rsidR="5E1B4F97" w:rsidRPr="00E0512B" w:rsidRDefault="5E1B4F97" w:rsidP="008859A9">
      <w:pPr>
        <w:spacing w:line="360" w:lineRule="auto"/>
        <w:rPr>
          <w:rFonts w:ascii="Arial" w:eastAsia="Arial" w:hAnsi="Arial" w:cs="Arial"/>
          <w:b/>
          <w:bCs/>
          <w:sz w:val="22"/>
          <w:szCs w:val="22"/>
        </w:rPr>
      </w:pPr>
      <w:r w:rsidRPr="00E0512B">
        <w:rPr>
          <w:rFonts w:ascii="Arial" w:eastAsia="Arial" w:hAnsi="Arial" w:cs="Arial"/>
          <w:b/>
          <w:bCs/>
          <w:sz w:val="22"/>
          <w:szCs w:val="22"/>
        </w:rPr>
        <w:t xml:space="preserve">What is Person centred care? </w:t>
      </w:r>
    </w:p>
    <w:p w14:paraId="5874942B" w14:textId="48B0D33A" w:rsidR="6C1D23D9" w:rsidRPr="00E0512B" w:rsidRDefault="6C1D23D9" w:rsidP="008859A9">
      <w:pPr>
        <w:spacing w:line="360" w:lineRule="auto"/>
        <w:rPr>
          <w:rFonts w:ascii="Arial" w:eastAsia="Arial" w:hAnsi="Arial" w:cs="Arial"/>
          <w:sz w:val="22"/>
          <w:szCs w:val="22"/>
        </w:rPr>
      </w:pPr>
      <w:r w:rsidRPr="00E0512B">
        <w:rPr>
          <w:rFonts w:ascii="Arial" w:eastAsia="Arial" w:hAnsi="Arial" w:cs="Arial"/>
          <w:sz w:val="22"/>
          <w:szCs w:val="22"/>
        </w:rPr>
        <w:t>According to McCormack and McCance (2017), Person-Centred Care (PCC) is an approach that prioritizes the individual in all care decisions, acknowledging them as a complete person with distinct preferences, values, life history, and emotional needs, rather than concentrating only on their physical or medical condition. In addition, PCC maintains dignity throughout the support process, encourages independence, and respects individual decisions. Giving residents the freedom to choose their own clothes, food, routines, and social activities is a major advantage of PCC since it preserves their sense of autonomy and self-worth (Brooker and Latham, 2016). When staff know what each resident wants, they can provide more meaningful care. For example, they can help a resident who likes a calm morning routine with familiar cultural music playing, or they can make sure that a resident who values conversation and companionship has regular social interactions, as this helps them feel comfortable, safe, and that they are included (</w:t>
      </w:r>
      <w:r w:rsidR="00E0512B" w:rsidRPr="00E0512B">
        <w:rPr>
          <w:rFonts w:ascii="Arial" w:eastAsia="Arial" w:hAnsi="Arial" w:cs="Arial"/>
          <w:sz w:val="22"/>
          <w:szCs w:val="22"/>
        </w:rPr>
        <w:t>Kit wood</w:t>
      </w:r>
      <w:r w:rsidRPr="00E0512B">
        <w:rPr>
          <w:rFonts w:ascii="Arial" w:eastAsia="Arial" w:hAnsi="Arial" w:cs="Arial"/>
          <w:sz w:val="22"/>
          <w:szCs w:val="22"/>
        </w:rPr>
        <w:t xml:space="preserve">, 1997). PCC has also been shown to improve physical health. Residents who feel emotionally supported are more likely to eat well, sleep well, and stay active, and personalized interactions make people feel less confused, lonely, and frustrated, especially those with cognitive impairments (Health Foundation, 2016). Strong relationships between residents and staff also help lower stress and feelings of being alone (Kitwood, 1997), and families are reassured when their loved ones are treated as individuals (Health Foundation, 2016). Staff shortages can make it challenging to continuously implement PCC, despite its advantages, as they limit the amount of time available for individual care (Skills for Care, 2023). Communication problems, such as care plans that are out of date or handovers that are rushed, can also limit personalisation (Health Foundation, 2016). Residents with dementia may find it hard to express preferences, needing advanced communication skills and patience that not all staff are fully trained to use (McCormack and McCance, 2017), and staff burnout can affect the quality of interactions (Skills for Care, 2023). PCC can be hurt even more by work cultures that value speed over relationship-based care. This is why strong leadership and shared values are so important (Skills for Care, 2023; McCormack and McCance, 2017). The fact that different staff members have different views of PCC is another significant drawback in care homes. PCC is widely pushed, but not all caregivers understand it the same way. This can make care for residents less consistent. Other staff members may focus on more in-depth issues like learning about the resident's life story, emotional needs, and preferred ways of communicating, while others may ask about basic things like food or clothes. Most of the time, these differences are caused by differences in trust, training, and experience. Also, new or agency staff may find it hard to provide PCC because they </w:t>
      </w:r>
      <w:r w:rsidR="731FF02E" w:rsidRPr="00E0512B">
        <w:rPr>
          <w:rFonts w:ascii="Arial" w:eastAsia="Arial" w:hAnsi="Arial" w:cs="Arial"/>
          <w:sz w:val="22"/>
          <w:szCs w:val="22"/>
        </w:rPr>
        <w:t>do not</w:t>
      </w:r>
      <w:r w:rsidRPr="00E0512B">
        <w:rPr>
          <w:rFonts w:ascii="Arial" w:eastAsia="Arial" w:hAnsi="Arial" w:cs="Arial"/>
          <w:sz w:val="22"/>
          <w:szCs w:val="22"/>
        </w:rPr>
        <w:t xml:space="preserve"> know the residents' personal tastes or routines. This lack of regularity can make people less likely to trust and feel stable. This needs to be fixed by giving homes regular time for reflective practice, handing over personal information, and mentoring from senior staff to help everyone understand what PCC means in daily tasks.</w:t>
      </w:r>
    </w:p>
    <w:p w14:paraId="5E6891FA" w14:textId="3A5EC662" w:rsidR="7CFB2C14" w:rsidRPr="00E0512B" w:rsidRDefault="7CFB2C14" w:rsidP="008859A9">
      <w:pPr>
        <w:spacing w:line="360" w:lineRule="auto"/>
        <w:rPr>
          <w:rFonts w:ascii="Arial" w:eastAsia="Arial" w:hAnsi="Arial" w:cs="Arial"/>
          <w:sz w:val="22"/>
          <w:szCs w:val="22"/>
        </w:rPr>
      </w:pPr>
    </w:p>
    <w:p w14:paraId="12EA7667" w14:textId="43DF45AE" w:rsidR="31B24030" w:rsidRPr="00E0512B" w:rsidRDefault="31B24030" w:rsidP="008859A9">
      <w:pPr>
        <w:spacing w:line="360" w:lineRule="auto"/>
        <w:rPr>
          <w:rFonts w:ascii="Arial" w:eastAsia="Arial" w:hAnsi="Arial" w:cs="Arial"/>
          <w:b/>
          <w:bCs/>
          <w:sz w:val="22"/>
          <w:szCs w:val="22"/>
        </w:rPr>
      </w:pPr>
      <w:r w:rsidRPr="00E0512B">
        <w:rPr>
          <w:rFonts w:ascii="Arial" w:eastAsia="Arial" w:hAnsi="Arial" w:cs="Arial"/>
          <w:b/>
          <w:bCs/>
          <w:sz w:val="22"/>
          <w:szCs w:val="22"/>
        </w:rPr>
        <w:t>Theoretical Framework: Maslow’s Hierarchy of Needs</w:t>
      </w:r>
    </w:p>
    <w:p w14:paraId="44A9B6D9" w14:textId="312C9D08" w:rsidR="47E3E6D4" w:rsidRPr="00E0512B" w:rsidRDefault="47E3E6D4" w:rsidP="008859A9">
      <w:pPr>
        <w:spacing w:line="360" w:lineRule="auto"/>
        <w:rPr>
          <w:rFonts w:ascii="Arial" w:eastAsia="Arial" w:hAnsi="Arial" w:cs="Arial"/>
          <w:sz w:val="22"/>
          <w:szCs w:val="22"/>
        </w:rPr>
      </w:pPr>
      <w:r w:rsidRPr="00E0512B">
        <w:rPr>
          <w:rFonts w:ascii="Arial" w:eastAsia="Arial" w:hAnsi="Arial" w:cs="Arial"/>
          <w:sz w:val="22"/>
          <w:szCs w:val="22"/>
        </w:rPr>
        <w:t>Maslow's Hierarchy of Needs (1943) shows that people have needs that are sorted from most basic (physical) needs to more complex (emotional and self-fulfilling). This theory helps us understand Person-</w:t>
      </w:r>
      <w:r w:rsidR="00E0512B" w:rsidRPr="00E0512B">
        <w:rPr>
          <w:rFonts w:ascii="Arial" w:eastAsia="Arial" w:hAnsi="Arial" w:cs="Arial"/>
          <w:sz w:val="22"/>
          <w:szCs w:val="22"/>
        </w:rPr>
        <w:t>Centred</w:t>
      </w:r>
      <w:r w:rsidRPr="00E0512B">
        <w:rPr>
          <w:rFonts w:ascii="Arial" w:eastAsia="Arial" w:hAnsi="Arial" w:cs="Arial"/>
          <w:sz w:val="22"/>
          <w:szCs w:val="22"/>
        </w:rPr>
        <w:t xml:space="preserve"> Care (PCC) because it shows that meeting physical needs </w:t>
      </w:r>
      <w:r w:rsidR="32711D7E" w:rsidRPr="00E0512B">
        <w:rPr>
          <w:rFonts w:ascii="Arial" w:eastAsia="Arial" w:hAnsi="Arial" w:cs="Arial"/>
          <w:sz w:val="22"/>
          <w:szCs w:val="22"/>
        </w:rPr>
        <w:t>is not</w:t>
      </w:r>
      <w:r w:rsidRPr="00E0512B">
        <w:rPr>
          <w:rFonts w:ascii="Arial" w:eastAsia="Arial" w:hAnsi="Arial" w:cs="Arial"/>
          <w:sz w:val="22"/>
          <w:szCs w:val="22"/>
        </w:rPr>
        <w:t xml:space="preserve"> the only thing that matters for well-being; emotional, social, and psychological needs also need to be met. The five levels of Maslow's hierarchy are shown below (Table 1). There are also clear examples of how each level can be used in a residential care home to provide holistic, person-centred care.</w:t>
      </w:r>
    </w:p>
    <w:p w14:paraId="0D948112" w14:textId="77777777" w:rsidR="008859A9" w:rsidRPr="00E0512B" w:rsidRDefault="008859A9" w:rsidP="008859A9">
      <w:pPr>
        <w:spacing w:line="360" w:lineRule="auto"/>
        <w:rPr>
          <w:rFonts w:ascii="Arial" w:eastAsia="Arial" w:hAnsi="Arial" w:cs="Arial"/>
          <w:b/>
          <w:bCs/>
          <w:sz w:val="22"/>
          <w:szCs w:val="22"/>
        </w:rPr>
      </w:pPr>
    </w:p>
    <w:p w14:paraId="1E68B0F4" w14:textId="1C7347C1" w:rsidR="65DE8051" w:rsidRPr="00E0512B" w:rsidRDefault="65DE8051" w:rsidP="008859A9">
      <w:pPr>
        <w:spacing w:line="360" w:lineRule="auto"/>
        <w:rPr>
          <w:rFonts w:ascii="Arial" w:eastAsia="Arial" w:hAnsi="Arial" w:cs="Arial"/>
          <w:sz w:val="22"/>
          <w:szCs w:val="22"/>
        </w:rPr>
      </w:pPr>
      <w:r w:rsidRPr="00E0512B">
        <w:rPr>
          <w:rFonts w:ascii="Arial" w:eastAsia="Arial" w:hAnsi="Arial" w:cs="Arial"/>
          <w:b/>
          <w:bCs/>
          <w:sz w:val="22"/>
          <w:szCs w:val="22"/>
        </w:rPr>
        <w:t>Table 1. Application of Maslow’s Hierarchy of Needs in Residential Care Homes</w:t>
      </w:r>
    </w:p>
    <w:tbl>
      <w:tblPr>
        <w:tblStyle w:val="TableGrid"/>
        <w:tblW w:w="0" w:type="auto"/>
        <w:tblLayout w:type="fixed"/>
        <w:tblLook w:val="06A0" w:firstRow="1" w:lastRow="0" w:firstColumn="1" w:lastColumn="0" w:noHBand="1" w:noVBand="1"/>
      </w:tblPr>
      <w:tblGrid>
        <w:gridCol w:w="3120"/>
        <w:gridCol w:w="3120"/>
        <w:gridCol w:w="3120"/>
      </w:tblGrid>
      <w:tr w:rsidR="7B2730B2" w:rsidRPr="00E0512B" w14:paraId="057AB7FB" w14:textId="77777777" w:rsidTr="7B2730B2">
        <w:trPr>
          <w:trHeight w:val="300"/>
        </w:trPr>
        <w:tc>
          <w:tcPr>
            <w:tcW w:w="3120" w:type="dxa"/>
          </w:tcPr>
          <w:p w14:paraId="77D9A621" w14:textId="7F350263" w:rsidR="7B2730B2" w:rsidRPr="00E0512B" w:rsidRDefault="7B2730B2" w:rsidP="008859A9">
            <w:pPr>
              <w:spacing w:line="360" w:lineRule="auto"/>
              <w:jc w:val="center"/>
              <w:rPr>
                <w:rFonts w:ascii="Arial" w:eastAsia="Arial" w:hAnsi="Arial" w:cs="Arial"/>
                <w:b/>
                <w:bCs/>
                <w:sz w:val="22"/>
                <w:szCs w:val="22"/>
              </w:rPr>
            </w:pPr>
            <w:r w:rsidRPr="00E0512B">
              <w:rPr>
                <w:rFonts w:ascii="Arial" w:eastAsia="Arial" w:hAnsi="Arial" w:cs="Arial"/>
                <w:b/>
                <w:bCs/>
                <w:sz w:val="22"/>
                <w:szCs w:val="22"/>
              </w:rPr>
              <w:t>Level</w:t>
            </w:r>
          </w:p>
        </w:tc>
        <w:tc>
          <w:tcPr>
            <w:tcW w:w="3120" w:type="dxa"/>
          </w:tcPr>
          <w:p w14:paraId="08A97DF9" w14:textId="2CA60399" w:rsidR="7B2730B2" w:rsidRPr="00E0512B" w:rsidRDefault="7B2730B2" w:rsidP="008859A9">
            <w:pPr>
              <w:spacing w:line="360" w:lineRule="auto"/>
              <w:jc w:val="center"/>
              <w:rPr>
                <w:rFonts w:ascii="Arial" w:eastAsia="Arial" w:hAnsi="Arial" w:cs="Arial"/>
                <w:b/>
                <w:bCs/>
                <w:sz w:val="22"/>
                <w:szCs w:val="22"/>
              </w:rPr>
            </w:pPr>
            <w:r w:rsidRPr="00E0512B">
              <w:rPr>
                <w:rFonts w:ascii="Arial" w:eastAsia="Arial" w:hAnsi="Arial" w:cs="Arial"/>
                <w:b/>
                <w:bCs/>
                <w:sz w:val="22"/>
                <w:szCs w:val="22"/>
              </w:rPr>
              <w:t>Description</w:t>
            </w:r>
          </w:p>
        </w:tc>
        <w:tc>
          <w:tcPr>
            <w:tcW w:w="3120" w:type="dxa"/>
          </w:tcPr>
          <w:p w14:paraId="11AB1935" w14:textId="57A48B6B" w:rsidR="7B2730B2" w:rsidRPr="00E0512B" w:rsidRDefault="7B2730B2" w:rsidP="008859A9">
            <w:pPr>
              <w:spacing w:line="360" w:lineRule="auto"/>
              <w:jc w:val="center"/>
              <w:rPr>
                <w:rFonts w:ascii="Arial" w:eastAsia="Arial" w:hAnsi="Arial" w:cs="Arial"/>
                <w:b/>
                <w:bCs/>
                <w:sz w:val="22"/>
                <w:szCs w:val="22"/>
              </w:rPr>
            </w:pPr>
            <w:r w:rsidRPr="00E0512B">
              <w:rPr>
                <w:rFonts w:ascii="Arial" w:eastAsia="Arial" w:hAnsi="Arial" w:cs="Arial"/>
                <w:b/>
                <w:bCs/>
                <w:sz w:val="22"/>
                <w:szCs w:val="22"/>
              </w:rPr>
              <w:t>Application in Care Homes</w:t>
            </w:r>
          </w:p>
        </w:tc>
      </w:tr>
      <w:tr w:rsidR="7B2730B2" w:rsidRPr="00E0512B" w14:paraId="2359E20C" w14:textId="77777777" w:rsidTr="7B2730B2">
        <w:trPr>
          <w:trHeight w:val="300"/>
        </w:trPr>
        <w:tc>
          <w:tcPr>
            <w:tcW w:w="3120" w:type="dxa"/>
          </w:tcPr>
          <w:p w14:paraId="3E3D8973" w14:textId="4CC5FB30" w:rsidR="7B2730B2" w:rsidRPr="00E0512B" w:rsidRDefault="7B2730B2" w:rsidP="008859A9">
            <w:pPr>
              <w:spacing w:line="360" w:lineRule="auto"/>
              <w:rPr>
                <w:rFonts w:ascii="Arial" w:eastAsia="Arial" w:hAnsi="Arial" w:cs="Arial"/>
                <w:b/>
                <w:bCs/>
                <w:sz w:val="22"/>
                <w:szCs w:val="22"/>
              </w:rPr>
            </w:pPr>
            <w:r w:rsidRPr="00E0512B">
              <w:rPr>
                <w:rFonts w:ascii="Arial" w:eastAsia="Arial" w:hAnsi="Arial" w:cs="Arial"/>
                <w:b/>
                <w:bCs/>
                <w:sz w:val="22"/>
                <w:szCs w:val="22"/>
              </w:rPr>
              <w:t>Physiological Needs</w:t>
            </w:r>
          </w:p>
        </w:tc>
        <w:tc>
          <w:tcPr>
            <w:tcW w:w="3120" w:type="dxa"/>
          </w:tcPr>
          <w:p w14:paraId="45E39794" w14:textId="1B54A433"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Food, water, hygiene, rest</w:t>
            </w:r>
          </w:p>
        </w:tc>
        <w:tc>
          <w:tcPr>
            <w:tcW w:w="3120" w:type="dxa"/>
          </w:tcPr>
          <w:p w14:paraId="0F4954DF" w14:textId="7242B0EB"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Support with meals, hydration, personal care, toileting and ensuring adequate sleep</w:t>
            </w:r>
          </w:p>
        </w:tc>
      </w:tr>
      <w:tr w:rsidR="7B2730B2" w:rsidRPr="00E0512B" w14:paraId="668E4B0C" w14:textId="77777777" w:rsidTr="7B2730B2">
        <w:trPr>
          <w:trHeight w:val="300"/>
        </w:trPr>
        <w:tc>
          <w:tcPr>
            <w:tcW w:w="3120" w:type="dxa"/>
          </w:tcPr>
          <w:p w14:paraId="4057C388" w14:textId="554DC3EE" w:rsidR="7B2730B2" w:rsidRPr="00E0512B" w:rsidRDefault="7B2730B2" w:rsidP="008859A9">
            <w:pPr>
              <w:spacing w:line="360" w:lineRule="auto"/>
              <w:rPr>
                <w:rFonts w:ascii="Arial" w:eastAsia="Arial" w:hAnsi="Arial" w:cs="Arial"/>
                <w:b/>
                <w:bCs/>
                <w:sz w:val="22"/>
                <w:szCs w:val="22"/>
              </w:rPr>
            </w:pPr>
            <w:r w:rsidRPr="00E0512B">
              <w:rPr>
                <w:rFonts w:ascii="Arial" w:eastAsia="Arial" w:hAnsi="Arial" w:cs="Arial"/>
                <w:b/>
                <w:bCs/>
                <w:sz w:val="22"/>
                <w:szCs w:val="22"/>
              </w:rPr>
              <w:t>Safety Needs</w:t>
            </w:r>
          </w:p>
        </w:tc>
        <w:tc>
          <w:tcPr>
            <w:tcW w:w="3120" w:type="dxa"/>
          </w:tcPr>
          <w:p w14:paraId="3B62620C" w14:textId="67E9CEDF"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Stability, protection, security</w:t>
            </w:r>
          </w:p>
        </w:tc>
        <w:tc>
          <w:tcPr>
            <w:tcW w:w="3120" w:type="dxa"/>
          </w:tcPr>
          <w:p w14:paraId="79C8E7F1" w14:textId="73031A22"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Risk assessments, safeguarding procedures, fall prevention strategies, safe environment</w:t>
            </w:r>
          </w:p>
        </w:tc>
      </w:tr>
      <w:tr w:rsidR="7B2730B2" w:rsidRPr="00E0512B" w14:paraId="327504D4" w14:textId="77777777" w:rsidTr="7B2730B2">
        <w:trPr>
          <w:trHeight w:val="300"/>
        </w:trPr>
        <w:tc>
          <w:tcPr>
            <w:tcW w:w="3120" w:type="dxa"/>
          </w:tcPr>
          <w:p w14:paraId="410DA8FC" w14:textId="167C820C" w:rsidR="7B2730B2" w:rsidRPr="00E0512B" w:rsidRDefault="7B2730B2" w:rsidP="008859A9">
            <w:pPr>
              <w:spacing w:line="360" w:lineRule="auto"/>
              <w:rPr>
                <w:rFonts w:ascii="Arial" w:eastAsia="Arial" w:hAnsi="Arial" w:cs="Arial"/>
                <w:b/>
                <w:bCs/>
                <w:sz w:val="22"/>
                <w:szCs w:val="22"/>
              </w:rPr>
            </w:pPr>
            <w:r w:rsidRPr="00E0512B">
              <w:rPr>
                <w:rFonts w:ascii="Arial" w:eastAsia="Arial" w:hAnsi="Arial" w:cs="Arial"/>
                <w:b/>
                <w:bCs/>
                <w:sz w:val="22"/>
                <w:szCs w:val="22"/>
              </w:rPr>
              <w:t>Belongingness Needs</w:t>
            </w:r>
          </w:p>
        </w:tc>
        <w:tc>
          <w:tcPr>
            <w:tcW w:w="3120" w:type="dxa"/>
          </w:tcPr>
          <w:p w14:paraId="62A8E972" w14:textId="64E36CA0"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Love, relationships, social connection</w:t>
            </w:r>
          </w:p>
        </w:tc>
        <w:tc>
          <w:tcPr>
            <w:tcW w:w="3120" w:type="dxa"/>
          </w:tcPr>
          <w:p w14:paraId="5BCF6AE2" w14:textId="102250E4"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Group activities, friendship-building opportunities, emotional support, regular family visits</w:t>
            </w:r>
          </w:p>
        </w:tc>
      </w:tr>
      <w:tr w:rsidR="7B2730B2" w:rsidRPr="00E0512B" w14:paraId="170FE738" w14:textId="77777777" w:rsidTr="7B2730B2">
        <w:trPr>
          <w:trHeight w:val="300"/>
        </w:trPr>
        <w:tc>
          <w:tcPr>
            <w:tcW w:w="3120" w:type="dxa"/>
          </w:tcPr>
          <w:p w14:paraId="70E755EE" w14:textId="7B399ED9" w:rsidR="7B2730B2" w:rsidRPr="00E0512B" w:rsidRDefault="7B2730B2" w:rsidP="008859A9">
            <w:pPr>
              <w:spacing w:line="360" w:lineRule="auto"/>
              <w:rPr>
                <w:rFonts w:ascii="Arial" w:eastAsia="Arial" w:hAnsi="Arial" w:cs="Arial"/>
                <w:b/>
                <w:bCs/>
                <w:sz w:val="22"/>
                <w:szCs w:val="22"/>
              </w:rPr>
            </w:pPr>
            <w:r w:rsidRPr="00E0512B">
              <w:rPr>
                <w:rFonts w:ascii="Arial" w:eastAsia="Arial" w:hAnsi="Arial" w:cs="Arial"/>
                <w:b/>
                <w:bCs/>
                <w:sz w:val="22"/>
                <w:szCs w:val="22"/>
              </w:rPr>
              <w:t>Esteem Needs</w:t>
            </w:r>
          </w:p>
        </w:tc>
        <w:tc>
          <w:tcPr>
            <w:tcW w:w="3120" w:type="dxa"/>
          </w:tcPr>
          <w:p w14:paraId="683E0EB6" w14:textId="223AF404"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Respect, independence, confidence</w:t>
            </w:r>
          </w:p>
        </w:tc>
        <w:tc>
          <w:tcPr>
            <w:tcW w:w="3120" w:type="dxa"/>
          </w:tcPr>
          <w:p w14:paraId="605D418D" w14:textId="71AC6C5E"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Encouraging choice in daily routines, recognising achievements, promoting independence</w:t>
            </w:r>
          </w:p>
        </w:tc>
      </w:tr>
      <w:tr w:rsidR="7B2730B2" w:rsidRPr="00E0512B" w14:paraId="7C3813E7" w14:textId="77777777" w:rsidTr="7B2730B2">
        <w:trPr>
          <w:trHeight w:val="300"/>
        </w:trPr>
        <w:tc>
          <w:tcPr>
            <w:tcW w:w="3120" w:type="dxa"/>
          </w:tcPr>
          <w:p w14:paraId="1D6C00DE" w14:textId="4287FA41" w:rsidR="7B2730B2" w:rsidRPr="00E0512B" w:rsidRDefault="7B2730B2" w:rsidP="008859A9">
            <w:pPr>
              <w:spacing w:line="360" w:lineRule="auto"/>
              <w:rPr>
                <w:rFonts w:ascii="Arial" w:eastAsia="Arial" w:hAnsi="Arial" w:cs="Arial"/>
                <w:b/>
                <w:bCs/>
                <w:sz w:val="22"/>
                <w:szCs w:val="22"/>
              </w:rPr>
            </w:pPr>
            <w:r w:rsidRPr="00E0512B">
              <w:rPr>
                <w:rFonts w:ascii="Arial" w:eastAsia="Arial" w:hAnsi="Arial" w:cs="Arial"/>
                <w:b/>
                <w:bCs/>
                <w:sz w:val="22"/>
                <w:szCs w:val="22"/>
              </w:rPr>
              <w:t>Self-Actualisation Needs</w:t>
            </w:r>
          </w:p>
        </w:tc>
        <w:tc>
          <w:tcPr>
            <w:tcW w:w="3120" w:type="dxa"/>
          </w:tcPr>
          <w:p w14:paraId="7A962FDD" w14:textId="5D826734"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Purpose, identity, fulfilment</w:t>
            </w:r>
          </w:p>
        </w:tc>
        <w:tc>
          <w:tcPr>
            <w:tcW w:w="3120" w:type="dxa"/>
          </w:tcPr>
          <w:p w14:paraId="54AD8A06" w14:textId="3E90517E"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t>Meaningful activities that reflect personal interests, life history, cultural or religious practices</w:t>
            </w:r>
          </w:p>
        </w:tc>
      </w:tr>
    </w:tbl>
    <w:p w14:paraId="65DB4F9F" w14:textId="54D679EF" w:rsidR="7B2730B2" w:rsidRPr="00E0512B" w:rsidRDefault="7B2730B2" w:rsidP="008859A9">
      <w:pPr>
        <w:spacing w:line="360" w:lineRule="auto"/>
        <w:rPr>
          <w:rFonts w:ascii="Arial" w:eastAsia="Arial" w:hAnsi="Arial" w:cs="Arial"/>
          <w:sz w:val="22"/>
          <w:szCs w:val="22"/>
        </w:rPr>
      </w:pPr>
    </w:p>
    <w:p w14:paraId="43DEA783" w14:textId="3F83612E" w:rsidR="7B2730B2" w:rsidRPr="00E0512B" w:rsidRDefault="7B2730B2" w:rsidP="008859A9">
      <w:pPr>
        <w:spacing w:before="281" w:after="281" w:line="360" w:lineRule="auto"/>
        <w:rPr>
          <w:rFonts w:ascii="Arial" w:eastAsia="Arial" w:hAnsi="Arial" w:cs="Arial"/>
          <w:b/>
          <w:bCs/>
          <w:sz w:val="22"/>
          <w:szCs w:val="22"/>
        </w:rPr>
      </w:pPr>
    </w:p>
    <w:p w14:paraId="4BF2C4ED" w14:textId="3CF32425" w:rsidR="2BEFA6BE" w:rsidRPr="00E0512B" w:rsidRDefault="2BEFA6BE" w:rsidP="008859A9">
      <w:pPr>
        <w:spacing w:line="360" w:lineRule="auto"/>
        <w:rPr>
          <w:rFonts w:ascii="Arial" w:eastAsia="Arial" w:hAnsi="Arial" w:cs="Arial"/>
          <w:sz w:val="22"/>
          <w:szCs w:val="22"/>
        </w:rPr>
      </w:pPr>
      <w:r w:rsidRPr="00E0512B">
        <w:rPr>
          <w:rFonts w:ascii="Arial" w:eastAsia="Arial" w:hAnsi="Arial" w:cs="Arial"/>
          <w:sz w:val="22"/>
          <w:szCs w:val="22"/>
        </w:rPr>
        <w:t>Health and safety needs are usually met well in care homes, but higher-level needs like belonging, esteem, and self-actualization need constant, relationship-centred care (Brooker and Latham, 2016). For instance, planning group activities, encouraging friendships, and encouraging regular family involvement can help people feel like they belong (NICE, 2021). Self-actualization is supported by giving residents choices in their daily lives and recognizing their strengths. Boosting self-esteem is achieved by helping residents keep their identity through hobbies, cultural practices, or creative work. It supports the importance of PCC by pointing out that social and mental support are just as important as physical care for promoting well-being.</w:t>
      </w:r>
    </w:p>
    <w:p w14:paraId="09935D7A" w14:textId="35C142F4" w:rsidR="7CFB2C14" w:rsidRPr="00E0512B" w:rsidRDefault="7CFB2C14" w:rsidP="008859A9">
      <w:pPr>
        <w:spacing w:line="360" w:lineRule="auto"/>
        <w:rPr>
          <w:rFonts w:ascii="Arial" w:eastAsia="Arial" w:hAnsi="Arial" w:cs="Arial"/>
          <w:sz w:val="22"/>
          <w:szCs w:val="22"/>
        </w:rPr>
      </w:pPr>
    </w:p>
    <w:p w14:paraId="0E4879F0" w14:textId="5B8D0C24" w:rsidR="2057F23B" w:rsidRPr="00E0512B" w:rsidRDefault="2057F23B" w:rsidP="008859A9">
      <w:pPr>
        <w:spacing w:line="360" w:lineRule="auto"/>
        <w:rPr>
          <w:rFonts w:ascii="Arial" w:eastAsia="Arial" w:hAnsi="Arial" w:cs="Arial"/>
          <w:b/>
          <w:bCs/>
          <w:sz w:val="22"/>
          <w:szCs w:val="22"/>
        </w:rPr>
      </w:pPr>
      <w:r w:rsidRPr="00E0512B">
        <w:rPr>
          <w:rFonts w:ascii="Arial" w:eastAsia="Arial" w:hAnsi="Arial" w:cs="Arial"/>
          <w:b/>
          <w:bCs/>
          <w:sz w:val="22"/>
          <w:szCs w:val="22"/>
        </w:rPr>
        <w:t>Ethical Fundamentals in Person-Centred Care (PCC)</w:t>
      </w:r>
    </w:p>
    <w:p w14:paraId="24A1185A" w14:textId="3620BB8D" w:rsidR="099A28E1" w:rsidRPr="00E0512B" w:rsidRDefault="099A28E1" w:rsidP="008859A9">
      <w:pPr>
        <w:spacing w:line="360" w:lineRule="auto"/>
        <w:rPr>
          <w:rFonts w:ascii="Arial" w:eastAsia="Arial" w:hAnsi="Arial" w:cs="Arial"/>
          <w:sz w:val="22"/>
          <w:szCs w:val="22"/>
        </w:rPr>
      </w:pPr>
      <w:r w:rsidRPr="00E0512B">
        <w:rPr>
          <w:rFonts w:ascii="Arial" w:eastAsia="Arial" w:hAnsi="Arial" w:cs="Arial"/>
          <w:sz w:val="22"/>
          <w:szCs w:val="22"/>
        </w:rPr>
        <w:t xml:space="preserve">Person-Centred Care (PCC) is based on ethical principles that protect everyone's rights and well-being. These concepts make sure that choices about support are made with these values in mind. Beauchamp and Childress (2019) say that good behaviour in health and social care is based on four ethical principles: autonomy, beneficence, non-maleficence, and justice. Autonomy means respecting </w:t>
      </w:r>
      <w:r w:rsidR="0924B14A" w:rsidRPr="00E0512B">
        <w:rPr>
          <w:rFonts w:ascii="Arial" w:eastAsia="Arial" w:hAnsi="Arial" w:cs="Arial"/>
          <w:sz w:val="22"/>
          <w:szCs w:val="22"/>
        </w:rPr>
        <w:t>someone is</w:t>
      </w:r>
      <w:r w:rsidRPr="00E0512B">
        <w:rPr>
          <w:rFonts w:ascii="Arial" w:eastAsia="Arial" w:hAnsi="Arial" w:cs="Arial"/>
          <w:sz w:val="22"/>
          <w:szCs w:val="22"/>
        </w:rPr>
        <w:t xml:space="preserve"> right to make their own decisions. For example, residents should be able to choose what they wear and what things they want to do. Beneficence means doing things that are good for others, like giving reassurance, mental support, and comfort to someone who is upset. Non-maleficence means not doing harm. In a care home, this means making sure that moving and handling people is done safely and keeping the surroundings safe. As the Equality Act supports, justice is about making sure that everyone is </w:t>
      </w:r>
      <w:r w:rsidR="009F21FE" w:rsidRPr="00E0512B">
        <w:rPr>
          <w:rFonts w:ascii="Arial" w:eastAsia="Arial" w:hAnsi="Arial" w:cs="Arial"/>
          <w:sz w:val="22"/>
          <w:szCs w:val="22"/>
        </w:rPr>
        <w:t>managed</w:t>
      </w:r>
      <w:r w:rsidRPr="00E0512B">
        <w:rPr>
          <w:rFonts w:ascii="Arial" w:eastAsia="Arial" w:hAnsi="Arial" w:cs="Arial"/>
          <w:sz w:val="22"/>
          <w:szCs w:val="22"/>
        </w:rPr>
        <w:t xml:space="preserve"> equally and fairly. These ideas often combine in complicated ways, especially for people with dementia, for whom freedom and safety may not always go together. The Mental Capacity Act of 2005 says that people should be helped to make their own choices as much as possible, and if they are unable to, any choices made for them must be what is best for them. Best-interest decisions should be made by staff, family members, and relevant professionals working together to make sure they are fair and clear. These decisions should balance the resident's rights, safety, and general well-being.</w:t>
      </w:r>
    </w:p>
    <w:p w14:paraId="21652013" w14:textId="6E09A344" w:rsidR="7B2730B2" w:rsidRPr="00E0512B" w:rsidRDefault="7B2730B2" w:rsidP="008859A9">
      <w:pPr>
        <w:spacing w:line="360" w:lineRule="auto"/>
        <w:rPr>
          <w:rFonts w:ascii="Arial" w:eastAsia="Arial" w:hAnsi="Arial" w:cs="Arial"/>
          <w:sz w:val="22"/>
          <w:szCs w:val="22"/>
        </w:rPr>
      </w:pPr>
    </w:p>
    <w:p w14:paraId="0AB69F99" w14:textId="66AE61D2" w:rsidR="00A45ADB" w:rsidRPr="00E0512B" w:rsidRDefault="62A57B73" w:rsidP="008859A9">
      <w:pPr>
        <w:spacing w:line="360" w:lineRule="auto"/>
        <w:rPr>
          <w:rFonts w:ascii="Arial" w:eastAsia="Arial" w:hAnsi="Arial" w:cs="Arial"/>
          <w:b/>
          <w:bCs/>
          <w:sz w:val="22"/>
          <w:szCs w:val="22"/>
        </w:rPr>
      </w:pPr>
      <w:r w:rsidRPr="00E0512B">
        <w:rPr>
          <w:rFonts w:ascii="Arial" w:eastAsia="Arial" w:hAnsi="Arial" w:cs="Arial"/>
          <w:b/>
          <w:bCs/>
          <w:sz w:val="22"/>
          <w:szCs w:val="22"/>
        </w:rPr>
        <w:t>What</w:t>
      </w:r>
      <w:r w:rsidR="00A45ADB" w:rsidRPr="00E0512B">
        <w:rPr>
          <w:rFonts w:ascii="Arial" w:eastAsia="Arial" w:hAnsi="Arial" w:cs="Arial"/>
          <w:b/>
          <w:bCs/>
          <w:sz w:val="22"/>
          <w:szCs w:val="22"/>
        </w:rPr>
        <w:t xml:space="preserve"> Partnership</w:t>
      </w:r>
      <w:r w:rsidR="00C244D7" w:rsidRPr="00E0512B">
        <w:rPr>
          <w:rFonts w:ascii="Arial" w:eastAsia="Arial" w:hAnsi="Arial" w:cs="Arial"/>
          <w:b/>
          <w:bCs/>
          <w:sz w:val="22"/>
          <w:szCs w:val="22"/>
        </w:rPr>
        <w:t xml:space="preserve"> Working</w:t>
      </w:r>
      <w:r w:rsidR="00A45ADB" w:rsidRPr="00E0512B">
        <w:rPr>
          <w:rFonts w:ascii="Arial" w:eastAsia="Arial" w:hAnsi="Arial" w:cs="Arial"/>
          <w:b/>
          <w:bCs/>
          <w:sz w:val="22"/>
          <w:szCs w:val="22"/>
        </w:rPr>
        <w:t xml:space="preserve"> </w:t>
      </w:r>
      <w:r w:rsidR="00C244D7" w:rsidRPr="00E0512B">
        <w:rPr>
          <w:rFonts w:ascii="Arial" w:eastAsia="Arial" w:hAnsi="Arial" w:cs="Arial"/>
          <w:b/>
          <w:bCs/>
          <w:sz w:val="22"/>
          <w:szCs w:val="22"/>
        </w:rPr>
        <w:t>is?</w:t>
      </w:r>
    </w:p>
    <w:p w14:paraId="3BDD5EB2" w14:textId="72CABCC1" w:rsidR="62A57B73" w:rsidRPr="00E0512B" w:rsidRDefault="00BA5E5B" w:rsidP="008859A9">
      <w:pPr>
        <w:spacing w:line="360" w:lineRule="auto"/>
        <w:rPr>
          <w:rFonts w:ascii="Arial" w:eastAsia="Arial" w:hAnsi="Arial" w:cs="Arial"/>
          <w:sz w:val="22"/>
          <w:szCs w:val="22"/>
        </w:rPr>
      </w:pPr>
      <w:r w:rsidRPr="00E0512B">
        <w:rPr>
          <w:rFonts w:ascii="Arial" w:hAnsi="Arial" w:cs="Arial"/>
          <w:sz w:val="22"/>
          <w:szCs w:val="22"/>
        </w:rPr>
        <w:t xml:space="preserve"> </w:t>
      </w:r>
      <w:r w:rsidRPr="00E0512B">
        <w:rPr>
          <w:rFonts w:ascii="Arial" w:eastAsia="Arial" w:hAnsi="Arial" w:cs="Arial"/>
          <w:sz w:val="22"/>
          <w:szCs w:val="22"/>
        </w:rPr>
        <w:t xml:space="preserve">Partnership Working (PW) is when trained professionals work together to better understand and meet the needs of a resident by sharing their skills, knowledge, and points of view. When nurses, care assistants, social workers, GPs, therapists, and family members work together, they each bring something unique to the table that helps the physical, mental, and social health of the residents in a coordinated and whole way (Glasby and Dickinson, 2014). Effective PW lets people know about changes in their health early, which cuts down on unnecessary hospital stays and promotes consistent, person-centred support. This shared duty also makes it easier for people to move from one service to another (Cottrell, 2021). For instance, if a resident starts to lose weight, having a doctor, a dietitian, and a speech and language therapist work together to </w:t>
      </w:r>
      <w:r w:rsidR="009F21FE" w:rsidRPr="00E0512B">
        <w:rPr>
          <w:rFonts w:ascii="Arial" w:eastAsia="Arial" w:hAnsi="Arial" w:cs="Arial"/>
          <w:sz w:val="22"/>
          <w:szCs w:val="22"/>
        </w:rPr>
        <w:t>oversee</w:t>
      </w:r>
      <w:r w:rsidRPr="00E0512B">
        <w:rPr>
          <w:rFonts w:ascii="Arial" w:eastAsia="Arial" w:hAnsi="Arial" w:cs="Arial"/>
          <w:sz w:val="22"/>
          <w:szCs w:val="22"/>
        </w:rPr>
        <w:t xml:space="preserve"> medical, nutritional, and swallowing issues can keep them from getting worse. Not being able to share digital records, health and social care workers not being able to talk to each other well, busy schedules making it hard to meet, and unequal participation in decision-making are some of the things that can make PW less useful (Skills for Care, 2023). The Health and Care Act 2022 set up Integrated Care Systems (ICS) to make it easier for services to work together and coordinate. However, for these systems to work, they need to be able to communicate clearly, have common goals, and have strong local leadership (NHS England, 2023). Several policies urge people to work together, but in many care homes, talking to people from different services can still be slow and broken up. If outside workers like social workers, GPs, or community nurses have a lot of cases to </w:t>
      </w:r>
      <w:r w:rsidR="00740904" w:rsidRPr="00E0512B">
        <w:rPr>
          <w:rFonts w:ascii="Arial" w:eastAsia="Arial" w:hAnsi="Arial" w:cs="Arial"/>
          <w:sz w:val="22"/>
          <w:szCs w:val="22"/>
        </w:rPr>
        <w:t>manage</w:t>
      </w:r>
      <w:r w:rsidRPr="00E0512B">
        <w:rPr>
          <w:rFonts w:ascii="Arial" w:eastAsia="Arial" w:hAnsi="Arial" w:cs="Arial"/>
          <w:sz w:val="22"/>
          <w:szCs w:val="22"/>
        </w:rPr>
        <w:t>, meetings might be rushed, and information might not be shared in full. This can cause reports to be late, staff to not get all the information they need, and confusion about who is responsible for what. Families may also feel left out or not sure who to talk to when problems arise when communication is poor. Integrated Care Systems and digital care records are meant to make the flow of information better, but many care homes do not yet have the technology, money, or training to use these systems correctly. Because of this, partnership working depends on people's own efforts rather than consistent methods, which can make organized care less effective. Several pieces of legislation support working together. These include the Care Act 2014, which encourages people to be involved in decisions about their care, the Mental Capacity Act 2005, which protects people's rights when making decisions, the Health and Social Care Act 2012 and the Health and Care Act 2022, which encourage people from different sectors to work together, the Equality Act 2010, which makes sure that discrimination doesn't happen, and the Human Rights Act 1998, which upholds the rights to respect, dignity, and privacy. These legal frameworks help people do the right thing, but they can only work if they have trained staff, enough resources, and a happy work environment</w:t>
      </w:r>
      <w:r w:rsidR="00A45ADB" w:rsidRPr="00E0512B">
        <w:rPr>
          <w:rFonts w:ascii="Arial" w:eastAsia="Arial" w:hAnsi="Arial" w:cs="Arial"/>
          <w:sz w:val="22"/>
          <w:szCs w:val="22"/>
        </w:rPr>
        <w:t>.</w:t>
      </w:r>
    </w:p>
    <w:p w14:paraId="138390CA" w14:textId="36B1418D" w:rsidR="7B2730B2" w:rsidRPr="00E0512B" w:rsidRDefault="7B2730B2" w:rsidP="008859A9">
      <w:pPr>
        <w:spacing w:line="360" w:lineRule="auto"/>
        <w:rPr>
          <w:rFonts w:ascii="Arial" w:eastAsia="Arial" w:hAnsi="Arial" w:cs="Arial"/>
          <w:b/>
          <w:bCs/>
          <w:sz w:val="22"/>
          <w:szCs w:val="22"/>
        </w:rPr>
      </w:pPr>
    </w:p>
    <w:p w14:paraId="070EAC2A" w14:textId="4879C62D" w:rsidR="00C244D7" w:rsidRPr="00E0512B" w:rsidRDefault="00C244D7" w:rsidP="008859A9">
      <w:pPr>
        <w:spacing w:line="360" w:lineRule="auto"/>
        <w:rPr>
          <w:rFonts w:ascii="Arial" w:eastAsia="Arial" w:hAnsi="Arial" w:cs="Arial"/>
          <w:b/>
          <w:bCs/>
          <w:sz w:val="22"/>
          <w:szCs w:val="22"/>
        </w:rPr>
      </w:pPr>
      <w:r w:rsidRPr="00E0512B">
        <w:rPr>
          <w:rFonts w:ascii="Arial" w:eastAsia="Arial" w:hAnsi="Arial" w:cs="Arial"/>
          <w:b/>
          <w:bCs/>
          <w:sz w:val="22"/>
          <w:szCs w:val="22"/>
        </w:rPr>
        <w:t xml:space="preserve">Recommendations </w:t>
      </w:r>
    </w:p>
    <w:p w14:paraId="63A38490" w14:textId="092D2277" w:rsidR="00C244D7" w:rsidRPr="00E0512B" w:rsidRDefault="004618F5" w:rsidP="008859A9">
      <w:pPr>
        <w:spacing w:line="360" w:lineRule="auto"/>
        <w:rPr>
          <w:rFonts w:ascii="Arial" w:eastAsia="Arial" w:hAnsi="Arial" w:cs="Arial"/>
          <w:sz w:val="22"/>
          <w:szCs w:val="22"/>
        </w:rPr>
      </w:pPr>
      <w:r w:rsidRPr="00E0512B">
        <w:rPr>
          <w:rFonts w:ascii="Arial" w:eastAsia="Arial" w:hAnsi="Arial" w:cs="Arial"/>
          <w:sz w:val="22"/>
          <w:szCs w:val="22"/>
        </w:rPr>
        <w:t>Several suggestions can help make PW better in care homes: Improving staffing levels can lead to more meaningful interactions, but only if they are paid more, stay with the company, and do apprenticeships. Improving coordination through multidisciplinary teamwork needs practical solutions like short, regular MDT briefings. Sharing digital care records can close communication gaps, but they need to be introduced slowly and with basic digital training. And adding more meaningful activity programs can help people feel like they belong and have an identity, but they need to be planned and coordinated by activity coordinators. Problems like not enough staff, tight schedules, and not enough resources can slow things down. To make sure person-centred partnership working works well, these problems must be fixed by spending money on training, strategies for keeping staff, better ways to coordinate work, and enough resources. One more suggestion for making PCC and PW better in care homes is to make routines around feedback and self-reflection stronger. Short debriefings at the end of shifts can help staff think about what went well, what could be done better, and what the residents may need in the future. These talks can help people see early warning signs, like changes in their hunger, mood, or ability to move around, so they can be helped more quickly. Residents and their families can also help shape care plans, so they stay personal and important by being asked for their input. Developing the leadership skills of senior caregivers and team leaders can also help create a culture where PCC principles are consistently shown. Staff are more likely to provide compassionate and well-coordinated care when they feel heard and encouraged. This makes a good atmosphere where residents feel valued and employees are sure of their jobs, which improves the level of care overall.</w:t>
      </w:r>
    </w:p>
    <w:p w14:paraId="1ADEAEB2" w14:textId="077F54D7" w:rsidR="7B2730B2" w:rsidRPr="00E0512B" w:rsidRDefault="7B2730B2" w:rsidP="008859A9">
      <w:pPr>
        <w:spacing w:line="360" w:lineRule="auto"/>
        <w:rPr>
          <w:rFonts w:ascii="Arial" w:eastAsia="Arial" w:hAnsi="Arial" w:cs="Arial"/>
          <w:b/>
          <w:bCs/>
          <w:sz w:val="22"/>
          <w:szCs w:val="22"/>
        </w:rPr>
      </w:pPr>
    </w:p>
    <w:p w14:paraId="0BFBEB66" w14:textId="4A4D7960" w:rsidR="7B2730B2" w:rsidRPr="00E0512B" w:rsidRDefault="7B2730B2" w:rsidP="008859A9">
      <w:pPr>
        <w:spacing w:line="360" w:lineRule="auto"/>
        <w:rPr>
          <w:rFonts w:ascii="Arial" w:eastAsia="Arial" w:hAnsi="Arial" w:cs="Arial"/>
          <w:b/>
          <w:bCs/>
          <w:sz w:val="22"/>
          <w:szCs w:val="22"/>
        </w:rPr>
      </w:pPr>
    </w:p>
    <w:p w14:paraId="0869F90C" w14:textId="692F209D" w:rsidR="7B2730B2" w:rsidRPr="00E0512B" w:rsidRDefault="7B2730B2" w:rsidP="008859A9">
      <w:pPr>
        <w:spacing w:line="360" w:lineRule="auto"/>
        <w:rPr>
          <w:rFonts w:ascii="Arial" w:eastAsia="Arial" w:hAnsi="Arial" w:cs="Arial"/>
          <w:b/>
          <w:bCs/>
          <w:sz w:val="22"/>
          <w:szCs w:val="22"/>
        </w:rPr>
      </w:pPr>
    </w:p>
    <w:p w14:paraId="15B7DDD4" w14:textId="2CD30A6F" w:rsidR="481A4509" w:rsidRPr="00E0512B" w:rsidRDefault="0E97265E" w:rsidP="008859A9">
      <w:pPr>
        <w:spacing w:line="360" w:lineRule="auto"/>
        <w:rPr>
          <w:rFonts w:ascii="Arial" w:eastAsia="Arial" w:hAnsi="Arial" w:cs="Arial"/>
          <w:b/>
          <w:bCs/>
          <w:sz w:val="22"/>
          <w:szCs w:val="22"/>
        </w:rPr>
      </w:pPr>
      <w:r w:rsidRPr="00E0512B">
        <w:rPr>
          <w:rFonts w:ascii="Arial" w:eastAsia="Arial" w:hAnsi="Arial" w:cs="Arial"/>
          <w:b/>
          <w:bCs/>
          <w:sz w:val="22"/>
          <w:szCs w:val="22"/>
        </w:rPr>
        <w:t xml:space="preserve">Conclusion </w:t>
      </w:r>
    </w:p>
    <w:p w14:paraId="56DD13D7" w14:textId="17C5B8FA" w:rsidR="7CFB2C14" w:rsidRPr="00E0512B" w:rsidRDefault="72D1892B" w:rsidP="008859A9">
      <w:pPr>
        <w:spacing w:line="360" w:lineRule="auto"/>
        <w:rPr>
          <w:rFonts w:ascii="Arial" w:eastAsia="Arial" w:hAnsi="Arial" w:cs="Arial"/>
          <w:sz w:val="22"/>
          <w:szCs w:val="22"/>
        </w:rPr>
      </w:pPr>
      <w:r w:rsidRPr="00E0512B">
        <w:rPr>
          <w:rFonts w:ascii="Arial" w:eastAsia="Arial" w:hAnsi="Arial" w:cs="Arial"/>
          <w:sz w:val="22"/>
          <w:szCs w:val="22"/>
        </w:rPr>
        <w:t xml:space="preserve">Person-centred care (PCC) and partnership working (PW) are essential for improving wellbeing and dignity in care homes. PCC recognises each resident as an individual with emotional, </w:t>
      </w:r>
      <w:r w:rsidR="69047FA4" w:rsidRPr="00E0512B">
        <w:rPr>
          <w:rFonts w:ascii="Arial" w:eastAsia="Arial" w:hAnsi="Arial" w:cs="Arial"/>
          <w:sz w:val="22"/>
          <w:szCs w:val="22"/>
        </w:rPr>
        <w:t>social,</w:t>
      </w:r>
      <w:r w:rsidR="73203378" w:rsidRPr="00E0512B">
        <w:rPr>
          <w:rFonts w:ascii="Arial" w:eastAsia="Arial" w:hAnsi="Arial" w:cs="Arial"/>
          <w:sz w:val="22"/>
          <w:szCs w:val="22"/>
        </w:rPr>
        <w:t xml:space="preserve"> </w:t>
      </w:r>
      <w:r w:rsidRPr="00E0512B">
        <w:rPr>
          <w:rFonts w:ascii="Arial" w:eastAsia="Arial" w:hAnsi="Arial" w:cs="Arial"/>
          <w:sz w:val="22"/>
          <w:szCs w:val="22"/>
        </w:rPr>
        <w:t xml:space="preserve">and psychological needs, not just physical needs. Maslow’s hierarchy of needs highlights how belonging, esteem and purpose are important for wellbeing. Ethical principles and legislation support fairness and the protection of rights, while PW enables coordinated and holistic care. Although challenges exist, particularly around staffing, communication and time pressures, practical improvements such as staff training, digital care systems and regular joint working can strengthen the quality of care. By putting these changes into practice, care homes can promote dignity, </w:t>
      </w:r>
      <w:r w:rsidR="48C6C7E1" w:rsidRPr="00E0512B">
        <w:rPr>
          <w:rFonts w:ascii="Arial" w:eastAsia="Arial" w:hAnsi="Arial" w:cs="Arial"/>
          <w:sz w:val="22"/>
          <w:szCs w:val="22"/>
        </w:rPr>
        <w:t>independence,</w:t>
      </w:r>
      <w:r w:rsidRPr="00E0512B">
        <w:rPr>
          <w:rFonts w:ascii="Arial" w:eastAsia="Arial" w:hAnsi="Arial" w:cs="Arial"/>
          <w:sz w:val="22"/>
          <w:szCs w:val="22"/>
        </w:rPr>
        <w:t xml:space="preserve"> and a better quality of life for </w:t>
      </w:r>
      <w:r w:rsidR="00E0512B" w:rsidRPr="00E0512B">
        <w:rPr>
          <w:rFonts w:ascii="Arial" w:eastAsia="Arial" w:hAnsi="Arial" w:cs="Arial"/>
          <w:sz w:val="22"/>
          <w:szCs w:val="22"/>
        </w:rPr>
        <w:t>residents.</w:t>
      </w:r>
    </w:p>
    <w:p w14:paraId="766F66FC" w14:textId="3E646980" w:rsidR="7B2730B2" w:rsidRPr="00E0512B" w:rsidRDefault="7B2730B2" w:rsidP="008859A9">
      <w:pPr>
        <w:spacing w:line="360" w:lineRule="auto"/>
        <w:rPr>
          <w:rFonts w:ascii="Arial" w:eastAsia="Arial" w:hAnsi="Arial" w:cs="Arial"/>
          <w:sz w:val="22"/>
          <w:szCs w:val="22"/>
        </w:rPr>
      </w:pPr>
      <w:r w:rsidRPr="00E0512B">
        <w:rPr>
          <w:rFonts w:ascii="Arial" w:eastAsia="Arial" w:hAnsi="Arial" w:cs="Arial"/>
          <w:sz w:val="22"/>
          <w:szCs w:val="22"/>
        </w:rPr>
        <w:br w:type="page"/>
      </w:r>
    </w:p>
    <w:p w14:paraId="713FEF86" w14:textId="5C4E617E"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b/>
          <w:bCs/>
          <w:sz w:val="22"/>
          <w:szCs w:val="22"/>
        </w:rPr>
        <w:t xml:space="preserve">References </w:t>
      </w:r>
      <w:r w:rsidRPr="00E0512B">
        <w:rPr>
          <w:rFonts w:ascii="Arial" w:eastAsia="Arial" w:hAnsi="Arial" w:cs="Arial"/>
          <w:sz w:val="22"/>
          <w:szCs w:val="22"/>
        </w:rPr>
        <w:t xml:space="preserve"> </w:t>
      </w:r>
    </w:p>
    <w:p w14:paraId="0D0EB5A5" w14:textId="4530CF04"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Beauchamp, T.L. and Childress, J.F. (2019) </w:t>
      </w:r>
      <w:r w:rsidRPr="00E0512B">
        <w:rPr>
          <w:rFonts w:ascii="Arial" w:eastAsia="Arial" w:hAnsi="Arial" w:cs="Arial"/>
          <w:i/>
          <w:iCs/>
          <w:sz w:val="22"/>
          <w:szCs w:val="22"/>
        </w:rPr>
        <w:t>Principles of biomedical ethics</w:t>
      </w:r>
      <w:r w:rsidRPr="00E0512B">
        <w:rPr>
          <w:rFonts w:ascii="Arial" w:eastAsia="Arial" w:hAnsi="Arial" w:cs="Arial"/>
          <w:sz w:val="22"/>
          <w:szCs w:val="22"/>
        </w:rPr>
        <w:t xml:space="preserve">. 8th edn. Oxford: Oxford University Press. </w:t>
      </w:r>
    </w:p>
    <w:p w14:paraId="6EF3FC36" w14:textId="5E49F195"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Brooker, D. and Latham, I. (2016) </w:t>
      </w:r>
      <w:r w:rsidRPr="00E0512B">
        <w:rPr>
          <w:rFonts w:ascii="Arial" w:eastAsia="Arial" w:hAnsi="Arial" w:cs="Arial"/>
          <w:i/>
          <w:iCs/>
          <w:sz w:val="22"/>
          <w:szCs w:val="22"/>
        </w:rPr>
        <w:t>Person-centred dementia care: making services better</w:t>
      </w:r>
      <w:r w:rsidRPr="00E0512B">
        <w:rPr>
          <w:rFonts w:ascii="Arial" w:eastAsia="Arial" w:hAnsi="Arial" w:cs="Arial"/>
          <w:sz w:val="22"/>
          <w:szCs w:val="22"/>
        </w:rPr>
        <w:t xml:space="preserve">. 2nd edn. London: Jessica Kingsley Publishers. </w:t>
      </w:r>
    </w:p>
    <w:p w14:paraId="75CAB26B" w14:textId="48AED6E4"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Care Act (2014) </w:t>
      </w:r>
      <w:r w:rsidRPr="00E0512B">
        <w:rPr>
          <w:rFonts w:ascii="Arial" w:eastAsia="Arial" w:hAnsi="Arial" w:cs="Arial"/>
          <w:i/>
          <w:iCs/>
          <w:sz w:val="22"/>
          <w:szCs w:val="22"/>
        </w:rPr>
        <w:t>Care Act 2014</w:t>
      </w:r>
      <w:r w:rsidRPr="00E0512B">
        <w:rPr>
          <w:rFonts w:ascii="Arial" w:eastAsia="Arial" w:hAnsi="Arial" w:cs="Arial"/>
          <w:sz w:val="22"/>
          <w:szCs w:val="22"/>
        </w:rPr>
        <w:t xml:space="preserve">. Available at: </w:t>
      </w:r>
      <w:hyperlink r:id="rId8">
        <w:r w:rsidRPr="00E0512B">
          <w:rPr>
            <w:rStyle w:val="Hyperlink"/>
            <w:rFonts w:ascii="Arial" w:eastAsia="Arial" w:hAnsi="Arial" w:cs="Arial"/>
            <w:sz w:val="22"/>
            <w:szCs w:val="22"/>
          </w:rPr>
          <w:t>https://www.legislation.gov.uk/ukpga/2014/23</w:t>
        </w:r>
      </w:hyperlink>
      <w:r w:rsidRPr="00E0512B">
        <w:rPr>
          <w:rFonts w:ascii="Arial" w:eastAsia="Arial" w:hAnsi="Arial" w:cs="Arial"/>
          <w:sz w:val="22"/>
          <w:szCs w:val="22"/>
        </w:rPr>
        <w:t xml:space="preserve"> (Accessed: 4 November 2025). </w:t>
      </w:r>
    </w:p>
    <w:p w14:paraId="70C16A7B" w14:textId="435D9CBA"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Cottrell, S. (2021) </w:t>
      </w:r>
      <w:r w:rsidRPr="00E0512B">
        <w:rPr>
          <w:rFonts w:ascii="Arial" w:eastAsia="Arial" w:hAnsi="Arial" w:cs="Arial"/>
          <w:i/>
          <w:iCs/>
          <w:sz w:val="22"/>
          <w:szCs w:val="22"/>
        </w:rPr>
        <w:t>Skills for success: personal development and employability</w:t>
      </w:r>
      <w:r w:rsidRPr="00E0512B">
        <w:rPr>
          <w:rFonts w:ascii="Arial" w:eastAsia="Arial" w:hAnsi="Arial" w:cs="Arial"/>
          <w:sz w:val="22"/>
          <w:szCs w:val="22"/>
        </w:rPr>
        <w:t xml:space="preserve">. 4th edn. London: Red Globe Press. </w:t>
      </w:r>
    </w:p>
    <w:p w14:paraId="65F0B117" w14:textId="47CD1A28"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Equality Act (2010) </w:t>
      </w:r>
      <w:r w:rsidRPr="00E0512B">
        <w:rPr>
          <w:rFonts w:ascii="Arial" w:eastAsia="Arial" w:hAnsi="Arial" w:cs="Arial"/>
          <w:i/>
          <w:iCs/>
          <w:sz w:val="22"/>
          <w:szCs w:val="22"/>
        </w:rPr>
        <w:t>Equality Act 2010</w:t>
      </w:r>
      <w:r w:rsidRPr="00E0512B">
        <w:rPr>
          <w:rFonts w:ascii="Arial" w:eastAsia="Arial" w:hAnsi="Arial" w:cs="Arial"/>
          <w:sz w:val="22"/>
          <w:szCs w:val="22"/>
        </w:rPr>
        <w:t xml:space="preserve">. Available at: </w:t>
      </w:r>
      <w:hyperlink r:id="rId9">
        <w:r w:rsidRPr="00E0512B">
          <w:rPr>
            <w:rStyle w:val="Hyperlink"/>
            <w:rFonts w:ascii="Arial" w:eastAsia="Arial" w:hAnsi="Arial" w:cs="Arial"/>
            <w:sz w:val="22"/>
            <w:szCs w:val="22"/>
          </w:rPr>
          <w:t>https://www.legislation.gov.uk/ukpga/2010/15</w:t>
        </w:r>
      </w:hyperlink>
      <w:r w:rsidRPr="00E0512B">
        <w:rPr>
          <w:rFonts w:ascii="Arial" w:eastAsia="Arial" w:hAnsi="Arial" w:cs="Arial"/>
          <w:sz w:val="22"/>
          <w:szCs w:val="22"/>
        </w:rPr>
        <w:t xml:space="preserve"> (Accessed: 4 November 2025). </w:t>
      </w:r>
    </w:p>
    <w:p w14:paraId="6394DEC1" w14:textId="518CDF05"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Glasby, J. and Dickinson, H. (2014) </w:t>
      </w:r>
      <w:r w:rsidRPr="00E0512B">
        <w:rPr>
          <w:rFonts w:ascii="Arial" w:eastAsia="Arial" w:hAnsi="Arial" w:cs="Arial"/>
          <w:i/>
          <w:iCs/>
          <w:sz w:val="22"/>
          <w:szCs w:val="22"/>
        </w:rPr>
        <w:t>Partnership working in health and social care: what is integrated care and how can we deliver it?</w:t>
      </w:r>
      <w:r w:rsidRPr="00E0512B">
        <w:rPr>
          <w:rFonts w:ascii="Arial" w:eastAsia="Arial" w:hAnsi="Arial" w:cs="Arial"/>
          <w:sz w:val="22"/>
          <w:szCs w:val="22"/>
        </w:rPr>
        <w:t xml:space="preserve"> 2nd edn. Bristol: Policy Press. </w:t>
      </w:r>
    </w:p>
    <w:p w14:paraId="3F1E14BC" w14:textId="6B3858CC"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Health Foundation (2016) </w:t>
      </w:r>
      <w:r w:rsidRPr="00E0512B">
        <w:rPr>
          <w:rFonts w:ascii="Arial" w:eastAsia="Arial" w:hAnsi="Arial" w:cs="Arial"/>
          <w:i/>
          <w:iCs/>
          <w:sz w:val="22"/>
          <w:szCs w:val="22"/>
        </w:rPr>
        <w:t>Person-centred care made simple</w:t>
      </w:r>
      <w:r w:rsidRPr="00E0512B">
        <w:rPr>
          <w:rFonts w:ascii="Arial" w:eastAsia="Arial" w:hAnsi="Arial" w:cs="Arial"/>
          <w:sz w:val="22"/>
          <w:szCs w:val="22"/>
        </w:rPr>
        <w:t xml:space="preserve">. Available at: </w:t>
      </w:r>
      <w:hyperlink r:id="rId10">
        <w:r w:rsidRPr="00E0512B">
          <w:rPr>
            <w:rStyle w:val="Hyperlink"/>
            <w:rFonts w:ascii="Arial" w:eastAsia="Arial" w:hAnsi="Arial" w:cs="Arial"/>
            <w:sz w:val="22"/>
            <w:szCs w:val="22"/>
          </w:rPr>
          <w:t>https://www.health.org.uk/publications/person-centred-care-made-simple</w:t>
        </w:r>
      </w:hyperlink>
      <w:r w:rsidRPr="00E0512B">
        <w:rPr>
          <w:rFonts w:ascii="Arial" w:eastAsia="Arial" w:hAnsi="Arial" w:cs="Arial"/>
          <w:sz w:val="22"/>
          <w:szCs w:val="22"/>
        </w:rPr>
        <w:t xml:space="preserve"> (Accessed: 4 November 2025). </w:t>
      </w:r>
    </w:p>
    <w:p w14:paraId="34E50C85" w14:textId="35959A7E"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Human Rights Act (1998) </w:t>
      </w:r>
      <w:r w:rsidRPr="00E0512B">
        <w:rPr>
          <w:rFonts w:ascii="Arial" w:eastAsia="Arial" w:hAnsi="Arial" w:cs="Arial"/>
          <w:i/>
          <w:iCs/>
          <w:sz w:val="22"/>
          <w:szCs w:val="22"/>
        </w:rPr>
        <w:t>Human Rights Act 1998</w:t>
      </w:r>
      <w:r w:rsidRPr="00E0512B">
        <w:rPr>
          <w:rFonts w:ascii="Arial" w:eastAsia="Arial" w:hAnsi="Arial" w:cs="Arial"/>
          <w:sz w:val="22"/>
          <w:szCs w:val="22"/>
        </w:rPr>
        <w:t xml:space="preserve">. Available at: </w:t>
      </w:r>
      <w:hyperlink r:id="rId11">
        <w:r w:rsidRPr="00E0512B">
          <w:rPr>
            <w:rStyle w:val="Hyperlink"/>
            <w:rFonts w:ascii="Arial" w:eastAsia="Arial" w:hAnsi="Arial" w:cs="Arial"/>
            <w:sz w:val="22"/>
            <w:szCs w:val="22"/>
          </w:rPr>
          <w:t>https://www.legislation.gov.uk/ukpga/1998/42</w:t>
        </w:r>
      </w:hyperlink>
      <w:r w:rsidRPr="00E0512B">
        <w:rPr>
          <w:rFonts w:ascii="Arial" w:eastAsia="Arial" w:hAnsi="Arial" w:cs="Arial"/>
          <w:sz w:val="22"/>
          <w:szCs w:val="22"/>
        </w:rPr>
        <w:t xml:space="preserve"> (Accessed: 4 November 2025). </w:t>
      </w:r>
    </w:p>
    <w:p w14:paraId="786B15ED" w14:textId="10E6E026"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Kitwood, T. (1997) </w:t>
      </w:r>
      <w:r w:rsidRPr="00E0512B">
        <w:rPr>
          <w:rFonts w:ascii="Arial" w:eastAsia="Arial" w:hAnsi="Arial" w:cs="Arial"/>
          <w:i/>
          <w:iCs/>
          <w:sz w:val="22"/>
          <w:szCs w:val="22"/>
        </w:rPr>
        <w:t>Dementia reconsidered: the person comes first</w:t>
      </w:r>
      <w:r w:rsidRPr="00E0512B">
        <w:rPr>
          <w:rFonts w:ascii="Arial" w:eastAsia="Arial" w:hAnsi="Arial" w:cs="Arial"/>
          <w:sz w:val="22"/>
          <w:szCs w:val="22"/>
        </w:rPr>
        <w:t xml:space="preserve">. Buckingham: Open University Press. </w:t>
      </w:r>
    </w:p>
    <w:p w14:paraId="3CA983D1" w14:textId="6E71C83D"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Maslow, A.H. (1943) ‘A theory of human motivation’, </w:t>
      </w:r>
      <w:r w:rsidRPr="00E0512B">
        <w:rPr>
          <w:rFonts w:ascii="Arial" w:eastAsia="Arial" w:hAnsi="Arial" w:cs="Arial"/>
          <w:i/>
          <w:iCs/>
          <w:sz w:val="22"/>
          <w:szCs w:val="22"/>
        </w:rPr>
        <w:t>Psychological Review</w:t>
      </w:r>
      <w:r w:rsidRPr="00E0512B">
        <w:rPr>
          <w:rFonts w:ascii="Arial" w:eastAsia="Arial" w:hAnsi="Arial" w:cs="Arial"/>
          <w:sz w:val="22"/>
          <w:szCs w:val="22"/>
        </w:rPr>
        <w:t xml:space="preserve">, 50(4), pp. 370–396. </w:t>
      </w:r>
    </w:p>
    <w:p w14:paraId="0ED71B15" w14:textId="136521C0"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McCormack, B. and McCance, T. (2017) </w:t>
      </w:r>
      <w:r w:rsidRPr="00E0512B">
        <w:rPr>
          <w:rFonts w:ascii="Arial" w:eastAsia="Arial" w:hAnsi="Arial" w:cs="Arial"/>
          <w:i/>
          <w:iCs/>
          <w:sz w:val="22"/>
          <w:szCs w:val="22"/>
        </w:rPr>
        <w:t>Person-centred practice in nursing and health care: theory and practice</w:t>
      </w:r>
      <w:r w:rsidRPr="00E0512B">
        <w:rPr>
          <w:rFonts w:ascii="Arial" w:eastAsia="Arial" w:hAnsi="Arial" w:cs="Arial"/>
          <w:sz w:val="22"/>
          <w:szCs w:val="22"/>
        </w:rPr>
        <w:t xml:space="preserve">. 2nd edn. Oxford: Wiley Blackwell. </w:t>
      </w:r>
    </w:p>
    <w:p w14:paraId="6F4140C3" w14:textId="57B4E2E0"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McLeod, S. (2020) ‘Maslow’s hierarchy of needs’, </w:t>
      </w:r>
      <w:r w:rsidRPr="00E0512B">
        <w:rPr>
          <w:rFonts w:ascii="Arial" w:eastAsia="Arial" w:hAnsi="Arial" w:cs="Arial"/>
          <w:i/>
          <w:iCs/>
          <w:sz w:val="22"/>
          <w:szCs w:val="22"/>
        </w:rPr>
        <w:t>Simply Psychology</w:t>
      </w:r>
      <w:r w:rsidRPr="00E0512B">
        <w:rPr>
          <w:rFonts w:ascii="Arial" w:eastAsia="Arial" w:hAnsi="Arial" w:cs="Arial"/>
          <w:sz w:val="22"/>
          <w:szCs w:val="22"/>
        </w:rPr>
        <w:t xml:space="preserve">. Available at: </w:t>
      </w:r>
      <w:hyperlink r:id="rId12">
        <w:r w:rsidRPr="00E0512B">
          <w:rPr>
            <w:rStyle w:val="Hyperlink"/>
            <w:rFonts w:ascii="Arial" w:eastAsia="Arial" w:hAnsi="Arial" w:cs="Arial"/>
            <w:sz w:val="22"/>
            <w:szCs w:val="22"/>
          </w:rPr>
          <w:t>https://www.simplypsychology.org/maslow.html</w:t>
        </w:r>
      </w:hyperlink>
      <w:r w:rsidRPr="00E0512B">
        <w:rPr>
          <w:rFonts w:ascii="Arial" w:eastAsia="Arial" w:hAnsi="Arial" w:cs="Arial"/>
          <w:sz w:val="22"/>
          <w:szCs w:val="22"/>
        </w:rPr>
        <w:t xml:space="preserve"> (Accessed: 4 November 2025). </w:t>
      </w:r>
    </w:p>
    <w:p w14:paraId="6B30F0D4" w14:textId="31877B1F"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Mental Capacity Act (2005) </w:t>
      </w:r>
      <w:r w:rsidRPr="00E0512B">
        <w:rPr>
          <w:rFonts w:ascii="Arial" w:eastAsia="Arial" w:hAnsi="Arial" w:cs="Arial"/>
          <w:i/>
          <w:iCs/>
          <w:sz w:val="22"/>
          <w:szCs w:val="22"/>
        </w:rPr>
        <w:t>Mental Capacity Act 2005</w:t>
      </w:r>
      <w:r w:rsidRPr="00E0512B">
        <w:rPr>
          <w:rFonts w:ascii="Arial" w:eastAsia="Arial" w:hAnsi="Arial" w:cs="Arial"/>
          <w:sz w:val="22"/>
          <w:szCs w:val="22"/>
        </w:rPr>
        <w:t xml:space="preserve">. Available at: </w:t>
      </w:r>
      <w:hyperlink r:id="rId13">
        <w:r w:rsidRPr="00E0512B">
          <w:rPr>
            <w:rStyle w:val="Hyperlink"/>
            <w:rFonts w:ascii="Arial" w:eastAsia="Arial" w:hAnsi="Arial" w:cs="Arial"/>
            <w:sz w:val="22"/>
            <w:szCs w:val="22"/>
          </w:rPr>
          <w:t>https://www.legislation.gov.uk/ukpga/2005/9</w:t>
        </w:r>
      </w:hyperlink>
      <w:r w:rsidRPr="00E0512B">
        <w:rPr>
          <w:rFonts w:ascii="Arial" w:eastAsia="Arial" w:hAnsi="Arial" w:cs="Arial"/>
          <w:sz w:val="22"/>
          <w:szCs w:val="22"/>
        </w:rPr>
        <w:t xml:space="preserve"> (Accessed: 4 November 2025). </w:t>
      </w:r>
    </w:p>
    <w:p w14:paraId="432F8DB7" w14:textId="5A08874F"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NHS England (2019) </w:t>
      </w:r>
      <w:r w:rsidRPr="00E0512B">
        <w:rPr>
          <w:rFonts w:ascii="Arial" w:eastAsia="Arial" w:hAnsi="Arial" w:cs="Arial"/>
          <w:i/>
          <w:iCs/>
          <w:sz w:val="22"/>
          <w:szCs w:val="22"/>
        </w:rPr>
        <w:t>The NHS Long Term Plan</w:t>
      </w:r>
      <w:r w:rsidRPr="00E0512B">
        <w:rPr>
          <w:rFonts w:ascii="Arial" w:eastAsia="Arial" w:hAnsi="Arial" w:cs="Arial"/>
          <w:sz w:val="22"/>
          <w:szCs w:val="22"/>
        </w:rPr>
        <w:t xml:space="preserve">. Available at: </w:t>
      </w:r>
      <w:hyperlink r:id="rId14">
        <w:r w:rsidRPr="00E0512B">
          <w:rPr>
            <w:rStyle w:val="Hyperlink"/>
            <w:rFonts w:ascii="Arial" w:eastAsia="Arial" w:hAnsi="Arial" w:cs="Arial"/>
            <w:sz w:val="22"/>
            <w:szCs w:val="22"/>
          </w:rPr>
          <w:t>https://www.longtermplan.nhs.uk</w:t>
        </w:r>
      </w:hyperlink>
      <w:r w:rsidRPr="00E0512B">
        <w:rPr>
          <w:rFonts w:ascii="Arial" w:eastAsia="Arial" w:hAnsi="Arial" w:cs="Arial"/>
          <w:sz w:val="22"/>
          <w:szCs w:val="22"/>
        </w:rPr>
        <w:t xml:space="preserve"> (Accessed: 4 November 2025). </w:t>
      </w:r>
    </w:p>
    <w:p w14:paraId="03A005B4" w14:textId="7F71EEB5"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NHS England (2023) </w:t>
      </w:r>
      <w:r w:rsidRPr="00E0512B">
        <w:rPr>
          <w:rFonts w:ascii="Arial" w:eastAsia="Arial" w:hAnsi="Arial" w:cs="Arial"/>
          <w:i/>
          <w:iCs/>
          <w:sz w:val="22"/>
          <w:szCs w:val="22"/>
        </w:rPr>
        <w:t>Integrated care systems</w:t>
      </w:r>
      <w:r w:rsidRPr="00E0512B">
        <w:rPr>
          <w:rFonts w:ascii="Arial" w:eastAsia="Arial" w:hAnsi="Arial" w:cs="Arial"/>
          <w:sz w:val="22"/>
          <w:szCs w:val="22"/>
        </w:rPr>
        <w:t xml:space="preserve">. Available at: </w:t>
      </w:r>
      <w:hyperlink r:id="rId15">
        <w:r w:rsidRPr="00E0512B">
          <w:rPr>
            <w:rStyle w:val="Hyperlink"/>
            <w:rFonts w:ascii="Arial" w:eastAsia="Arial" w:hAnsi="Arial" w:cs="Arial"/>
            <w:sz w:val="22"/>
            <w:szCs w:val="22"/>
          </w:rPr>
          <w:t>https://www.england.nhs.uk/integratedcare/</w:t>
        </w:r>
      </w:hyperlink>
      <w:r w:rsidRPr="00E0512B">
        <w:rPr>
          <w:rFonts w:ascii="Arial" w:eastAsia="Arial" w:hAnsi="Arial" w:cs="Arial"/>
          <w:sz w:val="22"/>
          <w:szCs w:val="22"/>
        </w:rPr>
        <w:t xml:space="preserve"> (Accessed: 4 November 2025). </w:t>
      </w:r>
    </w:p>
    <w:p w14:paraId="72BB8830" w14:textId="3E67B62A"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NICE (2021) </w:t>
      </w:r>
      <w:r w:rsidRPr="00E0512B">
        <w:rPr>
          <w:rFonts w:ascii="Arial" w:eastAsia="Arial" w:hAnsi="Arial" w:cs="Arial"/>
          <w:i/>
          <w:iCs/>
          <w:sz w:val="22"/>
          <w:szCs w:val="22"/>
        </w:rPr>
        <w:t>Person-centred care guidelines</w:t>
      </w:r>
      <w:r w:rsidRPr="00E0512B">
        <w:rPr>
          <w:rFonts w:ascii="Arial" w:eastAsia="Arial" w:hAnsi="Arial" w:cs="Arial"/>
          <w:sz w:val="22"/>
          <w:szCs w:val="22"/>
        </w:rPr>
        <w:t xml:space="preserve">. Available at: </w:t>
      </w:r>
      <w:hyperlink r:id="rId16">
        <w:r w:rsidRPr="00E0512B">
          <w:rPr>
            <w:rStyle w:val="Hyperlink"/>
            <w:rFonts w:ascii="Arial" w:eastAsia="Arial" w:hAnsi="Arial" w:cs="Arial"/>
            <w:sz w:val="22"/>
            <w:szCs w:val="22"/>
          </w:rPr>
          <w:t>https://www.nice.org.uk</w:t>
        </w:r>
      </w:hyperlink>
      <w:r w:rsidRPr="00E0512B">
        <w:rPr>
          <w:rFonts w:ascii="Arial" w:eastAsia="Arial" w:hAnsi="Arial" w:cs="Arial"/>
          <w:sz w:val="22"/>
          <w:szCs w:val="22"/>
        </w:rPr>
        <w:t xml:space="preserve"> (Accessed: 4 November 2025). </w:t>
      </w:r>
    </w:p>
    <w:p w14:paraId="6321A415" w14:textId="58C1FD69" w:rsidR="311BFF53" w:rsidRPr="00E0512B" w:rsidRDefault="311BFF53" w:rsidP="008859A9">
      <w:pPr>
        <w:spacing w:line="360" w:lineRule="auto"/>
        <w:rPr>
          <w:rFonts w:ascii="Arial" w:eastAsia="Arial" w:hAnsi="Arial" w:cs="Arial"/>
          <w:sz w:val="22"/>
          <w:szCs w:val="22"/>
        </w:rPr>
      </w:pPr>
      <w:r w:rsidRPr="00E0512B">
        <w:rPr>
          <w:rFonts w:ascii="Arial" w:eastAsia="Arial" w:hAnsi="Arial" w:cs="Arial"/>
          <w:sz w:val="22"/>
          <w:szCs w:val="22"/>
        </w:rPr>
        <w:t xml:space="preserve">Skills for Care (2023) </w:t>
      </w:r>
      <w:r w:rsidRPr="00E0512B">
        <w:rPr>
          <w:rFonts w:ascii="Arial" w:eastAsia="Arial" w:hAnsi="Arial" w:cs="Arial"/>
          <w:i/>
          <w:iCs/>
          <w:sz w:val="22"/>
          <w:szCs w:val="22"/>
        </w:rPr>
        <w:t>The state of the adult social care sector and workforce in England</w:t>
      </w:r>
      <w:r w:rsidRPr="00E0512B">
        <w:rPr>
          <w:rFonts w:ascii="Arial" w:eastAsia="Arial" w:hAnsi="Arial" w:cs="Arial"/>
          <w:sz w:val="22"/>
          <w:szCs w:val="22"/>
        </w:rPr>
        <w:t xml:space="preserve">. Available at: </w:t>
      </w:r>
      <w:hyperlink r:id="rId17">
        <w:r w:rsidRPr="00E0512B">
          <w:rPr>
            <w:rStyle w:val="Hyperlink"/>
            <w:rFonts w:ascii="Arial" w:eastAsia="Arial" w:hAnsi="Arial" w:cs="Arial"/>
            <w:sz w:val="22"/>
            <w:szCs w:val="22"/>
          </w:rPr>
          <w:t>https://www.skillsforcare.org.uk</w:t>
        </w:r>
      </w:hyperlink>
      <w:r w:rsidRPr="00E0512B">
        <w:rPr>
          <w:rFonts w:ascii="Arial" w:eastAsia="Arial" w:hAnsi="Arial" w:cs="Arial"/>
          <w:sz w:val="22"/>
          <w:szCs w:val="22"/>
        </w:rPr>
        <w:t xml:space="preserve"> (Accessed: 4 November 2025).</w:t>
      </w:r>
    </w:p>
    <w:p w14:paraId="43D5CA4F" w14:textId="5D820F43" w:rsidR="7B2730B2" w:rsidRPr="00E0512B" w:rsidRDefault="7B2730B2" w:rsidP="008859A9">
      <w:pPr>
        <w:spacing w:line="360" w:lineRule="auto"/>
        <w:rPr>
          <w:rFonts w:ascii="Arial" w:eastAsia="Arial" w:hAnsi="Arial" w:cs="Arial"/>
          <w:sz w:val="22"/>
          <w:szCs w:val="22"/>
        </w:rPr>
      </w:pPr>
    </w:p>
    <w:p w14:paraId="3355A89E" w14:textId="070904D3" w:rsidR="7B2730B2" w:rsidRPr="004618F5" w:rsidRDefault="7B2730B2" w:rsidP="008859A9">
      <w:pPr>
        <w:spacing w:line="360" w:lineRule="auto"/>
        <w:rPr>
          <w:rFonts w:ascii="Arial" w:eastAsia="Arial" w:hAnsi="Arial" w:cs="Arial"/>
          <w:sz w:val="22"/>
          <w:szCs w:val="22"/>
        </w:rPr>
      </w:pPr>
    </w:p>
    <w:sectPr w:rsidR="7B2730B2" w:rsidRPr="004618F5">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BF258" w14:textId="77777777" w:rsidR="00013E45" w:rsidRPr="00E0512B" w:rsidRDefault="00013E45">
      <w:pPr>
        <w:spacing w:after="0" w:line="240" w:lineRule="auto"/>
      </w:pPr>
      <w:r w:rsidRPr="00E0512B">
        <w:separator/>
      </w:r>
    </w:p>
  </w:endnote>
  <w:endnote w:type="continuationSeparator" w:id="0">
    <w:p w14:paraId="3670A2BC" w14:textId="77777777" w:rsidR="00013E45" w:rsidRPr="00E0512B" w:rsidRDefault="00013E45">
      <w:pPr>
        <w:spacing w:after="0" w:line="240" w:lineRule="auto"/>
      </w:pPr>
      <w:r w:rsidRPr="00E0512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CFB2C14" w:rsidRPr="00E0512B" w14:paraId="6FCC3389" w14:textId="77777777" w:rsidTr="7B2730B2">
      <w:trPr>
        <w:trHeight w:val="300"/>
      </w:trPr>
      <w:tc>
        <w:tcPr>
          <w:tcW w:w="3120" w:type="dxa"/>
        </w:tcPr>
        <w:p w14:paraId="6E0CBF20" w14:textId="5D3140BA" w:rsidR="7CFB2C14" w:rsidRPr="00E0512B" w:rsidRDefault="7CFB2C14" w:rsidP="7CFB2C14">
          <w:pPr>
            <w:pStyle w:val="Header"/>
            <w:ind w:left="-115"/>
          </w:pPr>
        </w:p>
      </w:tc>
      <w:tc>
        <w:tcPr>
          <w:tcW w:w="3120" w:type="dxa"/>
        </w:tcPr>
        <w:p w14:paraId="4BCCB99F" w14:textId="2CB68C7E" w:rsidR="7CFB2C14" w:rsidRPr="00E0512B" w:rsidRDefault="7CFB2C14" w:rsidP="7CFB2C14">
          <w:pPr>
            <w:pStyle w:val="Header"/>
            <w:jc w:val="center"/>
          </w:pPr>
        </w:p>
      </w:tc>
      <w:tc>
        <w:tcPr>
          <w:tcW w:w="3120" w:type="dxa"/>
        </w:tcPr>
        <w:p w14:paraId="5BFDF10C" w14:textId="6DD0D1C8" w:rsidR="7CFB2C14" w:rsidRPr="00E0512B" w:rsidRDefault="7CFB2C14" w:rsidP="7CFB2C14">
          <w:pPr>
            <w:pStyle w:val="Header"/>
            <w:ind w:right="-115"/>
            <w:jc w:val="right"/>
          </w:pPr>
          <w:r w:rsidRPr="00E0512B">
            <w:fldChar w:fldCharType="begin"/>
          </w:r>
          <w:r w:rsidRPr="00E0512B">
            <w:instrText>PAGE</w:instrText>
          </w:r>
          <w:r w:rsidRPr="00E0512B">
            <w:fldChar w:fldCharType="separate"/>
          </w:r>
          <w:r w:rsidR="00975531" w:rsidRPr="00E0512B">
            <w:t>1</w:t>
          </w:r>
          <w:r w:rsidRPr="00E0512B">
            <w:fldChar w:fldCharType="end"/>
          </w:r>
        </w:p>
      </w:tc>
    </w:tr>
  </w:tbl>
  <w:p w14:paraId="5592F0EF" w14:textId="0FEEE4F5" w:rsidR="7CFB2C14" w:rsidRPr="00E0512B" w:rsidRDefault="7CFB2C14" w:rsidP="7CFB2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51861" w14:textId="77777777" w:rsidR="00013E45" w:rsidRPr="00E0512B" w:rsidRDefault="00013E45">
      <w:pPr>
        <w:spacing w:after="0" w:line="240" w:lineRule="auto"/>
      </w:pPr>
      <w:r w:rsidRPr="00E0512B">
        <w:separator/>
      </w:r>
    </w:p>
  </w:footnote>
  <w:footnote w:type="continuationSeparator" w:id="0">
    <w:p w14:paraId="674DD4C2" w14:textId="77777777" w:rsidR="00013E45" w:rsidRPr="00E0512B" w:rsidRDefault="00013E45">
      <w:pPr>
        <w:spacing w:after="0" w:line="240" w:lineRule="auto"/>
      </w:pPr>
      <w:r w:rsidRPr="00E0512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CFB2C14" w:rsidRPr="00E0512B" w14:paraId="7F7361D7" w14:textId="77777777" w:rsidTr="7B2730B2">
      <w:trPr>
        <w:trHeight w:val="300"/>
      </w:trPr>
      <w:tc>
        <w:tcPr>
          <w:tcW w:w="3120" w:type="dxa"/>
        </w:tcPr>
        <w:p w14:paraId="1B29663C" w14:textId="19550AFA" w:rsidR="7CFB2C14" w:rsidRPr="00E0512B" w:rsidRDefault="7CFB2C14" w:rsidP="7CFB2C14">
          <w:pPr>
            <w:pStyle w:val="Header"/>
            <w:ind w:left="-115"/>
          </w:pPr>
        </w:p>
      </w:tc>
      <w:tc>
        <w:tcPr>
          <w:tcW w:w="3120" w:type="dxa"/>
        </w:tcPr>
        <w:p w14:paraId="3F956A3F" w14:textId="695CE1DF" w:rsidR="7CFB2C14" w:rsidRPr="00E0512B" w:rsidRDefault="7CFB2C14" w:rsidP="7CFB2C14">
          <w:pPr>
            <w:pStyle w:val="Header"/>
            <w:jc w:val="center"/>
          </w:pPr>
        </w:p>
      </w:tc>
      <w:tc>
        <w:tcPr>
          <w:tcW w:w="3120" w:type="dxa"/>
        </w:tcPr>
        <w:p w14:paraId="7D0D76C1" w14:textId="050F731A" w:rsidR="7CFB2C14" w:rsidRPr="00E0512B" w:rsidRDefault="7CFB2C14" w:rsidP="7CFB2C14">
          <w:pPr>
            <w:pStyle w:val="Header"/>
            <w:ind w:right="-115"/>
            <w:jc w:val="right"/>
          </w:pPr>
        </w:p>
      </w:tc>
    </w:tr>
  </w:tbl>
  <w:p w14:paraId="79393861" w14:textId="258F3A21" w:rsidR="7CFB2C14" w:rsidRPr="00E0512B" w:rsidRDefault="7CFB2C14" w:rsidP="7CFB2C14">
    <w:pPr>
      <w:pStyle w:val="Header"/>
    </w:pPr>
  </w:p>
</w:hdr>
</file>

<file path=word/intelligence2.xml><?xml version="1.0" encoding="utf-8"?>
<int2:intelligence xmlns:int2="http://schemas.microsoft.com/office/intelligence/2020/intelligence" xmlns:oel="http://schemas.microsoft.com/office/2019/extlst">
  <int2:observations>
    <int2:entireDocument int2:id="gRMyGPgj">
      <int2:extLst>
        <oel:ext uri="E302BA01-7950-474C-9AD3-286E660C40A8">
          <int2:similaritySummary int2:version="1" int2:runId="1763075725904" int2:tilesCheckedInThisRun="73" int2:totalNumOfTiles="73" int2:similarityAnnotationCount="0" int2:numWords="2397" int2:numFlaggedWords="0"/>
        </oel:ext>
      </int2:extLst>
    </int2:entireDocument>
  </int2:observations>
  <int2:intelligenceSettings/>
  <int2:onDemandWorkflows>
    <int2:onDemandWorkflow int2:type="SimilarityCheck" int2:paragraphVersions="2E9E488F-2FF31C8D 0BE0AEAA-44E6A917 5C91D0F2-2BC7CC56 4230D480-217DF455 1217EA87-78E38D67 5A30F450-4A8B8BDF 4396E5D1-55FA2EF5 3140ED2B-777951C3 7D7561BB-210150A4 1DD53418-7ED8050F 08B25432-6DE1C260 7B8D49AF-5F89F9E6 541D1E07-5CBA73F8 48EB50C2-578CF261 10EBF6D0-2D8036F0 434D970E-3334B72E 2CE992AD-03847A12 72D17806-3AB2A92C 60DDEDE7-548E64D2 6BDAA25B-4879922A 51281275-7FDAE956 35191509-521CC284 07C45450-2F6ABFB6 21E7A875-6AF32FAE 0125FF17-527AB3DA 2633C568-3FB635E5 5BCE674C-0097A9A5 166F50CE-447EB6D9 35D340E4-7D4B20B2 0DAF3FA6-7E1A5718 1C2234CA-70335FE9 42B36651-5D72FB6F 5CBF6112-3C6F37FB 53D12125-2756F072 44BCAF11-0106402B 606A7443-3D2E6F0C 79CB511D-78B6427B 747D87EC-362A66C4 261CF63B-14696B63 0137D7CD-6FF35606 456DD260-5204B4D4 3C2284B7-00E38E71 5ABABC95-3093CEE9 50875128-4C4FB7B9 119F9DFC-5ACD9C6E 1932F206-605E185E 4F0C667F-6407A64E 60915C83-0228EAE4 6BCD0243-0273BB1A 64B56006-6A5E6D4D 4DBDDC23-624E9678 6D4F8651-57110353 59795651-27B9B945 23275F03-25B037A8 4269C6E0-4023BFE4 36E0C31F-5291A884 338565A7-2D346D08 542AA942-0C30FFFD 21B203C6-448375D0 76C13480-0B42E612 5DCE1844-49B5F085 66474D2D-358F70C7 1A16A256-52B00F14 0BF72FB8-78DC5A2D 7283BAF5-553BF4D4 5E1E302D-5693C965 60D3C629-1BCE867C 6A9CCB3E-224479BD 1685E5E7-60E6A753 6DF7D8B9-2398BE8F 50C6C863-6942196E 069D0586-7202C4F5 3C5F576A-12682936 648C899D-4DF0DB3A 14CF17AC-31FA9E6A 3AE3E7AE-165DF398 78F8F94C-2666C3EE 6B403856-6A5BEFC0 4189BA94-5182851A 7A895EA6-0EE10511 7FDA46F5-3447D1EA 60EE945F-0B84A601 4A76CB4B-1114CA34 19FC579D-0A4F78DB 5874942B-3A0DB6F9 5E6891FA-3A5EC662 7A34E2A4-24D8265D 12EA7667-1C805F71 44A9B6D9-72750B72 1B37DC8E-219243FF 641B79C0-73FAAB8D 644111FE-48B64B54 26293B32-23F74D50 50DEDC1B-7F350263 3BE5A5BD-2CA60399 4CFC6EB7-57A48B6B 011BDC07-4CC5FB30 2C748D38-1B54A433 04C3A466-7242B0EB 1F105D54-554DC3EE 40E38D98-67E9CEDF 3E19046B-73031A22 7A0F7545-167C820C 728EC1B1-64E36CA0 5953D235-102250E4 5F21D8FE-7B399ED9 4EF7D18D-223AF404 045BA41B-71AC6C5E 3AACC559-4287FA41 02490DCA-5D826734 4EF53EF9-3E90517E 43DEA783-027B1217 4BF2C4ED-3CF32425 09935D7A-35C142F4 0E4879F0-5B8D0C24 24A1185A-680A9B39 21652013-6E09A344 76F1352B-7DD6757C 3BDD5EB2-64F5A551 2FD1A04C-21D76F16 6ABAD767-30438696 138390CA-36B1418D 1ADEAEB2-077F54D7 15B7DDD4-2CD30A6F 56DD13D7-2875D5D6 3355A89E-070904D3 1B29663C-19550AFA 3F956A3F-695CE1DF 7D0D76C1-050F731A 79393861-258F3A21 6E0CBF20-5D3140BA 4BCCB99F-2CB68C7E 5BFDF10C-403AF36C 5592F0EF-0FEEE4F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7B3B4"/>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2BC31DE6"/>
    <w:multiLevelType w:val="hybridMultilevel"/>
    <w:tmpl w:val="FFFFFFFF"/>
    <w:lvl w:ilvl="0" w:tplc="B6C2AA00">
      <w:start w:val="1"/>
      <w:numFmt w:val="bullet"/>
      <w:lvlText w:val=""/>
      <w:lvlJc w:val="left"/>
      <w:pPr>
        <w:ind w:left="720" w:hanging="360"/>
      </w:pPr>
      <w:rPr>
        <w:rFonts w:ascii="Symbol" w:hAnsi="Symbol" w:hint="default"/>
      </w:rPr>
    </w:lvl>
    <w:lvl w:ilvl="1" w:tplc="41F85278">
      <w:start w:val="1"/>
      <w:numFmt w:val="bullet"/>
      <w:lvlText w:val="o"/>
      <w:lvlJc w:val="left"/>
      <w:pPr>
        <w:ind w:left="1440" w:hanging="360"/>
      </w:pPr>
      <w:rPr>
        <w:rFonts w:ascii="Courier New" w:hAnsi="Courier New" w:hint="default"/>
      </w:rPr>
    </w:lvl>
    <w:lvl w:ilvl="2" w:tplc="24A66050">
      <w:start w:val="1"/>
      <w:numFmt w:val="bullet"/>
      <w:lvlText w:val=""/>
      <w:lvlJc w:val="left"/>
      <w:pPr>
        <w:ind w:left="2160" w:hanging="360"/>
      </w:pPr>
      <w:rPr>
        <w:rFonts w:ascii="Wingdings" w:hAnsi="Wingdings" w:hint="default"/>
      </w:rPr>
    </w:lvl>
    <w:lvl w:ilvl="3" w:tplc="41C8278C">
      <w:start w:val="1"/>
      <w:numFmt w:val="bullet"/>
      <w:lvlText w:val=""/>
      <w:lvlJc w:val="left"/>
      <w:pPr>
        <w:ind w:left="2880" w:hanging="360"/>
      </w:pPr>
      <w:rPr>
        <w:rFonts w:ascii="Symbol" w:hAnsi="Symbol" w:hint="default"/>
      </w:rPr>
    </w:lvl>
    <w:lvl w:ilvl="4" w:tplc="682618FA">
      <w:start w:val="1"/>
      <w:numFmt w:val="bullet"/>
      <w:lvlText w:val="o"/>
      <w:lvlJc w:val="left"/>
      <w:pPr>
        <w:ind w:left="3600" w:hanging="360"/>
      </w:pPr>
      <w:rPr>
        <w:rFonts w:ascii="Courier New" w:hAnsi="Courier New" w:hint="default"/>
      </w:rPr>
    </w:lvl>
    <w:lvl w:ilvl="5" w:tplc="B71E97C6">
      <w:start w:val="1"/>
      <w:numFmt w:val="bullet"/>
      <w:lvlText w:val=""/>
      <w:lvlJc w:val="left"/>
      <w:pPr>
        <w:ind w:left="4320" w:hanging="360"/>
      </w:pPr>
      <w:rPr>
        <w:rFonts w:ascii="Wingdings" w:hAnsi="Wingdings" w:hint="default"/>
      </w:rPr>
    </w:lvl>
    <w:lvl w:ilvl="6" w:tplc="199A7C8E">
      <w:start w:val="1"/>
      <w:numFmt w:val="bullet"/>
      <w:lvlText w:val=""/>
      <w:lvlJc w:val="left"/>
      <w:pPr>
        <w:ind w:left="5040" w:hanging="360"/>
      </w:pPr>
      <w:rPr>
        <w:rFonts w:ascii="Symbol" w:hAnsi="Symbol" w:hint="default"/>
      </w:rPr>
    </w:lvl>
    <w:lvl w:ilvl="7" w:tplc="B0765406">
      <w:start w:val="1"/>
      <w:numFmt w:val="bullet"/>
      <w:lvlText w:val="o"/>
      <w:lvlJc w:val="left"/>
      <w:pPr>
        <w:ind w:left="5760" w:hanging="360"/>
      </w:pPr>
      <w:rPr>
        <w:rFonts w:ascii="Courier New" w:hAnsi="Courier New" w:hint="default"/>
      </w:rPr>
    </w:lvl>
    <w:lvl w:ilvl="8" w:tplc="0152F548">
      <w:start w:val="1"/>
      <w:numFmt w:val="bullet"/>
      <w:lvlText w:val=""/>
      <w:lvlJc w:val="left"/>
      <w:pPr>
        <w:ind w:left="6480" w:hanging="360"/>
      </w:pPr>
      <w:rPr>
        <w:rFonts w:ascii="Wingdings" w:hAnsi="Wingdings" w:hint="default"/>
      </w:rPr>
    </w:lvl>
  </w:abstractNum>
  <w:abstractNum w:abstractNumId="2" w15:restartNumberingAfterBreak="0">
    <w:nsid w:val="3BC7DD79"/>
    <w:multiLevelType w:val="hybridMultilevel"/>
    <w:tmpl w:val="FFFFFFFF"/>
    <w:lvl w:ilvl="0" w:tplc="C036760E">
      <w:start w:val="1"/>
      <w:numFmt w:val="bullet"/>
      <w:lvlText w:val=""/>
      <w:lvlJc w:val="left"/>
      <w:pPr>
        <w:ind w:left="720" w:hanging="360"/>
      </w:pPr>
      <w:rPr>
        <w:rFonts w:ascii="Symbol" w:hAnsi="Symbol" w:hint="default"/>
      </w:rPr>
    </w:lvl>
    <w:lvl w:ilvl="1" w:tplc="5E4CED04">
      <w:start w:val="1"/>
      <w:numFmt w:val="bullet"/>
      <w:lvlText w:val="o"/>
      <w:lvlJc w:val="left"/>
      <w:pPr>
        <w:ind w:left="1440" w:hanging="360"/>
      </w:pPr>
      <w:rPr>
        <w:rFonts w:ascii="Courier New" w:hAnsi="Courier New" w:hint="default"/>
      </w:rPr>
    </w:lvl>
    <w:lvl w:ilvl="2" w:tplc="510CA656">
      <w:start w:val="1"/>
      <w:numFmt w:val="bullet"/>
      <w:lvlText w:val=""/>
      <w:lvlJc w:val="left"/>
      <w:pPr>
        <w:ind w:left="2160" w:hanging="360"/>
      </w:pPr>
      <w:rPr>
        <w:rFonts w:ascii="Wingdings" w:hAnsi="Wingdings" w:hint="default"/>
      </w:rPr>
    </w:lvl>
    <w:lvl w:ilvl="3" w:tplc="CC4C11D4">
      <w:start w:val="1"/>
      <w:numFmt w:val="bullet"/>
      <w:lvlText w:val=""/>
      <w:lvlJc w:val="left"/>
      <w:pPr>
        <w:ind w:left="2880" w:hanging="360"/>
      </w:pPr>
      <w:rPr>
        <w:rFonts w:ascii="Symbol" w:hAnsi="Symbol" w:hint="default"/>
      </w:rPr>
    </w:lvl>
    <w:lvl w:ilvl="4" w:tplc="301CE952">
      <w:start w:val="1"/>
      <w:numFmt w:val="bullet"/>
      <w:lvlText w:val="o"/>
      <w:lvlJc w:val="left"/>
      <w:pPr>
        <w:ind w:left="3600" w:hanging="360"/>
      </w:pPr>
      <w:rPr>
        <w:rFonts w:ascii="Courier New" w:hAnsi="Courier New" w:hint="default"/>
      </w:rPr>
    </w:lvl>
    <w:lvl w:ilvl="5" w:tplc="7DF6DB62">
      <w:start w:val="1"/>
      <w:numFmt w:val="bullet"/>
      <w:lvlText w:val=""/>
      <w:lvlJc w:val="left"/>
      <w:pPr>
        <w:ind w:left="4320" w:hanging="360"/>
      </w:pPr>
      <w:rPr>
        <w:rFonts w:ascii="Wingdings" w:hAnsi="Wingdings" w:hint="default"/>
      </w:rPr>
    </w:lvl>
    <w:lvl w:ilvl="6" w:tplc="FD4049F4">
      <w:start w:val="1"/>
      <w:numFmt w:val="bullet"/>
      <w:lvlText w:val=""/>
      <w:lvlJc w:val="left"/>
      <w:pPr>
        <w:ind w:left="5040" w:hanging="360"/>
      </w:pPr>
      <w:rPr>
        <w:rFonts w:ascii="Symbol" w:hAnsi="Symbol" w:hint="default"/>
      </w:rPr>
    </w:lvl>
    <w:lvl w:ilvl="7" w:tplc="6FE63F94">
      <w:start w:val="1"/>
      <w:numFmt w:val="bullet"/>
      <w:lvlText w:val="o"/>
      <w:lvlJc w:val="left"/>
      <w:pPr>
        <w:ind w:left="5760" w:hanging="360"/>
      </w:pPr>
      <w:rPr>
        <w:rFonts w:ascii="Courier New" w:hAnsi="Courier New" w:hint="default"/>
      </w:rPr>
    </w:lvl>
    <w:lvl w:ilvl="8" w:tplc="96BAE24E">
      <w:start w:val="1"/>
      <w:numFmt w:val="bullet"/>
      <w:lvlText w:val=""/>
      <w:lvlJc w:val="left"/>
      <w:pPr>
        <w:ind w:left="6480" w:hanging="360"/>
      </w:pPr>
      <w:rPr>
        <w:rFonts w:ascii="Wingdings" w:hAnsi="Wingdings" w:hint="default"/>
      </w:rPr>
    </w:lvl>
  </w:abstractNum>
  <w:abstractNum w:abstractNumId="3" w15:restartNumberingAfterBreak="0">
    <w:nsid w:val="6BEBD7A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402754667">
    <w:abstractNumId w:val="3"/>
  </w:num>
  <w:num w:numId="2" w16cid:durableId="922910028">
    <w:abstractNumId w:val="1"/>
  </w:num>
  <w:num w:numId="3" w16cid:durableId="166478549">
    <w:abstractNumId w:val="2"/>
  </w:num>
  <w:num w:numId="4" w16cid:durableId="452986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17E7D1"/>
    <w:rsid w:val="00013E45"/>
    <w:rsid w:val="00122BD8"/>
    <w:rsid w:val="00177652"/>
    <w:rsid w:val="00363262"/>
    <w:rsid w:val="00400CC2"/>
    <w:rsid w:val="004618F5"/>
    <w:rsid w:val="004A5BD7"/>
    <w:rsid w:val="005C70FF"/>
    <w:rsid w:val="00673568"/>
    <w:rsid w:val="00740904"/>
    <w:rsid w:val="00745CA7"/>
    <w:rsid w:val="00745DC5"/>
    <w:rsid w:val="008859A9"/>
    <w:rsid w:val="008A3820"/>
    <w:rsid w:val="008B762B"/>
    <w:rsid w:val="00921525"/>
    <w:rsid w:val="00975531"/>
    <w:rsid w:val="009979B2"/>
    <w:rsid w:val="009F21FE"/>
    <w:rsid w:val="00A45ADB"/>
    <w:rsid w:val="00B22893"/>
    <w:rsid w:val="00BA5E5B"/>
    <w:rsid w:val="00C11EE5"/>
    <w:rsid w:val="00C244D7"/>
    <w:rsid w:val="00D266EE"/>
    <w:rsid w:val="00D551D4"/>
    <w:rsid w:val="00E0512B"/>
    <w:rsid w:val="00F52D36"/>
    <w:rsid w:val="00FEBB76"/>
    <w:rsid w:val="01177AE1"/>
    <w:rsid w:val="014A3F92"/>
    <w:rsid w:val="015DD590"/>
    <w:rsid w:val="0160D6A1"/>
    <w:rsid w:val="01A5E693"/>
    <w:rsid w:val="01BC5B5E"/>
    <w:rsid w:val="01D472BD"/>
    <w:rsid w:val="0201D473"/>
    <w:rsid w:val="022ED5FB"/>
    <w:rsid w:val="023776B7"/>
    <w:rsid w:val="023ECA14"/>
    <w:rsid w:val="02725DF0"/>
    <w:rsid w:val="02764C86"/>
    <w:rsid w:val="0286A5AA"/>
    <w:rsid w:val="029ACE38"/>
    <w:rsid w:val="02B2F940"/>
    <w:rsid w:val="02C05560"/>
    <w:rsid w:val="02DB294B"/>
    <w:rsid w:val="02E6531E"/>
    <w:rsid w:val="030969C9"/>
    <w:rsid w:val="0315D5F7"/>
    <w:rsid w:val="0349FA31"/>
    <w:rsid w:val="039C3D13"/>
    <w:rsid w:val="03B9FACA"/>
    <w:rsid w:val="0412CCAF"/>
    <w:rsid w:val="04402D09"/>
    <w:rsid w:val="0468260A"/>
    <w:rsid w:val="04688A14"/>
    <w:rsid w:val="04F21795"/>
    <w:rsid w:val="051ABD16"/>
    <w:rsid w:val="05262A75"/>
    <w:rsid w:val="057C1DDD"/>
    <w:rsid w:val="05C061CF"/>
    <w:rsid w:val="0618B05E"/>
    <w:rsid w:val="06290284"/>
    <w:rsid w:val="0643C9E8"/>
    <w:rsid w:val="0647A4E7"/>
    <w:rsid w:val="067220A9"/>
    <w:rsid w:val="06C21A2D"/>
    <w:rsid w:val="06D9E49E"/>
    <w:rsid w:val="06EC5A43"/>
    <w:rsid w:val="074A61D0"/>
    <w:rsid w:val="077C8997"/>
    <w:rsid w:val="080B2E9F"/>
    <w:rsid w:val="08295497"/>
    <w:rsid w:val="082B3C28"/>
    <w:rsid w:val="082DFDBA"/>
    <w:rsid w:val="084650FA"/>
    <w:rsid w:val="0849F756"/>
    <w:rsid w:val="084F4685"/>
    <w:rsid w:val="08569215"/>
    <w:rsid w:val="08DE546C"/>
    <w:rsid w:val="09203AAB"/>
    <w:rsid w:val="0924B14A"/>
    <w:rsid w:val="0944D944"/>
    <w:rsid w:val="09489B48"/>
    <w:rsid w:val="099A28E1"/>
    <w:rsid w:val="09AAF8EF"/>
    <w:rsid w:val="09B47B3C"/>
    <w:rsid w:val="09B582D8"/>
    <w:rsid w:val="09E82178"/>
    <w:rsid w:val="09E92280"/>
    <w:rsid w:val="09F5D045"/>
    <w:rsid w:val="0A1143E1"/>
    <w:rsid w:val="0A12E2AF"/>
    <w:rsid w:val="0A8112A6"/>
    <w:rsid w:val="0AB81712"/>
    <w:rsid w:val="0AE4FF5E"/>
    <w:rsid w:val="0B1C7613"/>
    <w:rsid w:val="0B442546"/>
    <w:rsid w:val="0B6F83A5"/>
    <w:rsid w:val="0B73C0D0"/>
    <w:rsid w:val="0BA57E26"/>
    <w:rsid w:val="0BFB9FA2"/>
    <w:rsid w:val="0C01374E"/>
    <w:rsid w:val="0C615B3E"/>
    <w:rsid w:val="0C69EB92"/>
    <w:rsid w:val="0CA4B580"/>
    <w:rsid w:val="0CCD1F1B"/>
    <w:rsid w:val="0D3BD8B3"/>
    <w:rsid w:val="0D482FFB"/>
    <w:rsid w:val="0D8112D4"/>
    <w:rsid w:val="0D88C0BB"/>
    <w:rsid w:val="0DA1366B"/>
    <w:rsid w:val="0DD0766B"/>
    <w:rsid w:val="0DDE80C3"/>
    <w:rsid w:val="0DE03696"/>
    <w:rsid w:val="0DE2531E"/>
    <w:rsid w:val="0E0CAE10"/>
    <w:rsid w:val="0E121BCE"/>
    <w:rsid w:val="0E163F23"/>
    <w:rsid w:val="0E34DD49"/>
    <w:rsid w:val="0E71850E"/>
    <w:rsid w:val="0E97265E"/>
    <w:rsid w:val="0EB4F0B4"/>
    <w:rsid w:val="0EC5B907"/>
    <w:rsid w:val="0EE277D4"/>
    <w:rsid w:val="0EFF28D2"/>
    <w:rsid w:val="0FE118CA"/>
    <w:rsid w:val="0FF5C823"/>
    <w:rsid w:val="102B5705"/>
    <w:rsid w:val="1033358E"/>
    <w:rsid w:val="10877D62"/>
    <w:rsid w:val="10B83685"/>
    <w:rsid w:val="1108A69C"/>
    <w:rsid w:val="1128C372"/>
    <w:rsid w:val="115E51E5"/>
    <w:rsid w:val="116A771C"/>
    <w:rsid w:val="11BF720B"/>
    <w:rsid w:val="11DD8CE0"/>
    <w:rsid w:val="11EE2594"/>
    <w:rsid w:val="11F18569"/>
    <w:rsid w:val="124584EB"/>
    <w:rsid w:val="124E56B4"/>
    <w:rsid w:val="126B3F33"/>
    <w:rsid w:val="127EC9A6"/>
    <w:rsid w:val="12892F8E"/>
    <w:rsid w:val="1350CA63"/>
    <w:rsid w:val="13B50422"/>
    <w:rsid w:val="13BC1C6C"/>
    <w:rsid w:val="14054A67"/>
    <w:rsid w:val="141FB2FE"/>
    <w:rsid w:val="154A31BA"/>
    <w:rsid w:val="156A803F"/>
    <w:rsid w:val="15AAD0C7"/>
    <w:rsid w:val="15E27CDA"/>
    <w:rsid w:val="15FC852B"/>
    <w:rsid w:val="15FFE614"/>
    <w:rsid w:val="161D92D1"/>
    <w:rsid w:val="163D46F3"/>
    <w:rsid w:val="1733B5E8"/>
    <w:rsid w:val="177B9923"/>
    <w:rsid w:val="17C6D3FC"/>
    <w:rsid w:val="1802D8A6"/>
    <w:rsid w:val="1867B40D"/>
    <w:rsid w:val="18777C35"/>
    <w:rsid w:val="18CEC24D"/>
    <w:rsid w:val="18F3C517"/>
    <w:rsid w:val="1917E7D1"/>
    <w:rsid w:val="1941D70E"/>
    <w:rsid w:val="196C78B2"/>
    <w:rsid w:val="19AA3381"/>
    <w:rsid w:val="19E85DBC"/>
    <w:rsid w:val="19FE34B9"/>
    <w:rsid w:val="1A28B2D0"/>
    <w:rsid w:val="1A4F1E1F"/>
    <w:rsid w:val="1A5DD88E"/>
    <w:rsid w:val="1A66718C"/>
    <w:rsid w:val="1A790185"/>
    <w:rsid w:val="1A920AB6"/>
    <w:rsid w:val="1A9887A5"/>
    <w:rsid w:val="1AB3F957"/>
    <w:rsid w:val="1AF38ACB"/>
    <w:rsid w:val="1B7A5743"/>
    <w:rsid w:val="1B9636F1"/>
    <w:rsid w:val="1B9C6C07"/>
    <w:rsid w:val="1BBE7927"/>
    <w:rsid w:val="1CBEB071"/>
    <w:rsid w:val="1CC3F5A2"/>
    <w:rsid w:val="1CD46280"/>
    <w:rsid w:val="1CEC9766"/>
    <w:rsid w:val="1D1CAB13"/>
    <w:rsid w:val="1D3C9A28"/>
    <w:rsid w:val="1DA33913"/>
    <w:rsid w:val="1DA7570E"/>
    <w:rsid w:val="1DAF2540"/>
    <w:rsid w:val="1DB3FE1A"/>
    <w:rsid w:val="1DB5D638"/>
    <w:rsid w:val="1DC61129"/>
    <w:rsid w:val="1E4688B9"/>
    <w:rsid w:val="1E5B6EEC"/>
    <w:rsid w:val="1E6211F2"/>
    <w:rsid w:val="1EBAEE72"/>
    <w:rsid w:val="1EF2B060"/>
    <w:rsid w:val="1F14346F"/>
    <w:rsid w:val="1F6D0E58"/>
    <w:rsid w:val="1FA6CF88"/>
    <w:rsid w:val="203B34D4"/>
    <w:rsid w:val="2057F23B"/>
    <w:rsid w:val="207A05E2"/>
    <w:rsid w:val="21173CA8"/>
    <w:rsid w:val="21264421"/>
    <w:rsid w:val="2145282D"/>
    <w:rsid w:val="2188D2F6"/>
    <w:rsid w:val="21A585B4"/>
    <w:rsid w:val="226B9C44"/>
    <w:rsid w:val="2313D3E8"/>
    <w:rsid w:val="23675263"/>
    <w:rsid w:val="23958349"/>
    <w:rsid w:val="23DBF136"/>
    <w:rsid w:val="23EF4CE1"/>
    <w:rsid w:val="241C73E5"/>
    <w:rsid w:val="244DB5F1"/>
    <w:rsid w:val="24C2E5D4"/>
    <w:rsid w:val="251393C9"/>
    <w:rsid w:val="25B8492F"/>
    <w:rsid w:val="25E6D28D"/>
    <w:rsid w:val="26265B9F"/>
    <w:rsid w:val="2669D84D"/>
    <w:rsid w:val="27A216DF"/>
    <w:rsid w:val="282F5B44"/>
    <w:rsid w:val="2834344E"/>
    <w:rsid w:val="28B81030"/>
    <w:rsid w:val="291A70A7"/>
    <w:rsid w:val="291DF1F6"/>
    <w:rsid w:val="291E983B"/>
    <w:rsid w:val="292134BD"/>
    <w:rsid w:val="2938C514"/>
    <w:rsid w:val="299F24F8"/>
    <w:rsid w:val="29E28550"/>
    <w:rsid w:val="2A6CF3B6"/>
    <w:rsid w:val="2AA5B19E"/>
    <w:rsid w:val="2AB0A137"/>
    <w:rsid w:val="2B50D0DF"/>
    <w:rsid w:val="2BC51792"/>
    <w:rsid w:val="2BD5221B"/>
    <w:rsid w:val="2BEFA6BE"/>
    <w:rsid w:val="2C08719F"/>
    <w:rsid w:val="2C2765AA"/>
    <w:rsid w:val="2CB81F98"/>
    <w:rsid w:val="2CBA3714"/>
    <w:rsid w:val="2CE8B30C"/>
    <w:rsid w:val="2D382738"/>
    <w:rsid w:val="2DA89B95"/>
    <w:rsid w:val="2DF89BE1"/>
    <w:rsid w:val="2E14D60D"/>
    <w:rsid w:val="2E4ED157"/>
    <w:rsid w:val="2EBEFBDC"/>
    <w:rsid w:val="2EC48291"/>
    <w:rsid w:val="2ECB5442"/>
    <w:rsid w:val="2F6D3610"/>
    <w:rsid w:val="2F71C9D6"/>
    <w:rsid w:val="2F87FFD8"/>
    <w:rsid w:val="2F99D7D7"/>
    <w:rsid w:val="2FC2BB8B"/>
    <w:rsid w:val="2FC52F77"/>
    <w:rsid w:val="2FCC9CFF"/>
    <w:rsid w:val="2FF27650"/>
    <w:rsid w:val="30405C1C"/>
    <w:rsid w:val="304195ED"/>
    <w:rsid w:val="304674B1"/>
    <w:rsid w:val="3056405A"/>
    <w:rsid w:val="307F3484"/>
    <w:rsid w:val="30A00585"/>
    <w:rsid w:val="30FC4B4F"/>
    <w:rsid w:val="311BFF53"/>
    <w:rsid w:val="31740699"/>
    <w:rsid w:val="3180C348"/>
    <w:rsid w:val="31B24030"/>
    <w:rsid w:val="32711D7E"/>
    <w:rsid w:val="32EAD559"/>
    <w:rsid w:val="3309BB2D"/>
    <w:rsid w:val="333E62E1"/>
    <w:rsid w:val="334AC139"/>
    <w:rsid w:val="335A4D6A"/>
    <w:rsid w:val="33ABCCEA"/>
    <w:rsid w:val="33C966E9"/>
    <w:rsid w:val="33D9B05E"/>
    <w:rsid w:val="34E1E9BB"/>
    <w:rsid w:val="350CBC1C"/>
    <w:rsid w:val="35427459"/>
    <w:rsid w:val="3576F1FE"/>
    <w:rsid w:val="358470C9"/>
    <w:rsid w:val="35A21527"/>
    <w:rsid w:val="35CCE319"/>
    <w:rsid w:val="35D0C8BE"/>
    <w:rsid w:val="35FCBB8D"/>
    <w:rsid w:val="3608DC18"/>
    <w:rsid w:val="3654B2E1"/>
    <w:rsid w:val="36729EA8"/>
    <w:rsid w:val="36B7E9D7"/>
    <w:rsid w:val="36F5B781"/>
    <w:rsid w:val="36FC8E28"/>
    <w:rsid w:val="371B1ECE"/>
    <w:rsid w:val="371C9208"/>
    <w:rsid w:val="372FEEAE"/>
    <w:rsid w:val="3739E3F3"/>
    <w:rsid w:val="375FF7C4"/>
    <w:rsid w:val="376F42DF"/>
    <w:rsid w:val="377C5DA0"/>
    <w:rsid w:val="37ACDA78"/>
    <w:rsid w:val="37BFA369"/>
    <w:rsid w:val="380552CF"/>
    <w:rsid w:val="3805659D"/>
    <w:rsid w:val="380EEE7D"/>
    <w:rsid w:val="385CFF44"/>
    <w:rsid w:val="38A02DB3"/>
    <w:rsid w:val="38B1FE8A"/>
    <w:rsid w:val="38DEABB5"/>
    <w:rsid w:val="3A014603"/>
    <w:rsid w:val="3A04CB78"/>
    <w:rsid w:val="3A75F315"/>
    <w:rsid w:val="3ACDD1BE"/>
    <w:rsid w:val="3AD1419B"/>
    <w:rsid w:val="3B28BB9F"/>
    <w:rsid w:val="3B57DC57"/>
    <w:rsid w:val="3B768D83"/>
    <w:rsid w:val="3B906066"/>
    <w:rsid w:val="3BBB35C3"/>
    <w:rsid w:val="3BD7551D"/>
    <w:rsid w:val="3BEE2506"/>
    <w:rsid w:val="3C21EDFE"/>
    <w:rsid w:val="3C941522"/>
    <w:rsid w:val="3CA63236"/>
    <w:rsid w:val="3CF9C3CC"/>
    <w:rsid w:val="3DACDD77"/>
    <w:rsid w:val="3DCF3253"/>
    <w:rsid w:val="3E2ECFE6"/>
    <w:rsid w:val="3E38BD34"/>
    <w:rsid w:val="3E6A2DBE"/>
    <w:rsid w:val="3EB07F53"/>
    <w:rsid w:val="3EF8DB1A"/>
    <w:rsid w:val="3F29DCA6"/>
    <w:rsid w:val="3F75D773"/>
    <w:rsid w:val="40087061"/>
    <w:rsid w:val="4112BFCB"/>
    <w:rsid w:val="41160EDC"/>
    <w:rsid w:val="416195E8"/>
    <w:rsid w:val="416991B0"/>
    <w:rsid w:val="419B74C6"/>
    <w:rsid w:val="41B0328E"/>
    <w:rsid w:val="4262E04D"/>
    <w:rsid w:val="429DBA7E"/>
    <w:rsid w:val="42ED4CDD"/>
    <w:rsid w:val="430AAB5E"/>
    <w:rsid w:val="430EF1DC"/>
    <w:rsid w:val="431BAF28"/>
    <w:rsid w:val="4331B549"/>
    <w:rsid w:val="4371AE8E"/>
    <w:rsid w:val="4381189B"/>
    <w:rsid w:val="43892D28"/>
    <w:rsid w:val="43EEB218"/>
    <w:rsid w:val="43EF7637"/>
    <w:rsid w:val="43FB6DA1"/>
    <w:rsid w:val="44B22242"/>
    <w:rsid w:val="44B48DA9"/>
    <w:rsid w:val="44BABEBD"/>
    <w:rsid w:val="44CF3FA0"/>
    <w:rsid w:val="453F1288"/>
    <w:rsid w:val="4551256F"/>
    <w:rsid w:val="4562DFD3"/>
    <w:rsid w:val="456990E9"/>
    <w:rsid w:val="45BAC513"/>
    <w:rsid w:val="45F13346"/>
    <w:rsid w:val="461FCE10"/>
    <w:rsid w:val="46230ADA"/>
    <w:rsid w:val="46270763"/>
    <w:rsid w:val="4685EB20"/>
    <w:rsid w:val="46C89515"/>
    <w:rsid w:val="46E421C1"/>
    <w:rsid w:val="46FA66BE"/>
    <w:rsid w:val="4703F3CB"/>
    <w:rsid w:val="47098852"/>
    <w:rsid w:val="477EFC03"/>
    <w:rsid w:val="47977C08"/>
    <w:rsid w:val="47E3E6D4"/>
    <w:rsid w:val="481A4509"/>
    <w:rsid w:val="48C6C7E1"/>
    <w:rsid w:val="48D0806B"/>
    <w:rsid w:val="48E35A6F"/>
    <w:rsid w:val="492417FE"/>
    <w:rsid w:val="4939E5FC"/>
    <w:rsid w:val="49D0DABB"/>
    <w:rsid w:val="4A12156B"/>
    <w:rsid w:val="4A1ED0B2"/>
    <w:rsid w:val="4A41A478"/>
    <w:rsid w:val="4A55014C"/>
    <w:rsid w:val="4A642812"/>
    <w:rsid w:val="4A74AF98"/>
    <w:rsid w:val="4A8A269B"/>
    <w:rsid w:val="4A8C5990"/>
    <w:rsid w:val="4A9C4385"/>
    <w:rsid w:val="4AF335E1"/>
    <w:rsid w:val="4B0348E0"/>
    <w:rsid w:val="4B207427"/>
    <w:rsid w:val="4B8281EB"/>
    <w:rsid w:val="4C36FB8C"/>
    <w:rsid w:val="4C6FC066"/>
    <w:rsid w:val="4C79010D"/>
    <w:rsid w:val="4CAC86EC"/>
    <w:rsid w:val="4D0C5F2C"/>
    <w:rsid w:val="4D1AD56E"/>
    <w:rsid w:val="4D357036"/>
    <w:rsid w:val="4D430876"/>
    <w:rsid w:val="4D5276E3"/>
    <w:rsid w:val="4D532948"/>
    <w:rsid w:val="4D6397F2"/>
    <w:rsid w:val="4E038F7D"/>
    <w:rsid w:val="4E0CA01D"/>
    <w:rsid w:val="4E0DDE77"/>
    <w:rsid w:val="4E3C87F3"/>
    <w:rsid w:val="4E8D5292"/>
    <w:rsid w:val="4EBC0312"/>
    <w:rsid w:val="4ED6B9BD"/>
    <w:rsid w:val="4F509B99"/>
    <w:rsid w:val="4F860CD6"/>
    <w:rsid w:val="501A7F56"/>
    <w:rsid w:val="5047E842"/>
    <w:rsid w:val="50A1EA54"/>
    <w:rsid w:val="51008BFA"/>
    <w:rsid w:val="5182B030"/>
    <w:rsid w:val="51D44303"/>
    <w:rsid w:val="529635E7"/>
    <w:rsid w:val="52A028BA"/>
    <w:rsid w:val="52D02815"/>
    <w:rsid w:val="52EFA9D3"/>
    <w:rsid w:val="52F58F94"/>
    <w:rsid w:val="5305C927"/>
    <w:rsid w:val="53BFC182"/>
    <w:rsid w:val="53EF21CC"/>
    <w:rsid w:val="53F32655"/>
    <w:rsid w:val="53FCBC89"/>
    <w:rsid w:val="540F2C03"/>
    <w:rsid w:val="542956BC"/>
    <w:rsid w:val="542BBAD9"/>
    <w:rsid w:val="54673D1F"/>
    <w:rsid w:val="55292230"/>
    <w:rsid w:val="55AC1243"/>
    <w:rsid w:val="55CF413F"/>
    <w:rsid w:val="56096C82"/>
    <w:rsid w:val="5672F93F"/>
    <w:rsid w:val="568A588A"/>
    <w:rsid w:val="56AAE780"/>
    <w:rsid w:val="56D0973D"/>
    <w:rsid w:val="57574C69"/>
    <w:rsid w:val="575E61AC"/>
    <w:rsid w:val="577C290D"/>
    <w:rsid w:val="579616D8"/>
    <w:rsid w:val="57B47AE8"/>
    <w:rsid w:val="57B53B7E"/>
    <w:rsid w:val="57CA1C63"/>
    <w:rsid w:val="57F73355"/>
    <w:rsid w:val="580C560F"/>
    <w:rsid w:val="585E5B2B"/>
    <w:rsid w:val="58931178"/>
    <w:rsid w:val="589462D3"/>
    <w:rsid w:val="589C0BC4"/>
    <w:rsid w:val="58D6315B"/>
    <w:rsid w:val="58EB92AD"/>
    <w:rsid w:val="58F7B3A1"/>
    <w:rsid w:val="5958BE3F"/>
    <w:rsid w:val="598FBEE9"/>
    <w:rsid w:val="59CA3297"/>
    <w:rsid w:val="59F73149"/>
    <w:rsid w:val="5A34C4C5"/>
    <w:rsid w:val="5A6CC2FD"/>
    <w:rsid w:val="5A6F7C7E"/>
    <w:rsid w:val="5AA39705"/>
    <w:rsid w:val="5AC52199"/>
    <w:rsid w:val="5AEF4A4B"/>
    <w:rsid w:val="5BA27F48"/>
    <w:rsid w:val="5BE71BEC"/>
    <w:rsid w:val="5C0F0FD8"/>
    <w:rsid w:val="5C1B9FB0"/>
    <w:rsid w:val="5C2F31B8"/>
    <w:rsid w:val="5C850A7B"/>
    <w:rsid w:val="5CA0DFE3"/>
    <w:rsid w:val="5CC03B85"/>
    <w:rsid w:val="5CDBE744"/>
    <w:rsid w:val="5CE700A3"/>
    <w:rsid w:val="5CF06931"/>
    <w:rsid w:val="5D1B566D"/>
    <w:rsid w:val="5D2C960E"/>
    <w:rsid w:val="5D30029E"/>
    <w:rsid w:val="5D3D8E79"/>
    <w:rsid w:val="5D953522"/>
    <w:rsid w:val="5D996448"/>
    <w:rsid w:val="5DEA7EEE"/>
    <w:rsid w:val="5DFE1D8E"/>
    <w:rsid w:val="5E1B4F97"/>
    <w:rsid w:val="5E210034"/>
    <w:rsid w:val="5E4D93ED"/>
    <w:rsid w:val="5E8EEAA0"/>
    <w:rsid w:val="5EB6BAA5"/>
    <w:rsid w:val="5F06358C"/>
    <w:rsid w:val="5F25659A"/>
    <w:rsid w:val="5FF5D7FF"/>
    <w:rsid w:val="609D64FB"/>
    <w:rsid w:val="61098DCC"/>
    <w:rsid w:val="611FAE36"/>
    <w:rsid w:val="6143BEC7"/>
    <w:rsid w:val="61960FF7"/>
    <w:rsid w:val="6198F011"/>
    <w:rsid w:val="61990D84"/>
    <w:rsid w:val="61D67283"/>
    <w:rsid w:val="61FF8893"/>
    <w:rsid w:val="621B4DD5"/>
    <w:rsid w:val="6243A3C3"/>
    <w:rsid w:val="625A0D26"/>
    <w:rsid w:val="62A57B73"/>
    <w:rsid w:val="62B64455"/>
    <w:rsid w:val="62E977E2"/>
    <w:rsid w:val="631AC949"/>
    <w:rsid w:val="633DE4D5"/>
    <w:rsid w:val="6356D956"/>
    <w:rsid w:val="635B9DF4"/>
    <w:rsid w:val="63618856"/>
    <w:rsid w:val="63E5F36E"/>
    <w:rsid w:val="63EE2F9E"/>
    <w:rsid w:val="642181CD"/>
    <w:rsid w:val="6463BB05"/>
    <w:rsid w:val="649328F0"/>
    <w:rsid w:val="64CD11A5"/>
    <w:rsid w:val="65313D4D"/>
    <w:rsid w:val="65410EDA"/>
    <w:rsid w:val="65977140"/>
    <w:rsid w:val="65C7C48E"/>
    <w:rsid w:val="65DE8051"/>
    <w:rsid w:val="6615DDFC"/>
    <w:rsid w:val="66170D92"/>
    <w:rsid w:val="66A56BCE"/>
    <w:rsid w:val="66B62DD3"/>
    <w:rsid w:val="67204E25"/>
    <w:rsid w:val="672B5EB8"/>
    <w:rsid w:val="67415FBC"/>
    <w:rsid w:val="6747CE40"/>
    <w:rsid w:val="6772E6F8"/>
    <w:rsid w:val="6773C65E"/>
    <w:rsid w:val="68237373"/>
    <w:rsid w:val="686B1233"/>
    <w:rsid w:val="68D04150"/>
    <w:rsid w:val="68E38A93"/>
    <w:rsid w:val="69047FA4"/>
    <w:rsid w:val="693003EA"/>
    <w:rsid w:val="69324DC4"/>
    <w:rsid w:val="699DEC0C"/>
    <w:rsid w:val="69E18E29"/>
    <w:rsid w:val="6A3BB555"/>
    <w:rsid w:val="6A3EB9EF"/>
    <w:rsid w:val="6A7D6461"/>
    <w:rsid w:val="6A929026"/>
    <w:rsid w:val="6AB7C59E"/>
    <w:rsid w:val="6AB913BE"/>
    <w:rsid w:val="6ADF8A98"/>
    <w:rsid w:val="6B14E313"/>
    <w:rsid w:val="6B4494A4"/>
    <w:rsid w:val="6B802FD4"/>
    <w:rsid w:val="6BA8C0DB"/>
    <w:rsid w:val="6BF3DE29"/>
    <w:rsid w:val="6BF668AB"/>
    <w:rsid w:val="6C0EE0C5"/>
    <w:rsid w:val="6C1D23D9"/>
    <w:rsid w:val="6C288F32"/>
    <w:rsid w:val="6C4BADF4"/>
    <w:rsid w:val="6CE3A09D"/>
    <w:rsid w:val="6D412771"/>
    <w:rsid w:val="6D53C170"/>
    <w:rsid w:val="6D8FE273"/>
    <w:rsid w:val="6D990D2B"/>
    <w:rsid w:val="6DD2DD7B"/>
    <w:rsid w:val="6DDC1B44"/>
    <w:rsid w:val="6DDC7D87"/>
    <w:rsid w:val="6DE722DF"/>
    <w:rsid w:val="6E136520"/>
    <w:rsid w:val="6E5EE3CE"/>
    <w:rsid w:val="6ED3EEA5"/>
    <w:rsid w:val="6F15FD60"/>
    <w:rsid w:val="6FF00492"/>
    <w:rsid w:val="6FF4C68B"/>
    <w:rsid w:val="703454B9"/>
    <w:rsid w:val="704DA88D"/>
    <w:rsid w:val="70D6BD0D"/>
    <w:rsid w:val="710E58FF"/>
    <w:rsid w:val="7127247C"/>
    <w:rsid w:val="712DD949"/>
    <w:rsid w:val="716B1DF0"/>
    <w:rsid w:val="717752C6"/>
    <w:rsid w:val="719A2026"/>
    <w:rsid w:val="71C5FE53"/>
    <w:rsid w:val="7221A271"/>
    <w:rsid w:val="72D1892B"/>
    <w:rsid w:val="731FF02E"/>
    <w:rsid w:val="73203378"/>
    <w:rsid w:val="73279A78"/>
    <w:rsid w:val="734CBA20"/>
    <w:rsid w:val="7356825D"/>
    <w:rsid w:val="73665128"/>
    <w:rsid w:val="7386C2A7"/>
    <w:rsid w:val="73B863D7"/>
    <w:rsid w:val="73E8EDCB"/>
    <w:rsid w:val="7435478D"/>
    <w:rsid w:val="747D3DC3"/>
    <w:rsid w:val="74985598"/>
    <w:rsid w:val="749A4315"/>
    <w:rsid w:val="749E8FE2"/>
    <w:rsid w:val="74FC4201"/>
    <w:rsid w:val="75155B1B"/>
    <w:rsid w:val="752E0C8F"/>
    <w:rsid w:val="7536CB8B"/>
    <w:rsid w:val="7599C33C"/>
    <w:rsid w:val="7615E5F4"/>
    <w:rsid w:val="76583FF4"/>
    <w:rsid w:val="7666B683"/>
    <w:rsid w:val="7677CB68"/>
    <w:rsid w:val="76FFD5A9"/>
    <w:rsid w:val="773BC3AC"/>
    <w:rsid w:val="77461B87"/>
    <w:rsid w:val="77521D4F"/>
    <w:rsid w:val="77561D08"/>
    <w:rsid w:val="77A5EAD0"/>
    <w:rsid w:val="7856D818"/>
    <w:rsid w:val="78C8F63D"/>
    <w:rsid w:val="78D4A734"/>
    <w:rsid w:val="790A6F42"/>
    <w:rsid w:val="79314AF3"/>
    <w:rsid w:val="793C93BE"/>
    <w:rsid w:val="79AC796A"/>
    <w:rsid w:val="79D10C4C"/>
    <w:rsid w:val="79D7B22B"/>
    <w:rsid w:val="7A03EF09"/>
    <w:rsid w:val="7A229442"/>
    <w:rsid w:val="7A5A84E4"/>
    <w:rsid w:val="7A5F00CF"/>
    <w:rsid w:val="7AA69A08"/>
    <w:rsid w:val="7ADA6E8E"/>
    <w:rsid w:val="7AE8AAC4"/>
    <w:rsid w:val="7AF0CDB5"/>
    <w:rsid w:val="7AF2558E"/>
    <w:rsid w:val="7B2730B2"/>
    <w:rsid w:val="7B3B7D20"/>
    <w:rsid w:val="7BE9F683"/>
    <w:rsid w:val="7C5027AD"/>
    <w:rsid w:val="7C6025C0"/>
    <w:rsid w:val="7C66EE50"/>
    <w:rsid w:val="7C7A3FE3"/>
    <w:rsid w:val="7C8C2243"/>
    <w:rsid w:val="7CEA0976"/>
    <w:rsid w:val="7CFB2C14"/>
    <w:rsid w:val="7D09A402"/>
    <w:rsid w:val="7D47BAE6"/>
    <w:rsid w:val="7D5DDCD3"/>
    <w:rsid w:val="7D6A3440"/>
    <w:rsid w:val="7DCB425E"/>
    <w:rsid w:val="7E03DE09"/>
    <w:rsid w:val="7E257801"/>
    <w:rsid w:val="7E62BA15"/>
    <w:rsid w:val="7EBBF06D"/>
    <w:rsid w:val="7F16E371"/>
    <w:rsid w:val="7F3EEE91"/>
    <w:rsid w:val="7FC163CB"/>
    <w:rsid w:val="7FD229C3"/>
    <w:rsid w:val="7FF0BE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17E7D1"/>
  <w15:chartTrackingRefBased/>
  <w15:docId w15:val="{710723FF-DC8F-4B98-A180-58957582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81A4509"/>
    <w:rPr>
      <w:lang w:val="en-GB"/>
    </w:rPr>
  </w:style>
  <w:style w:type="paragraph" w:styleId="Heading1">
    <w:name w:val="heading 1"/>
    <w:basedOn w:val="Normal"/>
    <w:next w:val="Normal"/>
    <w:link w:val="Heading1Char"/>
    <w:uiPriority w:val="9"/>
    <w:qFormat/>
    <w:rsid w:val="481A45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81A45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81A45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81A45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81A45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81A45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81A45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81A4509"/>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81A4509"/>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481A4509"/>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481A4509"/>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481A4509"/>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481A45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81A4509"/>
    <w:pPr>
      <w:ind w:left="720"/>
      <w:contextualSpacing/>
    </w:pPr>
  </w:style>
  <w:style w:type="paragraph" w:styleId="Header">
    <w:name w:val="header"/>
    <w:basedOn w:val="Normal"/>
    <w:uiPriority w:val="99"/>
    <w:unhideWhenUsed/>
    <w:rsid w:val="481A4509"/>
    <w:pPr>
      <w:tabs>
        <w:tab w:val="center" w:pos="4680"/>
        <w:tab w:val="right" w:pos="9360"/>
      </w:tabs>
      <w:spacing w:after="0" w:line="240" w:lineRule="auto"/>
    </w:pPr>
  </w:style>
  <w:style w:type="paragraph" w:styleId="Footer">
    <w:name w:val="footer"/>
    <w:basedOn w:val="Normal"/>
    <w:uiPriority w:val="99"/>
    <w:unhideWhenUsed/>
    <w:rsid w:val="481A4509"/>
    <w:pPr>
      <w:tabs>
        <w:tab w:val="center" w:pos="4680"/>
        <w:tab w:val="right" w:pos="9360"/>
      </w:tabs>
      <w:spacing w:after="0" w:line="240" w:lineRule="auto"/>
    </w:pPr>
  </w:style>
  <w:style w:type="character" w:styleId="Hyperlink">
    <w:name w:val="Hyperlink"/>
    <w:basedOn w:val="DefaultParagraphFont"/>
    <w:uiPriority w:val="99"/>
    <w:unhideWhenUsed/>
    <w:rsid w:val="7CFB2C14"/>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 TargetMode="External"/><Relationship Id="rId13" Type="http://schemas.openxmlformats.org/officeDocument/2006/relationships/hyperlink" Target="https://www.legislation.gov.uk/ukpga/2005/9"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implypsychology.org/maslow.html" TargetMode="External"/><Relationship Id="rId17" Type="http://schemas.openxmlformats.org/officeDocument/2006/relationships/hyperlink" Target="https://www.skillsforcare.org.uk/" TargetMode="External"/><Relationship Id="rId2" Type="http://schemas.openxmlformats.org/officeDocument/2006/relationships/numbering" Target="numbering.xml"/><Relationship Id="rId16" Type="http://schemas.openxmlformats.org/officeDocument/2006/relationships/hyperlink" Target="https://www.nice.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8/42" TargetMode="External"/><Relationship Id="rId5" Type="http://schemas.openxmlformats.org/officeDocument/2006/relationships/webSettings" Target="webSettings.xml"/><Relationship Id="rId15" Type="http://schemas.openxmlformats.org/officeDocument/2006/relationships/hyperlink" Target="https://www.england.nhs.uk/integratedcare/" TargetMode="External"/><Relationship Id="rId10" Type="http://schemas.openxmlformats.org/officeDocument/2006/relationships/hyperlink" Target="https://www.health.org.uk/publications/person-centred-care-made-simpl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2010/15" TargetMode="External"/><Relationship Id="rId14" Type="http://schemas.openxmlformats.org/officeDocument/2006/relationships/hyperlink" Target="https://www.longtermplan.nhs.u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0D996-E1C5-4D8B-99CA-43F343164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2911</Words>
  <Characters>16593</Characters>
  <Application>Microsoft Office Word</Application>
  <DocSecurity>4</DocSecurity>
  <Lines>138</Lines>
  <Paragraphs>38</Paragraphs>
  <ScaleCrop>false</ScaleCrop>
  <Company/>
  <LinksUpToDate>false</LinksUpToDate>
  <CharactersWithSpaces>19466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 Mahmood (2413669)</dc:creator>
  <cp:keywords/>
  <dc:description/>
  <cp:lastModifiedBy>Misba Mahmood (2413669)</cp:lastModifiedBy>
  <cp:revision>21</cp:revision>
  <dcterms:created xsi:type="dcterms:W3CDTF">2025-11-05T17:25:00Z</dcterms:created>
  <dcterms:modified xsi:type="dcterms:W3CDTF">2025-11-16T16:59:00Z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384ed86a-ac1d-473c-9474-fa9c80cb4bf1</vt:lpwstr>
  </property>
</Properties>
</file>