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EDA38" w14:textId="75FF9A3D" w:rsidR="00E5750F" w:rsidRDefault="009A7A2B" w:rsidP="00E5750F">
      <w:pPr>
        <w:spacing w:before="120" w:after="240"/>
        <w:jc w:val="center"/>
        <w:rPr>
          <w:b/>
          <w:bCs/>
          <w:sz w:val="28"/>
          <w:szCs w:val="28"/>
        </w:rPr>
      </w:pPr>
      <w:r>
        <w:rPr>
          <w:noProof/>
        </w:rPr>
        <w:drawing>
          <wp:inline distT="0" distB="0" distL="0" distR="0" wp14:anchorId="69CD0CB2" wp14:editId="78718216">
            <wp:extent cx="5915025" cy="699770"/>
            <wp:effectExtent l="0" t="0" r="9525" b="5080"/>
            <wp:docPr id="1259998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98726" name=""/>
                    <pic:cNvPicPr/>
                  </pic:nvPicPr>
                  <pic:blipFill>
                    <a:blip r:embed="rId8"/>
                    <a:stretch>
                      <a:fillRect/>
                    </a:stretch>
                  </pic:blipFill>
                  <pic:spPr>
                    <a:xfrm>
                      <a:off x="0" y="0"/>
                      <a:ext cx="5928998" cy="701423"/>
                    </a:xfrm>
                    <a:prstGeom prst="rect">
                      <a:avLst/>
                    </a:prstGeom>
                  </pic:spPr>
                </pic:pic>
              </a:graphicData>
            </a:graphic>
          </wp:inline>
        </w:drawing>
      </w:r>
    </w:p>
    <w:p w14:paraId="3924F270" w14:textId="77777777" w:rsidR="00E5750F" w:rsidRDefault="00E5750F" w:rsidP="00E5750F">
      <w:pPr>
        <w:spacing w:before="120" w:after="240"/>
        <w:jc w:val="center"/>
        <w:rPr>
          <w:b/>
          <w:bCs/>
          <w:sz w:val="28"/>
          <w:szCs w:val="28"/>
        </w:rPr>
      </w:pPr>
    </w:p>
    <w:p w14:paraId="0F1577C7" w14:textId="5ED852F3" w:rsidR="00E5750F" w:rsidRPr="00791059" w:rsidRDefault="00AA245C" w:rsidP="00AA245C">
      <w:pPr>
        <w:spacing w:before="120" w:after="240"/>
        <w:jc w:val="left"/>
        <w:rPr>
          <w:sz w:val="28"/>
          <w:szCs w:val="28"/>
        </w:rPr>
      </w:pPr>
      <w:r w:rsidRPr="00791059">
        <w:rPr>
          <w:b/>
          <w:bCs/>
          <w:sz w:val="28"/>
          <w:szCs w:val="28"/>
        </w:rPr>
        <w:t xml:space="preserve">Module name: </w:t>
      </w:r>
      <w:r w:rsidRPr="00791059">
        <w:rPr>
          <w:sz w:val="28"/>
          <w:szCs w:val="28"/>
        </w:rPr>
        <w:t>Psychology in Health and Social Care</w:t>
      </w:r>
    </w:p>
    <w:p w14:paraId="5406388F" w14:textId="7F646219" w:rsidR="00791059" w:rsidRPr="00791059" w:rsidRDefault="00791059" w:rsidP="00AA245C">
      <w:pPr>
        <w:spacing w:before="120" w:after="240"/>
        <w:jc w:val="left"/>
        <w:rPr>
          <w:sz w:val="28"/>
          <w:szCs w:val="28"/>
        </w:rPr>
      </w:pPr>
      <w:r w:rsidRPr="00791059">
        <w:rPr>
          <w:b/>
          <w:bCs/>
          <w:sz w:val="28"/>
          <w:szCs w:val="28"/>
        </w:rPr>
        <w:t xml:space="preserve">Module code: </w:t>
      </w:r>
      <w:r w:rsidRPr="00791059">
        <w:rPr>
          <w:sz w:val="28"/>
          <w:szCs w:val="28"/>
        </w:rPr>
        <w:t>LCHS4010_LON</w:t>
      </w:r>
    </w:p>
    <w:p w14:paraId="2A4DD2E4" w14:textId="0209B59D" w:rsidR="00791059" w:rsidRPr="00791059" w:rsidRDefault="00791059" w:rsidP="00AA245C">
      <w:pPr>
        <w:spacing w:before="120" w:after="240"/>
        <w:jc w:val="left"/>
        <w:rPr>
          <w:sz w:val="28"/>
          <w:szCs w:val="28"/>
        </w:rPr>
      </w:pPr>
      <w:r w:rsidRPr="00791059">
        <w:rPr>
          <w:b/>
          <w:bCs/>
          <w:sz w:val="28"/>
          <w:szCs w:val="28"/>
        </w:rPr>
        <w:t xml:space="preserve">Student name: </w:t>
      </w:r>
      <w:r w:rsidRPr="00791059">
        <w:rPr>
          <w:sz w:val="28"/>
          <w:szCs w:val="28"/>
        </w:rPr>
        <w:t>Stefana Ioana Ion</w:t>
      </w:r>
    </w:p>
    <w:p w14:paraId="27733EC6" w14:textId="1A905A45" w:rsidR="00791059" w:rsidRPr="00791059" w:rsidRDefault="00791059" w:rsidP="00AA245C">
      <w:pPr>
        <w:spacing w:before="120" w:after="240"/>
        <w:jc w:val="left"/>
        <w:rPr>
          <w:sz w:val="28"/>
          <w:szCs w:val="28"/>
        </w:rPr>
      </w:pPr>
      <w:r w:rsidRPr="00791059">
        <w:rPr>
          <w:b/>
          <w:bCs/>
          <w:sz w:val="28"/>
          <w:szCs w:val="28"/>
        </w:rPr>
        <w:t xml:space="preserve">Student ID: </w:t>
      </w:r>
      <w:r w:rsidRPr="00791059">
        <w:rPr>
          <w:sz w:val="28"/>
          <w:szCs w:val="28"/>
        </w:rPr>
        <w:t>2509671</w:t>
      </w:r>
    </w:p>
    <w:p w14:paraId="4A8CBA1C" w14:textId="0C2C22A1" w:rsidR="00791059" w:rsidRPr="00791059" w:rsidRDefault="00791059" w:rsidP="00AA245C">
      <w:pPr>
        <w:spacing w:before="120" w:after="240"/>
        <w:jc w:val="left"/>
        <w:rPr>
          <w:sz w:val="28"/>
          <w:szCs w:val="28"/>
        </w:rPr>
      </w:pPr>
      <w:r w:rsidRPr="00791059">
        <w:rPr>
          <w:b/>
          <w:bCs/>
          <w:sz w:val="28"/>
          <w:szCs w:val="28"/>
        </w:rPr>
        <w:t xml:space="preserve">Lecture’s name: </w:t>
      </w:r>
      <w:r w:rsidRPr="00791059">
        <w:rPr>
          <w:sz w:val="28"/>
          <w:szCs w:val="28"/>
        </w:rPr>
        <w:t xml:space="preserve">Christiana </w:t>
      </w:r>
      <w:proofErr w:type="spellStart"/>
      <w:r w:rsidRPr="00791059">
        <w:rPr>
          <w:sz w:val="28"/>
          <w:szCs w:val="28"/>
        </w:rPr>
        <w:t>Melam</w:t>
      </w:r>
      <w:proofErr w:type="spellEnd"/>
    </w:p>
    <w:p w14:paraId="4277DA68" w14:textId="77777777" w:rsidR="00E5750F" w:rsidRDefault="00E5750F" w:rsidP="00E5750F">
      <w:pPr>
        <w:spacing w:before="120" w:after="240"/>
        <w:jc w:val="center"/>
        <w:rPr>
          <w:b/>
          <w:bCs/>
          <w:sz w:val="28"/>
          <w:szCs w:val="28"/>
        </w:rPr>
      </w:pPr>
    </w:p>
    <w:p w14:paraId="7F7D9CBD" w14:textId="77777777" w:rsidR="00E5750F" w:rsidRDefault="00E5750F" w:rsidP="00E5750F">
      <w:pPr>
        <w:spacing w:before="120" w:after="240"/>
        <w:jc w:val="center"/>
        <w:rPr>
          <w:b/>
          <w:bCs/>
          <w:sz w:val="28"/>
          <w:szCs w:val="28"/>
        </w:rPr>
      </w:pPr>
    </w:p>
    <w:p w14:paraId="10393083" w14:textId="77777777" w:rsidR="00765096" w:rsidRDefault="00C07AE6" w:rsidP="008C1887">
      <w:pPr>
        <w:spacing w:before="120" w:after="240"/>
      </w:pPr>
      <w:r>
        <w:br w:type="page"/>
      </w:r>
    </w:p>
    <w:p w14:paraId="0BD09F34" w14:textId="77777777" w:rsidR="00AA245C" w:rsidRDefault="00AA245C" w:rsidP="008C1887">
      <w:pPr>
        <w:pStyle w:val="Heading1"/>
        <w:spacing w:before="120" w:after="240"/>
        <w:rPr>
          <w:sz w:val="24"/>
          <w:szCs w:val="24"/>
        </w:rPr>
      </w:pPr>
    </w:p>
    <w:p w14:paraId="4304B998" w14:textId="7B76B99C" w:rsidR="00791059" w:rsidRDefault="00791059" w:rsidP="00791059">
      <w:pPr>
        <w:spacing w:before="120" w:after="240"/>
        <w:jc w:val="left"/>
        <w:rPr>
          <w:b/>
          <w:bCs/>
          <w:sz w:val="28"/>
          <w:szCs w:val="28"/>
        </w:rPr>
      </w:pPr>
      <w:r w:rsidRPr="00791059">
        <w:rPr>
          <w:b/>
          <w:bCs/>
          <w:sz w:val="28"/>
          <w:szCs w:val="28"/>
        </w:rPr>
        <w:t>Table of Contents</w:t>
      </w:r>
    </w:p>
    <w:p w14:paraId="200A3F81" w14:textId="77777777" w:rsidR="008C4438" w:rsidRDefault="008C4438" w:rsidP="00791059">
      <w:pPr>
        <w:spacing w:before="120" w:after="240"/>
        <w:jc w:val="left"/>
        <w:rPr>
          <w:b/>
          <w:bCs/>
          <w:sz w:val="28"/>
          <w:szCs w:val="28"/>
        </w:rPr>
      </w:pPr>
    </w:p>
    <w:p w14:paraId="3BDC8067" w14:textId="5B453A09" w:rsidR="006B27B7" w:rsidRPr="006B27B7" w:rsidRDefault="006B27B7" w:rsidP="001702C9">
      <w:pPr>
        <w:pStyle w:val="NormalWeb"/>
        <w:ind w:left="360"/>
        <w:rPr>
          <w:rFonts w:ascii="Arial" w:hAnsi="Arial" w:cs="Arial"/>
        </w:rPr>
      </w:pPr>
      <w:r w:rsidRPr="006B27B7">
        <w:rPr>
          <w:rStyle w:val="Strong"/>
          <w:rFonts w:ascii="Arial" w:hAnsi="Arial" w:cs="Arial"/>
        </w:rPr>
        <w:t>Introduction</w:t>
      </w:r>
      <w:r w:rsidRPr="006B27B7">
        <w:rPr>
          <w:rFonts w:ascii="Arial" w:hAnsi="Arial" w:cs="Arial"/>
        </w:rPr>
        <w:t xml:space="preserve"> ........................................................................................................</w:t>
      </w:r>
      <w:r>
        <w:rPr>
          <w:rFonts w:ascii="Arial" w:hAnsi="Arial" w:cs="Arial"/>
        </w:rPr>
        <w:t>....</w:t>
      </w:r>
      <w:r w:rsidRPr="006B27B7">
        <w:rPr>
          <w:rFonts w:ascii="Arial" w:hAnsi="Arial" w:cs="Arial"/>
        </w:rPr>
        <w:t>3</w:t>
      </w:r>
    </w:p>
    <w:p w14:paraId="1536B22F" w14:textId="3026A2F3" w:rsidR="006B27B7" w:rsidRPr="006B27B7" w:rsidRDefault="006B27B7" w:rsidP="001702C9">
      <w:pPr>
        <w:pStyle w:val="NormalWeb"/>
        <w:ind w:left="360"/>
        <w:rPr>
          <w:rFonts w:ascii="Arial" w:hAnsi="Arial" w:cs="Arial"/>
        </w:rPr>
      </w:pPr>
      <w:r w:rsidRPr="006B27B7">
        <w:rPr>
          <w:rStyle w:val="Strong"/>
          <w:rFonts w:ascii="Arial" w:hAnsi="Arial" w:cs="Arial"/>
        </w:rPr>
        <w:t>Social Media and Mental Health</w:t>
      </w:r>
      <w:r w:rsidRPr="006B27B7">
        <w:rPr>
          <w:rFonts w:ascii="Arial" w:hAnsi="Arial" w:cs="Arial"/>
        </w:rPr>
        <w:t xml:space="preserve"> </w:t>
      </w:r>
      <w:r>
        <w:rPr>
          <w:rFonts w:ascii="Arial" w:hAnsi="Arial" w:cs="Arial"/>
        </w:rPr>
        <w:t>in Adolescence</w:t>
      </w:r>
      <w:r w:rsidRPr="006B27B7">
        <w:rPr>
          <w:rFonts w:ascii="Arial" w:hAnsi="Arial" w:cs="Arial"/>
        </w:rPr>
        <w:t>............................................... 3</w:t>
      </w:r>
      <w:r>
        <w:rPr>
          <w:rFonts w:ascii="Arial" w:hAnsi="Arial" w:cs="Arial"/>
        </w:rPr>
        <w:t>-</w:t>
      </w:r>
      <w:r w:rsidRPr="006B27B7">
        <w:rPr>
          <w:rFonts w:ascii="Arial" w:hAnsi="Arial" w:cs="Arial"/>
        </w:rPr>
        <w:t>4</w:t>
      </w:r>
    </w:p>
    <w:p w14:paraId="6E5E627A" w14:textId="554621A3" w:rsidR="006B27B7" w:rsidRPr="006B27B7" w:rsidRDefault="006B27B7" w:rsidP="001702C9">
      <w:pPr>
        <w:pStyle w:val="NormalWeb"/>
        <w:ind w:left="360"/>
        <w:rPr>
          <w:rFonts w:ascii="Arial" w:hAnsi="Arial" w:cs="Arial"/>
        </w:rPr>
      </w:pPr>
      <w:r w:rsidRPr="006B27B7">
        <w:rPr>
          <w:rStyle w:val="Strong"/>
          <w:rFonts w:ascii="Arial" w:hAnsi="Arial" w:cs="Arial"/>
        </w:rPr>
        <w:t>Vygotsky’s Sociocultural Theory</w:t>
      </w:r>
      <w:r w:rsidRPr="006B27B7">
        <w:rPr>
          <w:rFonts w:ascii="Arial" w:hAnsi="Arial" w:cs="Arial"/>
        </w:rPr>
        <w:t xml:space="preserve"> ......................................................................4–5</w:t>
      </w:r>
    </w:p>
    <w:p w14:paraId="35F4E55F" w14:textId="7E85507D" w:rsidR="006B27B7" w:rsidRPr="006B27B7" w:rsidRDefault="006B27B7" w:rsidP="001702C9">
      <w:pPr>
        <w:pStyle w:val="NormalWeb"/>
        <w:ind w:left="360"/>
        <w:rPr>
          <w:rFonts w:ascii="Arial" w:hAnsi="Arial" w:cs="Arial"/>
        </w:rPr>
      </w:pPr>
      <w:r w:rsidRPr="006B27B7">
        <w:rPr>
          <w:rStyle w:val="Strong"/>
          <w:rFonts w:ascii="Arial" w:hAnsi="Arial" w:cs="Arial"/>
        </w:rPr>
        <w:t>Freud’s Psychodynamic Theory</w:t>
      </w:r>
      <w:r w:rsidRPr="006B27B7">
        <w:rPr>
          <w:rFonts w:ascii="Arial" w:hAnsi="Arial" w:cs="Arial"/>
        </w:rPr>
        <w:t xml:space="preserve"> ....................................................................... 5–6</w:t>
      </w:r>
    </w:p>
    <w:p w14:paraId="0F103B84" w14:textId="5B6DC94A" w:rsidR="006B27B7" w:rsidRPr="006B27B7" w:rsidRDefault="006B27B7" w:rsidP="001702C9">
      <w:pPr>
        <w:pStyle w:val="NormalWeb"/>
        <w:ind w:left="360"/>
        <w:rPr>
          <w:rFonts w:ascii="Arial" w:hAnsi="Arial" w:cs="Arial"/>
        </w:rPr>
      </w:pPr>
      <w:r w:rsidRPr="006B27B7">
        <w:rPr>
          <w:rStyle w:val="Strong"/>
          <w:rFonts w:ascii="Arial" w:hAnsi="Arial" w:cs="Arial"/>
        </w:rPr>
        <w:t>Comparison of Theories</w:t>
      </w:r>
      <w:r w:rsidRPr="006B27B7">
        <w:rPr>
          <w:rFonts w:ascii="Arial" w:hAnsi="Arial" w:cs="Arial"/>
        </w:rPr>
        <w:t xml:space="preserve"> ....................................................................................</w:t>
      </w:r>
      <w:r>
        <w:rPr>
          <w:rFonts w:ascii="Arial" w:hAnsi="Arial" w:cs="Arial"/>
        </w:rPr>
        <w:t>....</w:t>
      </w:r>
      <w:r w:rsidRPr="006B27B7">
        <w:rPr>
          <w:rFonts w:ascii="Arial" w:hAnsi="Arial" w:cs="Arial"/>
        </w:rPr>
        <w:t xml:space="preserve"> 6</w:t>
      </w:r>
    </w:p>
    <w:p w14:paraId="7CC7EDCC" w14:textId="1DCFFBB8" w:rsidR="006B27B7" w:rsidRPr="006B27B7" w:rsidRDefault="006B27B7" w:rsidP="001702C9">
      <w:pPr>
        <w:pStyle w:val="NormalWeb"/>
        <w:ind w:left="360"/>
        <w:rPr>
          <w:rFonts w:ascii="Arial" w:hAnsi="Arial" w:cs="Arial"/>
        </w:rPr>
      </w:pPr>
      <w:r w:rsidRPr="006B27B7">
        <w:rPr>
          <w:rStyle w:val="Strong"/>
          <w:rFonts w:ascii="Arial" w:hAnsi="Arial" w:cs="Arial"/>
        </w:rPr>
        <w:t>Conclusion</w:t>
      </w:r>
      <w:r w:rsidRPr="006B27B7">
        <w:rPr>
          <w:rFonts w:ascii="Arial" w:hAnsi="Arial" w:cs="Arial"/>
        </w:rPr>
        <w:t xml:space="preserve"> ..........................................................................................................</w:t>
      </w:r>
      <w:r w:rsidR="008C4438">
        <w:rPr>
          <w:rFonts w:ascii="Arial" w:hAnsi="Arial" w:cs="Arial"/>
        </w:rPr>
        <w:t>.....</w:t>
      </w:r>
      <w:r w:rsidRPr="006B27B7">
        <w:rPr>
          <w:rFonts w:ascii="Arial" w:hAnsi="Arial" w:cs="Arial"/>
        </w:rPr>
        <w:t>7</w:t>
      </w:r>
    </w:p>
    <w:p w14:paraId="1CFAA9D1" w14:textId="4EF88188" w:rsidR="006B27B7" w:rsidRPr="006B27B7" w:rsidRDefault="006B27B7" w:rsidP="001702C9">
      <w:pPr>
        <w:pStyle w:val="NormalWeb"/>
        <w:ind w:left="360"/>
        <w:rPr>
          <w:rFonts w:ascii="Arial" w:hAnsi="Arial" w:cs="Arial"/>
        </w:rPr>
      </w:pPr>
      <w:r w:rsidRPr="006B27B7">
        <w:rPr>
          <w:rStyle w:val="Strong"/>
          <w:rFonts w:ascii="Arial" w:hAnsi="Arial" w:cs="Arial"/>
        </w:rPr>
        <w:t>References</w:t>
      </w:r>
      <w:r w:rsidRPr="006B27B7">
        <w:rPr>
          <w:rFonts w:ascii="Arial" w:hAnsi="Arial" w:cs="Arial"/>
        </w:rPr>
        <w:t xml:space="preserve"> ..........................................................................................................</w:t>
      </w:r>
      <w:r>
        <w:rPr>
          <w:rFonts w:ascii="Arial" w:hAnsi="Arial" w:cs="Arial"/>
        </w:rPr>
        <w:t>.</w:t>
      </w:r>
      <w:r w:rsidRPr="006B27B7">
        <w:rPr>
          <w:rFonts w:ascii="Arial" w:hAnsi="Arial" w:cs="Arial"/>
        </w:rPr>
        <w:t xml:space="preserve"> 8–9</w:t>
      </w:r>
    </w:p>
    <w:p w14:paraId="78182523" w14:textId="77777777" w:rsidR="00791059" w:rsidRDefault="00791059" w:rsidP="001702C9">
      <w:pPr>
        <w:spacing w:before="120" w:after="240"/>
        <w:jc w:val="left"/>
        <w:rPr>
          <w:b/>
          <w:bCs/>
          <w:sz w:val="28"/>
          <w:szCs w:val="28"/>
        </w:rPr>
      </w:pPr>
    </w:p>
    <w:p w14:paraId="5EE8E083" w14:textId="77777777" w:rsidR="00791059" w:rsidRDefault="00791059" w:rsidP="00791059">
      <w:pPr>
        <w:spacing w:before="120" w:after="240"/>
        <w:jc w:val="left"/>
        <w:rPr>
          <w:b/>
          <w:bCs/>
          <w:sz w:val="28"/>
          <w:szCs w:val="28"/>
        </w:rPr>
      </w:pPr>
    </w:p>
    <w:p w14:paraId="659DB32F" w14:textId="77777777" w:rsidR="00791059" w:rsidRDefault="00791059" w:rsidP="00791059">
      <w:pPr>
        <w:spacing w:before="120" w:after="240"/>
        <w:jc w:val="center"/>
        <w:rPr>
          <w:b/>
          <w:bCs/>
          <w:sz w:val="24"/>
          <w:szCs w:val="24"/>
        </w:rPr>
      </w:pPr>
    </w:p>
    <w:p w14:paraId="2CBDCDB1" w14:textId="77777777" w:rsidR="00791059" w:rsidRDefault="00791059" w:rsidP="00791059">
      <w:pPr>
        <w:spacing w:before="120" w:after="240"/>
        <w:jc w:val="center"/>
        <w:rPr>
          <w:b/>
          <w:bCs/>
          <w:sz w:val="24"/>
          <w:szCs w:val="24"/>
        </w:rPr>
      </w:pPr>
    </w:p>
    <w:p w14:paraId="03DF98B0" w14:textId="77777777" w:rsidR="00791059" w:rsidRDefault="00791059" w:rsidP="00791059">
      <w:pPr>
        <w:spacing w:before="120" w:after="240"/>
        <w:jc w:val="center"/>
        <w:rPr>
          <w:b/>
          <w:bCs/>
          <w:sz w:val="24"/>
          <w:szCs w:val="24"/>
        </w:rPr>
      </w:pPr>
    </w:p>
    <w:p w14:paraId="495A4507" w14:textId="77777777" w:rsidR="00791059" w:rsidRDefault="00791059" w:rsidP="00791059">
      <w:pPr>
        <w:spacing w:before="120" w:after="240"/>
        <w:jc w:val="center"/>
        <w:rPr>
          <w:b/>
          <w:bCs/>
          <w:sz w:val="24"/>
          <w:szCs w:val="24"/>
        </w:rPr>
      </w:pPr>
    </w:p>
    <w:p w14:paraId="360948B1" w14:textId="77777777" w:rsidR="00791059" w:rsidRDefault="00791059" w:rsidP="00791059">
      <w:pPr>
        <w:spacing w:before="120" w:after="240"/>
        <w:jc w:val="center"/>
        <w:rPr>
          <w:b/>
          <w:bCs/>
          <w:sz w:val="24"/>
          <w:szCs w:val="24"/>
        </w:rPr>
      </w:pPr>
    </w:p>
    <w:p w14:paraId="4C0C8D0C" w14:textId="77777777" w:rsidR="00791059" w:rsidRDefault="00791059" w:rsidP="00791059">
      <w:pPr>
        <w:spacing w:before="120" w:after="240"/>
        <w:jc w:val="center"/>
        <w:rPr>
          <w:b/>
          <w:bCs/>
          <w:sz w:val="24"/>
          <w:szCs w:val="24"/>
        </w:rPr>
      </w:pPr>
    </w:p>
    <w:p w14:paraId="4B8DDBB6" w14:textId="77777777" w:rsidR="00791059" w:rsidRDefault="00791059" w:rsidP="00791059">
      <w:pPr>
        <w:spacing w:before="120" w:after="240"/>
        <w:jc w:val="center"/>
        <w:rPr>
          <w:b/>
          <w:bCs/>
          <w:sz w:val="24"/>
          <w:szCs w:val="24"/>
        </w:rPr>
      </w:pPr>
    </w:p>
    <w:p w14:paraId="6248DDD3" w14:textId="77777777" w:rsidR="00791059" w:rsidRDefault="00791059" w:rsidP="00791059">
      <w:pPr>
        <w:spacing w:before="120" w:after="240"/>
        <w:jc w:val="center"/>
        <w:rPr>
          <w:b/>
          <w:bCs/>
          <w:sz w:val="24"/>
          <w:szCs w:val="24"/>
        </w:rPr>
      </w:pPr>
    </w:p>
    <w:p w14:paraId="0F81CF01" w14:textId="77777777" w:rsidR="008C4438" w:rsidRDefault="008C4438" w:rsidP="00DA00A6">
      <w:pPr>
        <w:spacing w:before="120" w:after="240"/>
        <w:jc w:val="center"/>
        <w:rPr>
          <w:b/>
          <w:bCs/>
          <w:sz w:val="24"/>
          <w:szCs w:val="24"/>
        </w:rPr>
      </w:pPr>
    </w:p>
    <w:p w14:paraId="4CD4AE5E" w14:textId="77777777" w:rsidR="008C4438" w:rsidRDefault="008C4438" w:rsidP="00DA00A6">
      <w:pPr>
        <w:spacing w:before="120" w:after="240"/>
        <w:jc w:val="center"/>
        <w:rPr>
          <w:b/>
          <w:bCs/>
          <w:sz w:val="24"/>
          <w:szCs w:val="24"/>
        </w:rPr>
      </w:pPr>
    </w:p>
    <w:p w14:paraId="1B68F1CA" w14:textId="01EF1A68" w:rsidR="00791059" w:rsidRDefault="00AA245C" w:rsidP="008C4438">
      <w:pPr>
        <w:spacing w:before="120" w:after="240"/>
        <w:jc w:val="center"/>
        <w:rPr>
          <w:b/>
          <w:bCs/>
          <w:sz w:val="24"/>
          <w:szCs w:val="24"/>
        </w:rPr>
      </w:pPr>
      <w:r w:rsidRPr="00AA245C">
        <w:rPr>
          <w:b/>
          <w:bCs/>
          <w:sz w:val="24"/>
          <w:szCs w:val="24"/>
        </w:rPr>
        <w:t>Essay on</w:t>
      </w:r>
    </w:p>
    <w:p w14:paraId="0FA983A0" w14:textId="77777777" w:rsidR="00791059" w:rsidRPr="00AA245C" w:rsidRDefault="00791059" w:rsidP="008C4438">
      <w:pPr>
        <w:spacing w:before="120" w:after="240"/>
        <w:jc w:val="center"/>
        <w:rPr>
          <w:b/>
          <w:bCs/>
          <w:sz w:val="24"/>
          <w:szCs w:val="24"/>
        </w:rPr>
      </w:pPr>
    </w:p>
    <w:p w14:paraId="4DA2CB5E" w14:textId="1EB0110E" w:rsidR="00AA245C" w:rsidRPr="006B27B7" w:rsidRDefault="006B27B7" w:rsidP="008C4438">
      <w:pPr>
        <w:spacing w:before="120" w:after="240"/>
        <w:jc w:val="center"/>
        <w:rPr>
          <w:b/>
          <w:bCs/>
          <w:sz w:val="24"/>
          <w:szCs w:val="24"/>
        </w:rPr>
      </w:pPr>
      <w:r w:rsidRPr="006B27B7">
        <w:rPr>
          <w:b/>
          <w:bCs/>
          <w:sz w:val="24"/>
          <w:szCs w:val="24"/>
        </w:rPr>
        <w:t xml:space="preserve">The </w:t>
      </w:r>
      <w:r w:rsidR="00AA245C" w:rsidRPr="006B27B7">
        <w:rPr>
          <w:b/>
          <w:bCs/>
          <w:sz w:val="24"/>
          <w:szCs w:val="24"/>
        </w:rPr>
        <w:t xml:space="preserve">Impact of </w:t>
      </w:r>
      <w:r w:rsidR="00791059" w:rsidRPr="006B27B7">
        <w:rPr>
          <w:b/>
          <w:bCs/>
          <w:sz w:val="24"/>
          <w:szCs w:val="24"/>
        </w:rPr>
        <w:t>S</w:t>
      </w:r>
      <w:r w:rsidR="00AA245C" w:rsidRPr="006B27B7">
        <w:rPr>
          <w:b/>
          <w:bCs/>
          <w:sz w:val="24"/>
          <w:szCs w:val="24"/>
        </w:rPr>
        <w:t xml:space="preserve">ocial </w:t>
      </w:r>
      <w:r w:rsidR="00791059" w:rsidRPr="006B27B7">
        <w:rPr>
          <w:b/>
          <w:bCs/>
          <w:sz w:val="24"/>
          <w:szCs w:val="24"/>
        </w:rPr>
        <w:t>M</w:t>
      </w:r>
      <w:r w:rsidR="00AA245C" w:rsidRPr="006B27B7">
        <w:rPr>
          <w:b/>
          <w:bCs/>
          <w:sz w:val="24"/>
          <w:szCs w:val="24"/>
        </w:rPr>
        <w:t>edia on Mental Health in Adolescence</w:t>
      </w:r>
    </w:p>
    <w:p w14:paraId="6967E535" w14:textId="77777777" w:rsidR="00AA245C" w:rsidRDefault="00AA245C" w:rsidP="008C4438">
      <w:pPr>
        <w:pStyle w:val="Heading1"/>
        <w:spacing w:before="120" w:after="240"/>
        <w:rPr>
          <w:sz w:val="24"/>
          <w:szCs w:val="24"/>
        </w:rPr>
      </w:pPr>
    </w:p>
    <w:p w14:paraId="7D06D6AC" w14:textId="006A7F3A" w:rsidR="00765096" w:rsidRDefault="00C07AE6" w:rsidP="008C4438">
      <w:pPr>
        <w:pStyle w:val="Heading1"/>
        <w:spacing w:before="120" w:after="240"/>
        <w:rPr>
          <w:sz w:val="24"/>
          <w:szCs w:val="24"/>
        </w:rPr>
      </w:pPr>
      <w:r w:rsidRPr="00AA245C">
        <w:rPr>
          <w:sz w:val="24"/>
          <w:szCs w:val="24"/>
        </w:rPr>
        <w:t>Introduction</w:t>
      </w:r>
    </w:p>
    <w:p w14:paraId="4186C43B" w14:textId="77777777" w:rsidR="00AA245C" w:rsidRPr="00AA245C" w:rsidRDefault="00AA245C" w:rsidP="008C4438"/>
    <w:p w14:paraId="0A667076" w14:textId="24DA1FC1" w:rsidR="00765096" w:rsidRPr="00AA245C" w:rsidRDefault="00604A81" w:rsidP="008C4438">
      <w:pPr>
        <w:spacing w:before="120" w:after="240"/>
        <w:rPr>
          <w:rFonts w:cs="Arial"/>
        </w:rPr>
      </w:pPr>
      <w:r w:rsidRPr="00AA245C">
        <w:rPr>
          <w:rFonts w:cs="Arial"/>
        </w:rPr>
        <w:t xml:space="preserve">Social media plays a key role in the lives of many teenagers. These sites enable communication, entertainment, learning, creativity and identity exploration. Social media can also lead to comparison, bullying, unrealistic images, and pressure. Recent research </w:t>
      </w:r>
      <w:r w:rsidR="00AA245C" w:rsidRPr="00AA245C">
        <w:rPr>
          <w:rFonts w:cs="Arial"/>
        </w:rPr>
        <w:t>links</w:t>
      </w:r>
      <w:r w:rsidRPr="00AA245C">
        <w:rPr>
          <w:rFonts w:cs="Arial"/>
        </w:rPr>
        <w:t xml:space="preserve"> negative patterns of use with anxiety and depressive symptoms. Low self-esteem, sleep disturbance and body-image issues are also found by researchers. They are different for each adolescent depending on his or her individual and social factors. Friendly online environments can offer companionship, information, reassurance and a sense of belonging. There are mixed results reported by Khalaf et al., (2023) and Saleem, Young and Yousuf (2024). The sociocultural theory of Vygotsky aims at understanding how thinking and behavior are developed when interacting online. Freud's psychodynamic theory offers an understanding of emotional struggles, unmet needs and satisfying events. This essay critically uses theories to explain adolescent mental health outcomes. While both positions have value, each point of view has its own unique weaknesses.</w:t>
      </w:r>
    </w:p>
    <w:p w14:paraId="16F5089B" w14:textId="77777777" w:rsidR="00765096" w:rsidRPr="00AA245C" w:rsidRDefault="00C07AE6" w:rsidP="008C4438">
      <w:pPr>
        <w:pStyle w:val="Heading1"/>
        <w:spacing w:before="120" w:after="240"/>
        <w:rPr>
          <w:rFonts w:cs="Arial"/>
          <w:sz w:val="24"/>
          <w:szCs w:val="24"/>
        </w:rPr>
      </w:pPr>
      <w:r w:rsidRPr="00AA245C">
        <w:rPr>
          <w:rFonts w:cs="Arial"/>
          <w:sz w:val="24"/>
          <w:szCs w:val="24"/>
        </w:rPr>
        <w:t>Main Discussion</w:t>
      </w:r>
    </w:p>
    <w:p w14:paraId="1A4BCD9C" w14:textId="6A777DB8" w:rsidR="00A35221" w:rsidRPr="00AA245C" w:rsidRDefault="00A35221" w:rsidP="008C4438">
      <w:pPr>
        <w:spacing w:before="120" w:after="240"/>
        <w:rPr>
          <w:rFonts w:cs="Arial"/>
          <w:lang w:val="en-GB"/>
        </w:rPr>
      </w:pPr>
      <w:r w:rsidRPr="00AA245C">
        <w:rPr>
          <w:rFonts w:cs="Arial"/>
          <w:lang w:val="en-GB"/>
        </w:rPr>
        <w:t xml:space="preserve">Changes in emotions, social, physical, and cognitive development occur very quickly during adolescence. Peer opinions are increasingly significant as adolescents gradually strive for independence. Social media isn't just an extension of peers' interactions in school, in the family, and in their communities. Friends and </w:t>
      </w:r>
      <w:r w:rsidR="002D6961" w:rsidRPr="00AA245C">
        <w:rPr>
          <w:rFonts w:cs="Arial"/>
          <w:lang w:val="en-GB"/>
        </w:rPr>
        <w:t>conflicts</w:t>
      </w:r>
      <w:r w:rsidRPr="00AA245C">
        <w:rPr>
          <w:rFonts w:cs="Arial"/>
          <w:lang w:val="en-GB"/>
        </w:rPr>
        <w:t xml:space="preserve">, successes and failures are quite visible on public profiles. The </w:t>
      </w:r>
      <w:r w:rsidR="006D6F96" w:rsidRPr="00AA245C">
        <w:rPr>
          <w:rFonts w:cs="Arial"/>
        </w:rPr>
        <w:t>OSG</w:t>
      </w:r>
      <w:r w:rsidR="006D6F96" w:rsidRPr="00AA245C">
        <w:rPr>
          <w:rFonts w:cs="Arial"/>
          <w:lang w:val="en-GB"/>
        </w:rPr>
        <w:t xml:space="preserve"> </w:t>
      </w:r>
      <w:r w:rsidRPr="00AA245C">
        <w:rPr>
          <w:rFonts w:cs="Arial"/>
          <w:lang w:val="en-GB"/>
        </w:rPr>
        <w:t xml:space="preserve">(2023) acknowledges the positive and significant hazards. Internet connection can be used to support self-expression, particularly for socially isolated adolescents. Nonsensical </w:t>
      </w:r>
      <w:r w:rsidRPr="00AA245C">
        <w:rPr>
          <w:rFonts w:cs="Arial"/>
          <w:lang w:val="en-GB"/>
        </w:rPr>
        <w:lastRenderedPageBreak/>
        <w:t>material can lead to a higher level of bullying, sleeping problems, anxiety and self-doubt. According to the World Health Organi</w:t>
      </w:r>
      <w:r w:rsidR="00872B7D" w:rsidRPr="00AA245C">
        <w:rPr>
          <w:rFonts w:cs="Arial"/>
          <w:lang w:val="en-GB"/>
        </w:rPr>
        <w:t>s</w:t>
      </w:r>
      <w:r w:rsidRPr="00AA245C">
        <w:rPr>
          <w:rFonts w:cs="Arial"/>
          <w:lang w:val="en-GB"/>
        </w:rPr>
        <w:t>ation Regional Office for Europe (202</w:t>
      </w:r>
      <w:r w:rsidR="008C4438">
        <w:rPr>
          <w:rFonts w:cs="Arial"/>
          <w:lang w:val="en-GB"/>
        </w:rPr>
        <w:t>2</w:t>
      </w:r>
      <w:r w:rsidRPr="00AA245C">
        <w:rPr>
          <w:rFonts w:cs="Arial"/>
          <w:lang w:val="en-GB"/>
        </w:rPr>
        <w:t>), there is a rise in problematic use. There are other influences on mental health outcomes beyond screen time. Online activities, what has been seen online, support from the family, and wellbeing are still relevant. Adolescents also react differently due to differences in personality, relationships, and life experiences.</w:t>
      </w:r>
    </w:p>
    <w:p w14:paraId="691B93F7" w14:textId="7768B7E1" w:rsidR="00A35221" w:rsidRPr="00AA245C" w:rsidRDefault="00A35221" w:rsidP="008C4438">
      <w:pPr>
        <w:spacing w:before="120" w:after="240"/>
        <w:rPr>
          <w:rFonts w:cs="Arial"/>
          <w:lang w:val="en-GB"/>
        </w:rPr>
      </w:pPr>
      <w:r w:rsidRPr="00AA245C">
        <w:rPr>
          <w:rFonts w:cs="Arial"/>
          <w:lang w:val="en-GB"/>
        </w:rPr>
        <w:t xml:space="preserve">Vygotsky's sociocultural view of development indicates that development is a </w:t>
      </w:r>
      <w:r w:rsidR="00BA2DB6" w:rsidRPr="00AA245C">
        <w:rPr>
          <w:rFonts w:cs="Arial"/>
          <w:lang w:val="en-GB"/>
        </w:rPr>
        <w:t>socially mediated</w:t>
      </w:r>
      <w:r w:rsidRPr="00AA245C">
        <w:rPr>
          <w:rFonts w:cs="Arial"/>
          <w:lang w:val="en-GB"/>
        </w:rPr>
        <w:t xml:space="preserve"> process. Social interaction allows adolescents to acquire language, values, knowledge, and behaviour. Cultural tools also influence the way that a young person perceives himself and his environment. According to Feldman (2024), the process of language and communication is related to cognitive development. Social media is a tool that can be very powerful in helping to shape culture for teens in the modern world. Adolescents use comments, images, video and messages for social learning. These on-line discussions express what they expect to see when they go out on a date. These expectations can slowly become ingrained in adolescents over time as they interact with websites online. The confidence, coping skills, knowledge, and social belonging are all enhanced in respectful communities. Social media is both helpful and harmful, according to Senekal et al. (2023). Vygotsky's theory thus accounts for the effect of digital environments on the construction of developing beliefs.</w:t>
      </w:r>
    </w:p>
    <w:p w14:paraId="620850B5" w14:textId="77777777" w:rsidR="00A35221" w:rsidRPr="00AA245C" w:rsidRDefault="00A35221" w:rsidP="008C4438">
      <w:pPr>
        <w:spacing w:before="120" w:after="240"/>
        <w:rPr>
          <w:rFonts w:cs="Arial"/>
          <w:lang w:val="en-GB"/>
        </w:rPr>
      </w:pPr>
      <w:r w:rsidRPr="00AA245C">
        <w:rPr>
          <w:rFonts w:cs="Arial"/>
          <w:lang w:val="en-GB"/>
        </w:rPr>
        <w:t>Guided learning is based on Vygotsky's concept of the zone of proximal development. This is the idea of learning by guidance of a knowledgeable person. Guidance is a key element in the development of cognitive abilities, according to Feldman (2024). Online guidance can be from teachers, family, professionals, peers, or community. Assistance can enhance communication, emotional awareness and information processing. Responsible online support can also teach teens effective coping mechanisms. Negative guidance can foster negative attitudes, behaviour, prejudice, or misinformation. Peer pressures and older peers may provide unhealthy norms as normal. Living in a world of idealised life can warp adolescents' expectations. According to Blanchard et al. (2023) the relationships with body image and self-esteem are identified. The same review links social media to stress, loneliness, anxiety and depression. These results can be related to acquired and internalised social values according to Vygotsky’s approach.</w:t>
      </w:r>
    </w:p>
    <w:p w14:paraId="740D11C2" w14:textId="77777777" w:rsidR="00A35221" w:rsidRPr="00AA245C" w:rsidRDefault="00A35221" w:rsidP="008C4438">
      <w:pPr>
        <w:spacing w:before="120" w:after="240"/>
        <w:rPr>
          <w:rFonts w:cs="Arial"/>
          <w:lang w:val="en-GB"/>
        </w:rPr>
      </w:pPr>
      <w:r w:rsidRPr="00AA245C">
        <w:rPr>
          <w:rFonts w:cs="Arial"/>
          <w:lang w:val="en-GB"/>
        </w:rPr>
        <w:t xml:space="preserve">Followers, comments and likes are metrics that are visible to the public that validate the approval. Adolescents can link a sense of value to the exposure they get from online viewers. There might be a sense of rejection, embarrassment or social exclusion </w:t>
      </w:r>
      <w:proofErr w:type="gramStart"/>
      <w:r w:rsidRPr="00AA245C">
        <w:rPr>
          <w:rFonts w:cs="Arial"/>
          <w:lang w:val="en-GB"/>
        </w:rPr>
        <w:t>as a result of</w:t>
      </w:r>
      <w:proofErr w:type="gramEnd"/>
      <w:r w:rsidRPr="00AA245C">
        <w:rPr>
          <w:rFonts w:cs="Arial"/>
          <w:lang w:val="en-GB"/>
        </w:rPr>
        <w:t xml:space="preserve"> limited responses. The </w:t>
      </w:r>
      <w:r w:rsidRPr="00AA245C">
        <w:rPr>
          <w:rFonts w:cs="Arial"/>
          <w:lang w:val="en-GB"/>
        </w:rPr>
        <w:lastRenderedPageBreak/>
        <w:t>positive answers can enhance confidence but also foster reliance on others for approval. Cyberbullying can be more distressing as messages get out fast on-line. Criticism can be seen by large crowds and will add to the feeling of humiliation and emotional vulnerability. Repeated criticism can become internalised by adolescents, impacting their developing personal self-concept. In Vygotsky's theory the relationships that provide support and digital literacy are protection. Adolescents can discuss bad content without getting all the blame from parents and teachers. Care workers can challenge this unrealistic expectation in a calm and respectful manner through conversation. Adolescents can be guided to more healthy interpretations of online experiences with consistent guidance.</w:t>
      </w:r>
    </w:p>
    <w:p w14:paraId="346F2FCC" w14:textId="1C99C3E3" w:rsidR="00A35221" w:rsidRPr="00AA245C" w:rsidRDefault="00A35221" w:rsidP="008C4438">
      <w:pPr>
        <w:spacing w:before="120" w:after="240"/>
        <w:rPr>
          <w:rFonts w:cs="Arial"/>
          <w:lang w:val="en-GB"/>
        </w:rPr>
      </w:pPr>
      <w:r w:rsidRPr="00AA245C">
        <w:rPr>
          <w:rFonts w:cs="Arial"/>
          <w:lang w:val="en-GB"/>
        </w:rPr>
        <w:t xml:space="preserve">A different perspective of adolescent behaviour is provided by Freud's psychodynamic theory. Freud correlated behaviour to the unconscious wishes, emotional conflicts and early experiences. The personality is divided into the id, the ego and the superego according to the theory. The id is more about enjoying the moment than thinking about the long-term effects of a choice. The ego controls reality and coordinates conflicting individual and social needs. Superego is internalised moral rules, expectations, and feelings of responsibility. Feldman (2024) provides an explanation of these concepts in the existing context of discussions of lifespan development. Teen years can make it harder to get along or balance what one wants to do with what is expected. Social media offers instant gratification via likes, messaging, fun and attention. These rewards can be used to temporarily relieve tension and bring pleasure to the id. A balance between the online desires and sleep, study, safety and relationships </w:t>
      </w:r>
      <w:r w:rsidR="00F352CC" w:rsidRPr="00AA245C">
        <w:rPr>
          <w:rFonts w:cs="Arial"/>
          <w:lang w:val="en-GB"/>
        </w:rPr>
        <w:t>need</w:t>
      </w:r>
      <w:r w:rsidRPr="00AA245C">
        <w:rPr>
          <w:rFonts w:cs="Arial"/>
          <w:lang w:val="en-GB"/>
        </w:rPr>
        <w:t xml:space="preserve"> to be struck with the ego.</w:t>
      </w:r>
    </w:p>
    <w:p w14:paraId="28896360" w14:textId="6FB5D14B" w:rsidR="00A35221" w:rsidRPr="00AA245C" w:rsidRDefault="00A35221" w:rsidP="008C4438">
      <w:pPr>
        <w:spacing w:before="120" w:after="240"/>
        <w:rPr>
          <w:rFonts w:cs="Arial"/>
          <w:lang w:val="en-GB"/>
        </w:rPr>
      </w:pPr>
      <w:r w:rsidRPr="00AA245C">
        <w:rPr>
          <w:rFonts w:cs="Arial"/>
          <w:lang w:val="en-GB"/>
        </w:rPr>
        <w:t xml:space="preserve">The idea of online culture also has the power of shaping the developing superego in adolescence. Adolescents are exposed to a strong message on success, beauty, relationships and appropriate conduct. Over time messages can turn into rules that are internalized for self-assessment. Adolescents might feel shamed when their personal lives seem less successful. Ideal online identities can be fostered when posts are edited, hiding private insecurity. There can be conflict when the public performance of one's feelings and the private performance of them. Another possible explanation of online behaviour comes from Freud's defence mechanisms. Adolescents might reject unpleasant emotions following the on-line abuse of being cruel. Some teens might try to show insecurity by insulting others' looks. Some teens may scroll continuously to prevent the hard feelings. Such explanations are still </w:t>
      </w:r>
      <w:r w:rsidR="00AA245C" w:rsidRPr="00AA245C">
        <w:rPr>
          <w:rFonts w:cs="Arial"/>
          <w:lang w:val="en-GB"/>
        </w:rPr>
        <w:t>explanatory but</w:t>
      </w:r>
      <w:r w:rsidRPr="00AA245C">
        <w:rPr>
          <w:rFonts w:cs="Arial"/>
          <w:lang w:val="en-GB"/>
        </w:rPr>
        <w:t xml:space="preserve"> lead to the focus of hidden feelings.</w:t>
      </w:r>
    </w:p>
    <w:p w14:paraId="39B6318B" w14:textId="4DFC0F21" w:rsidR="00A35221" w:rsidRPr="00AA245C" w:rsidRDefault="00A35221" w:rsidP="008C4438">
      <w:pPr>
        <w:spacing w:before="120" w:after="240"/>
        <w:rPr>
          <w:rFonts w:cs="Arial"/>
          <w:lang w:val="en-GB"/>
        </w:rPr>
      </w:pPr>
      <w:r w:rsidRPr="00AA245C">
        <w:rPr>
          <w:rFonts w:cs="Arial"/>
          <w:lang w:val="en-GB"/>
        </w:rPr>
        <w:t xml:space="preserve">Freud's theory states that the use of heavy duty may have emotional significance. Some teens might be seeking approval, wanting to avoid loneliness or be coping with chronic anxiety. It should </w:t>
      </w:r>
      <w:r w:rsidRPr="00AA245C">
        <w:rPr>
          <w:rFonts w:cs="Arial"/>
          <w:lang w:val="en-GB"/>
        </w:rPr>
        <w:lastRenderedPageBreak/>
        <w:t xml:space="preserve">therefore be avoided to label all issues as poor discipline, as health professionals should. Feelings before, during and after online activity can be discussed in a respectful way. Freud's theory is restricted because some of his ideas are not amenable to scientific investigation. The initial theory was also overly focused on sexuality in children, and on traditional gender roles. Freud had little interest in modern technology, poverty, discrimination, and the new family </w:t>
      </w:r>
      <w:r w:rsidR="00156D1A" w:rsidRPr="00AA245C">
        <w:rPr>
          <w:rFonts w:cs="Arial"/>
          <w:lang w:val="en-GB"/>
        </w:rPr>
        <w:t>structure</w:t>
      </w:r>
      <w:r w:rsidRPr="00AA245C">
        <w:rPr>
          <w:rFonts w:cs="Arial"/>
          <w:lang w:val="en-GB"/>
        </w:rPr>
        <w:t xml:space="preserve">. Vygotsky is more successful in explaining social learning in contemporary interactive digital learning environments. Vygotsky's theory still ignores the role of biology, personality, and psychological vulnerability of the individual. Both theories fail to account for </w:t>
      </w:r>
      <w:r w:rsidR="00156D1A" w:rsidRPr="00AA245C">
        <w:rPr>
          <w:rFonts w:cs="Arial"/>
          <w:lang w:val="en-GB"/>
        </w:rPr>
        <w:t>all</w:t>
      </w:r>
      <w:r w:rsidRPr="00AA245C">
        <w:rPr>
          <w:rFonts w:cs="Arial"/>
          <w:lang w:val="en-GB"/>
        </w:rPr>
        <w:t xml:space="preserve"> the reactions of adolescents to the same material. Together, interpretations give a wider picture than a single interpretation.</w:t>
      </w:r>
    </w:p>
    <w:p w14:paraId="0007BE47" w14:textId="3892C7D1" w:rsidR="002D6961" w:rsidRPr="00AA245C" w:rsidRDefault="002D6961" w:rsidP="008C4438">
      <w:pPr>
        <w:spacing w:before="120" w:after="240"/>
        <w:rPr>
          <w:rFonts w:cs="Arial"/>
          <w:lang w:val="en-GB"/>
        </w:rPr>
      </w:pPr>
      <w:r w:rsidRPr="00AA245C">
        <w:rPr>
          <w:rFonts w:cs="Arial"/>
          <w:lang w:val="en-GB"/>
        </w:rPr>
        <w:t xml:space="preserve">Vygotsky and Freud also offer useful insights for supporting older adults in health and social care. Vygotsky’s sociocultural theory highlights the importance of social interaction and guided support, which is relevant for older adults who may face loneliness or cognitive decline. Activities that encourage communication and shared meaning can support wellbeing. Freud’s psychodynamic ideas help professionals understand emotional needs linked to loss, anxiety or unresolved conflicts in later life. Recognising defence mechanisms and offering empathetic support can help older </w:t>
      </w:r>
      <w:proofErr w:type="gramStart"/>
      <w:r w:rsidRPr="00AA245C">
        <w:rPr>
          <w:rFonts w:cs="Arial"/>
          <w:lang w:val="en-GB"/>
        </w:rPr>
        <w:t>adults</w:t>
      </w:r>
      <w:proofErr w:type="gramEnd"/>
      <w:r w:rsidRPr="00AA245C">
        <w:rPr>
          <w:rFonts w:cs="Arial"/>
          <w:lang w:val="en-GB"/>
        </w:rPr>
        <w:t xml:space="preserve"> express feelings safely. Both theories emphasise the value of supportive relationships in care settings.</w:t>
      </w:r>
    </w:p>
    <w:p w14:paraId="4F10DC0D" w14:textId="5A0C4D61" w:rsidR="00765096" w:rsidRPr="00AA245C" w:rsidRDefault="00A35221" w:rsidP="008C4438">
      <w:pPr>
        <w:spacing w:before="120" w:after="240"/>
        <w:rPr>
          <w:rFonts w:cs="Arial"/>
          <w:lang w:val="en-GB"/>
        </w:rPr>
      </w:pPr>
      <w:r w:rsidRPr="00AA245C">
        <w:rPr>
          <w:rFonts w:cs="Arial"/>
          <w:lang w:val="en-GB"/>
        </w:rPr>
        <w:t>Recent evidence supports the idea of a balance between assessment and claims about harm, rather than universal claims about harm. Shen et al. (2024) relate outcomes to types and contexts of digital activity. Dyer et al. (2024) recognise that there are different long-term patterns within each age group of adolescents. The results demonstrate the need for professional evaluation of individual experiences. Professionals to enquire about bullying, sleep, body image, relationships, and content. It's important for professionals to also discover what is driving adolescents to engage with platforms as well. This may consist of bedtime limits, setting up warnings, and digital literacy lessons. Relationships offline can be emotionally supportive and have a practical perspective. If the symptoms persist, the family may need to be referred to suitable mental health services. Developmentally appropriate monitoring and guidance is encouraged by the American Psychological Association (2023). Absolute prohibitions can hurt the trust and do not solve emotional or social issues.</w:t>
      </w:r>
    </w:p>
    <w:p w14:paraId="54D6B3D8" w14:textId="77777777" w:rsidR="00765096" w:rsidRPr="00AA245C" w:rsidRDefault="00C07AE6" w:rsidP="008C4438">
      <w:pPr>
        <w:pStyle w:val="Heading1"/>
        <w:spacing w:before="120" w:after="240"/>
        <w:rPr>
          <w:rFonts w:cs="Arial"/>
          <w:sz w:val="24"/>
          <w:szCs w:val="24"/>
        </w:rPr>
      </w:pPr>
      <w:r w:rsidRPr="00AA245C">
        <w:rPr>
          <w:rFonts w:cs="Arial"/>
          <w:sz w:val="24"/>
          <w:szCs w:val="24"/>
        </w:rPr>
        <w:lastRenderedPageBreak/>
        <w:t>Conclusion</w:t>
      </w:r>
    </w:p>
    <w:p w14:paraId="4B064BD8" w14:textId="4CF6DD9B" w:rsidR="009261A7" w:rsidRPr="00AA245C" w:rsidRDefault="00604A81" w:rsidP="008C4438">
      <w:pPr>
        <w:spacing w:before="120" w:after="240"/>
        <w:rPr>
          <w:rFonts w:cs="Arial"/>
          <w:lang w:val="en-GB"/>
        </w:rPr>
      </w:pPr>
      <w:r w:rsidRPr="00AA245C">
        <w:rPr>
          <w:rFonts w:cs="Arial"/>
          <w:lang w:val="en-GB"/>
        </w:rPr>
        <w:t xml:space="preserve">In summary, adolescents face both opportunities and challenges </w:t>
      </w:r>
      <w:r w:rsidR="00156D1A" w:rsidRPr="00AA245C">
        <w:rPr>
          <w:rFonts w:cs="Arial"/>
          <w:lang w:val="en-GB"/>
        </w:rPr>
        <w:t>today</w:t>
      </w:r>
      <w:r w:rsidRPr="00AA245C">
        <w:rPr>
          <w:rFonts w:cs="Arial"/>
          <w:lang w:val="en-GB"/>
        </w:rPr>
        <w:t xml:space="preserve"> due to social media. It can help to build connection, learning, identity, and emotional belonging in difficult times, with the help of supportive platforms. Negative experiences can lead to heightened anxiety, sadness, lack of self-esteem, insomnia and stress. How repeated interaction creates developing beliefs and self-understanding, Vygotsky says. The theory also helps to understand why supportive guidance has a positive impact on decreasing harmful interpretations</w:t>
      </w:r>
      <w:r w:rsidR="008C1887" w:rsidRPr="00AA245C">
        <w:rPr>
          <w:rFonts w:cs="Arial"/>
          <w:lang w:val="en-GB"/>
        </w:rPr>
        <w:t xml:space="preserve"> </w:t>
      </w:r>
      <w:r w:rsidR="008C1887" w:rsidRPr="00AA245C">
        <w:rPr>
          <w:rFonts w:cs="Arial"/>
        </w:rPr>
        <w:t>(Shen et al., 2024)</w:t>
      </w:r>
      <w:r w:rsidRPr="00AA245C">
        <w:rPr>
          <w:rFonts w:cs="Arial"/>
          <w:lang w:val="en-GB"/>
        </w:rPr>
        <w:t>. Freud points to unfulfilled needs, quick gratification, conflict and avoidance. Nowadays, Freud's explanation is less testable and less culturally relevant. The stronger account of the developmental impact of social media is from Vygotsky. Motives, relationships, content, wellbeing and personal vulnerability should all be explored by health professionals. There are ways to support young people while maintaining benefits for meaningful digital communications.</w:t>
      </w:r>
    </w:p>
    <w:p w14:paraId="1769744D" w14:textId="77777777" w:rsidR="00AA245C" w:rsidRPr="00AA245C" w:rsidRDefault="003D2AF8" w:rsidP="008C4438">
      <w:pPr>
        <w:rPr>
          <w:b/>
          <w:bCs/>
          <w:sz w:val="24"/>
          <w:szCs w:val="24"/>
        </w:rPr>
      </w:pPr>
      <w:r w:rsidRPr="00AA245C">
        <w:rPr>
          <w:rFonts w:cs="Arial"/>
        </w:rPr>
        <w:br w:type="page"/>
      </w:r>
      <w:r w:rsidR="00AA245C" w:rsidRPr="00AA245C">
        <w:rPr>
          <w:b/>
          <w:bCs/>
          <w:sz w:val="24"/>
          <w:szCs w:val="24"/>
        </w:rPr>
        <w:lastRenderedPageBreak/>
        <w:t>References</w:t>
      </w:r>
    </w:p>
    <w:p w14:paraId="439F7142" w14:textId="253AB2EA" w:rsidR="00AA245C" w:rsidRPr="00AA245C" w:rsidRDefault="00AA245C" w:rsidP="008C4438">
      <w:pPr>
        <w:spacing w:before="120" w:after="240"/>
        <w:jc w:val="left"/>
        <w:rPr>
          <w:lang w:val="en-GB"/>
        </w:rPr>
      </w:pPr>
      <w:r w:rsidRPr="00AA245C">
        <w:rPr>
          <w:lang w:val="en-GB"/>
        </w:rPr>
        <w:t xml:space="preserve">American Psychological Association (APA) (2023) </w:t>
      </w:r>
      <w:r w:rsidRPr="00AA245C">
        <w:rPr>
          <w:i/>
          <w:iCs/>
          <w:lang w:val="en-GB"/>
        </w:rPr>
        <w:t>Health Advisory on Social Media Use in Adolescence</w:t>
      </w:r>
      <w:r w:rsidRPr="00AA245C">
        <w:rPr>
          <w:lang w:val="en-GB"/>
        </w:rPr>
        <w:t xml:space="preserve">. Washington, DC: American Psychological Association. Available at: </w:t>
      </w:r>
      <w:hyperlink r:id="rId9" w:tgtFrame="_blank" w:history="1">
        <w:r w:rsidRPr="00AA245C">
          <w:rPr>
            <w:rStyle w:val="Hyperlink"/>
            <w:lang w:val="en-GB"/>
          </w:rPr>
          <w:t>https://www.apa.org/topics/social-media-internet/health-advisory-adolescent-social-media-use</w:t>
        </w:r>
      </w:hyperlink>
      <w:r w:rsidR="00BF6558">
        <w:t xml:space="preserve"> (Accessed: 11 August 2026)</w:t>
      </w:r>
    </w:p>
    <w:p w14:paraId="56C8CF29" w14:textId="5EB94487" w:rsidR="00AA245C" w:rsidRPr="00AA245C" w:rsidRDefault="00AA245C" w:rsidP="008C4438">
      <w:pPr>
        <w:spacing w:before="120" w:after="240"/>
        <w:jc w:val="left"/>
        <w:rPr>
          <w:lang w:val="en-GB"/>
        </w:rPr>
      </w:pPr>
      <w:r w:rsidRPr="00AA245C">
        <w:rPr>
          <w:lang w:val="en-GB"/>
        </w:rPr>
        <w:t xml:space="preserve">Blanchard, L., Conway-Moore, K., Aguiar, A., Önal, F., Rutter, H., Helleve, A., Nwosu, E., Falcone, J., Savona, N., Boyland, E. and Knai, C. (2023) ‘Associations between social media, adolescent mental health, and diet: A systematic review’, </w:t>
      </w:r>
      <w:r w:rsidRPr="00AA245C">
        <w:rPr>
          <w:i/>
          <w:iCs/>
          <w:lang w:val="en-GB"/>
        </w:rPr>
        <w:t>Obesity Reviews</w:t>
      </w:r>
      <w:r w:rsidRPr="00AA245C">
        <w:rPr>
          <w:lang w:val="en-GB"/>
        </w:rPr>
        <w:t xml:space="preserve">, 24(Suppl 2), e13631. Available at: </w:t>
      </w:r>
      <w:hyperlink r:id="rId10" w:tgtFrame="_blank" w:history="1">
        <w:r w:rsidRPr="00AA245C">
          <w:rPr>
            <w:rStyle w:val="Hyperlink"/>
            <w:lang w:val="en-GB"/>
          </w:rPr>
          <w:t>https://doi.org/10.1111/obr.13631</w:t>
        </w:r>
      </w:hyperlink>
      <w:r w:rsidR="00BF6558">
        <w:t xml:space="preserve"> (Accessed: 11 August 2026)</w:t>
      </w:r>
    </w:p>
    <w:p w14:paraId="70C03E18" w14:textId="42AACF77" w:rsidR="00AA245C" w:rsidRPr="00AA245C" w:rsidRDefault="00AA245C" w:rsidP="008C4438">
      <w:pPr>
        <w:spacing w:before="120" w:after="240"/>
        <w:jc w:val="left"/>
        <w:rPr>
          <w:lang w:val="en-GB"/>
        </w:rPr>
      </w:pPr>
      <w:r w:rsidRPr="00AA245C">
        <w:rPr>
          <w:lang w:val="en-GB"/>
        </w:rPr>
        <w:t>Dyer, W.J., Coyne, S.M., Gale, M. and Sheppard, J.A. (2024) ‘Who’s most at risk? A person-</w:t>
      </w:r>
      <w:proofErr w:type="spellStart"/>
      <w:r w:rsidRPr="00AA245C">
        <w:rPr>
          <w:lang w:val="en-GB"/>
        </w:rPr>
        <w:t>centered</w:t>
      </w:r>
      <w:proofErr w:type="spellEnd"/>
      <w:r w:rsidRPr="00AA245C">
        <w:rPr>
          <w:lang w:val="en-GB"/>
        </w:rPr>
        <w:t xml:space="preserve"> approach to understanding the long-term relationship between early social media use and later depression across adolescence’, </w:t>
      </w:r>
      <w:r w:rsidRPr="00AA245C">
        <w:rPr>
          <w:i/>
          <w:iCs/>
          <w:lang w:val="en-GB"/>
        </w:rPr>
        <w:t>Journal of Adolescence</w:t>
      </w:r>
      <w:r w:rsidRPr="00AA245C">
        <w:rPr>
          <w:lang w:val="en-GB"/>
        </w:rPr>
        <w:t xml:space="preserve">, 96(7), pp.1555–1568. Available at: </w:t>
      </w:r>
      <w:hyperlink r:id="rId11" w:tgtFrame="_blank" w:history="1">
        <w:r w:rsidRPr="00AA245C">
          <w:rPr>
            <w:rStyle w:val="Hyperlink"/>
            <w:lang w:val="en-GB"/>
          </w:rPr>
          <w:t>https://doi.org/10.1002/jad.12362</w:t>
        </w:r>
      </w:hyperlink>
      <w:r w:rsidR="00BF6558">
        <w:t xml:space="preserve"> (Accessed: 11 August 2026)</w:t>
      </w:r>
    </w:p>
    <w:p w14:paraId="1A1B15A2" w14:textId="0DAC6E60" w:rsidR="00AA245C" w:rsidRPr="00AA245C" w:rsidRDefault="00AA245C" w:rsidP="008C4438">
      <w:pPr>
        <w:spacing w:before="120" w:after="240"/>
        <w:jc w:val="left"/>
        <w:rPr>
          <w:lang w:val="en-GB"/>
        </w:rPr>
      </w:pPr>
      <w:r w:rsidRPr="00AA245C">
        <w:rPr>
          <w:lang w:val="en-GB"/>
        </w:rPr>
        <w:t xml:space="preserve">Feldman, R.S. (2024) </w:t>
      </w:r>
      <w:r w:rsidRPr="00AA245C">
        <w:rPr>
          <w:i/>
          <w:iCs/>
          <w:lang w:val="en-GB"/>
        </w:rPr>
        <w:t>Lifespan Development: A Topical Approach</w:t>
      </w:r>
      <w:r w:rsidRPr="00AA245C">
        <w:rPr>
          <w:lang w:val="en-GB"/>
        </w:rPr>
        <w:t xml:space="preserve">. 5th </w:t>
      </w:r>
      <w:proofErr w:type="spellStart"/>
      <w:r w:rsidRPr="00AA245C">
        <w:rPr>
          <w:lang w:val="en-GB"/>
        </w:rPr>
        <w:t>edn</w:t>
      </w:r>
      <w:proofErr w:type="spellEnd"/>
      <w:r w:rsidRPr="00AA245C">
        <w:rPr>
          <w:lang w:val="en-GB"/>
        </w:rPr>
        <w:t xml:space="preserve">. Pearson Education. Available at: </w:t>
      </w:r>
      <w:hyperlink r:id="rId12" w:tgtFrame="_blank" w:history="1">
        <w:r w:rsidRPr="00AA245C">
          <w:rPr>
            <w:rStyle w:val="Hyperlink"/>
            <w:lang w:val="en-GB"/>
          </w:rPr>
          <w:t>https://www.pearson.com/en-us/subject-catalog/p/lifespan-development-a-topical-approach/P200000009681/9780137988099</w:t>
        </w:r>
      </w:hyperlink>
      <w:r w:rsidR="00BF6558">
        <w:t xml:space="preserve"> (Accessed: 11 August 2026)</w:t>
      </w:r>
    </w:p>
    <w:p w14:paraId="1C19A585" w14:textId="2946DF3B" w:rsidR="00AA245C" w:rsidRPr="00AA245C" w:rsidRDefault="00AA245C" w:rsidP="008C4438">
      <w:pPr>
        <w:spacing w:before="120" w:after="240"/>
        <w:jc w:val="left"/>
        <w:rPr>
          <w:lang w:val="en-GB"/>
        </w:rPr>
      </w:pPr>
      <w:r w:rsidRPr="00AA245C">
        <w:rPr>
          <w:lang w:val="en-GB"/>
        </w:rPr>
        <w:t xml:space="preserve">Khalaf, A.M., </w:t>
      </w:r>
      <w:proofErr w:type="spellStart"/>
      <w:r w:rsidRPr="00AA245C">
        <w:rPr>
          <w:lang w:val="en-GB"/>
        </w:rPr>
        <w:t>Alubied</w:t>
      </w:r>
      <w:proofErr w:type="spellEnd"/>
      <w:r w:rsidRPr="00AA245C">
        <w:rPr>
          <w:lang w:val="en-GB"/>
        </w:rPr>
        <w:t xml:space="preserve">, A.A., Khalaf, A.M. and </w:t>
      </w:r>
      <w:proofErr w:type="spellStart"/>
      <w:r w:rsidRPr="00AA245C">
        <w:rPr>
          <w:lang w:val="en-GB"/>
        </w:rPr>
        <w:t>Rifaey</w:t>
      </w:r>
      <w:proofErr w:type="spellEnd"/>
      <w:r w:rsidRPr="00AA245C">
        <w:rPr>
          <w:lang w:val="en-GB"/>
        </w:rPr>
        <w:t xml:space="preserve">, A.A. (2023) ‘The Impact of Social Media on the Mental Health of Adolescents and Young Adults: A Systematic Review’, </w:t>
      </w:r>
      <w:proofErr w:type="spellStart"/>
      <w:r w:rsidRPr="00AA245C">
        <w:rPr>
          <w:i/>
          <w:iCs/>
          <w:lang w:val="en-GB"/>
        </w:rPr>
        <w:t>Cureus</w:t>
      </w:r>
      <w:proofErr w:type="spellEnd"/>
      <w:r w:rsidRPr="00AA245C">
        <w:rPr>
          <w:lang w:val="en-GB"/>
        </w:rPr>
        <w:t xml:space="preserve">, 15(8), e42990. Available at: </w:t>
      </w:r>
      <w:hyperlink r:id="rId13" w:tgtFrame="_blank" w:history="1">
        <w:r w:rsidRPr="00AA245C">
          <w:rPr>
            <w:rStyle w:val="Hyperlink"/>
            <w:lang w:val="en-GB"/>
          </w:rPr>
          <w:t>https://doi.org/10.7759/cureus.42990</w:t>
        </w:r>
      </w:hyperlink>
      <w:r w:rsidR="00BF6558">
        <w:t xml:space="preserve"> (Accessed: 11 August 2026)</w:t>
      </w:r>
    </w:p>
    <w:p w14:paraId="1EEFA59A" w14:textId="2218314B" w:rsidR="00AA245C" w:rsidRPr="00AA245C" w:rsidRDefault="00AA245C" w:rsidP="008C4438">
      <w:pPr>
        <w:spacing w:before="120" w:after="240"/>
        <w:jc w:val="left"/>
        <w:rPr>
          <w:lang w:val="en-GB"/>
        </w:rPr>
      </w:pPr>
      <w:r w:rsidRPr="00AA245C">
        <w:rPr>
          <w:lang w:val="en-GB"/>
        </w:rPr>
        <w:t xml:space="preserve">Saleem, N., Young, P. and Yousuf, S. (2024) ‘Exploring the Relationship Between Social Media Use and Symptoms of Depression and Anxiety Among Children and Adolescents: A Systematic Narrative Review’, </w:t>
      </w:r>
      <w:r w:rsidRPr="00AA245C">
        <w:rPr>
          <w:i/>
          <w:iCs/>
          <w:lang w:val="en-GB"/>
        </w:rPr>
        <w:t xml:space="preserve">Cyberpsychology, </w:t>
      </w:r>
      <w:proofErr w:type="spellStart"/>
      <w:r w:rsidRPr="00AA245C">
        <w:rPr>
          <w:i/>
          <w:iCs/>
          <w:lang w:val="en-GB"/>
        </w:rPr>
        <w:t>Behavior</w:t>
      </w:r>
      <w:proofErr w:type="spellEnd"/>
      <w:r w:rsidRPr="00AA245C">
        <w:rPr>
          <w:i/>
          <w:iCs/>
          <w:lang w:val="en-GB"/>
        </w:rPr>
        <w:t>, and Social Networking</w:t>
      </w:r>
      <w:r w:rsidRPr="00AA245C">
        <w:rPr>
          <w:lang w:val="en-GB"/>
        </w:rPr>
        <w:t xml:space="preserve">, 27(11), pp.771–797. Available at: </w:t>
      </w:r>
      <w:hyperlink r:id="rId14" w:tgtFrame="_blank" w:history="1">
        <w:r w:rsidRPr="00AA245C">
          <w:rPr>
            <w:rStyle w:val="Hyperlink"/>
            <w:lang w:val="en-GB"/>
          </w:rPr>
          <w:t>https://doi.org/10.1089/cyber.2023.0456</w:t>
        </w:r>
      </w:hyperlink>
      <w:r w:rsidR="00BF6558">
        <w:t xml:space="preserve"> (Accessed: 11 August 2026)</w:t>
      </w:r>
    </w:p>
    <w:p w14:paraId="6AB0C6F4" w14:textId="7EA5B750" w:rsidR="00AA245C" w:rsidRPr="00AA245C" w:rsidRDefault="00AA245C" w:rsidP="008C4438">
      <w:pPr>
        <w:spacing w:before="120" w:after="240"/>
        <w:jc w:val="left"/>
        <w:rPr>
          <w:lang w:val="en-GB"/>
        </w:rPr>
      </w:pPr>
      <w:r w:rsidRPr="00AA245C">
        <w:rPr>
          <w:lang w:val="en-GB"/>
        </w:rPr>
        <w:t xml:space="preserve">Senekal, J.S., Groenewald, G.R., Wolfaardt, L., Jansen, C. and Williams, K. (2023) ‘Social media and adolescent psychosocial development: A systematic review’, </w:t>
      </w:r>
      <w:r w:rsidRPr="00AA245C">
        <w:rPr>
          <w:i/>
          <w:iCs/>
          <w:lang w:val="en-GB"/>
        </w:rPr>
        <w:t>South African Journal of Psychology</w:t>
      </w:r>
      <w:r w:rsidRPr="00AA245C">
        <w:rPr>
          <w:lang w:val="en-GB"/>
        </w:rPr>
        <w:t xml:space="preserve">, 53(2), pp.1–15. Available at: </w:t>
      </w:r>
      <w:hyperlink r:id="rId15" w:tgtFrame="_blank" w:history="1">
        <w:r w:rsidRPr="00AA245C">
          <w:rPr>
            <w:rStyle w:val="Hyperlink"/>
            <w:lang w:val="en-GB"/>
          </w:rPr>
          <w:t>https://doi.org/10.1177/00812463221119302</w:t>
        </w:r>
      </w:hyperlink>
      <w:r w:rsidR="00BF6558">
        <w:t xml:space="preserve"> (Accessed: 11 August 2026)</w:t>
      </w:r>
    </w:p>
    <w:p w14:paraId="1ACD7FD2" w14:textId="4B2F3573" w:rsidR="00AA245C" w:rsidRPr="00AA245C" w:rsidRDefault="00AA245C" w:rsidP="008C4438">
      <w:pPr>
        <w:spacing w:before="120" w:after="240"/>
        <w:jc w:val="left"/>
        <w:rPr>
          <w:lang w:val="en-GB"/>
        </w:rPr>
      </w:pPr>
      <w:r w:rsidRPr="00AA245C">
        <w:rPr>
          <w:lang w:val="en-GB"/>
        </w:rPr>
        <w:t xml:space="preserve">Shen, C., Smith, R.B., Heller, J., Spiers, A.D.V., Thompson, R., Ward, H., </w:t>
      </w:r>
      <w:proofErr w:type="spellStart"/>
      <w:r w:rsidRPr="00AA245C">
        <w:rPr>
          <w:lang w:val="en-GB"/>
        </w:rPr>
        <w:t>Roiser</w:t>
      </w:r>
      <w:proofErr w:type="spellEnd"/>
      <w:r w:rsidRPr="00AA245C">
        <w:rPr>
          <w:lang w:val="en-GB"/>
        </w:rPr>
        <w:t xml:space="preserve">, J.P., Nicholls, D. and Toledano, M.B. (2024) ‘Depression and Anxiety in Adolescents During the COVID-19 </w:t>
      </w:r>
      <w:r w:rsidRPr="00AA245C">
        <w:rPr>
          <w:lang w:val="en-GB"/>
        </w:rPr>
        <w:lastRenderedPageBreak/>
        <w:t xml:space="preserve">Pandemic in Relation to the Use of Digital Technologies: Longitudinal Cohort Study’, </w:t>
      </w:r>
      <w:r w:rsidRPr="00AA245C">
        <w:rPr>
          <w:i/>
          <w:iCs/>
          <w:lang w:val="en-GB"/>
        </w:rPr>
        <w:t>Journal of Medical Internet Research</w:t>
      </w:r>
      <w:r w:rsidRPr="00AA245C">
        <w:rPr>
          <w:lang w:val="en-GB"/>
        </w:rPr>
        <w:t xml:space="preserve">, 26, e45114. Available at: </w:t>
      </w:r>
      <w:hyperlink r:id="rId16" w:tgtFrame="_blank" w:history="1">
        <w:r w:rsidRPr="00AA245C">
          <w:rPr>
            <w:rStyle w:val="Hyperlink"/>
            <w:lang w:val="en-GB"/>
          </w:rPr>
          <w:t>https://doi.org/10.2196/45114</w:t>
        </w:r>
      </w:hyperlink>
      <w:r w:rsidR="00BF6558">
        <w:t xml:space="preserve"> (Accessed: 11 August 2026)</w:t>
      </w:r>
    </w:p>
    <w:p w14:paraId="58AD5475" w14:textId="4CF38804" w:rsidR="00AA245C" w:rsidRPr="00AA245C" w:rsidRDefault="00AA245C" w:rsidP="008C4438">
      <w:pPr>
        <w:spacing w:before="120" w:after="240"/>
        <w:jc w:val="left"/>
        <w:rPr>
          <w:lang w:val="en-GB"/>
        </w:rPr>
      </w:pPr>
      <w:r w:rsidRPr="00AA245C">
        <w:rPr>
          <w:lang w:val="en-GB"/>
        </w:rPr>
        <w:t xml:space="preserve">Office of the Surgeon General (OSG) (2023) </w:t>
      </w:r>
      <w:proofErr w:type="gramStart"/>
      <w:r w:rsidRPr="00AA245C">
        <w:rPr>
          <w:i/>
          <w:iCs/>
          <w:lang w:val="en-GB"/>
        </w:rPr>
        <w:t>Social Media</w:t>
      </w:r>
      <w:proofErr w:type="gramEnd"/>
      <w:r w:rsidRPr="00AA245C">
        <w:rPr>
          <w:i/>
          <w:iCs/>
          <w:lang w:val="en-GB"/>
        </w:rPr>
        <w:t xml:space="preserve"> and Youth Mental Health: The U.S. Surgeon General’s Advisory</w:t>
      </w:r>
      <w:r w:rsidRPr="00AA245C">
        <w:rPr>
          <w:lang w:val="en-GB"/>
        </w:rPr>
        <w:t xml:space="preserve">. Washington, DC: U.S. Department of Health and Human Services. Available at: </w:t>
      </w:r>
      <w:hyperlink r:id="rId17" w:tgtFrame="_blank" w:history="1">
        <w:r w:rsidRPr="00AA245C">
          <w:rPr>
            <w:rStyle w:val="Hyperlink"/>
            <w:lang w:val="en-GB"/>
          </w:rPr>
          <w:t>https://www.ncbi.nlm.nih.gov/books/NBK594761/</w:t>
        </w:r>
      </w:hyperlink>
      <w:r w:rsidR="00BF6558">
        <w:t xml:space="preserve"> (Accessed: 11 August 2026)</w:t>
      </w:r>
    </w:p>
    <w:p w14:paraId="0C8DFD0D" w14:textId="4E4C64D6" w:rsidR="00AA245C" w:rsidRPr="00AA245C" w:rsidRDefault="00AA245C" w:rsidP="008C4438">
      <w:pPr>
        <w:spacing w:before="120" w:after="240"/>
        <w:jc w:val="left"/>
        <w:rPr>
          <w:lang w:val="en-GB"/>
        </w:rPr>
      </w:pPr>
      <w:r w:rsidRPr="00AA245C">
        <w:rPr>
          <w:lang w:val="en-GB"/>
        </w:rPr>
        <w:t xml:space="preserve">World Health Organisation Regional Office for Europe (2022) </w:t>
      </w:r>
      <w:r w:rsidRPr="00AA245C">
        <w:rPr>
          <w:i/>
          <w:iCs/>
          <w:lang w:val="en-GB"/>
        </w:rPr>
        <w:t>Health Behaviour in School-aged Children (HBSC) Study: International Report from the 2021/2022 Survey</w:t>
      </w:r>
      <w:r w:rsidRPr="00AA245C">
        <w:rPr>
          <w:lang w:val="en-GB"/>
        </w:rPr>
        <w:t xml:space="preserve">. Copenhagen: WHO Regional Office for Europe. Available at: </w:t>
      </w:r>
      <w:hyperlink r:id="rId18" w:tgtFrame="_blank" w:history="1">
        <w:r w:rsidRPr="00AA245C">
          <w:rPr>
            <w:rStyle w:val="Hyperlink"/>
            <w:lang w:val="en-GB"/>
          </w:rPr>
          <w:t>https://www.who.int/europe/publications/i/item/9789289061322</w:t>
        </w:r>
      </w:hyperlink>
      <w:r w:rsidR="00BF6558">
        <w:t xml:space="preserve"> (Accessed: 11 August 2026)</w:t>
      </w:r>
    </w:p>
    <w:p w14:paraId="3E318875" w14:textId="77777777" w:rsidR="00AA245C" w:rsidRPr="00AA245C" w:rsidRDefault="00AA245C" w:rsidP="008C4438">
      <w:pPr>
        <w:spacing w:before="120" w:after="240"/>
        <w:jc w:val="left"/>
      </w:pPr>
    </w:p>
    <w:p w14:paraId="52072CCC" w14:textId="0D4CB4D8" w:rsidR="003D2AF8" w:rsidRDefault="003D2AF8" w:rsidP="008C4438">
      <w:pPr>
        <w:spacing w:before="120" w:after="240"/>
        <w:rPr>
          <w:rFonts w:eastAsiaTheme="majorEastAsia" w:cstheme="majorBidi"/>
          <w:b/>
          <w:bCs/>
          <w:color w:val="000000" w:themeColor="text1"/>
          <w:sz w:val="28"/>
          <w:szCs w:val="28"/>
        </w:rPr>
      </w:pPr>
    </w:p>
    <w:p w14:paraId="1CB8D0C0" w14:textId="5243F604" w:rsidR="00765096" w:rsidRDefault="00765096" w:rsidP="008C4438">
      <w:pPr>
        <w:spacing w:before="120" w:after="240"/>
      </w:pPr>
    </w:p>
    <w:sectPr w:rsidR="00765096" w:rsidSect="00034616">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DA0E5" w14:textId="77777777" w:rsidR="00B80112" w:rsidRDefault="00B80112">
      <w:pPr>
        <w:spacing w:after="0" w:line="240" w:lineRule="auto"/>
      </w:pPr>
      <w:r>
        <w:separator/>
      </w:r>
    </w:p>
  </w:endnote>
  <w:endnote w:type="continuationSeparator" w:id="0">
    <w:p w14:paraId="6CCF2CD0" w14:textId="77777777" w:rsidR="00B80112" w:rsidRDefault="00B80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0DF29" w14:textId="30169A6E" w:rsidR="00765096" w:rsidRDefault="00C07AE6">
    <w:pPr>
      <w:pStyle w:val="Footer"/>
      <w:jc w:val="center"/>
    </w:pPr>
    <w:r>
      <w:rPr>
        <w:sz w:val="18"/>
      </w:rPr>
      <w:fldChar w:fldCharType="begin"/>
    </w:r>
    <w:r>
      <w:rPr>
        <w:sz w:val="18"/>
      </w:rPr>
      <w:instrText xml:space="preserve"> PAGE </w:instrText>
    </w:r>
    <w:r>
      <w:rPr>
        <w:sz w:val="18"/>
      </w:rPr>
      <w:fldChar w:fldCharType="separate"/>
    </w:r>
    <w:r w:rsidR="003D2AF8">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1D4B6" w14:textId="77777777" w:rsidR="00B80112" w:rsidRDefault="00B80112">
      <w:pPr>
        <w:spacing w:after="0" w:line="240" w:lineRule="auto"/>
      </w:pPr>
      <w:r>
        <w:separator/>
      </w:r>
    </w:p>
  </w:footnote>
  <w:footnote w:type="continuationSeparator" w:id="0">
    <w:p w14:paraId="4151DF51" w14:textId="77777777" w:rsidR="00B80112" w:rsidRDefault="00B80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AD550B"/>
    <w:multiLevelType w:val="hybridMultilevel"/>
    <w:tmpl w:val="88D0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9B6C42"/>
    <w:multiLevelType w:val="hybridMultilevel"/>
    <w:tmpl w:val="F6EC6EEA"/>
    <w:lvl w:ilvl="0" w:tplc="4E6275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944171">
    <w:abstractNumId w:val="8"/>
  </w:num>
  <w:num w:numId="2" w16cid:durableId="5401206">
    <w:abstractNumId w:val="6"/>
  </w:num>
  <w:num w:numId="3" w16cid:durableId="539518582">
    <w:abstractNumId w:val="5"/>
  </w:num>
  <w:num w:numId="4" w16cid:durableId="321351253">
    <w:abstractNumId w:val="4"/>
  </w:num>
  <w:num w:numId="5" w16cid:durableId="1708406777">
    <w:abstractNumId w:val="7"/>
  </w:num>
  <w:num w:numId="6" w16cid:durableId="801776643">
    <w:abstractNumId w:val="3"/>
  </w:num>
  <w:num w:numId="7" w16cid:durableId="249781683">
    <w:abstractNumId w:val="2"/>
  </w:num>
  <w:num w:numId="8" w16cid:durableId="1013873806">
    <w:abstractNumId w:val="1"/>
  </w:num>
  <w:num w:numId="9" w16cid:durableId="1623414515">
    <w:abstractNumId w:val="0"/>
  </w:num>
  <w:num w:numId="10" w16cid:durableId="1716462920">
    <w:abstractNumId w:val="9"/>
  </w:num>
  <w:num w:numId="11" w16cid:durableId="13463251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6D1A"/>
    <w:rsid w:val="001702C9"/>
    <w:rsid w:val="00212A4F"/>
    <w:rsid w:val="0029639D"/>
    <w:rsid w:val="002D6961"/>
    <w:rsid w:val="00326F90"/>
    <w:rsid w:val="003A615F"/>
    <w:rsid w:val="003D2AF8"/>
    <w:rsid w:val="004A3392"/>
    <w:rsid w:val="00522445"/>
    <w:rsid w:val="00604A81"/>
    <w:rsid w:val="006718A3"/>
    <w:rsid w:val="006B067A"/>
    <w:rsid w:val="006B27B7"/>
    <w:rsid w:val="006B3EDC"/>
    <w:rsid w:val="006B7E68"/>
    <w:rsid w:val="006D6F96"/>
    <w:rsid w:val="00765096"/>
    <w:rsid w:val="00791059"/>
    <w:rsid w:val="0085649A"/>
    <w:rsid w:val="00872B7D"/>
    <w:rsid w:val="008A2BB8"/>
    <w:rsid w:val="008C1887"/>
    <w:rsid w:val="008C4438"/>
    <w:rsid w:val="009261A7"/>
    <w:rsid w:val="009A7A2B"/>
    <w:rsid w:val="00A35221"/>
    <w:rsid w:val="00AA1D8D"/>
    <w:rsid w:val="00AA245C"/>
    <w:rsid w:val="00B47730"/>
    <w:rsid w:val="00B80112"/>
    <w:rsid w:val="00BA2DB6"/>
    <w:rsid w:val="00BC786B"/>
    <w:rsid w:val="00BF6558"/>
    <w:rsid w:val="00C02F7C"/>
    <w:rsid w:val="00C07AE6"/>
    <w:rsid w:val="00CB0664"/>
    <w:rsid w:val="00D0563B"/>
    <w:rsid w:val="00DA00A6"/>
    <w:rsid w:val="00E17F0D"/>
    <w:rsid w:val="00E5750F"/>
    <w:rsid w:val="00F352C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5409A370-8304-42B7-B482-88399E01E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45C"/>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3D2AF8"/>
    <w:pPr>
      <w:keepNext/>
      <w:keepLines/>
      <w:spacing w:before="20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D2AF8"/>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A3392"/>
    <w:rPr>
      <w:color w:val="0000FF" w:themeColor="hyperlink"/>
      <w:u w:val="single"/>
    </w:rPr>
  </w:style>
  <w:style w:type="character" w:styleId="UnresolvedMention">
    <w:name w:val="Unresolved Mention"/>
    <w:basedOn w:val="DefaultParagraphFont"/>
    <w:uiPriority w:val="99"/>
    <w:semiHidden/>
    <w:unhideWhenUsed/>
    <w:rsid w:val="004A3392"/>
    <w:rPr>
      <w:color w:val="605E5C"/>
      <w:shd w:val="clear" w:color="auto" w:fill="E1DFDD"/>
    </w:rPr>
  </w:style>
  <w:style w:type="paragraph" w:styleId="NormalWeb">
    <w:name w:val="Normal (Web)"/>
    <w:basedOn w:val="Normal"/>
    <w:uiPriority w:val="99"/>
    <w:semiHidden/>
    <w:unhideWhenUsed/>
    <w:rsid w:val="00BF6558"/>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759/cureus.42990" TargetMode="External"/><Relationship Id="rId18" Type="http://schemas.openxmlformats.org/officeDocument/2006/relationships/hyperlink" Target="https://www.who.int/europe/publications/i/item/978928906132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earson.com/en-us/subject-catalog/p/lifespan-development-a-topical-approach/P200000009681/9780137988099" TargetMode="External"/><Relationship Id="rId17" Type="http://schemas.openxmlformats.org/officeDocument/2006/relationships/hyperlink" Target="https://www.ncbi.nlm.nih.gov/books/NBK594761/" TargetMode="External"/><Relationship Id="rId2" Type="http://schemas.openxmlformats.org/officeDocument/2006/relationships/numbering" Target="numbering.xml"/><Relationship Id="rId16" Type="http://schemas.openxmlformats.org/officeDocument/2006/relationships/hyperlink" Target="https://doi.org/10.2196/4511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ad.12362" TargetMode="External"/><Relationship Id="rId5" Type="http://schemas.openxmlformats.org/officeDocument/2006/relationships/webSettings" Target="webSettings.xml"/><Relationship Id="rId15" Type="http://schemas.openxmlformats.org/officeDocument/2006/relationships/hyperlink" Target="https://doi.org/10.1177/00812463221119302" TargetMode="External"/><Relationship Id="rId10" Type="http://schemas.openxmlformats.org/officeDocument/2006/relationships/hyperlink" Target="https://doi.org/10.1111/obr.13631"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pa.org/topics/social-media-internet/health-advisory-adolescent-social-media-use" TargetMode="External"/><Relationship Id="rId14" Type="http://schemas.openxmlformats.org/officeDocument/2006/relationships/hyperlink" Target="https://doi.org/10.1089/cyber.2023.04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9</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Stefana Ion</dc:creator>
  <cp:lastModifiedBy>Stefana Ion</cp:lastModifiedBy>
  <cp:revision>6</cp:revision>
  <dcterms:created xsi:type="dcterms:W3CDTF">2026-08-09T09:18:00Z</dcterms:created>
  <dcterms:modified xsi:type="dcterms:W3CDTF">2026-08-11T15:57:00Z</dcterms:modified>
  <cp:category/>
</cp:coreProperties>
</file>