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DDF7B" w14:textId="41516980" w:rsidR="00BE656D" w:rsidRPr="00705F4E" w:rsidRDefault="00C12E6D" w:rsidP="009513A3">
      <w:pPr>
        <w:jc w:val="center"/>
        <w:rPr>
          <w:rFonts w:cs="Arial"/>
          <w:iCs/>
          <w:color w:val="0070C0"/>
          <w:sz w:val="30"/>
          <w:szCs w:val="30"/>
        </w:rPr>
      </w:pPr>
      <w:r w:rsidRPr="00705F4E">
        <w:rPr>
          <w:rFonts w:cs="Arial"/>
          <w:iCs/>
          <w:color w:val="0070C0"/>
          <w:sz w:val="30"/>
          <w:szCs w:val="30"/>
        </w:rPr>
        <w:t>Critically reflect on two key issues in contemporary primary education, drawing on placement experience and recent relevant literature</w:t>
      </w:r>
      <w:r w:rsidR="00705F4E">
        <w:rPr>
          <w:rFonts w:cs="Arial"/>
          <w:iCs/>
          <w:color w:val="0070C0"/>
          <w:sz w:val="30"/>
          <w:szCs w:val="30"/>
        </w:rPr>
        <w:t>.</w:t>
      </w:r>
    </w:p>
    <w:p w14:paraId="736A4786" w14:textId="38EE79BA" w:rsidR="00C12E6D" w:rsidRDefault="002A575B" w:rsidP="009513A3">
      <w:pPr>
        <w:rPr>
          <w:rFonts w:cs="Arial"/>
          <w:iCs/>
          <w:sz w:val="24"/>
          <w:szCs w:val="24"/>
        </w:rPr>
      </w:pPr>
      <w:bookmarkStart w:id="0" w:name="_GoBack"/>
      <w:r w:rsidRPr="002A575B">
        <w:rPr>
          <w:sz w:val="24"/>
          <w:szCs w:val="24"/>
        </w:rPr>
        <w:t xml:space="preserve">The intention of this journal will be to transfer the experience acquired in </w:t>
      </w:r>
      <w:r w:rsidR="00004BD8">
        <w:rPr>
          <w:sz w:val="24"/>
          <w:szCs w:val="24"/>
        </w:rPr>
        <w:t>an</w:t>
      </w:r>
      <w:r w:rsidRPr="002A575B">
        <w:rPr>
          <w:sz w:val="24"/>
          <w:szCs w:val="24"/>
        </w:rPr>
        <w:t xml:space="preserve"> educational environment into a reflection on how the implementation of policy </w:t>
      </w:r>
      <w:r w:rsidR="00004BD8">
        <w:rPr>
          <w:sz w:val="24"/>
          <w:szCs w:val="24"/>
        </w:rPr>
        <w:t>a</w:t>
      </w:r>
      <w:r w:rsidRPr="002A575B">
        <w:rPr>
          <w:sz w:val="24"/>
          <w:szCs w:val="24"/>
        </w:rPr>
        <w:t>ffect</w:t>
      </w:r>
      <w:r w:rsidR="00004BD8">
        <w:rPr>
          <w:sz w:val="24"/>
          <w:szCs w:val="24"/>
        </w:rPr>
        <w:t>s</w:t>
      </w:r>
      <w:r w:rsidRPr="002A575B">
        <w:rPr>
          <w:sz w:val="24"/>
          <w:szCs w:val="24"/>
        </w:rPr>
        <w:t xml:space="preserve"> and enhance</w:t>
      </w:r>
      <w:r w:rsidR="00004BD8">
        <w:rPr>
          <w:sz w:val="24"/>
          <w:szCs w:val="24"/>
        </w:rPr>
        <w:t>s</w:t>
      </w:r>
      <w:r w:rsidRPr="002A575B">
        <w:rPr>
          <w:sz w:val="24"/>
          <w:szCs w:val="24"/>
        </w:rPr>
        <w:t xml:space="preserve"> learning</w:t>
      </w:r>
      <w:r w:rsidR="00926D53">
        <w:rPr>
          <w:sz w:val="24"/>
          <w:szCs w:val="24"/>
        </w:rPr>
        <w:t>,</w:t>
      </w:r>
      <w:r w:rsidRPr="002A575B">
        <w:rPr>
          <w:sz w:val="24"/>
          <w:szCs w:val="24"/>
        </w:rPr>
        <w:t xml:space="preserve"> as well as the intentions and reasoning behind their implementation.</w:t>
      </w:r>
      <w:r w:rsidRPr="002A575B">
        <w:rPr>
          <w:rFonts w:cs="Arial"/>
          <w:iCs/>
          <w:sz w:val="24"/>
          <w:szCs w:val="24"/>
        </w:rPr>
        <w:t xml:space="preserve"> </w:t>
      </w:r>
      <w:r w:rsidR="00D03612" w:rsidRPr="002A575B">
        <w:rPr>
          <w:rFonts w:cs="Arial"/>
          <w:iCs/>
          <w:sz w:val="24"/>
          <w:szCs w:val="24"/>
        </w:rPr>
        <w:t xml:space="preserve">I obtained a placement at Ysgol </w:t>
      </w:r>
      <w:proofErr w:type="spellStart"/>
      <w:r w:rsidR="00D03612" w:rsidRPr="002A575B">
        <w:rPr>
          <w:rFonts w:cs="Arial"/>
          <w:iCs/>
          <w:sz w:val="24"/>
          <w:szCs w:val="24"/>
        </w:rPr>
        <w:t>Carreg</w:t>
      </w:r>
      <w:proofErr w:type="spellEnd"/>
      <w:r w:rsidR="00D03612" w:rsidRPr="002A575B">
        <w:rPr>
          <w:rFonts w:cs="Arial"/>
          <w:iCs/>
          <w:sz w:val="24"/>
          <w:szCs w:val="24"/>
        </w:rPr>
        <w:t xml:space="preserve"> </w:t>
      </w:r>
      <w:proofErr w:type="spellStart"/>
      <w:r w:rsidR="00D03612" w:rsidRPr="002A575B">
        <w:rPr>
          <w:rFonts w:cs="Arial"/>
          <w:iCs/>
          <w:sz w:val="24"/>
          <w:szCs w:val="24"/>
        </w:rPr>
        <w:t>Hirfaen</w:t>
      </w:r>
      <w:proofErr w:type="spellEnd"/>
      <w:r w:rsidR="00876B97">
        <w:rPr>
          <w:rFonts w:cs="Arial"/>
          <w:iCs/>
          <w:sz w:val="24"/>
          <w:szCs w:val="24"/>
        </w:rPr>
        <w:t xml:space="preserve"> (hereafter termed YCH)</w:t>
      </w:r>
      <w:r w:rsidR="00A51266">
        <w:rPr>
          <w:rFonts w:cs="Arial"/>
          <w:iCs/>
          <w:sz w:val="24"/>
          <w:szCs w:val="24"/>
        </w:rPr>
        <w:t xml:space="preserve"> in Carmarthenshire</w:t>
      </w:r>
      <w:r w:rsidR="00D03612" w:rsidRPr="002A575B">
        <w:rPr>
          <w:rFonts w:cs="Arial"/>
          <w:iCs/>
          <w:sz w:val="24"/>
          <w:szCs w:val="24"/>
        </w:rPr>
        <w:t xml:space="preserve"> </w:t>
      </w:r>
      <w:r w:rsidR="004E61D6">
        <w:rPr>
          <w:rFonts w:cs="Arial"/>
          <w:iCs/>
          <w:sz w:val="24"/>
          <w:szCs w:val="24"/>
        </w:rPr>
        <w:t>where m</w:t>
      </w:r>
      <w:r w:rsidR="00752060">
        <w:rPr>
          <w:rFonts w:cs="Arial"/>
          <w:iCs/>
          <w:sz w:val="24"/>
          <w:szCs w:val="24"/>
        </w:rPr>
        <w:t>y</w:t>
      </w:r>
      <w:r w:rsidR="004E61D6">
        <w:rPr>
          <w:rFonts w:cs="Arial"/>
          <w:iCs/>
          <w:sz w:val="24"/>
          <w:szCs w:val="24"/>
        </w:rPr>
        <w:t xml:space="preserve"> time was spent assisting and observing </w:t>
      </w:r>
      <w:r w:rsidR="00D03612" w:rsidRPr="002A575B">
        <w:rPr>
          <w:rFonts w:cs="Arial"/>
          <w:iCs/>
          <w:sz w:val="24"/>
          <w:szCs w:val="24"/>
        </w:rPr>
        <w:t>within a combined Year 5/6 classroom</w:t>
      </w:r>
      <w:r w:rsidR="004E61D6">
        <w:rPr>
          <w:rFonts w:cs="Arial"/>
          <w:iCs/>
          <w:sz w:val="24"/>
          <w:szCs w:val="24"/>
        </w:rPr>
        <w:t xml:space="preserve"> </w:t>
      </w:r>
      <w:r w:rsidR="00D03612" w:rsidRPr="002A575B">
        <w:rPr>
          <w:rFonts w:cs="Arial"/>
          <w:iCs/>
          <w:sz w:val="24"/>
          <w:szCs w:val="24"/>
        </w:rPr>
        <w:t xml:space="preserve">for a total of two weeks. </w:t>
      </w:r>
      <w:r w:rsidR="00B91374">
        <w:rPr>
          <w:rFonts w:cs="Arial"/>
          <w:iCs/>
          <w:sz w:val="24"/>
          <w:szCs w:val="24"/>
        </w:rPr>
        <w:t xml:space="preserve">Often when choosing a topic to research I choose something too big and difficult to quantify. </w:t>
      </w:r>
      <w:r w:rsidR="00C12E6D" w:rsidRPr="002A575B">
        <w:rPr>
          <w:rFonts w:cs="Arial"/>
          <w:iCs/>
          <w:sz w:val="24"/>
          <w:szCs w:val="24"/>
        </w:rPr>
        <w:t>This was the case with my</w:t>
      </w:r>
      <w:r w:rsidR="00C12E6D">
        <w:rPr>
          <w:rFonts w:cs="Arial"/>
          <w:iCs/>
          <w:sz w:val="24"/>
          <w:szCs w:val="24"/>
        </w:rPr>
        <w:t xml:space="preserve"> first choice of issues</w:t>
      </w:r>
      <w:r>
        <w:rPr>
          <w:rFonts w:cs="Arial"/>
          <w:iCs/>
          <w:sz w:val="24"/>
          <w:szCs w:val="24"/>
        </w:rPr>
        <w:t>, namely</w:t>
      </w:r>
      <w:r w:rsidR="00C12E6D">
        <w:rPr>
          <w:rFonts w:cs="Arial"/>
          <w:iCs/>
          <w:sz w:val="24"/>
          <w:szCs w:val="24"/>
        </w:rPr>
        <w:t xml:space="preserve"> the rollout of Humanities </w:t>
      </w:r>
      <w:r w:rsidR="00195A1C">
        <w:rPr>
          <w:rFonts w:cs="Arial"/>
          <w:iCs/>
          <w:sz w:val="24"/>
          <w:szCs w:val="24"/>
        </w:rPr>
        <w:t>regarding</w:t>
      </w:r>
      <w:r w:rsidR="00C12E6D">
        <w:rPr>
          <w:rFonts w:cs="Arial"/>
          <w:iCs/>
          <w:sz w:val="24"/>
          <w:szCs w:val="24"/>
        </w:rPr>
        <w:t xml:space="preserve"> </w:t>
      </w:r>
      <w:r w:rsidR="00C12E6D">
        <w:rPr>
          <w:rFonts w:cs="Arial"/>
          <w:i/>
          <w:sz w:val="24"/>
          <w:szCs w:val="24"/>
        </w:rPr>
        <w:t>Successful Futures</w:t>
      </w:r>
      <w:r w:rsidR="00C12E6D">
        <w:rPr>
          <w:rFonts w:cs="Arial"/>
          <w:iCs/>
          <w:sz w:val="24"/>
          <w:szCs w:val="24"/>
        </w:rPr>
        <w:t>,</w:t>
      </w:r>
      <w:r w:rsidR="00C12E6D">
        <w:rPr>
          <w:rStyle w:val="FootnoteReference"/>
          <w:rFonts w:cs="Arial"/>
          <w:iCs/>
          <w:sz w:val="24"/>
          <w:szCs w:val="24"/>
        </w:rPr>
        <w:footnoteReference w:id="1"/>
      </w:r>
      <w:r w:rsidR="00C12E6D">
        <w:rPr>
          <w:rFonts w:cs="Arial"/>
          <w:iCs/>
          <w:sz w:val="24"/>
          <w:szCs w:val="24"/>
        </w:rPr>
        <w:t xml:space="preserve"> and how the teachers were feeling about the </w:t>
      </w:r>
      <w:r w:rsidR="00A35B13">
        <w:rPr>
          <w:rFonts w:cs="Arial"/>
          <w:iCs/>
          <w:sz w:val="24"/>
          <w:szCs w:val="24"/>
        </w:rPr>
        <w:t xml:space="preserve">immanency </w:t>
      </w:r>
      <w:r w:rsidR="00C12E6D">
        <w:rPr>
          <w:rFonts w:cs="Arial"/>
          <w:iCs/>
          <w:sz w:val="24"/>
          <w:szCs w:val="24"/>
        </w:rPr>
        <w:t>of the new curriculum.</w:t>
      </w:r>
      <w:r w:rsidR="00D03612">
        <w:rPr>
          <w:rFonts w:cs="Arial"/>
          <w:iCs/>
          <w:sz w:val="24"/>
          <w:szCs w:val="24"/>
        </w:rPr>
        <w:t xml:space="preserve"> </w:t>
      </w:r>
      <w:r w:rsidR="00B91374">
        <w:rPr>
          <w:rFonts w:cs="Arial"/>
          <w:iCs/>
          <w:sz w:val="24"/>
          <w:szCs w:val="24"/>
        </w:rPr>
        <w:t>Because this was too big, I decided to</w:t>
      </w:r>
      <w:r w:rsidR="00D03612">
        <w:rPr>
          <w:rFonts w:cs="Arial"/>
          <w:iCs/>
          <w:sz w:val="24"/>
          <w:szCs w:val="24"/>
        </w:rPr>
        <w:t xml:space="preserve"> research into other </w:t>
      </w:r>
      <w:r>
        <w:rPr>
          <w:rFonts w:cs="Arial"/>
          <w:iCs/>
          <w:sz w:val="24"/>
          <w:szCs w:val="24"/>
        </w:rPr>
        <w:t>issues</w:t>
      </w:r>
      <w:r w:rsidR="00D03612">
        <w:rPr>
          <w:rFonts w:cs="Arial"/>
          <w:iCs/>
          <w:sz w:val="24"/>
          <w:szCs w:val="24"/>
        </w:rPr>
        <w:t xml:space="preserve"> which </w:t>
      </w:r>
      <w:r>
        <w:rPr>
          <w:rFonts w:cs="Arial"/>
          <w:iCs/>
          <w:sz w:val="24"/>
          <w:szCs w:val="24"/>
        </w:rPr>
        <w:t>were of interest</w:t>
      </w:r>
      <w:r w:rsidR="00926D53">
        <w:rPr>
          <w:rFonts w:cs="Arial"/>
          <w:iCs/>
          <w:sz w:val="24"/>
          <w:szCs w:val="24"/>
        </w:rPr>
        <w:t>;</w:t>
      </w:r>
      <w:r>
        <w:rPr>
          <w:rFonts w:cs="Arial"/>
          <w:iCs/>
          <w:sz w:val="24"/>
          <w:szCs w:val="24"/>
        </w:rPr>
        <w:t xml:space="preserve"> </w:t>
      </w:r>
      <w:r w:rsidR="00D03612">
        <w:rPr>
          <w:rFonts w:cs="Arial"/>
          <w:iCs/>
          <w:sz w:val="24"/>
          <w:szCs w:val="24"/>
        </w:rPr>
        <w:t xml:space="preserve">eventually </w:t>
      </w:r>
      <w:proofErr w:type="spellStart"/>
      <w:r w:rsidR="00D03612">
        <w:rPr>
          <w:rFonts w:cs="Arial"/>
          <w:iCs/>
          <w:sz w:val="24"/>
          <w:szCs w:val="24"/>
        </w:rPr>
        <w:t>chos</w:t>
      </w:r>
      <w:r w:rsidR="00B91374">
        <w:rPr>
          <w:rFonts w:cs="Arial"/>
          <w:iCs/>
          <w:sz w:val="24"/>
          <w:szCs w:val="24"/>
        </w:rPr>
        <w:t>ing</w:t>
      </w:r>
      <w:proofErr w:type="spellEnd"/>
      <w:r w:rsidR="00D03612">
        <w:rPr>
          <w:rFonts w:cs="Arial"/>
          <w:iCs/>
          <w:sz w:val="24"/>
          <w:szCs w:val="24"/>
        </w:rPr>
        <w:t xml:space="preserve"> to delve into the world of healthy eating and </w:t>
      </w:r>
      <w:r w:rsidR="00876B97">
        <w:rPr>
          <w:rFonts w:cs="Arial"/>
          <w:iCs/>
          <w:sz w:val="24"/>
          <w:szCs w:val="24"/>
        </w:rPr>
        <w:t>attainment</w:t>
      </w:r>
      <w:r w:rsidR="00D03612">
        <w:rPr>
          <w:rFonts w:cs="Arial"/>
          <w:iCs/>
          <w:sz w:val="24"/>
          <w:szCs w:val="24"/>
        </w:rPr>
        <w:t>.</w:t>
      </w:r>
      <w:r>
        <w:rPr>
          <w:rFonts w:cs="Arial"/>
          <w:iCs/>
          <w:sz w:val="24"/>
          <w:szCs w:val="24"/>
        </w:rPr>
        <w:t xml:space="preserve"> This choice came about </w:t>
      </w:r>
      <w:r w:rsidR="00926D53">
        <w:rPr>
          <w:rFonts w:cs="Arial"/>
          <w:iCs/>
          <w:sz w:val="24"/>
          <w:szCs w:val="24"/>
        </w:rPr>
        <w:t>through my initial</w:t>
      </w:r>
      <w:r w:rsidR="00F12477">
        <w:rPr>
          <w:rFonts w:cs="Arial"/>
          <w:iCs/>
          <w:sz w:val="24"/>
          <w:szCs w:val="24"/>
        </w:rPr>
        <w:t xml:space="preserve"> talk to the head-teacher and seeing what issues he thought were </w:t>
      </w:r>
      <w:r w:rsidR="00926D53">
        <w:rPr>
          <w:rFonts w:cs="Arial"/>
          <w:iCs/>
          <w:sz w:val="24"/>
          <w:szCs w:val="24"/>
        </w:rPr>
        <w:t xml:space="preserve">contemporary and </w:t>
      </w:r>
      <w:r w:rsidR="00F12477">
        <w:rPr>
          <w:rFonts w:cs="Arial"/>
          <w:iCs/>
          <w:sz w:val="24"/>
          <w:szCs w:val="24"/>
        </w:rPr>
        <w:t xml:space="preserve">pertinent </w:t>
      </w:r>
      <w:r w:rsidR="00FC4F16">
        <w:rPr>
          <w:rFonts w:cs="Arial"/>
          <w:iCs/>
          <w:sz w:val="24"/>
          <w:szCs w:val="24"/>
        </w:rPr>
        <w:t>regarding</w:t>
      </w:r>
      <w:r w:rsidR="00F12477">
        <w:rPr>
          <w:rFonts w:cs="Arial"/>
          <w:iCs/>
          <w:sz w:val="24"/>
          <w:szCs w:val="24"/>
        </w:rPr>
        <w:t xml:space="preserve"> </w:t>
      </w:r>
      <w:r w:rsidR="008F001E">
        <w:rPr>
          <w:rFonts w:cs="Arial"/>
          <w:iCs/>
          <w:sz w:val="24"/>
          <w:szCs w:val="24"/>
        </w:rPr>
        <w:t>the school and its</w:t>
      </w:r>
      <w:r w:rsidR="00F12477">
        <w:rPr>
          <w:rFonts w:cs="Arial"/>
          <w:iCs/>
          <w:sz w:val="24"/>
          <w:szCs w:val="24"/>
        </w:rPr>
        <w:t xml:space="preserve"> children.</w:t>
      </w:r>
      <w:r w:rsidR="004E61D6">
        <w:rPr>
          <w:rFonts w:cs="Arial"/>
          <w:iCs/>
          <w:sz w:val="24"/>
          <w:szCs w:val="24"/>
        </w:rPr>
        <w:t xml:space="preserve"> This journal will first address the two key issues</w:t>
      </w:r>
      <w:r w:rsidR="00A40EED">
        <w:rPr>
          <w:rFonts w:cs="Arial"/>
          <w:iCs/>
          <w:sz w:val="24"/>
          <w:szCs w:val="24"/>
        </w:rPr>
        <w:t xml:space="preserve"> and</w:t>
      </w:r>
      <w:r w:rsidR="004E61D6">
        <w:rPr>
          <w:rFonts w:cs="Arial"/>
          <w:iCs/>
          <w:sz w:val="24"/>
          <w:szCs w:val="24"/>
        </w:rPr>
        <w:t xml:space="preserve"> the discussions and statistics which relate to them in the larger picture of Wales as a whole. It will then go on to discuss the methodologies I used whilst approaching the </w:t>
      </w:r>
      <w:r w:rsidR="00832DDA">
        <w:rPr>
          <w:rFonts w:cs="Arial"/>
          <w:iCs/>
          <w:sz w:val="24"/>
          <w:szCs w:val="24"/>
        </w:rPr>
        <w:t>task</w:t>
      </w:r>
      <w:r w:rsidR="004E61D6">
        <w:rPr>
          <w:rFonts w:cs="Arial"/>
          <w:iCs/>
          <w:sz w:val="24"/>
          <w:szCs w:val="24"/>
        </w:rPr>
        <w:t xml:space="preserve"> and the research I was taking as well as any ethical issues I needed to consider within the classroom. The final section will focus on</w:t>
      </w:r>
      <w:r w:rsidR="00DC2608">
        <w:rPr>
          <w:rFonts w:cs="Arial"/>
          <w:iCs/>
          <w:sz w:val="24"/>
          <w:szCs w:val="24"/>
        </w:rPr>
        <w:t xml:space="preserve"> what I noticed within the school and how these experiences could be related to the evidence and data discussed while exploring the key issues. This will then be concluded with </w:t>
      </w:r>
      <w:r w:rsidR="00DC2608">
        <w:rPr>
          <w:rFonts w:cs="Arial"/>
          <w:iCs/>
          <w:sz w:val="24"/>
          <w:szCs w:val="24"/>
        </w:rPr>
        <w:lastRenderedPageBreak/>
        <w:t xml:space="preserve">relation to </w:t>
      </w:r>
      <w:r w:rsidR="00C63D1A">
        <w:rPr>
          <w:rFonts w:cs="Arial"/>
          <w:iCs/>
          <w:sz w:val="24"/>
          <w:szCs w:val="24"/>
        </w:rPr>
        <w:t>all</w:t>
      </w:r>
      <w:r w:rsidR="00DC2608">
        <w:rPr>
          <w:rFonts w:cs="Arial"/>
          <w:iCs/>
          <w:sz w:val="24"/>
          <w:szCs w:val="24"/>
        </w:rPr>
        <w:t xml:space="preserve"> the information gathered and with the viewpoint that the statistics do generally reflect upon the issues in practice.</w:t>
      </w:r>
    </w:p>
    <w:p w14:paraId="5409F121" w14:textId="1C7458C1" w:rsidR="00195A1C" w:rsidRDefault="00195A1C" w:rsidP="009513A3">
      <w:pPr>
        <w:rPr>
          <w:rFonts w:cs="Arial"/>
          <w:iCs/>
          <w:sz w:val="24"/>
          <w:szCs w:val="24"/>
        </w:rPr>
      </w:pPr>
    </w:p>
    <w:p w14:paraId="367DAED1" w14:textId="0EA86571" w:rsidR="00195A1C" w:rsidRDefault="00195A1C" w:rsidP="009513A3">
      <w:pPr>
        <w:rPr>
          <w:rFonts w:cs="Arial"/>
          <w:iCs/>
          <w:sz w:val="24"/>
          <w:szCs w:val="24"/>
        </w:rPr>
      </w:pPr>
    </w:p>
    <w:p w14:paraId="6D484789" w14:textId="08ED4869" w:rsidR="00195A1C" w:rsidRDefault="00195A1C" w:rsidP="009513A3">
      <w:pPr>
        <w:rPr>
          <w:rFonts w:cs="Arial"/>
          <w:iCs/>
          <w:sz w:val="24"/>
          <w:szCs w:val="24"/>
        </w:rPr>
      </w:pPr>
    </w:p>
    <w:p w14:paraId="11FF9E84" w14:textId="1670F48A" w:rsidR="00195A1C" w:rsidRDefault="00195A1C" w:rsidP="009513A3">
      <w:pPr>
        <w:rPr>
          <w:rFonts w:cs="Arial"/>
          <w:iCs/>
          <w:sz w:val="24"/>
          <w:szCs w:val="24"/>
        </w:rPr>
      </w:pPr>
    </w:p>
    <w:p w14:paraId="066209A9" w14:textId="7A193C5B" w:rsidR="00195A1C" w:rsidRDefault="00195A1C" w:rsidP="009513A3">
      <w:pPr>
        <w:rPr>
          <w:rFonts w:cs="Arial"/>
          <w:iCs/>
          <w:sz w:val="24"/>
          <w:szCs w:val="24"/>
        </w:rPr>
      </w:pPr>
    </w:p>
    <w:p w14:paraId="352D7674" w14:textId="2C2622AC" w:rsidR="00195A1C" w:rsidRDefault="00195A1C" w:rsidP="009513A3">
      <w:pPr>
        <w:rPr>
          <w:rFonts w:cs="Arial"/>
          <w:iCs/>
          <w:sz w:val="24"/>
          <w:szCs w:val="24"/>
        </w:rPr>
      </w:pPr>
    </w:p>
    <w:p w14:paraId="4E0CF4DA" w14:textId="621A3D43" w:rsidR="00195A1C" w:rsidRDefault="00195A1C" w:rsidP="009513A3">
      <w:pPr>
        <w:rPr>
          <w:rFonts w:cs="Arial"/>
          <w:iCs/>
          <w:sz w:val="24"/>
          <w:szCs w:val="24"/>
        </w:rPr>
      </w:pPr>
    </w:p>
    <w:p w14:paraId="23AD2D07" w14:textId="45A5186B" w:rsidR="00195A1C" w:rsidRDefault="00195A1C" w:rsidP="009513A3">
      <w:pPr>
        <w:rPr>
          <w:rFonts w:cs="Arial"/>
          <w:iCs/>
          <w:sz w:val="24"/>
          <w:szCs w:val="24"/>
        </w:rPr>
      </w:pPr>
    </w:p>
    <w:p w14:paraId="69A6A785" w14:textId="397593AD" w:rsidR="00195A1C" w:rsidRDefault="00195A1C" w:rsidP="009513A3">
      <w:pPr>
        <w:rPr>
          <w:rFonts w:cs="Arial"/>
          <w:iCs/>
          <w:sz w:val="24"/>
          <w:szCs w:val="24"/>
        </w:rPr>
      </w:pPr>
    </w:p>
    <w:p w14:paraId="6EAF1F13" w14:textId="4F4803D4" w:rsidR="00195A1C" w:rsidRDefault="00195A1C" w:rsidP="009513A3">
      <w:pPr>
        <w:rPr>
          <w:rFonts w:cs="Arial"/>
          <w:iCs/>
          <w:sz w:val="24"/>
          <w:szCs w:val="24"/>
        </w:rPr>
      </w:pPr>
    </w:p>
    <w:p w14:paraId="18C7B376" w14:textId="403C685F" w:rsidR="00195A1C" w:rsidRDefault="00195A1C" w:rsidP="009513A3">
      <w:pPr>
        <w:rPr>
          <w:rFonts w:cs="Arial"/>
          <w:iCs/>
          <w:sz w:val="24"/>
          <w:szCs w:val="24"/>
        </w:rPr>
      </w:pPr>
    </w:p>
    <w:p w14:paraId="38C8A277" w14:textId="2FC098FB" w:rsidR="00195A1C" w:rsidRDefault="00195A1C" w:rsidP="009513A3">
      <w:pPr>
        <w:rPr>
          <w:rFonts w:cs="Arial"/>
          <w:iCs/>
          <w:sz w:val="24"/>
          <w:szCs w:val="24"/>
        </w:rPr>
      </w:pPr>
    </w:p>
    <w:p w14:paraId="0AB9A8CF" w14:textId="0F8DB597" w:rsidR="00B91374" w:rsidRDefault="00B91374" w:rsidP="009513A3">
      <w:pPr>
        <w:rPr>
          <w:rFonts w:cs="Arial"/>
          <w:iCs/>
          <w:sz w:val="24"/>
          <w:szCs w:val="24"/>
        </w:rPr>
      </w:pPr>
    </w:p>
    <w:p w14:paraId="4A7C11A9" w14:textId="14BE55E4" w:rsidR="00B91374" w:rsidRDefault="00B91374" w:rsidP="009513A3">
      <w:pPr>
        <w:rPr>
          <w:rFonts w:cs="Arial"/>
          <w:iCs/>
          <w:sz w:val="24"/>
          <w:szCs w:val="24"/>
        </w:rPr>
      </w:pPr>
    </w:p>
    <w:p w14:paraId="64F1C8F8" w14:textId="2AB7B454" w:rsidR="00B91374" w:rsidRDefault="00B91374" w:rsidP="009513A3">
      <w:pPr>
        <w:rPr>
          <w:rFonts w:cs="Arial"/>
          <w:iCs/>
          <w:sz w:val="24"/>
          <w:szCs w:val="24"/>
        </w:rPr>
      </w:pPr>
    </w:p>
    <w:p w14:paraId="648DB302" w14:textId="77777777" w:rsidR="00B91374" w:rsidRDefault="00B91374" w:rsidP="009513A3">
      <w:pPr>
        <w:rPr>
          <w:rFonts w:cs="Arial"/>
          <w:iCs/>
          <w:sz w:val="24"/>
          <w:szCs w:val="24"/>
        </w:rPr>
      </w:pPr>
    </w:p>
    <w:p w14:paraId="4F5EC0A7" w14:textId="4432231F" w:rsidR="00682743" w:rsidRDefault="00213F4C" w:rsidP="009513A3">
      <w:pPr>
        <w:rPr>
          <w:rFonts w:cs="Arial"/>
          <w:iCs/>
          <w:sz w:val="24"/>
          <w:szCs w:val="24"/>
        </w:rPr>
      </w:pPr>
      <w:r>
        <w:rPr>
          <w:rFonts w:cs="Arial"/>
          <w:iCs/>
          <w:sz w:val="24"/>
          <w:szCs w:val="24"/>
        </w:rPr>
        <w:lastRenderedPageBreak/>
        <w:t>Most</w:t>
      </w:r>
      <w:r w:rsidR="00E951B9">
        <w:rPr>
          <w:rFonts w:cs="Arial"/>
          <w:iCs/>
          <w:sz w:val="24"/>
          <w:szCs w:val="24"/>
        </w:rPr>
        <w:t xml:space="preserve"> policies being </w:t>
      </w:r>
      <w:proofErr w:type="gramStart"/>
      <w:r w:rsidR="00E951B9">
        <w:rPr>
          <w:rFonts w:cs="Arial"/>
          <w:iCs/>
          <w:sz w:val="24"/>
          <w:szCs w:val="24"/>
        </w:rPr>
        <w:t>introduced</w:t>
      </w:r>
      <w:proofErr w:type="gramEnd"/>
      <w:r w:rsidR="00E951B9">
        <w:rPr>
          <w:rFonts w:cs="Arial"/>
          <w:iCs/>
          <w:sz w:val="24"/>
          <w:szCs w:val="24"/>
        </w:rPr>
        <w:t xml:space="preserve"> and studies being carried out</w:t>
      </w:r>
      <w:r>
        <w:rPr>
          <w:rFonts w:cs="Arial"/>
          <w:iCs/>
          <w:sz w:val="24"/>
          <w:szCs w:val="24"/>
        </w:rPr>
        <w:t xml:space="preserve"> </w:t>
      </w:r>
      <w:r w:rsidR="008F001E">
        <w:rPr>
          <w:rFonts w:cs="Arial"/>
          <w:iCs/>
          <w:sz w:val="24"/>
          <w:szCs w:val="24"/>
        </w:rPr>
        <w:t>in regard to</w:t>
      </w:r>
      <w:r>
        <w:rPr>
          <w:rFonts w:cs="Arial"/>
          <w:iCs/>
          <w:sz w:val="24"/>
          <w:szCs w:val="24"/>
        </w:rPr>
        <w:t xml:space="preserve"> healthy eating in schools</w:t>
      </w:r>
      <w:r w:rsidR="00E951B9">
        <w:rPr>
          <w:rFonts w:cs="Arial"/>
          <w:iCs/>
          <w:sz w:val="24"/>
          <w:szCs w:val="24"/>
        </w:rPr>
        <w:t xml:space="preserve"> focus on tackling </w:t>
      </w:r>
      <w:r w:rsidR="00C63D1A">
        <w:rPr>
          <w:rFonts w:cs="Arial"/>
          <w:iCs/>
          <w:sz w:val="24"/>
          <w:szCs w:val="24"/>
        </w:rPr>
        <w:t xml:space="preserve">childhood </w:t>
      </w:r>
      <w:r w:rsidR="00E951B9">
        <w:rPr>
          <w:rFonts w:cs="Arial"/>
          <w:iCs/>
          <w:sz w:val="24"/>
          <w:szCs w:val="24"/>
        </w:rPr>
        <w:t xml:space="preserve">obesity. </w:t>
      </w:r>
      <w:r w:rsidR="00144AFF">
        <w:rPr>
          <w:rFonts w:cs="Arial"/>
          <w:iCs/>
          <w:sz w:val="24"/>
          <w:szCs w:val="24"/>
        </w:rPr>
        <w:t>Wales’s national average for adult obesity is 23%,</w:t>
      </w:r>
      <w:r w:rsidR="00E951B9">
        <w:rPr>
          <w:rStyle w:val="FootnoteReference"/>
          <w:rFonts w:cs="Arial"/>
          <w:iCs/>
          <w:sz w:val="24"/>
          <w:szCs w:val="24"/>
        </w:rPr>
        <w:footnoteReference w:id="2"/>
      </w:r>
      <w:r w:rsidR="00144AFF">
        <w:rPr>
          <w:rFonts w:cs="Arial"/>
          <w:iCs/>
          <w:sz w:val="24"/>
          <w:szCs w:val="24"/>
        </w:rPr>
        <w:t xml:space="preserve"> and child</w:t>
      </w:r>
      <w:r w:rsidR="008F001E">
        <w:rPr>
          <w:rFonts w:cs="Arial"/>
          <w:iCs/>
          <w:sz w:val="24"/>
          <w:szCs w:val="24"/>
        </w:rPr>
        <w:t>hood</w:t>
      </w:r>
      <w:r w:rsidR="00144AFF">
        <w:rPr>
          <w:rFonts w:cs="Arial"/>
          <w:iCs/>
          <w:sz w:val="24"/>
          <w:szCs w:val="24"/>
        </w:rPr>
        <w:t xml:space="preserve"> average for overweight or obese children between </w:t>
      </w:r>
      <w:r w:rsidR="00DC2608">
        <w:rPr>
          <w:rFonts w:cs="Arial"/>
          <w:iCs/>
          <w:sz w:val="24"/>
          <w:szCs w:val="24"/>
        </w:rPr>
        <w:t>4</w:t>
      </w:r>
      <w:r w:rsidR="00144AFF">
        <w:rPr>
          <w:rFonts w:cs="Arial"/>
          <w:iCs/>
          <w:sz w:val="24"/>
          <w:szCs w:val="24"/>
        </w:rPr>
        <w:t>-5 years old</w:t>
      </w:r>
      <w:r w:rsidR="00DC2608">
        <w:rPr>
          <w:rFonts w:cs="Arial"/>
          <w:iCs/>
          <w:sz w:val="24"/>
          <w:szCs w:val="24"/>
        </w:rPr>
        <w:t xml:space="preserve"> (pre-school age)</w:t>
      </w:r>
      <w:r w:rsidR="00144AFF">
        <w:rPr>
          <w:rFonts w:cs="Arial"/>
          <w:iCs/>
          <w:sz w:val="24"/>
          <w:szCs w:val="24"/>
        </w:rPr>
        <w:t xml:space="preserve"> is 26.5%, 4.2% higher than that of England.</w:t>
      </w:r>
      <w:r w:rsidR="00144AFF">
        <w:rPr>
          <w:rStyle w:val="FootnoteReference"/>
          <w:rFonts w:cs="Arial"/>
          <w:iCs/>
          <w:sz w:val="24"/>
          <w:szCs w:val="24"/>
        </w:rPr>
        <w:footnoteReference w:id="3"/>
      </w:r>
      <w:r w:rsidR="00144AFF">
        <w:rPr>
          <w:rFonts w:cs="Arial"/>
          <w:iCs/>
          <w:sz w:val="24"/>
          <w:szCs w:val="24"/>
        </w:rPr>
        <w:t xml:space="preserve">  These percentages correlate a direct link on the level of deprivation in the area and higher obesity rates</w:t>
      </w:r>
      <w:r w:rsidR="00682743">
        <w:rPr>
          <w:rFonts w:cs="Arial"/>
          <w:iCs/>
          <w:sz w:val="24"/>
          <w:szCs w:val="24"/>
        </w:rPr>
        <w:t>,</w:t>
      </w:r>
      <w:r w:rsidR="00144AFF">
        <w:rPr>
          <w:rStyle w:val="FootnoteReference"/>
          <w:rFonts w:cs="Arial"/>
          <w:iCs/>
          <w:sz w:val="24"/>
          <w:szCs w:val="24"/>
        </w:rPr>
        <w:footnoteReference w:id="4"/>
      </w:r>
      <w:r w:rsidR="00682743">
        <w:rPr>
          <w:rFonts w:cs="Arial"/>
          <w:iCs/>
          <w:sz w:val="24"/>
          <w:szCs w:val="24"/>
        </w:rPr>
        <w:t xml:space="preserve"> therefore making issues of poverty and healthy eating closely interlinked.</w:t>
      </w:r>
      <w:r w:rsidR="00081B56">
        <w:rPr>
          <w:rFonts w:cs="Arial"/>
          <w:iCs/>
          <w:sz w:val="24"/>
          <w:szCs w:val="24"/>
        </w:rPr>
        <w:t xml:space="preserve"> The obesity rates in Wales </w:t>
      </w:r>
      <w:r w:rsidR="00144AFF">
        <w:rPr>
          <w:rFonts w:cs="Arial"/>
          <w:iCs/>
          <w:sz w:val="24"/>
          <w:szCs w:val="24"/>
        </w:rPr>
        <w:t xml:space="preserve">reflects </w:t>
      </w:r>
      <w:r>
        <w:rPr>
          <w:rFonts w:cs="Arial"/>
          <w:iCs/>
          <w:sz w:val="24"/>
          <w:szCs w:val="24"/>
        </w:rPr>
        <w:t>levels of deprivation with higher obesity rates</w:t>
      </w:r>
      <w:r w:rsidR="00F12477">
        <w:rPr>
          <w:rFonts w:cs="Arial"/>
          <w:iCs/>
          <w:sz w:val="24"/>
          <w:szCs w:val="24"/>
        </w:rPr>
        <w:t>, with</w:t>
      </w:r>
      <w:r w:rsidR="00144AFF">
        <w:rPr>
          <w:rFonts w:cs="Arial"/>
          <w:iCs/>
          <w:sz w:val="24"/>
          <w:szCs w:val="24"/>
        </w:rPr>
        <w:t xml:space="preserve"> </w:t>
      </w:r>
      <w:r w:rsidR="00F12477">
        <w:rPr>
          <w:rFonts w:cs="Arial"/>
          <w:iCs/>
          <w:sz w:val="24"/>
          <w:szCs w:val="24"/>
        </w:rPr>
        <w:t>19% of children in Carmarthenshire living in poverty</w:t>
      </w:r>
      <w:r w:rsidR="00D372FF">
        <w:rPr>
          <w:rFonts w:cs="Arial"/>
          <w:iCs/>
          <w:sz w:val="24"/>
          <w:szCs w:val="24"/>
        </w:rPr>
        <w:t>,</w:t>
      </w:r>
      <w:r w:rsidR="00F12477">
        <w:rPr>
          <w:rStyle w:val="FootnoteReference"/>
          <w:rFonts w:cs="Arial"/>
          <w:iCs/>
          <w:sz w:val="24"/>
          <w:szCs w:val="24"/>
        </w:rPr>
        <w:footnoteReference w:id="5"/>
      </w:r>
      <w:r w:rsidR="00F12477">
        <w:rPr>
          <w:rFonts w:cs="Arial"/>
          <w:iCs/>
          <w:sz w:val="24"/>
          <w:szCs w:val="24"/>
        </w:rPr>
        <w:t xml:space="preserve"> </w:t>
      </w:r>
      <w:r>
        <w:rPr>
          <w:rFonts w:cs="Arial"/>
          <w:iCs/>
          <w:sz w:val="24"/>
          <w:szCs w:val="24"/>
        </w:rPr>
        <w:t>and</w:t>
      </w:r>
      <w:r w:rsidR="00F12477">
        <w:rPr>
          <w:rFonts w:cs="Arial"/>
          <w:iCs/>
          <w:sz w:val="24"/>
          <w:szCs w:val="24"/>
        </w:rPr>
        <w:t xml:space="preserve"> Wales being the only UK nation to see a rise in child poverty instead of a decline in the last few years.</w:t>
      </w:r>
      <w:r w:rsidR="00F12477">
        <w:rPr>
          <w:rStyle w:val="FootnoteReference"/>
          <w:rFonts w:cs="Arial"/>
          <w:iCs/>
          <w:sz w:val="24"/>
          <w:szCs w:val="24"/>
        </w:rPr>
        <w:footnoteReference w:id="6"/>
      </w:r>
      <w:r w:rsidR="00081B56">
        <w:rPr>
          <w:rFonts w:cs="Arial"/>
          <w:iCs/>
          <w:sz w:val="24"/>
          <w:szCs w:val="24"/>
        </w:rPr>
        <w:t xml:space="preserve"> </w:t>
      </w:r>
      <w:r w:rsidR="006C2443">
        <w:rPr>
          <w:rFonts w:cs="Arial"/>
          <w:iCs/>
          <w:sz w:val="24"/>
          <w:szCs w:val="24"/>
        </w:rPr>
        <w:t>The W</w:t>
      </w:r>
      <w:r w:rsidR="00B31EBC">
        <w:rPr>
          <w:rFonts w:cs="Arial"/>
          <w:iCs/>
          <w:sz w:val="24"/>
          <w:szCs w:val="24"/>
        </w:rPr>
        <w:t>elsh Assembly Government (WAG)</w:t>
      </w:r>
      <w:r w:rsidR="006C2443">
        <w:rPr>
          <w:rFonts w:cs="Arial"/>
          <w:iCs/>
          <w:sz w:val="24"/>
          <w:szCs w:val="24"/>
        </w:rPr>
        <w:t xml:space="preserve"> however, states that healthy eating in schools is not only to tackle obesity,</w:t>
      </w:r>
      <w:r w:rsidR="00D85D90">
        <w:rPr>
          <w:rStyle w:val="FootnoteReference"/>
          <w:rFonts w:cs="Arial"/>
          <w:iCs/>
          <w:sz w:val="24"/>
          <w:szCs w:val="24"/>
        </w:rPr>
        <w:footnoteReference w:id="7"/>
      </w:r>
      <w:r w:rsidR="006C2443">
        <w:rPr>
          <w:rFonts w:cs="Arial"/>
          <w:iCs/>
          <w:sz w:val="24"/>
          <w:szCs w:val="24"/>
        </w:rPr>
        <w:t xml:space="preserve"> but the health problems which can occur due to an unhealthy diet; using the school meals as a means to encourage </w:t>
      </w:r>
      <w:r w:rsidR="00270392">
        <w:rPr>
          <w:rFonts w:cs="Arial"/>
          <w:iCs/>
          <w:sz w:val="24"/>
          <w:szCs w:val="24"/>
        </w:rPr>
        <w:t>children ‘</w:t>
      </w:r>
      <w:r w:rsidR="006C2443">
        <w:rPr>
          <w:rFonts w:cs="Arial"/>
          <w:iCs/>
          <w:sz w:val="24"/>
          <w:szCs w:val="24"/>
        </w:rPr>
        <w:t>to develop good eating habits.’</w:t>
      </w:r>
      <w:r w:rsidR="006C2443">
        <w:rPr>
          <w:rStyle w:val="FootnoteReference"/>
          <w:rFonts w:cs="Arial"/>
          <w:iCs/>
          <w:sz w:val="24"/>
          <w:szCs w:val="24"/>
        </w:rPr>
        <w:footnoteReference w:id="8"/>
      </w:r>
      <w:r w:rsidR="00682743">
        <w:rPr>
          <w:rFonts w:cs="Arial"/>
          <w:iCs/>
          <w:sz w:val="24"/>
          <w:szCs w:val="24"/>
        </w:rPr>
        <w:t xml:space="preserve"> However a child’s weight or BMI in all of these studies generally focuses on children who are overweight but does not focus as much on children who are underweight or those that fall within the ‘healthy weight’ category. It seems slightly ignorant to base results on weight alone </w:t>
      </w:r>
      <w:r w:rsidR="00B91374">
        <w:rPr>
          <w:rFonts w:cs="Arial"/>
          <w:iCs/>
          <w:sz w:val="24"/>
          <w:szCs w:val="24"/>
        </w:rPr>
        <w:t>because</w:t>
      </w:r>
      <w:r w:rsidR="00682743">
        <w:rPr>
          <w:rFonts w:cs="Arial"/>
          <w:iCs/>
          <w:sz w:val="24"/>
          <w:szCs w:val="24"/>
        </w:rPr>
        <w:t xml:space="preserve"> healthy eating, as WAG stipulates, is</w:t>
      </w:r>
      <w:r w:rsidR="00B91374">
        <w:rPr>
          <w:rFonts w:cs="Arial"/>
          <w:iCs/>
          <w:sz w:val="24"/>
          <w:szCs w:val="24"/>
        </w:rPr>
        <w:t xml:space="preserve"> about</w:t>
      </w:r>
      <w:r w:rsidR="00682743">
        <w:rPr>
          <w:rFonts w:cs="Arial"/>
          <w:iCs/>
          <w:sz w:val="24"/>
          <w:szCs w:val="24"/>
        </w:rPr>
        <w:t xml:space="preserve"> more than just figures, it is the attitude one has towards food as well as the</w:t>
      </w:r>
      <w:r w:rsidR="00B91374">
        <w:rPr>
          <w:rFonts w:cs="Arial"/>
          <w:iCs/>
          <w:sz w:val="24"/>
          <w:szCs w:val="24"/>
        </w:rPr>
        <w:t xml:space="preserve"> dietary</w:t>
      </w:r>
      <w:r w:rsidR="00682743">
        <w:rPr>
          <w:rFonts w:cs="Arial"/>
          <w:iCs/>
          <w:sz w:val="24"/>
          <w:szCs w:val="24"/>
        </w:rPr>
        <w:t xml:space="preserve"> choices they make.</w:t>
      </w:r>
      <w:r w:rsidR="00270392">
        <w:rPr>
          <w:rFonts w:cs="Arial"/>
          <w:iCs/>
          <w:sz w:val="24"/>
          <w:szCs w:val="24"/>
        </w:rPr>
        <w:t xml:space="preserve"> </w:t>
      </w:r>
      <w:r w:rsidR="00682743">
        <w:rPr>
          <w:rFonts w:cs="Arial"/>
          <w:iCs/>
          <w:sz w:val="24"/>
          <w:szCs w:val="24"/>
        </w:rPr>
        <w:t xml:space="preserve">Just because </w:t>
      </w:r>
      <w:r w:rsidR="00B91374">
        <w:rPr>
          <w:rFonts w:cs="Arial"/>
          <w:iCs/>
          <w:sz w:val="24"/>
          <w:szCs w:val="24"/>
        </w:rPr>
        <w:t xml:space="preserve">an </w:t>
      </w:r>
      <w:proofErr w:type="spellStart"/>
      <w:r w:rsidR="00B91374">
        <w:rPr>
          <w:rFonts w:cs="Arial"/>
          <w:iCs/>
          <w:sz w:val="24"/>
          <w:szCs w:val="24"/>
        </w:rPr>
        <w:t>individuals</w:t>
      </w:r>
      <w:proofErr w:type="spellEnd"/>
      <w:r w:rsidR="00682743">
        <w:rPr>
          <w:rFonts w:cs="Arial"/>
          <w:iCs/>
          <w:sz w:val="24"/>
          <w:szCs w:val="24"/>
        </w:rPr>
        <w:t xml:space="preserve"> BMI is within a healthy range, this </w:t>
      </w:r>
      <w:r w:rsidR="00682743">
        <w:rPr>
          <w:rFonts w:cs="Arial"/>
          <w:iCs/>
          <w:sz w:val="24"/>
          <w:szCs w:val="24"/>
        </w:rPr>
        <w:lastRenderedPageBreak/>
        <w:t xml:space="preserve">does not mean that their diet is in any way healthy, just that their weight is. </w:t>
      </w:r>
      <w:r w:rsidR="0081495A">
        <w:rPr>
          <w:rFonts w:cs="Arial"/>
          <w:iCs/>
          <w:sz w:val="24"/>
          <w:szCs w:val="24"/>
        </w:rPr>
        <w:t xml:space="preserve">Although it is true that a bad diet can lead to weight problems, that </w:t>
      </w:r>
      <w:r w:rsidR="00B91374">
        <w:rPr>
          <w:rFonts w:cs="Arial"/>
          <w:iCs/>
          <w:sz w:val="24"/>
          <w:szCs w:val="24"/>
        </w:rPr>
        <w:t>may not</w:t>
      </w:r>
      <w:r w:rsidR="0081495A">
        <w:rPr>
          <w:rFonts w:cs="Arial"/>
          <w:iCs/>
          <w:sz w:val="24"/>
          <w:szCs w:val="24"/>
        </w:rPr>
        <w:t xml:space="preserve"> mean that someone with an average weight does not have a bad diet. </w:t>
      </w:r>
      <w:r w:rsidR="00832DDA">
        <w:rPr>
          <w:rFonts w:cs="Arial"/>
          <w:iCs/>
          <w:sz w:val="24"/>
          <w:szCs w:val="24"/>
        </w:rPr>
        <w:t xml:space="preserve">Childhood obesity is </w:t>
      </w:r>
      <w:r w:rsidR="00B91374">
        <w:rPr>
          <w:rFonts w:cs="Arial"/>
          <w:iCs/>
          <w:sz w:val="24"/>
          <w:szCs w:val="24"/>
        </w:rPr>
        <w:t>important,</w:t>
      </w:r>
      <w:r w:rsidR="00832DDA">
        <w:rPr>
          <w:rFonts w:cs="Arial"/>
          <w:iCs/>
          <w:sz w:val="24"/>
          <w:szCs w:val="24"/>
        </w:rPr>
        <w:t xml:space="preserve"> and researches should obviously keep it in mind when discussing food choices but undereating is also a problem, </w:t>
      </w:r>
      <w:r w:rsidR="00C34D40">
        <w:rPr>
          <w:rFonts w:cs="Arial"/>
          <w:iCs/>
          <w:sz w:val="24"/>
          <w:szCs w:val="24"/>
        </w:rPr>
        <w:t>therefore I believe that researchers have been too weight-</w:t>
      </w:r>
      <w:r w:rsidR="00B91374" w:rsidRPr="00B91374">
        <w:rPr>
          <w:rFonts w:cs="Arial"/>
          <w:iCs/>
          <w:sz w:val="24"/>
          <w:szCs w:val="24"/>
        </w:rPr>
        <w:t xml:space="preserve"> </w:t>
      </w:r>
      <w:r w:rsidR="00C34D40">
        <w:rPr>
          <w:rFonts w:cs="Arial"/>
          <w:iCs/>
          <w:sz w:val="24"/>
          <w:szCs w:val="24"/>
        </w:rPr>
        <w:t xml:space="preserve">centric in regards to the issue of diet and </w:t>
      </w:r>
      <w:r w:rsidR="003F3243">
        <w:rPr>
          <w:rFonts w:cs="Arial"/>
          <w:iCs/>
          <w:sz w:val="24"/>
          <w:szCs w:val="24"/>
        </w:rPr>
        <w:t>should focus more on issues of nutrition.</w:t>
      </w:r>
      <w:r w:rsidR="00B91374" w:rsidRPr="00B91374">
        <w:rPr>
          <w:rFonts w:cs="Arial"/>
          <w:iCs/>
          <w:sz w:val="24"/>
          <w:szCs w:val="24"/>
        </w:rPr>
        <w:t xml:space="preserve"> </w:t>
      </w:r>
      <w:r w:rsidR="00B91374">
        <w:rPr>
          <w:rFonts w:cs="Arial"/>
          <w:iCs/>
          <w:sz w:val="24"/>
          <w:szCs w:val="24"/>
        </w:rPr>
        <w:t>Children who eat more processed and high-sugar foods are more likely to be disruptive and distracted after break-times.</w:t>
      </w:r>
      <w:r w:rsidR="00B91374" w:rsidRPr="0038531F">
        <w:rPr>
          <w:rStyle w:val="FootnoteReference"/>
          <w:sz w:val="24"/>
          <w:szCs w:val="24"/>
        </w:rPr>
        <w:footnoteReference w:id="9"/>
      </w:r>
    </w:p>
    <w:p w14:paraId="5D67880D" w14:textId="527A4130" w:rsidR="006E0B2C" w:rsidRDefault="00B31EBC" w:rsidP="009513A3">
      <w:pPr>
        <w:rPr>
          <w:rFonts w:cs="Arial"/>
          <w:iCs/>
          <w:sz w:val="24"/>
          <w:szCs w:val="24"/>
        </w:rPr>
      </w:pPr>
      <w:r>
        <w:rPr>
          <w:rFonts w:cs="Arial"/>
          <w:iCs/>
          <w:sz w:val="24"/>
          <w:szCs w:val="24"/>
        </w:rPr>
        <w:t>A healthy lunch in a primary school according to regulations set by WAG guidelines constitutes of one portion of vegetables per day, one portion of fruit per day in either juice or physical form, a fruit-based desert at least two days per week,</w:t>
      </w:r>
      <w:r w:rsidR="003C7706">
        <w:rPr>
          <w:rFonts w:cs="Arial"/>
          <w:iCs/>
          <w:sz w:val="24"/>
          <w:szCs w:val="24"/>
        </w:rPr>
        <w:t xml:space="preserve"> cakes and biscuits as long as they are eaten during lunchtime,</w:t>
      </w:r>
      <w:r>
        <w:rPr>
          <w:rFonts w:cs="Arial"/>
          <w:iCs/>
          <w:sz w:val="24"/>
          <w:szCs w:val="24"/>
        </w:rPr>
        <w:t xml:space="preserve"> meat on at least two days per week and fish at least one day per week</w:t>
      </w:r>
      <w:r w:rsidR="00FD6AA4">
        <w:rPr>
          <w:rFonts w:cs="Arial"/>
          <w:iCs/>
          <w:sz w:val="24"/>
          <w:szCs w:val="24"/>
        </w:rPr>
        <w:t>; bread is also recommended to be available during lunchtime.</w:t>
      </w:r>
      <w:r>
        <w:rPr>
          <w:rStyle w:val="FootnoteReference"/>
          <w:rFonts w:cs="Arial"/>
          <w:iCs/>
          <w:sz w:val="24"/>
          <w:szCs w:val="24"/>
        </w:rPr>
        <w:footnoteReference w:id="10"/>
      </w:r>
      <w:r>
        <w:rPr>
          <w:rFonts w:cs="Arial"/>
          <w:iCs/>
          <w:sz w:val="24"/>
          <w:szCs w:val="24"/>
        </w:rPr>
        <w:t xml:space="preserve"> </w:t>
      </w:r>
      <w:r w:rsidR="00214AA1">
        <w:rPr>
          <w:rFonts w:cs="Arial"/>
          <w:iCs/>
          <w:sz w:val="24"/>
          <w:szCs w:val="24"/>
        </w:rPr>
        <w:t>The guidelines also limit consumption of potato products to no more than two times per week, as well as a limit on salt</w:t>
      </w:r>
      <w:r w:rsidR="00604A6C">
        <w:rPr>
          <w:rFonts w:cs="Arial"/>
          <w:iCs/>
          <w:sz w:val="24"/>
          <w:szCs w:val="24"/>
        </w:rPr>
        <w:t xml:space="preserve"> in cooked foods</w:t>
      </w:r>
      <w:r w:rsidR="003C7706">
        <w:rPr>
          <w:rFonts w:cs="Arial"/>
          <w:iCs/>
          <w:sz w:val="24"/>
          <w:szCs w:val="24"/>
        </w:rPr>
        <w:t>,</w:t>
      </w:r>
      <w:r w:rsidR="00195A1C">
        <w:rPr>
          <w:rFonts w:cs="Arial"/>
          <w:iCs/>
          <w:sz w:val="24"/>
          <w:szCs w:val="24"/>
        </w:rPr>
        <w:t xml:space="preserve"> only two </w:t>
      </w:r>
      <w:r w:rsidR="00195A1C">
        <w:rPr>
          <w:rFonts w:cs="Arial"/>
          <w:i/>
          <w:sz w:val="24"/>
          <w:szCs w:val="24"/>
        </w:rPr>
        <w:t>types</w:t>
      </w:r>
      <w:r w:rsidR="00195A1C">
        <w:rPr>
          <w:rFonts w:cs="Arial"/>
          <w:iCs/>
          <w:sz w:val="24"/>
          <w:szCs w:val="24"/>
        </w:rPr>
        <w:t xml:space="preserve"> of meat allowed per week,</w:t>
      </w:r>
      <w:r w:rsidR="003C7706">
        <w:rPr>
          <w:rFonts w:cs="Arial"/>
          <w:iCs/>
          <w:sz w:val="24"/>
          <w:szCs w:val="24"/>
        </w:rPr>
        <w:t xml:space="preserve"> </w:t>
      </w:r>
      <w:r w:rsidR="00214AA1">
        <w:rPr>
          <w:rFonts w:cs="Arial"/>
          <w:iCs/>
          <w:sz w:val="24"/>
          <w:szCs w:val="24"/>
        </w:rPr>
        <w:t>condiments</w:t>
      </w:r>
      <w:r w:rsidR="00604A6C">
        <w:rPr>
          <w:rFonts w:cs="Arial"/>
          <w:iCs/>
          <w:sz w:val="24"/>
          <w:szCs w:val="24"/>
        </w:rPr>
        <w:t xml:space="preserve"> (10ml per meal)</w:t>
      </w:r>
      <w:r w:rsidR="00AD67DF">
        <w:rPr>
          <w:rFonts w:cs="Arial"/>
          <w:iCs/>
          <w:sz w:val="24"/>
          <w:szCs w:val="24"/>
        </w:rPr>
        <w:t xml:space="preserve"> and limiting the cooking of </w:t>
      </w:r>
      <w:r w:rsidR="00214AA1">
        <w:rPr>
          <w:rFonts w:cs="Arial"/>
          <w:iCs/>
          <w:sz w:val="24"/>
          <w:szCs w:val="24"/>
        </w:rPr>
        <w:t>deep fried foods</w:t>
      </w:r>
      <w:r w:rsidR="00AD67DF">
        <w:rPr>
          <w:rFonts w:cs="Arial"/>
          <w:iCs/>
          <w:sz w:val="24"/>
          <w:szCs w:val="24"/>
        </w:rPr>
        <w:t xml:space="preserve"> to two times per week</w:t>
      </w:r>
      <w:r w:rsidR="00604A6C">
        <w:rPr>
          <w:rFonts w:cs="Arial"/>
          <w:iCs/>
          <w:sz w:val="24"/>
          <w:szCs w:val="24"/>
        </w:rPr>
        <w:t>; confectionary, additional salt and savoury snacks are not permitted</w:t>
      </w:r>
      <w:r w:rsidR="00214AA1">
        <w:rPr>
          <w:rFonts w:cs="Arial"/>
          <w:iCs/>
          <w:sz w:val="24"/>
          <w:szCs w:val="24"/>
        </w:rPr>
        <w:t>.</w:t>
      </w:r>
      <w:r w:rsidR="00214AA1">
        <w:rPr>
          <w:rStyle w:val="FootnoteReference"/>
          <w:rFonts w:cs="Arial"/>
          <w:iCs/>
          <w:sz w:val="24"/>
          <w:szCs w:val="24"/>
        </w:rPr>
        <w:footnoteReference w:id="11"/>
      </w:r>
      <w:r w:rsidR="00604A6C">
        <w:rPr>
          <w:rFonts w:cs="Arial"/>
          <w:iCs/>
          <w:sz w:val="24"/>
          <w:szCs w:val="24"/>
        </w:rPr>
        <w:t xml:space="preserve"> </w:t>
      </w:r>
      <w:r w:rsidR="006E19C4">
        <w:rPr>
          <w:rFonts w:cs="Arial"/>
          <w:iCs/>
          <w:sz w:val="24"/>
          <w:szCs w:val="24"/>
        </w:rPr>
        <w:t>L</w:t>
      </w:r>
      <w:r w:rsidR="006E0B2C">
        <w:rPr>
          <w:rFonts w:cs="Arial"/>
          <w:iCs/>
          <w:sz w:val="24"/>
          <w:szCs w:val="24"/>
        </w:rPr>
        <w:t>ocal Educational Authorities (hereafter termed LEA</w:t>
      </w:r>
      <w:r w:rsidR="00D60BF2">
        <w:rPr>
          <w:rFonts w:cs="Arial"/>
          <w:iCs/>
          <w:sz w:val="24"/>
          <w:szCs w:val="24"/>
        </w:rPr>
        <w:t>’s</w:t>
      </w:r>
      <w:r w:rsidR="006E0B2C">
        <w:rPr>
          <w:rFonts w:cs="Arial"/>
          <w:iCs/>
          <w:sz w:val="24"/>
          <w:szCs w:val="24"/>
        </w:rPr>
        <w:t>)</w:t>
      </w:r>
      <w:r w:rsidR="006E19C4">
        <w:rPr>
          <w:rFonts w:cs="Arial"/>
          <w:iCs/>
          <w:sz w:val="24"/>
          <w:szCs w:val="24"/>
        </w:rPr>
        <w:t xml:space="preserve"> choose how to put the</w:t>
      </w:r>
      <w:r w:rsidR="006E0B2C">
        <w:rPr>
          <w:rFonts w:cs="Arial"/>
          <w:iCs/>
          <w:sz w:val="24"/>
          <w:szCs w:val="24"/>
        </w:rPr>
        <w:t>se</w:t>
      </w:r>
      <w:r w:rsidR="006E19C4">
        <w:rPr>
          <w:rFonts w:cs="Arial"/>
          <w:iCs/>
          <w:sz w:val="24"/>
          <w:szCs w:val="24"/>
        </w:rPr>
        <w:t xml:space="preserve"> policies set out by WAG</w:t>
      </w:r>
      <w:r w:rsidR="006E0B2C">
        <w:rPr>
          <w:rFonts w:cs="Arial"/>
          <w:iCs/>
          <w:sz w:val="24"/>
          <w:szCs w:val="24"/>
        </w:rPr>
        <w:t xml:space="preserve"> into practice in their own areas</w:t>
      </w:r>
      <w:r w:rsidR="000B0EF1">
        <w:rPr>
          <w:rFonts w:cs="Arial"/>
          <w:iCs/>
          <w:sz w:val="24"/>
          <w:szCs w:val="24"/>
        </w:rPr>
        <w:t xml:space="preserve"> as well as supplied the food from their catering services</w:t>
      </w:r>
      <w:r w:rsidR="00CF714E">
        <w:rPr>
          <w:rFonts w:cs="Arial"/>
          <w:iCs/>
          <w:sz w:val="24"/>
          <w:szCs w:val="24"/>
        </w:rPr>
        <w:t>.</w:t>
      </w:r>
      <w:r w:rsidR="000B0EF1">
        <w:rPr>
          <w:rStyle w:val="FootnoteReference"/>
          <w:rFonts w:cs="Arial"/>
          <w:iCs/>
          <w:sz w:val="24"/>
          <w:szCs w:val="24"/>
        </w:rPr>
        <w:footnoteReference w:id="12"/>
      </w:r>
      <w:r w:rsidR="00CF714E">
        <w:rPr>
          <w:rFonts w:cs="Arial"/>
          <w:iCs/>
          <w:sz w:val="24"/>
          <w:szCs w:val="24"/>
        </w:rPr>
        <w:t xml:space="preserve"> </w:t>
      </w:r>
      <w:r w:rsidR="006E0B2C">
        <w:rPr>
          <w:rFonts w:cs="Arial"/>
          <w:iCs/>
          <w:sz w:val="24"/>
          <w:szCs w:val="24"/>
        </w:rPr>
        <w:t>This can be of issue due to the fact that LEA’s are generally on a tight budget,</w:t>
      </w:r>
      <w:r w:rsidR="00156988">
        <w:rPr>
          <w:rFonts w:cs="Arial"/>
          <w:iCs/>
          <w:sz w:val="24"/>
          <w:szCs w:val="24"/>
        </w:rPr>
        <w:t xml:space="preserve"> </w:t>
      </w:r>
      <w:r w:rsidR="006E0B2C">
        <w:rPr>
          <w:rFonts w:cs="Arial"/>
          <w:iCs/>
          <w:sz w:val="24"/>
          <w:szCs w:val="24"/>
        </w:rPr>
        <w:t xml:space="preserve">making them more likely to </w:t>
      </w:r>
      <w:r w:rsidR="006E0B2C">
        <w:rPr>
          <w:rFonts w:cs="Arial"/>
          <w:iCs/>
          <w:sz w:val="24"/>
          <w:szCs w:val="24"/>
        </w:rPr>
        <w:lastRenderedPageBreak/>
        <w:t>choose cheaper option</w:t>
      </w:r>
      <w:r w:rsidR="00156988">
        <w:rPr>
          <w:rFonts w:cs="Arial"/>
          <w:iCs/>
          <w:sz w:val="24"/>
          <w:szCs w:val="24"/>
        </w:rPr>
        <w:t>s</w:t>
      </w:r>
      <w:r w:rsidR="006E0B2C">
        <w:rPr>
          <w:rFonts w:cs="Arial"/>
          <w:iCs/>
          <w:sz w:val="24"/>
          <w:szCs w:val="24"/>
        </w:rPr>
        <w:t xml:space="preserve"> rather than healthier one</w:t>
      </w:r>
      <w:r w:rsidR="00156988">
        <w:rPr>
          <w:rFonts w:cs="Arial"/>
          <w:iCs/>
          <w:sz w:val="24"/>
          <w:szCs w:val="24"/>
        </w:rPr>
        <w:t>s</w:t>
      </w:r>
      <w:r w:rsidR="006E0B2C">
        <w:rPr>
          <w:rFonts w:cs="Arial"/>
          <w:iCs/>
          <w:sz w:val="24"/>
          <w:szCs w:val="24"/>
        </w:rPr>
        <w:t>.</w:t>
      </w:r>
      <w:r w:rsidR="006E0B2C" w:rsidRPr="0038531F">
        <w:rPr>
          <w:rStyle w:val="FootnoteReference"/>
          <w:sz w:val="24"/>
          <w:szCs w:val="24"/>
        </w:rPr>
        <w:footnoteReference w:id="13"/>
      </w:r>
      <w:r w:rsidR="00D60BF2">
        <w:rPr>
          <w:rFonts w:cs="Arial"/>
          <w:iCs/>
          <w:sz w:val="24"/>
          <w:szCs w:val="24"/>
        </w:rPr>
        <w:t xml:space="preserve"> It is also known that providers know that children are more likely to eat unhealthier options,</w:t>
      </w:r>
      <w:r w:rsidR="00D60BF2" w:rsidRPr="0038531F">
        <w:rPr>
          <w:rStyle w:val="FootnoteReference"/>
          <w:sz w:val="24"/>
          <w:szCs w:val="24"/>
        </w:rPr>
        <w:footnoteReference w:id="14"/>
      </w:r>
      <w:r w:rsidR="00D60BF2">
        <w:rPr>
          <w:rFonts w:cs="Arial"/>
          <w:iCs/>
          <w:sz w:val="24"/>
          <w:szCs w:val="24"/>
        </w:rPr>
        <w:t xml:space="preserve"> keeping their stomachs full, whilst also </w:t>
      </w:r>
      <w:r w:rsidR="00156988">
        <w:rPr>
          <w:rFonts w:cs="Arial"/>
          <w:iCs/>
          <w:sz w:val="24"/>
          <w:szCs w:val="24"/>
        </w:rPr>
        <w:t>producing</w:t>
      </w:r>
      <w:r w:rsidR="00D60BF2">
        <w:rPr>
          <w:rFonts w:cs="Arial"/>
          <w:iCs/>
          <w:sz w:val="24"/>
          <w:szCs w:val="24"/>
        </w:rPr>
        <w:t xml:space="preserve"> less food</w:t>
      </w:r>
      <w:r w:rsidR="00156988">
        <w:rPr>
          <w:rFonts w:cs="Arial"/>
          <w:iCs/>
          <w:sz w:val="24"/>
          <w:szCs w:val="24"/>
        </w:rPr>
        <w:t>-waste</w:t>
      </w:r>
      <w:r w:rsidR="00D60BF2">
        <w:rPr>
          <w:rFonts w:cs="Arial"/>
          <w:iCs/>
          <w:sz w:val="24"/>
          <w:szCs w:val="24"/>
        </w:rPr>
        <w:t xml:space="preserve"> and</w:t>
      </w:r>
      <w:r w:rsidR="00156988">
        <w:rPr>
          <w:rFonts w:cs="Arial"/>
          <w:iCs/>
          <w:sz w:val="24"/>
          <w:szCs w:val="24"/>
        </w:rPr>
        <w:t xml:space="preserve"> decreasing</w:t>
      </w:r>
      <w:r w:rsidR="00D60BF2">
        <w:rPr>
          <w:rFonts w:cs="Arial"/>
          <w:iCs/>
          <w:sz w:val="24"/>
          <w:szCs w:val="24"/>
        </w:rPr>
        <w:t xml:space="preserve"> money</w:t>
      </w:r>
      <w:r w:rsidR="00156988">
        <w:rPr>
          <w:rFonts w:cs="Arial"/>
          <w:iCs/>
          <w:sz w:val="24"/>
          <w:szCs w:val="24"/>
        </w:rPr>
        <w:t xml:space="preserve"> expenditure</w:t>
      </w:r>
      <w:r w:rsidR="00D60BF2">
        <w:rPr>
          <w:rFonts w:cs="Arial"/>
          <w:iCs/>
          <w:sz w:val="24"/>
          <w:szCs w:val="24"/>
        </w:rPr>
        <w:t>.</w:t>
      </w:r>
      <w:r w:rsidR="0002772A">
        <w:rPr>
          <w:rFonts w:cs="Arial"/>
          <w:iCs/>
          <w:sz w:val="24"/>
          <w:szCs w:val="24"/>
        </w:rPr>
        <w:t xml:space="preserve"> Carmarthenshire LEA run a seasonal menu which runs on a 3-weekly rotational basis.</w:t>
      </w:r>
      <w:r w:rsidR="0002772A">
        <w:rPr>
          <w:rStyle w:val="FootnoteReference"/>
          <w:rFonts w:cs="Arial"/>
          <w:iCs/>
          <w:sz w:val="24"/>
          <w:szCs w:val="24"/>
        </w:rPr>
        <w:footnoteReference w:id="15"/>
      </w:r>
      <w:r w:rsidR="00195A1C">
        <w:rPr>
          <w:rFonts w:cs="Arial"/>
          <w:iCs/>
          <w:sz w:val="24"/>
          <w:szCs w:val="24"/>
        </w:rPr>
        <w:t xml:space="preserve"> From looking at this menu, one can already see that on week 2 and 3 there are more than </w:t>
      </w:r>
      <w:r w:rsidR="00CF714E">
        <w:rPr>
          <w:rFonts w:cs="Arial"/>
          <w:iCs/>
          <w:sz w:val="24"/>
          <w:szCs w:val="24"/>
        </w:rPr>
        <w:t>two</w:t>
      </w:r>
      <w:r w:rsidR="00195A1C">
        <w:rPr>
          <w:rFonts w:cs="Arial"/>
          <w:iCs/>
          <w:sz w:val="24"/>
          <w:szCs w:val="24"/>
        </w:rPr>
        <w:t xml:space="preserve"> types of meats, there are also three days with potato products in week 1, four days with potato products in week 2</w:t>
      </w:r>
      <w:r w:rsidR="00CF714E">
        <w:rPr>
          <w:rFonts w:cs="Arial"/>
          <w:iCs/>
          <w:sz w:val="24"/>
          <w:szCs w:val="24"/>
        </w:rPr>
        <w:t xml:space="preserve">, </w:t>
      </w:r>
      <w:r w:rsidR="00195A1C">
        <w:rPr>
          <w:rFonts w:cs="Arial"/>
          <w:iCs/>
          <w:sz w:val="24"/>
          <w:szCs w:val="24"/>
        </w:rPr>
        <w:t>three days with potato products in week 3</w:t>
      </w:r>
      <w:r w:rsidR="00CF714E">
        <w:rPr>
          <w:rFonts w:cs="Arial"/>
          <w:iCs/>
          <w:sz w:val="24"/>
          <w:szCs w:val="24"/>
        </w:rPr>
        <w:t xml:space="preserve"> and a lack of two fruit-based deserts in week 2’s menu</w:t>
      </w:r>
      <w:r w:rsidR="00195A1C">
        <w:rPr>
          <w:rFonts w:cs="Arial"/>
          <w:iCs/>
          <w:sz w:val="24"/>
          <w:szCs w:val="24"/>
        </w:rPr>
        <w:t>. The menu does seemingly adhere to all the other guidance set out by the LEA, with fish product</w:t>
      </w:r>
      <w:r w:rsidR="00156988">
        <w:rPr>
          <w:rFonts w:cs="Arial"/>
          <w:iCs/>
          <w:sz w:val="24"/>
          <w:szCs w:val="24"/>
        </w:rPr>
        <w:t>s</w:t>
      </w:r>
      <w:r w:rsidR="00195A1C">
        <w:rPr>
          <w:rFonts w:cs="Arial"/>
          <w:iCs/>
          <w:sz w:val="24"/>
          <w:szCs w:val="24"/>
        </w:rPr>
        <w:t xml:space="preserve"> on the menu every Friday</w:t>
      </w:r>
      <w:r w:rsidR="00A76157">
        <w:rPr>
          <w:rFonts w:cs="Arial"/>
          <w:iCs/>
          <w:sz w:val="24"/>
          <w:szCs w:val="24"/>
        </w:rPr>
        <w:t xml:space="preserve">, a portion of vegetables </w:t>
      </w:r>
      <w:r w:rsidR="00156988">
        <w:rPr>
          <w:rFonts w:cs="Arial"/>
          <w:iCs/>
          <w:sz w:val="24"/>
          <w:szCs w:val="24"/>
        </w:rPr>
        <w:t>daily</w:t>
      </w:r>
      <w:r w:rsidR="00195A1C">
        <w:rPr>
          <w:rFonts w:cs="Arial"/>
          <w:iCs/>
          <w:sz w:val="24"/>
          <w:szCs w:val="24"/>
        </w:rPr>
        <w:t xml:space="preserve"> and two fruit</w:t>
      </w:r>
      <w:r w:rsidR="00A76157">
        <w:rPr>
          <w:rFonts w:cs="Arial"/>
          <w:iCs/>
          <w:sz w:val="24"/>
          <w:szCs w:val="24"/>
        </w:rPr>
        <w:t>-</w:t>
      </w:r>
      <w:r w:rsidR="00195A1C">
        <w:rPr>
          <w:rFonts w:cs="Arial"/>
          <w:iCs/>
          <w:sz w:val="24"/>
          <w:szCs w:val="24"/>
        </w:rPr>
        <w:t>based deserts in week</w:t>
      </w:r>
      <w:r w:rsidR="00A76157">
        <w:rPr>
          <w:rFonts w:cs="Arial"/>
          <w:iCs/>
          <w:sz w:val="24"/>
          <w:szCs w:val="24"/>
        </w:rPr>
        <w:t>s</w:t>
      </w:r>
      <w:r w:rsidR="00195A1C">
        <w:rPr>
          <w:rFonts w:cs="Arial"/>
          <w:iCs/>
          <w:sz w:val="24"/>
          <w:szCs w:val="24"/>
        </w:rPr>
        <w:t xml:space="preserve"> 1 and 3.</w:t>
      </w:r>
      <w:r w:rsidR="00D60BF2">
        <w:rPr>
          <w:rFonts w:cs="Arial"/>
          <w:iCs/>
          <w:sz w:val="24"/>
          <w:szCs w:val="24"/>
        </w:rPr>
        <w:t xml:space="preserve"> One can see from this menu alone that guidelines are just guidelines and not </w:t>
      </w:r>
      <w:r w:rsidR="00156988">
        <w:rPr>
          <w:rFonts w:cs="Arial"/>
          <w:iCs/>
          <w:sz w:val="24"/>
          <w:szCs w:val="24"/>
        </w:rPr>
        <w:t>followed to the letter</w:t>
      </w:r>
      <w:r w:rsidR="00D60BF2">
        <w:rPr>
          <w:rFonts w:cs="Arial"/>
          <w:iCs/>
          <w:sz w:val="24"/>
          <w:szCs w:val="24"/>
        </w:rPr>
        <w:t>.</w:t>
      </w:r>
      <w:r w:rsidR="000B0EF1">
        <w:rPr>
          <w:rFonts w:cs="Arial"/>
          <w:iCs/>
          <w:sz w:val="24"/>
          <w:szCs w:val="24"/>
        </w:rPr>
        <w:t xml:space="preserve"> After the </w:t>
      </w:r>
      <w:proofErr w:type="spellStart"/>
      <w:r w:rsidR="000B0EF1">
        <w:rPr>
          <w:rFonts w:cs="Arial"/>
          <w:iCs/>
          <w:sz w:val="24"/>
          <w:szCs w:val="24"/>
        </w:rPr>
        <w:t>menu’s</w:t>
      </w:r>
      <w:proofErr w:type="spellEnd"/>
      <w:r w:rsidR="000B0EF1">
        <w:rPr>
          <w:rFonts w:cs="Arial"/>
          <w:iCs/>
          <w:sz w:val="24"/>
          <w:szCs w:val="24"/>
        </w:rPr>
        <w:t xml:space="preserve"> are released to the schools, it is up to them to cook and supply it</w:t>
      </w:r>
      <w:r w:rsidR="00E556AF">
        <w:rPr>
          <w:rFonts w:cs="Arial"/>
          <w:iCs/>
          <w:sz w:val="24"/>
          <w:szCs w:val="24"/>
        </w:rPr>
        <w:t xml:space="preserve"> under food safety regulations.</w:t>
      </w:r>
      <w:r w:rsidR="00BE727F">
        <w:rPr>
          <w:rFonts w:cs="Arial"/>
          <w:iCs/>
          <w:sz w:val="24"/>
          <w:szCs w:val="24"/>
        </w:rPr>
        <w:t xml:space="preserve"> The 3-tier system from WAG guidance, to LEA menu’s and</w:t>
      </w:r>
      <w:r w:rsidR="00DB1938">
        <w:rPr>
          <w:rFonts w:cs="Arial"/>
          <w:iCs/>
          <w:sz w:val="24"/>
          <w:szCs w:val="24"/>
        </w:rPr>
        <w:t xml:space="preserve"> to</w:t>
      </w:r>
      <w:r w:rsidR="00BE727F">
        <w:rPr>
          <w:rFonts w:cs="Arial"/>
          <w:iCs/>
          <w:sz w:val="24"/>
          <w:szCs w:val="24"/>
        </w:rPr>
        <w:t xml:space="preserve"> schools implementing the</w:t>
      </w:r>
      <w:r w:rsidR="00DB1938">
        <w:rPr>
          <w:rFonts w:cs="Arial"/>
          <w:iCs/>
          <w:sz w:val="24"/>
          <w:szCs w:val="24"/>
        </w:rPr>
        <w:t xml:space="preserve"> menus</w:t>
      </w:r>
      <w:r w:rsidR="00BE727F">
        <w:rPr>
          <w:rFonts w:cs="Arial"/>
          <w:iCs/>
          <w:sz w:val="24"/>
          <w:szCs w:val="24"/>
        </w:rPr>
        <w:t xml:space="preserve"> means that the ‘final decision as to whether the menu that was actuall</w:t>
      </w:r>
      <w:r w:rsidR="00AD7FC5">
        <w:rPr>
          <w:rFonts w:cs="Arial"/>
          <w:iCs/>
          <w:sz w:val="24"/>
          <w:szCs w:val="24"/>
        </w:rPr>
        <w:t xml:space="preserve">y </w:t>
      </w:r>
      <w:r w:rsidR="00BE727F">
        <w:rPr>
          <w:rFonts w:cs="Arial"/>
          <w:iCs/>
          <w:sz w:val="24"/>
          <w:szCs w:val="24"/>
        </w:rPr>
        <w:t>offered to the children</w:t>
      </w:r>
      <w:r w:rsidR="00DB1938">
        <w:rPr>
          <w:rFonts w:cs="Arial"/>
          <w:iCs/>
          <w:sz w:val="24"/>
          <w:szCs w:val="24"/>
        </w:rPr>
        <w:t xml:space="preserve"> […]</w:t>
      </w:r>
      <w:r w:rsidR="00BE727F">
        <w:rPr>
          <w:rFonts w:cs="Arial"/>
          <w:iCs/>
          <w:sz w:val="24"/>
          <w:szCs w:val="24"/>
        </w:rPr>
        <w:t xml:space="preserve"> rested with the school.’</w:t>
      </w:r>
      <w:r w:rsidR="00BE727F">
        <w:rPr>
          <w:rStyle w:val="FootnoteReference"/>
          <w:rFonts w:cs="Arial"/>
          <w:iCs/>
          <w:sz w:val="24"/>
          <w:szCs w:val="24"/>
        </w:rPr>
        <w:footnoteReference w:id="16"/>
      </w:r>
      <w:r w:rsidR="00187115">
        <w:rPr>
          <w:rFonts w:cs="Arial"/>
          <w:iCs/>
          <w:sz w:val="24"/>
          <w:szCs w:val="24"/>
        </w:rPr>
        <w:t xml:space="preserve"> </w:t>
      </w:r>
    </w:p>
    <w:p w14:paraId="3723C1FA" w14:textId="71D5711A" w:rsidR="00B91374" w:rsidRDefault="00B91374" w:rsidP="009513A3">
      <w:pPr>
        <w:rPr>
          <w:rFonts w:cs="Arial"/>
          <w:iCs/>
          <w:sz w:val="24"/>
          <w:szCs w:val="24"/>
        </w:rPr>
      </w:pPr>
    </w:p>
    <w:p w14:paraId="2460F81F" w14:textId="371B7289" w:rsidR="00B91374" w:rsidRDefault="00B91374" w:rsidP="009513A3">
      <w:pPr>
        <w:rPr>
          <w:rFonts w:cs="Arial"/>
          <w:iCs/>
          <w:sz w:val="24"/>
          <w:szCs w:val="24"/>
        </w:rPr>
      </w:pPr>
    </w:p>
    <w:p w14:paraId="3305D13B" w14:textId="77777777" w:rsidR="00B91374" w:rsidRDefault="00B91374" w:rsidP="009513A3">
      <w:pPr>
        <w:rPr>
          <w:rFonts w:cs="Arial"/>
          <w:iCs/>
          <w:sz w:val="24"/>
          <w:szCs w:val="24"/>
        </w:rPr>
      </w:pPr>
    </w:p>
    <w:p w14:paraId="42FF61D1" w14:textId="4897B5AC" w:rsidR="006A723A" w:rsidRPr="00530BBD" w:rsidRDefault="00682743" w:rsidP="00636EC9">
      <w:pPr>
        <w:rPr>
          <w:rFonts w:cstheme="minorHAnsi"/>
          <w:bCs/>
          <w:sz w:val="24"/>
          <w:szCs w:val="24"/>
        </w:rPr>
      </w:pPr>
      <w:r w:rsidRPr="009513A3">
        <w:rPr>
          <w:rFonts w:cstheme="minorHAnsi"/>
          <w:bCs/>
          <w:sz w:val="24"/>
          <w:szCs w:val="24"/>
        </w:rPr>
        <w:lastRenderedPageBreak/>
        <w:t>T</w:t>
      </w:r>
      <w:r>
        <w:rPr>
          <w:rFonts w:cstheme="minorHAnsi"/>
          <w:bCs/>
          <w:sz w:val="24"/>
          <w:szCs w:val="24"/>
        </w:rPr>
        <w:t>he second issue I chose to explore was attainment.</w:t>
      </w:r>
      <w:r w:rsidR="007E4921">
        <w:rPr>
          <w:rFonts w:cstheme="minorHAnsi"/>
          <w:bCs/>
          <w:sz w:val="24"/>
          <w:szCs w:val="24"/>
        </w:rPr>
        <w:t xml:space="preserve"> There have recently been some studies done into how educational attainment at primary school level </w:t>
      </w:r>
      <w:r w:rsidR="00636EC9">
        <w:rPr>
          <w:rFonts w:cstheme="minorHAnsi"/>
          <w:bCs/>
          <w:sz w:val="24"/>
          <w:szCs w:val="24"/>
        </w:rPr>
        <w:t xml:space="preserve">may </w:t>
      </w:r>
      <w:r w:rsidR="007E4921">
        <w:rPr>
          <w:rFonts w:cstheme="minorHAnsi"/>
          <w:bCs/>
          <w:sz w:val="24"/>
          <w:szCs w:val="24"/>
        </w:rPr>
        <w:t xml:space="preserve">contribute </w:t>
      </w:r>
      <w:r w:rsidR="00331588">
        <w:rPr>
          <w:rFonts w:cstheme="minorHAnsi"/>
          <w:bCs/>
          <w:sz w:val="24"/>
          <w:szCs w:val="24"/>
        </w:rPr>
        <w:t>to declining levels of personal</w:t>
      </w:r>
      <w:r w:rsidR="00252C24">
        <w:rPr>
          <w:rFonts w:cstheme="minorHAnsi"/>
          <w:bCs/>
          <w:sz w:val="24"/>
          <w:szCs w:val="24"/>
        </w:rPr>
        <w:t xml:space="preserve"> </w:t>
      </w:r>
      <w:r w:rsidR="00331588">
        <w:rPr>
          <w:rFonts w:cstheme="minorHAnsi"/>
          <w:bCs/>
          <w:sz w:val="24"/>
          <w:szCs w:val="24"/>
        </w:rPr>
        <w:t>care</w:t>
      </w:r>
      <w:r w:rsidR="00252C24">
        <w:rPr>
          <w:rFonts w:cstheme="minorHAnsi"/>
          <w:bCs/>
          <w:sz w:val="24"/>
          <w:szCs w:val="24"/>
        </w:rPr>
        <w:t xml:space="preserve"> of health</w:t>
      </w:r>
      <w:r w:rsidR="00331588">
        <w:rPr>
          <w:rFonts w:cstheme="minorHAnsi"/>
          <w:bCs/>
          <w:sz w:val="24"/>
          <w:szCs w:val="24"/>
        </w:rPr>
        <w:t xml:space="preserve"> </w:t>
      </w:r>
      <w:r w:rsidR="007E4921">
        <w:rPr>
          <w:rFonts w:cstheme="minorHAnsi"/>
          <w:bCs/>
          <w:sz w:val="24"/>
          <w:szCs w:val="24"/>
        </w:rPr>
        <w:t>in adolescents</w:t>
      </w:r>
      <w:r w:rsidR="00331588">
        <w:rPr>
          <w:rFonts w:cstheme="minorHAnsi"/>
          <w:bCs/>
          <w:sz w:val="24"/>
          <w:szCs w:val="24"/>
        </w:rPr>
        <w:t>,</w:t>
      </w:r>
      <w:r w:rsidR="007E4921">
        <w:rPr>
          <w:rStyle w:val="FootnoteReference"/>
          <w:rFonts w:cstheme="minorHAnsi"/>
          <w:bCs/>
          <w:sz w:val="24"/>
          <w:szCs w:val="24"/>
        </w:rPr>
        <w:footnoteReference w:id="17"/>
      </w:r>
      <w:r w:rsidR="00252C24">
        <w:rPr>
          <w:rFonts w:cstheme="minorHAnsi"/>
          <w:bCs/>
          <w:sz w:val="24"/>
          <w:szCs w:val="24"/>
        </w:rPr>
        <w:t xml:space="preserve"> as well as higher risk of experiencing depression.</w:t>
      </w:r>
      <w:r w:rsidR="00252C24">
        <w:rPr>
          <w:rStyle w:val="FootnoteReference"/>
          <w:rFonts w:cstheme="minorHAnsi"/>
          <w:bCs/>
          <w:sz w:val="24"/>
          <w:szCs w:val="24"/>
        </w:rPr>
        <w:footnoteReference w:id="18"/>
      </w:r>
      <w:r w:rsidR="00331588">
        <w:rPr>
          <w:rFonts w:cstheme="minorHAnsi"/>
          <w:bCs/>
          <w:sz w:val="24"/>
          <w:szCs w:val="24"/>
        </w:rPr>
        <w:t xml:space="preserve"> </w:t>
      </w:r>
      <w:r w:rsidR="00636EC9">
        <w:rPr>
          <w:rFonts w:cstheme="minorHAnsi"/>
          <w:bCs/>
          <w:sz w:val="24"/>
          <w:szCs w:val="24"/>
        </w:rPr>
        <w:t xml:space="preserve">The reasons why educational levels decline </w:t>
      </w:r>
      <w:r w:rsidR="00E75D31">
        <w:rPr>
          <w:rFonts w:cstheme="minorHAnsi"/>
          <w:bCs/>
          <w:sz w:val="24"/>
          <w:szCs w:val="24"/>
        </w:rPr>
        <w:t>has</w:t>
      </w:r>
      <w:r w:rsidR="00636EC9">
        <w:rPr>
          <w:rFonts w:cstheme="minorHAnsi"/>
          <w:bCs/>
          <w:sz w:val="24"/>
          <w:szCs w:val="24"/>
        </w:rPr>
        <w:t xml:space="preserve"> been attributed to gendered learning differences, learning difficulties, home situations</w:t>
      </w:r>
      <w:r w:rsidR="00E75D31">
        <w:rPr>
          <w:rFonts w:cstheme="minorHAnsi"/>
          <w:bCs/>
          <w:sz w:val="24"/>
          <w:szCs w:val="24"/>
        </w:rPr>
        <w:t>,</w:t>
      </w:r>
      <w:r w:rsidR="00E75D31">
        <w:rPr>
          <w:rStyle w:val="FootnoteReference"/>
          <w:rFonts w:cstheme="minorHAnsi"/>
          <w:bCs/>
          <w:sz w:val="24"/>
          <w:szCs w:val="24"/>
        </w:rPr>
        <w:footnoteReference w:id="19"/>
      </w:r>
      <w:r w:rsidR="00636EC9">
        <w:rPr>
          <w:rFonts w:cstheme="minorHAnsi"/>
          <w:bCs/>
          <w:sz w:val="24"/>
          <w:szCs w:val="24"/>
        </w:rPr>
        <w:t xml:space="preserve"> as well as an array of other issues. Residential moving has also recently been linked to attainment decline,</w:t>
      </w:r>
      <w:r w:rsidR="00636EC9">
        <w:rPr>
          <w:rStyle w:val="FootnoteReference"/>
          <w:rFonts w:cstheme="minorHAnsi"/>
          <w:bCs/>
          <w:sz w:val="24"/>
          <w:szCs w:val="24"/>
        </w:rPr>
        <w:footnoteReference w:id="20"/>
      </w:r>
      <w:r w:rsidR="00636EC9">
        <w:rPr>
          <w:rFonts w:cstheme="minorHAnsi"/>
          <w:bCs/>
          <w:sz w:val="24"/>
          <w:szCs w:val="24"/>
        </w:rPr>
        <w:t xml:space="preserve"> like </w:t>
      </w:r>
      <w:r w:rsidR="00FB0908">
        <w:rPr>
          <w:rFonts w:cstheme="minorHAnsi"/>
          <w:bCs/>
          <w:sz w:val="24"/>
          <w:szCs w:val="24"/>
        </w:rPr>
        <w:t xml:space="preserve">other studies </w:t>
      </w:r>
      <w:r w:rsidR="00636EC9">
        <w:rPr>
          <w:rFonts w:cstheme="minorHAnsi"/>
          <w:bCs/>
          <w:sz w:val="24"/>
          <w:szCs w:val="24"/>
        </w:rPr>
        <w:t>thi</w:t>
      </w:r>
      <w:r w:rsidR="00FB0908">
        <w:rPr>
          <w:rFonts w:cstheme="minorHAnsi"/>
          <w:bCs/>
          <w:sz w:val="24"/>
          <w:szCs w:val="24"/>
        </w:rPr>
        <w:t>s</w:t>
      </w:r>
      <w:r w:rsidR="00FA6367">
        <w:rPr>
          <w:rFonts w:cstheme="minorHAnsi"/>
          <w:bCs/>
          <w:sz w:val="24"/>
          <w:szCs w:val="24"/>
        </w:rPr>
        <w:t xml:space="preserve"> also links the way a student’s situation in </w:t>
      </w:r>
      <w:r w:rsidR="009636F0">
        <w:rPr>
          <w:rFonts w:cstheme="minorHAnsi"/>
          <w:bCs/>
          <w:sz w:val="24"/>
          <w:szCs w:val="24"/>
        </w:rPr>
        <w:t>p</w:t>
      </w:r>
      <w:r w:rsidR="00FA6367">
        <w:rPr>
          <w:rFonts w:cstheme="minorHAnsi"/>
          <w:bCs/>
          <w:sz w:val="24"/>
          <w:szCs w:val="24"/>
        </w:rPr>
        <w:t xml:space="preserve">rimary school has a long-term </w:t>
      </w:r>
      <w:r w:rsidR="004D3DA5">
        <w:rPr>
          <w:rFonts w:cstheme="minorHAnsi"/>
          <w:bCs/>
          <w:sz w:val="24"/>
          <w:szCs w:val="24"/>
        </w:rPr>
        <w:t>effect</w:t>
      </w:r>
      <w:r w:rsidR="00FA6367">
        <w:rPr>
          <w:rFonts w:cstheme="minorHAnsi"/>
          <w:bCs/>
          <w:sz w:val="24"/>
          <w:szCs w:val="24"/>
        </w:rPr>
        <w:t xml:space="preserve"> on their attainment at Secondary school level</w:t>
      </w:r>
      <w:r w:rsidR="00332956">
        <w:rPr>
          <w:rFonts w:cstheme="minorHAnsi"/>
          <w:bCs/>
          <w:sz w:val="24"/>
          <w:szCs w:val="24"/>
        </w:rPr>
        <w:t xml:space="preserve">, however not enough research has been done in regard to </w:t>
      </w:r>
      <w:r w:rsidR="00332956" w:rsidRPr="00332956">
        <w:rPr>
          <w:rFonts w:cstheme="minorHAnsi"/>
          <w:bCs/>
          <w:i/>
          <w:iCs/>
          <w:sz w:val="24"/>
          <w:szCs w:val="24"/>
        </w:rPr>
        <w:t>where</w:t>
      </w:r>
      <w:r w:rsidR="00332956">
        <w:rPr>
          <w:rFonts w:cstheme="minorHAnsi"/>
          <w:bCs/>
          <w:sz w:val="24"/>
          <w:szCs w:val="24"/>
        </w:rPr>
        <w:t xml:space="preserve"> the move was, this needs to be done to ensure that statistics on the matter reflect reality.</w:t>
      </w:r>
      <w:r w:rsidR="00B009F8">
        <w:rPr>
          <w:rFonts w:cstheme="minorHAnsi"/>
          <w:bCs/>
          <w:sz w:val="24"/>
          <w:szCs w:val="24"/>
        </w:rPr>
        <w:t xml:space="preserve"> According to WAG girls are currently outperforming boys in all core subjects and areas of learning (</w:t>
      </w:r>
      <w:proofErr w:type="spellStart"/>
      <w:r w:rsidR="00B009F8">
        <w:rPr>
          <w:rFonts w:cstheme="minorHAnsi"/>
          <w:bCs/>
          <w:sz w:val="24"/>
          <w:szCs w:val="24"/>
        </w:rPr>
        <w:t>AoE</w:t>
      </w:r>
      <w:proofErr w:type="spellEnd"/>
      <w:r w:rsidR="00B009F8">
        <w:rPr>
          <w:rFonts w:cstheme="minorHAnsi"/>
          <w:bCs/>
          <w:sz w:val="24"/>
          <w:szCs w:val="24"/>
        </w:rPr>
        <w:t>)</w:t>
      </w:r>
      <w:r w:rsidR="006A723A">
        <w:rPr>
          <w:rFonts w:cstheme="minorHAnsi"/>
          <w:bCs/>
          <w:sz w:val="24"/>
          <w:szCs w:val="24"/>
        </w:rPr>
        <w:t xml:space="preserve"> and compared to the last review of statistics in 2018 a lower percentage of students are achieving expected grades.</w:t>
      </w:r>
      <w:r w:rsidR="00B009F8">
        <w:rPr>
          <w:rStyle w:val="FootnoteReference"/>
          <w:rFonts w:cstheme="minorHAnsi"/>
          <w:bCs/>
          <w:sz w:val="24"/>
          <w:szCs w:val="24"/>
        </w:rPr>
        <w:footnoteReference w:id="21"/>
      </w:r>
      <w:r w:rsidR="006A723A">
        <w:rPr>
          <w:rFonts w:cstheme="minorHAnsi"/>
          <w:bCs/>
          <w:sz w:val="24"/>
          <w:szCs w:val="24"/>
        </w:rPr>
        <w:t xml:space="preserve"> This gender-difference has </w:t>
      </w:r>
      <w:r w:rsidR="006A723A">
        <w:rPr>
          <w:rFonts w:cstheme="minorHAnsi"/>
          <w:bCs/>
          <w:sz w:val="24"/>
          <w:szCs w:val="24"/>
        </w:rPr>
        <w:lastRenderedPageBreak/>
        <w:t>been speculated to be due to the fact that girls and boys ‘mature at different rates and on average girls are at a higher stage of development</w:t>
      </w:r>
      <w:r w:rsidR="00C24986">
        <w:rPr>
          <w:rFonts w:cstheme="minorHAnsi"/>
          <w:bCs/>
          <w:sz w:val="24"/>
          <w:szCs w:val="24"/>
        </w:rPr>
        <w:t>,</w:t>
      </w:r>
      <w:r w:rsidR="006A723A">
        <w:rPr>
          <w:rFonts w:cstheme="minorHAnsi"/>
          <w:bCs/>
          <w:sz w:val="24"/>
          <w:szCs w:val="24"/>
        </w:rPr>
        <w:t>’</w:t>
      </w:r>
      <w:r w:rsidR="006A723A">
        <w:rPr>
          <w:rStyle w:val="FootnoteReference"/>
          <w:rFonts w:cstheme="minorHAnsi"/>
          <w:bCs/>
          <w:sz w:val="24"/>
          <w:szCs w:val="24"/>
        </w:rPr>
        <w:footnoteReference w:id="22"/>
      </w:r>
      <w:r w:rsidR="00C24986">
        <w:rPr>
          <w:rFonts w:cstheme="minorHAnsi"/>
          <w:bCs/>
          <w:sz w:val="24"/>
          <w:szCs w:val="24"/>
        </w:rPr>
        <w:t xml:space="preserve"> however this gap between boys and girls has been increasing in recent years, increasing ten percentage points in the academic year of 2018-2019 in Science and Mathematics.</w:t>
      </w:r>
      <w:r w:rsidR="00C24986">
        <w:rPr>
          <w:rStyle w:val="FootnoteReference"/>
          <w:rFonts w:cstheme="minorHAnsi"/>
          <w:bCs/>
          <w:sz w:val="24"/>
          <w:szCs w:val="24"/>
        </w:rPr>
        <w:footnoteReference w:id="23"/>
      </w:r>
      <w:r w:rsidR="006A723A">
        <w:rPr>
          <w:rFonts w:cstheme="minorHAnsi"/>
          <w:bCs/>
          <w:sz w:val="24"/>
          <w:szCs w:val="24"/>
        </w:rPr>
        <w:t xml:space="preserve"> </w:t>
      </w:r>
      <w:r w:rsidR="005E5F8F">
        <w:rPr>
          <w:rFonts w:cstheme="minorHAnsi"/>
          <w:bCs/>
          <w:sz w:val="24"/>
          <w:szCs w:val="24"/>
        </w:rPr>
        <w:t>Maths Anxiety (MA) however has been more closely linked to girls than boys and develops during the primary education phase, though it does not seem to directly affect mathematic performance until early secondary school.</w:t>
      </w:r>
      <w:r w:rsidR="005E5F8F">
        <w:rPr>
          <w:rStyle w:val="FootnoteReference"/>
          <w:rFonts w:cstheme="minorHAnsi"/>
          <w:bCs/>
          <w:sz w:val="24"/>
          <w:szCs w:val="24"/>
        </w:rPr>
        <w:footnoteReference w:id="24"/>
      </w:r>
      <w:r w:rsidR="009144A4">
        <w:rPr>
          <w:rFonts w:cstheme="minorHAnsi"/>
          <w:bCs/>
          <w:sz w:val="24"/>
          <w:szCs w:val="24"/>
        </w:rPr>
        <w:t xml:space="preserve"> </w:t>
      </w:r>
      <w:r w:rsidR="006A723A">
        <w:rPr>
          <w:rFonts w:cstheme="minorHAnsi"/>
          <w:bCs/>
          <w:sz w:val="24"/>
          <w:szCs w:val="24"/>
        </w:rPr>
        <w:t xml:space="preserve">The lower </w:t>
      </w:r>
      <w:r w:rsidR="009144A4">
        <w:rPr>
          <w:rFonts w:cstheme="minorHAnsi"/>
          <w:bCs/>
          <w:sz w:val="24"/>
          <w:szCs w:val="24"/>
        </w:rPr>
        <w:t>number</w:t>
      </w:r>
      <w:r w:rsidR="006A723A">
        <w:rPr>
          <w:rFonts w:cstheme="minorHAnsi"/>
          <w:bCs/>
          <w:sz w:val="24"/>
          <w:szCs w:val="24"/>
        </w:rPr>
        <w:t xml:space="preserve"> of students in Wales achieving expected outcomes</w:t>
      </w:r>
      <w:r w:rsidR="00C24986">
        <w:rPr>
          <w:rFonts w:cstheme="minorHAnsi"/>
          <w:bCs/>
          <w:sz w:val="24"/>
          <w:szCs w:val="24"/>
        </w:rPr>
        <w:t xml:space="preserve"> (which is set at level 4)</w:t>
      </w:r>
      <w:r w:rsidR="00C24986">
        <w:rPr>
          <w:rStyle w:val="FootnoteReference"/>
          <w:rFonts w:cstheme="minorHAnsi"/>
          <w:bCs/>
          <w:sz w:val="24"/>
          <w:szCs w:val="24"/>
        </w:rPr>
        <w:footnoteReference w:id="25"/>
      </w:r>
      <w:r w:rsidR="006A723A">
        <w:rPr>
          <w:rFonts w:cstheme="minorHAnsi"/>
          <w:bCs/>
          <w:sz w:val="24"/>
          <w:szCs w:val="24"/>
        </w:rPr>
        <w:t xml:space="preserve"> has been </w:t>
      </w:r>
      <w:r w:rsidR="005A182B">
        <w:rPr>
          <w:rFonts w:cstheme="minorHAnsi"/>
          <w:bCs/>
          <w:sz w:val="24"/>
          <w:szCs w:val="24"/>
        </w:rPr>
        <w:t>linked</w:t>
      </w:r>
      <w:r w:rsidR="006A723A">
        <w:rPr>
          <w:rFonts w:cstheme="minorHAnsi"/>
          <w:bCs/>
          <w:sz w:val="24"/>
          <w:szCs w:val="24"/>
        </w:rPr>
        <w:t xml:space="preserve"> to </w:t>
      </w:r>
      <w:r w:rsidR="005A182B">
        <w:rPr>
          <w:rFonts w:cstheme="minorHAnsi"/>
          <w:bCs/>
          <w:sz w:val="24"/>
          <w:szCs w:val="24"/>
        </w:rPr>
        <w:t>the</w:t>
      </w:r>
      <w:r w:rsidR="006A723A">
        <w:rPr>
          <w:rFonts w:cstheme="minorHAnsi"/>
          <w:bCs/>
          <w:sz w:val="24"/>
          <w:szCs w:val="24"/>
        </w:rPr>
        <w:t xml:space="preserve"> recalibration of the way which WAG analyses outcomes and achievement in schools.</w:t>
      </w:r>
      <w:r w:rsidR="006A723A">
        <w:rPr>
          <w:rStyle w:val="FootnoteReference"/>
          <w:rFonts w:cstheme="minorHAnsi"/>
          <w:bCs/>
          <w:sz w:val="24"/>
          <w:szCs w:val="24"/>
        </w:rPr>
        <w:footnoteReference w:id="26"/>
      </w:r>
      <w:r w:rsidR="006A723A">
        <w:rPr>
          <w:rFonts w:cstheme="minorHAnsi"/>
          <w:bCs/>
          <w:sz w:val="24"/>
          <w:szCs w:val="24"/>
        </w:rPr>
        <w:t xml:space="preserve"> </w:t>
      </w:r>
    </w:p>
    <w:p w14:paraId="1BBB8FF0" w14:textId="77777777" w:rsidR="00530BBD" w:rsidRDefault="00530BBD" w:rsidP="009513A3">
      <w:pPr>
        <w:rPr>
          <w:rFonts w:cstheme="minorHAnsi"/>
          <w:bCs/>
          <w:sz w:val="24"/>
          <w:szCs w:val="24"/>
        </w:rPr>
      </w:pPr>
    </w:p>
    <w:p w14:paraId="1CE81F9F" w14:textId="25E6A102" w:rsidR="009513A3" w:rsidRPr="009513A3" w:rsidRDefault="009513A3" w:rsidP="009513A3">
      <w:pPr>
        <w:rPr>
          <w:rFonts w:cstheme="minorHAnsi"/>
          <w:bCs/>
          <w:sz w:val="24"/>
          <w:szCs w:val="24"/>
        </w:rPr>
      </w:pPr>
      <w:r w:rsidRPr="009513A3">
        <w:rPr>
          <w:rFonts w:cstheme="minorHAnsi"/>
          <w:bCs/>
          <w:sz w:val="24"/>
          <w:szCs w:val="24"/>
        </w:rPr>
        <w:t>To undertake the research</w:t>
      </w:r>
      <w:r w:rsidR="00752060">
        <w:rPr>
          <w:rFonts w:cstheme="minorHAnsi"/>
          <w:bCs/>
          <w:sz w:val="24"/>
          <w:szCs w:val="24"/>
        </w:rPr>
        <w:t xml:space="preserve"> required</w:t>
      </w:r>
      <w:r w:rsidRPr="009513A3">
        <w:rPr>
          <w:rFonts w:cstheme="minorHAnsi"/>
          <w:bCs/>
          <w:sz w:val="24"/>
          <w:szCs w:val="24"/>
        </w:rPr>
        <w:t xml:space="preserve"> </w:t>
      </w:r>
      <w:r w:rsidR="00752060">
        <w:rPr>
          <w:rFonts w:cstheme="minorHAnsi"/>
          <w:bCs/>
          <w:sz w:val="24"/>
          <w:szCs w:val="24"/>
        </w:rPr>
        <w:t>efficaciously</w:t>
      </w:r>
      <w:r w:rsidRPr="009513A3">
        <w:rPr>
          <w:rFonts w:cstheme="minorHAnsi"/>
          <w:bCs/>
          <w:sz w:val="24"/>
          <w:szCs w:val="24"/>
        </w:rPr>
        <w:t xml:space="preserve"> it was apparent that</w:t>
      </w:r>
      <w:r w:rsidR="009636F0">
        <w:rPr>
          <w:rFonts w:cstheme="minorHAnsi"/>
          <w:bCs/>
          <w:sz w:val="24"/>
          <w:szCs w:val="24"/>
        </w:rPr>
        <w:t xml:space="preserve"> </w:t>
      </w:r>
      <w:r w:rsidR="009636F0" w:rsidRPr="009513A3">
        <w:rPr>
          <w:rFonts w:cstheme="minorHAnsi"/>
          <w:bCs/>
          <w:sz w:val="24"/>
          <w:szCs w:val="24"/>
        </w:rPr>
        <w:t xml:space="preserve">the experience </w:t>
      </w:r>
      <w:r w:rsidRPr="009513A3">
        <w:rPr>
          <w:rFonts w:cstheme="minorHAnsi"/>
          <w:bCs/>
          <w:sz w:val="24"/>
          <w:szCs w:val="24"/>
        </w:rPr>
        <w:t xml:space="preserve">would need </w:t>
      </w:r>
      <w:r w:rsidR="00CF76A8">
        <w:rPr>
          <w:rFonts w:cstheme="minorHAnsi"/>
          <w:bCs/>
          <w:sz w:val="24"/>
          <w:szCs w:val="24"/>
        </w:rPr>
        <w:t>to</w:t>
      </w:r>
      <w:r w:rsidR="009636F0">
        <w:rPr>
          <w:rFonts w:cstheme="minorHAnsi"/>
          <w:bCs/>
          <w:sz w:val="24"/>
          <w:szCs w:val="24"/>
        </w:rPr>
        <w:t xml:space="preserve"> be</w:t>
      </w:r>
      <w:r w:rsidR="00CF76A8">
        <w:rPr>
          <w:rFonts w:cstheme="minorHAnsi"/>
          <w:bCs/>
          <w:sz w:val="24"/>
          <w:szCs w:val="24"/>
        </w:rPr>
        <w:t xml:space="preserve"> </w:t>
      </w:r>
      <w:r w:rsidRPr="009513A3">
        <w:rPr>
          <w:rFonts w:cstheme="minorHAnsi"/>
          <w:bCs/>
          <w:sz w:val="24"/>
          <w:szCs w:val="24"/>
        </w:rPr>
        <w:t>document</w:t>
      </w:r>
      <w:r w:rsidR="009636F0">
        <w:rPr>
          <w:rFonts w:cstheme="minorHAnsi"/>
          <w:bCs/>
          <w:sz w:val="24"/>
          <w:szCs w:val="24"/>
        </w:rPr>
        <w:t>ed</w:t>
      </w:r>
      <w:r w:rsidRPr="009513A3">
        <w:rPr>
          <w:rFonts w:cstheme="minorHAnsi"/>
          <w:bCs/>
          <w:sz w:val="24"/>
          <w:szCs w:val="24"/>
        </w:rPr>
        <w:t xml:space="preserve"> and measure</w:t>
      </w:r>
      <w:r w:rsidR="009636F0">
        <w:rPr>
          <w:rFonts w:cstheme="minorHAnsi"/>
          <w:bCs/>
          <w:sz w:val="24"/>
          <w:szCs w:val="24"/>
        </w:rPr>
        <w:t>d</w:t>
      </w:r>
      <w:r w:rsidRPr="009513A3">
        <w:rPr>
          <w:rFonts w:cstheme="minorHAnsi"/>
          <w:bCs/>
          <w:sz w:val="24"/>
          <w:szCs w:val="24"/>
        </w:rPr>
        <w:t xml:space="preserve"> in a way which could be presented academically</w:t>
      </w:r>
      <w:r w:rsidR="00FC4F16">
        <w:rPr>
          <w:rFonts w:cstheme="minorHAnsi"/>
          <w:bCs/>
          <w:sz w:val="24"/>
          <w:szCs w:val="24"/>
        </w:rPr>
        <w:t xml:space="preserve"> and ethically</w:t>
      </w:r>
      <w:r w:rsidRPr="009513A3">
        <w:rPr>
          <w:rFonts w:cstheme="minorHAnsi"/>
          <w:bCs/>
          <w:sz w:val="24"/>
          <w:szCs w:val="24"/>
        </w:rPr>
        <w:t>.</w:t>
      </w:r>
      <w:r>
        <w:rPr>
          <w:rFonts w:cstheme="minorHAnsi"/>
          <w:bCs/>
          <w:sz w:val="24"/>
          <w:szCs w:val="24"/>
        </w:rPr>
        <w:t xml:space="preserve"> As most of the research was documented as a result of human interaction, I kept a journal</w:t>
      </w:r>
      <w:r w:rsidR="00ED61A5">
        <w:rPr>
          <w:rFonts w:cstheme="minorHAnsi"/>
          <w:bCs/>
          <w:sz w:val="24"/>
          <w:szCs w:val="24"/>
        </w:rPr>
        <w:t xml:space="preserve"> which </w:t>
      </w:r>
      <w:r w:rsidR="00C36DFC">
        <w:rPr>
          <w:rFonts w:cstheme="minorHAnsi"/>
          <w:bCs/>
          <w:sz w:val="24"/>
          <w:szCs w:val="24"/>
        </w:rPr>
        <w:t>was</w:t>
      </w:r>
      <w:r w:rsidR="00ED61A5">
        <w:rPr>
          <w:rFonts w:cstheme="minorHAnsi"/>
          <w:bCs/>
          <w:sz w:val="24"/>
          <w:szCs w:val="24"/>
        </w:rPr>
        <w:t xml:space="preserve"> updated daily whilst</w:t>
      </w:r>
      <w:r>
        <w:rPr>
          <w:rFonts w:cstheme="minorHAnsi"/>
          <w:bCs/>
          <w:sz w:val="24"/>
          <w:szCs w:val="24"/>
        </w:rPr>
        <w:t xml:space="preserve"> tr</w:t>
      </w:r>
      <w:r w:rsidR="00ED61A5">
        <w:rPr>
          <w:rFonts w:cstheme="minorHAnsi"/>
          <w:bCs/>
          <w:sz w:val="24"/>
          <w:szCs w:val="24"/>
        </w:rPr>
        <w:t>ying</w:t>
      </w:r>
      <w:r>
        <w:rPr>
          <w:rFonts w:cstheme="minorHAnsi"/>
          <w:bCs/>
          <w:sz w:val="24"/>
          <w:szCs w:val="24"/>
        </w:rPr>
        <w:t xml:space="preserve"> to be as accurate as possible with anything that interested me</w:t>
      </w:r>
      <w:r w:rsidR="00705F4E">
        <w:rPr>
          <w:rFonts w:cstheme="minorHAnsi"/>
          <w:bCs/>
          <w:sz w:val="24"/>
          <w:szCs w:val="24"/>
        </w:rPr>
        <w:t xml:space="preserve"> about</w:t>
      </w:r>
      <w:r>
        <w:rPr>
          <w:rFonts w:cstheme="minorHAnsi"/>
          <w:bCs/>
          <w:sz w:val="24"/>
          <w:szCs w:val="24"/>
        </w:rPr>
        <w:t xml:space="preserve"> day to day events </w:t>
      </w:r>
      <w:r w:rsidR="00ED61A5">
        <w:rPr>
          <w:rFonts w:cstheme="minorHAnsi"/>
          <w:bCs/>
          <w:sz w:val="24"/>
          <w:szCs w:val="24"/>
        </w:rPr>
        <w:t>as well as</w:t>
      </w:r>
      <w:r>
        <w:rPr>
          <w:rFonts w:cstheme="minorHAnsi"/>
          <w:bCs/>
          <w:sz w:val="24"/>
          <w:szCs w:val="24"/>
        </w:rPr>
        <w:t xml:space="preserve"> the</w:t>
      </w:r>
      <w:r w:rsidR="0062396B">
        <w:rPr>
          <w:rFonts w:cstheme="minorHAnsi"/>
          <w:bCs/>
          <w:sz w:val="24"/>
          <w:szCs w:val="24"/>
        </w:rPr>
        <w:t xml:space="preserve"> two key issues</w:t>
      </w:r>
      <w:r>
        <w:rPr>
          <w:rFonts w:cstheme="minorHAnsi"/>
          <w:bCs/>
          <w:sz w:val="24"/>
          <w:szCs w:val="24"/>
        </w:rPr>
        <w:t>.</w:t>
      </w:r>
      <w:r w:rsidR="0062396B">
        <w:rPr>
          <w:rFonts w:cstheme="minorHAnsi"/>
          <w:bCs/>
          <w:sz w:val="24"/>
          <w:szCs w:val="24"/>
        </w:rPr>
        <w:t xml:space="preserve"> Also, I </w:t>
      </w:r>
      <w:r w:rsidR="006042EB">
        <w:rPr>
          <w:rFonts w:cstheme="minorHAnsi"/>
          <w:bCs/>
          <w:sz w:val="24"/>
          <w:szCs w:val="24"/>
        </w:rPr>
        <w:t xml:space="preserve">formed a </w:t>
      </w:r>
      <w:r w:rsidR="0062396B">
        <w:rPr>
          <w:rFonts w:cstheme="minorHAnsi"/>
          <w:bCs/>
          <w:sz w:val="24"/>
          <w:szCs w:val="24"/>
        </w:rPr>
        <w:t>questionnaire</w:t>
      </w:r>
      <w:r w:rsidR="006042EB">
        <w:rPr>
          <w:rFonts w:cstheme="minorHAnsi"/>
          <w:bCs/>
          <w:sz w:val="24"/>
          <w:szCs w:val="24"/>
        </w:rPr>
        <w:t xml:space="preserve"> to ask staff with</w:t>
      </w:r>
      <w:r w:rsidR="0062396B">
        <w:rPr>
          <w:rFonts w:cstheme="minorHAnsi"/>
          <w:bCs/>
          <w:sz w:val="24"/>
          <w:szCs w:val="24"/>
        </w:rPr>
        <w:t xml:space="preserve"> their permission to use their answers confidentially </w:t>
      </w:r>
      <w:r w:rsidR="00FC4F16">
        <w:rPr>
          <w:rFonts w:cstheme="minorHAnsi"/>
          <w:bCs/>
          <w:sz w:val="24"/>
          <w:szCs w:val="24"/>
        </w:rPr>
        <w:t>without names</w:t>
      </w:r>
      <w:r w:rsidR="004F6FF8">
        <w:rPr>
          <w:rFonts w:cstheme="minorHAnsi"/>
          <w:bCs/>
          <w:sz w:val="24"/>
          <w:szCs w:val="24"/>
        </w:rPr>
        <w:t xml:space="preserve"> </w:t>
      </w:r>
      <w:r w:rsidR="00FC4F16">
        <w:rPr>
          <w:rFonts w:cstheme="minorHAnsi"/>
          <w:bCs/>
          <w:sz w:val="24"/>
          <w:szCs w:val="24"/>
        </w:rPr>
        <w:t>(</w:t>
      </w:r>
      <w:r w:rsidR="004F6FF8">
        <w:rPr>
          <w:rFonts w:cstheme="minorHAnsi"/>
          <w:bCs/>
          <w:sz w:val="24"/>
          <w:szCs w:val="24"/>
        </w:rPr>
        <w:t>this could be considered as a survey</w:t>
      </w:r>
      <w:r w:rsidR="00FC4F16">
        <w:rPr>
          <w:rFonts w:cstheme="minorHAnsi"/>
          <w:bCs/>
          <w:sz w:val="24"/>
          <w:szCs w:val="24"/>
        </w:rPr>
        <w:t>)</w:t>
      </w:r>
      <w:r w:rsidR="004F6FF8">
        <w:rPr>
          <w:rStyle w:val="FootnoteReference"/>
          <w:rFonts w:cstheme="minorHAnsi"/>
          <w:bCs/>
          <w:sz w:val="24"/>
          <w:szCs w:val="24"/>
        </w:rPr>
        <w:footnoteReference w:id="27"/>
      </w:r>
      <w:r w:rsidR="004F6FF8">
        <w:rPr>
          <w:rFonts w:cstheme="minorHAnsi"/>
          <w:bCs/>
          <w:sz w:val="24"/>
          <w:szCs w:val="24"/>
        </w:rPr>
        <w:t xml:space="preserve"> as well as undertaking conversations which were essentially less structured interviews.</w:t>
      </w:r>
      <w:r w:rsidR="004F6FF8">
        <w:rPr>
          <w:rStyle w:val="FootnoteReference"/>
          <w:rFonts w:cstheme="minorHAnsi"/>
          <w:bCs/>
          <w:sz w:val="24"/>
          <w:szCs w:val="24"/>
        </w:rPr>
        <w:footnoteReference w:id="28"/>
      </w:r>
      <w:r>
        <w:rPr>
          <w:rFonts w:cstheme="minorHAnsi"/>
          <w:bCs/>
          <w:sz w:val="24"/>
          <w:szCs w:val="24"/>
        </w:rPr>
        <w:t xml:space="preserve"> This</w:t>
      </w:r>
      <w:r w:rsidR="0062396B">
        <w:rPr>
          <w:rFonts w:cstheme="minorHAnsi"/>
          <w:bCs/>
          <w:sz w:val="24"/>
          <w:szCs w:val="24"/>
        </w:rPr>
        <w:t xml:space="preserve"> information</w:t>
      </w:r>
      <w:r>
        <w:rPr>
          <w:rFonts w:cstheme="minorHAnsi"/>
          <w:bCs/>
          <w:sz w:val="24"/>
          <w:szCs w:val="24"/>
        </w:rPr>
        <w:t xml:space="preserve"> therefore became a log of </w:t>
      </w:r>
      <w:r>
        <w:rPr>
          <w:rFonts w:cstheme="minorHAnsi"/>
          <w:bCs/>
          <w:sz w:val="24"/>
          <w:szCs w:val="24"/>
        </w:rPr>
        <w:lastRenderedPageBreak/>
        <w:t>much of my qualitative data. To try to quantify this data in numbers and statistics, I asked the head teacher</w:t>
      </w:r>
      <w:r w:rsidR="00ED61A5">
        <w:rPr>
          <w:rFonts w:cstheme="minorHAnsi"/>
          <w:bCs/>
          <w:sz w:val="24"/>
          <w:szCs w:val="24"/>
        </w:rPr>
        <w:t xml:space="preserve"> if he could give me existing and current statistics on the</w:t>
      </w:r>
      <w:r w:rsidR="007E4921" w:rsidRPr="007E4921">
        <w:rPr>
          <w:rFonts w:ascii="Arial" w:hAnsi="Arial" w:cs="Arial"/>
          <w:color w:val="2E2E2E"/>
          <w:sz w:val="21"/>
          <w:szCs w:val="21"/>
          <w:bdr w:val="none" w:sz="0" w:space="0" w:color="auto" w:frame="1"/>
        </w:rPr>
        <w:t xml:space="preserve"> </w:t>
      </w:r>
      <w:r w:rsidR="00ED61A5">
        <w:rPr>
          <w:rFonts w:cstheme="minorHAnsi"/>
          <w:bCs/>
          <w:sz w:val="24"/>
          <w:szCs w:val="24"/>
        </w:rPr>
        <w:t xml:space="preserve">school as well as printouts of any policies he thought to be relevant on the issues I had chosen. This became part of my quantitative data. My methodology was to try and bring both statistics and experience together </w:t>
      </w:r>
      <w:r w:rsidR="00063644">
        <w:rPr>
          <w:rFonts w:cstheme="minorHAnsi"/>
          <w:bCs/>
          <w:sz w:val="24"/>
          <w:szCs w:val="24"/>
        </w:rPr>
        <w:t>by using</w:t>
      </w:r>
      <w:r w:rsidR="00ED61A5">
        <w:rPr>
          <w:rFonts w:cstheme="minorHAnsi"/>
          <w:bCs/>
          <w:sz w:val="24"/>
          <w:szCs w:val="24"/>
        </w:rPr>
        <w:t xml:space="preserve"> a </w:t>
      </w:r>
      <w:r w:rsidR="008D706E">
        <w:rPr>
          <w:rFonts w:cstheme="minorHAnsi"/>
          <w:bCs/>
          <w:sz w:val="24"/>
          <w:szCs w:val="24"/>
        </w:rPr>
        <w:t>mixed method</w:t>
      </w:r>
      <w:r w:rsidR="00ED61A5">
        <w:rPr>
          <w:rFonts w:cstheme="minorHAnsi"/>
          <w:bCs/>
          <w:sz w:val="24"/>
          <w:szCs w:val="24"/>
        </w:rPr>
        <w:t xml:space="preserve"> approach to try and solidify the experiences being had into a place where they could be analysed</w:t>
      </w:r>
      <w:r w:rsidR="00063644">
        <w:rPr>
          <w:rFonts w:cstheme="minorHAnsi"/>
          <w:bCs/>
          <w:sz w:val="24"/>
          <w:szCs w:val="24"/>
        </w:rPr>
        <w:t>,</w:t>
      </w:r>
      <w:r w:rsidR="00ED61A5">
        <w:rPr>
          <w:rFonts w:cstheme="minorHAnsi"/>
          <w:bCs/>
          <w:sz w:val="24"/>
          <w:szCs w:val="24"/>
        </w:rPr>
        <w:t xml:space="preserve"> recorded and quantified without infringing on any ethical issues</w:t>
      </w:r>
      <w:r w:rsidR="00FC4F16">
        <w:rPr>
          <w:rFonts w:cstheme="minorHAnsi"/>
          <w:bCs/>
          <w:sz w:val="24"/>
          <w:szCs w:val="24"/>
        </w:rPr>
        <w:t xml:space="preserve"> such as child protection or confidentiality laws</w:t>
      </w:r>
      <w:r w:rsidR="00ED61A5">
        <w:rPr>
          <w:rFonts w:cstheme="minorHAnsi"/>
          <w:bCs/>
          <w:sz w:val="24"/>
          <w:szCs w:val="24"/>
        </w:rPr>
        <w:t>.</w:t>
      </w:r>
      <w:r w:rsidR="00C10F8A">
        <w:rPr>
          <w:rFonts w:cstheme="minorHAnsi"/>
          <w:bCs/>
          <w:sz w:val="24"/>
          <w:szCs w:val="24"/>
        </w:rPr>
        <w:t xml:space="preserve"> These ethical issues were discussed before we went on placement in lectures and ethics forms needed to be signed, if there were also BERA guidelines available on Moodle.</w:t>
      </w:r>
      <w:r w:rsidR="0062396B">
        <w:rPr>
          <w:rFonts w:cstheme="minorHAnsi"/>
          <w:bCs/>
          <w:sz w:val="24"/>
          <w:szCs w:val="24"/>
        </w:rPr>
        <w:t xml:space="preserve"> </w:t>
      </w:r>
      <w:r w:rsidR="00C10F8A">
        <w:rPr>
          <w:rFonts w:cstheme="minorHAnsi"/>
          <w:bCs/>
          <w:sz w:val="24"/>
          <w:szCs w:val="24"/>
        </w:rPr>
        <w:t>A</w:t>
      </w:r>
      <w:r w:rsidR="00ED61A5">
        <w:rPr>
          <w:rFonts w:cstheme="minorHAnsi"/>
          <w:bCs/>
          <w:sz w:val="24"/>
          <w:szCs w:val="24"/>
        </w:rPr>
        <w:t>s with all things which are a result of human interaction, interpretation of the events and how we see them can often be influenced by the person reading/listening to the information in question as well as how they interpret the meaning which they have applied to the interaction.</w:t>
      </w:r>
      <w:r w:rsidR="008D706E">
        <w:rPr>
          <w:rFonts w:cstheme="minorHAnsi"/>
          <w:bCs/>
          <w:sz w:val="24"/>
          <w:szCs w:val="24"/>
        </w:rPr>
        <w:t xml:space="preserve"> Also, whilst relying on the research of others is important, it can also influence the outcome of your own work.</w:t>
      </w:r>
      <w:r w:rsidR="00ED61A5">
        <w:rPr>
          <w:rFonts w:cstheme="minorHAnsi"/>
          <w:bCs/>
          <w:sz w:val="24"/>
          <w:szCs w:val="24"/>
        </w:rPr>
        <w:t xml:space="preserve"> Therefore, whilst researching, it was important to constantly have</w:t>
      </w:r>
      <w:r w:rsidR="0062396B">
        <w:rPr>
          <w:rFonts w:cstheme="minorHAnsi"/>
          <w:bCs/>
          <w:sz w:val="24"/>
          <w:szCs w:val="24"/>
        </w:rPr>
        <w:t xml:space="preserve"> all </w:t>
      </w:r>
      <w:r w:rsidR="00ED61A5">
        <w:rPr>
          <w:rFonts w:cstheme="minorHAnsi"/>
          <w:bCs/>
          <w:sz w:val="24"/>
          <w:szCs w:val="24"/>
        </w:rPr>
        <w:t>this in mind and try to be as unbiased to the information I was receiving through conversation and my presence within the setting as I could</w:t>
      </w:r>
      <w:r w:rsidR="004F6FF8">
        <w:rPr>
          <w:rFonts w:cstheme="minorHAnsi"/>
          <w:bCs/>
          <w:sz w:val="24"/>
          <w:szCs w:val="24"/>
        </w:rPr>
        <w:t xml:space="preserve"> in order to try and not apply any meaning to the information being received which may not have actually been there</w:t>
      </w:r>
      <w:r w:rsidR="00ED61A5">
        <w:rPr>
          <w:rFonts w:cstheme="minorHAnsi"/>
          <w:bCs/>
          <w:sz w:val="24"/>
          <w:szCs w:val="24"/>
        </w:rPr>
        <w:t xml:space="preserve">. </w:t>
      </w:r>
    </w:p>
    <w:p w14:paraId="103E2BB0" w14:textId="77777777" w:rsidR="0014139E" w:rsidRDefault="0014139E" w:rsidP="009513A3">
      <w:pPr>
        <w:rPr>
          <w:rFonts w:ascii="Arial" w:hAnsi="Arial" w:cs="Arial"/>
          <w:b/>
          <w:szCs w:val="24"/>
        </w:rPr>
      </w:pPr>
    </w:p>
    <w:p w14:paraId="00B78AF7" w14:textId="10719097" w:rsidR="00C3069D" w:rsidRDefault="00876B97" w:rsidP="009513A3">
      <w:pPr>
        <w:rPr>
          <w:rFonts w:cstheme="minorHAnsi"/>
          <w:iCs/>
          <w:color w:val="000000" w:themeColor="text1"/>
          <w:sz w:val="24"/>
          <w:szCs w:val="24"/>
        </w:rPr>
      </w:pPr>
      <w:r w:rsidRPr="003A2FE8">
        <w:rPr>
          <w:rFonts w:cstheme="minorHAnsi"/>
          <w:iCs/>
          <w:sz w:val="24"/>
          <w:szCs w:val="24"/>
        </w:rPr>
        <w:t xml:space="preserve">Whilst in YCH, I discovered that healthy eating was not only a worry for the head-teacher, </w:t>
      </w:r>
      <w:r w:rsidRPr="003A2FE8">
        <w:rPr>
          <w:rFonts w:cstheme="minorHAnsi"/>
          <w:iCs/>
          <w:color w:val="000000" w:themeColor="text1"/>
          <w:sz w:val="24"/>
          <w:szCs w:val="24"/>
        </w:rPr>
        <w:t>but also all other teachers including th</w:t>
      </w:r>
      <w:r w:rsidR="003F3243">
        <w:rPr>
          <w:rFonts w:cstheme="minorHAnsi"/>
          <w:iCs/>
          <w:color w:val="000000" w:themeColor="text1"/>
          <w:sz w:val="24"/>
          <w:szCs w:val="24"/>
        </w:rPr>
        <w:t>ose working in the</w:t>
      </w:r>
      <w:r w:rsidRPr="003A2FE8">
        <w:rPr>
          <w:rFonts w:cstheme="minorHAnsi"/>
          <w:iCs/>
          <w:color w:val="000000" w:themeColor="text1"/>
          <w:sz w:val="24"/>
          <w:szCs w:val="24"/>
        </w:rPr>
        <w:t xml:space="preserve"> kitchen.  A prominent theme which presented itself from</w:t>
      </w:r>
      <w:r w:rsidR="00407D32">
        <w:rPr>
          <w:rFonts w:cstheme="minorHAnsi"/>
          <w:iCs/>
          <w:color w:val="000000" w:themeColor="text1"/>
          <w:sz w:val="24"/>
          <w:szCs w:val="24"/>
        </w:rPr>
        <w:t xml:space="preserve"> both</w:t>
      </w:r>
      <w:r w:rsidRPr="003A2FE8">
        <w:rPr>
          <w:rFonts w:cstheme="minorHAnsi"/>
          <w:iCs/>
          <w:color w:val="000000" w:themeColor="text1"/>
          <w:sz w:val="24"/>
          <w:szCs w:val="24"/>
        </w:rPr>
        <w:t xml:space="preserve"> </w:t>
      </w:r>
      <w:r w:rsidR="00407D32">
        <w:rPr>
          <w:rFonts w:cstheme="minorHAnsi"/>
          <w:iCs/>
          <w:color w:val="000000" w:themeColor="text1"/>
          <w:sz w:val="24"/>
          <w:szCs w:val="24"/>
        </w:rPr>
        <w:t xml:space="preserve">informal undocumented </w:t>
      </w:r>
      <w:r w:rsidRPr="003A2FE8">
        <w:rPr>
          <w:rFonts w:cstheme="minorHAnsi"/>
          <w:iCs/>
          <w:color w:val="000000" w:themeColor="text1"/>
          <w:sz w:val="24"/>
          <w:szCs w:val="24"/>
        </w:rPr>
        <w:t>conversations</w:t>
      </w:r>
      <w:r w:rsidR="00407D32">
        <w:rPr>
          <w:rFonts w:cstheme="minorHAnsi"/>
          <w:iCs/>
          <w:color w:val="000000" w:themeColor="text1"/>
          <w:sz w:val="24"/>
          <w:szCs w:val="24"/>
        </w:rPr>
        <w:t xml:space="preserve"> and the</w:t>
      </w:r>
      <w:r w:rsidR="00A367D5">
        <w:rPr>
          <w:rFonts w:cstheme="minorHAnsi"/>
          <w:iCs/>
          <w:color w:val="000000" w:themeColor="text1"/>
          <w:sz w:val="24"/>
          <w:szCs w:val="24"/>
        </w:rPr>
        <w:t xml:space="preserve"> </w:t>
      </w:r>
      <w:r w:rsidR="00407D32">
        <w:rPr>
          <w:rFonts w:cstheme="minorHAnsi"/>
          <w:iCs/>
          <w:color w:val="000000" w:themeColor="text1"/>
          <w:sz w:val="24"/>
          <w:szCs w:val="24"/>
        </w:rPr>
        <w:t>questionnaires undertaken</w:t>
      </w:r>
      <w:r w:rsidRPr="003A2FE8">
        <w:rPr>
          <w:rFonts w:cstheme="minorHAnsi"/>
          <w:iCs/>
          <w:color w:val="000000" w:themeColor="text1"/>
          <w:sz w:val="24"/>
          <w:szCs w:val="24"/>
        </w:rPr>
        <w:t xml:space="preserve"> in relation to th</w:t>
      </w:r>
      <w:r w:rsidR="003A2FE8" w:rsidRPr="003A2FE8">
        <w:rPr>
          <w:rFonts w:cstheme="minorHAnsi"/>
          <w:iCs/>
          <w:color w:val="000000" w:themeColor="text1"/>
          <w:sz w:val="24"/>
          <w:szCs w:val="24"/>
        </w:rPr>
        <w:t>e</w:t>
      </w:r>
      <w:r w:rsidRPr="003A2FE8">
        <w:rPr>
          <w:rFonts w:cstheme="minorHAnsi"/>
          <w:iCs/>
          <w:color w:val="000000" w:themeColor="text1"/>
          <w:sz w:val="24"/>
          <w:szCs w:val="24"/>
        </w:rPr>
        <w:t xml:space="preserve"> subject revealed that most staff thought that </w:t>
      </w:r>
      <w:r w:rsidR="00A367D5">
        <w:rPr>
          <w:rFonts w:cstheme="minorHAnsi"/>
          <w:iCs/>
          <w:color w:val="000000" w:themeColor="text1"/>
          <w:sz w:val="24"/>
          <w:szCs w:val="24"/>
        </w:rPr>
        <w:t>issues</w:t>
      </w:r>
      <w:r w:rsidRPr="003A2FE8">
        <w:rPr>
          <w:rFonts w:cstheme="minorHAnsi"/>
          <w:iCs/>
          <w:color w:val="000000" w:themeColor="text1"/>
          <w:sz w:val="24"/>
          <w:szCs w:val="24"/>
        </w:rPr>
        <w:t xml:space="preserve"> </w:t>
      </w:r>
      <w:r w:rsidR="00A367D5">
        <w:rPr>
          <w:rFonts w:cstheme="minorHAnsi"/>
          <w:iCs/>
          <w:color w:val="000000" w:themeColor="text1"/>
          <w:sz w:val="24"/>
          <w:szCs w:val="24"/>
        </w:rPr>
        <w:t>arose</w:t>
      </w:r>
      <w:r w:rsidRPr="003A2FE8">
        <w:rPr>
          <w:rFonts w:cstheme="minorHAnsi"/>
          <w:iCs/>
          <w:color w:val="000000" w:themeColor="text1"/>
          <w:sz w:val="24"/>
          <w:szCs w:val="24"/>
        </w:rPr>
        <w:t xml:space="preserve"> </w:t>
      </w:r>
      <w:r w:rsidR="00A367D5">
        <w:rPr>
          <w:rFonts w:cstheme="minorHAnsi"/>
          <w:iCs/>
          <w:color w:val="000000" w:themeColor="text1"/>
          <w:sz w:val="24"/>
          <w:szCs w:val="24"/>
        </w:rPr>
        <w:t>due to</w:t>
      </w:r>
      <w:r w:rsidRPr="003A2FE8">
        <w:rPr>
          <w:rFonts w:cstheme="minorHAnsi"/>
          <w:iCs/>
          <w:color w:val="000000" w:themeColor="text1"/>
          <w:sz w:val="24"/>
          <w:szCs w:val="24"/>
        </w:rPr>
        <w:t xml:space="preserve"> parental attitude to food at home and how the child interprets this and </w:t>
      </w:r>
      <w:r w:rsidRPr="003A2FE8">
        <w:rPr>
          <w:rFonts w:cstheme="minorHAnsi"/>
          <w:iCs/>
          <w:color w:val="000000" w:themeColor="text1"/>
          <w:sz w:val="24"/>
          <w:szCs w:val="24"/>
        </w:rPr>
        <w:lastRenderedPageBreak/>
        <w:t xml:space="preserve">applies it to food within the school. </w:t>
      </w:r>
      <w:r w:rsidR="00A367D5">
        <w:rPr>
          <w:rFonts w:cstheme="minorHAnsi"/>
          <w:iCs/>
          <w:color w:val="000000" w:themeColor="text1"/>
          <w:sz w:val="24"/>
          <w:szCs w:val="24"/>
        </w:rPr>
        <w:t>T</w:t>
      </w:r>
      <w:r w:rsidR="002E2888">
        <w:rPr>
          <w:rFonts w:cstheme="minorHAnsi"/>
          <w:iCs/>
          <w:color w:val="000000" w:themeColor="text1"/>
          <w:sz w:val="24"/>
          <w:szCs w:val="24"/>
        </w:rPr>
        <w:t>here was no formal Healthy Eating policy for the school,</w:t>
      </w:r>
      <w:r w:rsidR="009636F0">
        <w:rPr>
          <w:rFonts w:cstheme="minorHAnsi"/>
          <w:iCs/>
          <w:color w:val="000000" w:themeColor="text1"/>
          <w:sz w:val="24"/>
          <w:szCs w:val="24"/>
        </w:rPr>
        <w:t xml:space="preserve"> after asking</w:t>
      </w:r>
      <w:r w:rsidR="002E2888">
        <w:rPr>
          <w:rFonts w:cstheme="minorHAnsi"/>
          <w:iCs/>
          <w:color w:val="000000" w:themeColor="text1"/>
          <w:sz w:val="24"/>
          <w:szCs w:val="24"/>
        </w:rPr>
        <w:t xml:space="preserve"> </w:t>
      </w:r>
      <w:r w:rsidR="009636F0">
        <w:rPr>
          <w:rFonts w:cstheme="minorHAnsi"/>
          <w:iCs/>
          <w:color w:val="000000" w:themeColor="text1"/>
          <w:sz w:val="24"/>
          <w:szCs w:val="24"/>
        </w:rPr>
        <w:t>the headteacher</w:t>
      </w:r>
      <w:r w:rsidR="002E2888">
        <w:rPr>
          <w:rFonts w:cstheme="minorHAnsi"/>
          <w:iCs/>
          <w:color w:val="000000" w:themeColor="text1"/>
          <w:sz w:val="24"/>
          <w:szCs w:val="24"/>
        </w:rPr>
        <w:t>, he stated that this was due to it being hard to enforce, as well as the LEA overseeing the weekly menu and regulations for school dinners.</w:t>
      </w:r>
    </w:p>
    <w:p w14:paraId="163FA1D0" w14:textId="61E36F7C" w:rsidR="00876B97" w:rsidRPr="00407D32" w:rsidRDefault="00876B97" w:rsidP="009513A3">
      <w:pPr>
        <w:rPr>
          <w:rFonts w:cstheme="minorHAnsi"/>
          <w:color w:val="000000" w:themeColor="text1"/>
          <w:sz w:val="24"/>
          <w:szCs w:val="24"/>
          <w:shd w:val="clear" w:color="auto" w:fill="FFFFFF"/>
        </w:rPr>
      </w:pPr>
      <w:r w:rsidRPr="003A2FE8">
        <w:rPr>
          <w:rFonts w:cstheme="minorHAnsi"/>
          <w:iCs/>
          <w:color w:val="000000" w:themeColor="text1"/>
          <w:sz w:val="24"/>
          <w:szCs w:val="24"/>
        </w:rPr>
        <w:t xml:space="preserve">At any given day, at least </w:t>
      </w:r>
      <w:r w:rsidRPr="003A2FE8">
        <w:rPr>
          <w:rFonts w:cstheme="minorHAnsi"/>
          <w:color w:val="000000" w:themeColor="text1"/>
          <w:sz w:val="24"/>
          <w:szCs w:val="24"/>
          <w:shd w:val="clear" w:color="auto" w:fill="FFFFFF"/>
        </w:rPr>
        <w:t xml:space="preserve">⅔ of students from the Meithrin to Year 6 would be consuming free meals, yet only 7% were </w:t>
      </w:r>
      <w:r w:rsidR="009636F0">
        <w:rPr>
          <w:rFonts w:cstheme="minorHAnsi"/>
          <w:color w:val="000000" w:themeColor="text1"/>
          <w:sz w:val="24"/>
          <w:szCs w:val="24"/>
          <w:shd w:val="clear" w:color="auto" w:fill="FFFFFF"/>
        </w:rPr>
        <w:t>eligible for free school meals (eFSM)</w:t>
      </w:r>
      <w:r w:rsidRPr="003A2FE8">
        <w:rPr>
          <w:rFonts w:cstheme="minorHAnsi"/>
          <w:color w:val="000000" w:themeColor="text1"/>
          <w:sz w:val="24"/>
          <w:szCs w:val="24"/>
          <w:shd w:val="clear" w:color="auto" w:fill="FFFFFF"/>
        </w:rPr>
        <w:t xml:space="preserve">. </w:t>
      </w:r>
      <w:r w:rsidR="003A2FE8">
        <w:rPr>
          <w:rFonts w:cstheme="minorHAnsi"/>
          <w:color w:val="000000" w:themeColor="text1"/>
          <w:sz w:val="24"/>
          <w:szCs w:val="24"/>
          <w:shd w:val="clear" w:color="auto" w:fill="FFFFFF"/>
        </w:rPr>
        <w:t>The headteacher said something which reminded me very much of a journal I had read previously which stated that using eFSM for an indicator to poverty within a school or child’s life is highly flawed</w:t>
      </w:r>
      <w:r w:rsidR="00C3069D">
        <w:rPr>
          <w:rFonts w:cstheme="minorHAnsi"/>
          <w:color w:val="000000" w:themeColor="text1"/>
          <w:sz w:val="24"/>
          <w:szCs w:val="24"/>
          <w:shd w:val="clear" w:color="auto" w:fill="FFFFFF"/>
        </w:rPr>
        <w:t>,</w:t>
      </w:r>
      <w:r w:rsidR="003A2FE8">
        <w:rPr>
          <w:rStyle w:val="FootnoteReference"/>
          <w:rFonts w:cstheme="minorHAnsi"/>
          <w:color w:val="000000" w:themeColor="text1"/>
          <w:sz w:val="24"/>
          <w:szCs w:val="24"/>
          <w:shd w:val="clear" w:color="auto" w:fill="FFFFFF"/>
        </w:rPr>
        <w:footnoteReference w:id="29"/>
      </w:r>
      <w:r w:rsidR="00C3069D">
        <w:rPr>
          <w:rFonts w:cstheme="minorHAnsi"/>
          <w:color w:val="000000" w:themeColor="text1"/>
          <w:sz w:val="24"/>
          <w:szCs w:val="24"/>
          <w:shd w:val="clear" w:color="auto" w:fill="FFFFFF"/>
        </w:rPr>
        <w:t xml:space="preserve"> as is the system which analyses eligibility.</w:t>
      </w:r>
      <w:r w:rsidR="003A2FE8">
        <w:rPr>
          <w:rFonts w:cstheme="minorHAnsi"/>
          <w:color w:val="000000" w:themeColor="text1"/>
          <w:sz w:val="24"/>
          <w:szCs w:val="24"/>
          <w:shd w:val="clear" w:color="auto" w:fill="FFFFFF"/>
        </w:rPr>
        <w:t xml:space="preserve"> The reasoning behind this is not only because some parents do not know that they are eligible or do not want the stigma they may think will come with their child being labelled eFSM, but also due to a fundamental flaw in the benefits system in the U</w:t>
      </w:r>
      <w:r w:rsidR="002E2888">
        <w:rPr>
          <w:rFonts w:cstheme="minorHAnsi"/>
          <w:color w:val="000000" w:themeColor="text1"/>
          <w:sz w:val="24"/>
          <w:szCs w:val="24"/>
          <w:shd w:val="clear" w:color="auto" w:fill="FFFFFF"/>
        </w:rPr>
        <w:t xml:space="preserve">nited </w:t>
      </w:r>
      <w:r w:rsidR="003A2FE8">
        <w:rPr>
          <w:rFonts w:cstheme="minorHAnsi"/>
          <w:color w:val="000000" w:themeColor="text1"/>
          <w:sz w:val="24"/>
          <w:szCs w:val="24"/>
          <w:shd w:val="clear" w:color="auto" w:fill="FFFFFF"/>
        </w:rPr>
        <w:t>K</w:t>
      </w:r>
      <w:r w:rsidR="002E2888">
        <w:rPr>
          <w:rFonts w:cstheme="minorHAnsi"/>
          <w:color w:val="000000" w:themeColor="text1"/>
          <w:sz w:val="24"/>
          <w:szCs w:val="24"/>
          <w:shd w:val="clear" w:color="auto" w:fill="FFFFFF"/>
        </w:rPr>
        <w:t>ingdom</w:t>
      </w:r>
      <w:r w:rsidR="003A2FE8">
        <w:rPr>
          <w:rFonts w:cstheme="minorHAnsi"/>
          <w:color w:val="000000" w:themeColor="text1"/>
          <w:sz w:val="24"/>
          <w:szCs w:val="24"/>
          <w:shd w:val="clear" w:color="auto" w:fill="FFFFFF"/>
        </w:rPr>
        <w:t xml:space="preserve">. A parent is no longer entitled to Child Tax Credits after </w:t>
      </w:r>
      <w:r w:rsidR="00984060">
        <w:rPr>
          <w:rFonts w:cstheme="minorHAnsi"/>
          <w:color w:val="000000" w:themeColor="text1"/>
          <w:sz w:val="24"/>
          <w:szCs w:val="24"/>
          <w:shd w:val="clear" w:color="auto" w:fill="FFFFFF"/>
        </w:rPr>
        <w:t>they start working more than 16 hours per week.</w:t>
      </w:r>
      <w:r w:rsidR="00984060" w:rsidRPr="00984060">
        <w:rPr>
          <w:rStyle w:val="FootnoteReference"/>
          <w:rFonts w:cstheme="minorHAnsi"/>
          <w:color w:val="000000" w:themeColor="text1"/>
          <w:sz w:val="24"/>
          <w:szCs w:val="24"/>
          <w:shd w:val="clear" w:color="auto" w:fill="FFFFFF"/>
        </w:rPr>
        <w:t xml:space="preserve"> </w:t>
      </w:r>
      <w:r w:rsidR="00984060">
        <w:rPr>
          <w:rStyle w:val="FootnoteReference"/>
          <w:rFonts w:cstheme="minorHAnsi"/>
          <w:color w:val="000000" w:themeColor="text1"/>
          <w:sz w:val="24"/>
          <w:szCs w:val="24"/>
          <w:shd w:val="clear" w:color="auto" w:fill="FFFFFF"/>
        </w:rPr>
        <w:footnoteReference w:id="30"/>
      </w:r>
      <w:r w:rsidR="00984060">
        <w:rPr>
          <w:rFonts w:cstheme="minorHAnsi"/>
          <w:color w:val="000000" w:themeColor="text1"/>
          <w:sz w:val="24"/>
          <w:szCs w:val="24"/>
          <w:shd w:val="clear" w:color="auto" w:fill="FFFFFF"/>
        </w:rPr>
        <w:t xml:space="preserve"> Working above these hours causes parents to apply for Working Tax credits</w:t>
      </w:r>
      <w:r w:rsidR="003A2FE8">
        <w:rPr>
          <w:rFonts w:cstheme="minorHAnsi"/>
          <w:color w:val="000000" w:themeColor="text1"/>
          <w:sz w:val="24"/>
          <w:szCs w:val="24"/>
          <w:shd w:val="clear" w:color="auto" w:fill="FFFFFF"/>
        </w:rPr>
        <w:t>,</w:t>
      </w:r>
      <w:r w:rsidR="00984060">
        <w:rPr>
          <w:rFonts w:cstheme="minorHAnsi"/>
          <w:color w:val="000000" w:themeColor="text1"/>
          <w:sz w:val="24"/>
          <w:szCs w:val="24"/>
          <w:shd w:val="clear" w:color="auto" w:fill="FFFFFF"/>
        </w:rPr>
        <w:t xml:space="preserve"> however, once this change is made the parent is no longer able to claim free school meals as they would have been whist on Child Tax Credits.</w:t>
      </w:r>
      <w:r w:rsidR="00984060">
        <w:rPr>
          <w:rStyle w:val="FootnoteReference"/>
          <w:rFonts w:cstheme="minorHAnsi"/>
          <w:color w:val="000000" w:themeColor="text1"/>
          <w:sz w:val="24"/>
          <w:szCs w:val="24"/>
          <w:shd w:val="clear" w:color="auto" w:fill="FFFFFF"/>
        </w:rPr>
        <w:footnoteReference w:id="31"/>
      </w:r>
      <w:r w:rsidR="003A2FE8">
        <w:rPr>
          <w:rFonts w:cstheme="minorHAnsi"/>
          <w:color w:val="000000" w:themeColor="text1"/>
          <w:sz w:val="24"/>
          <w:szCs w:val="24"/>
          <w:shd w:val="clear" w:color="auto" w:fill="FFFFFF"/>
        </w:rPr>
        <w:t xml:space="preserve"> </w:t>
      </w:r>
      <w:r w:rsidR="00984060">
        <w:rPr>
          <w:rFonts w:cstheme="minorHAnsi"/>
          <w:color w:val="000000" w:themeColor="text1"/>
          <w:sz w:val="24"/>
          <w:szCs w:val="24"/>
          <w:shd w:val="clear" w:color="auto" w:fill="FFFFFF"/>
        </w:rPr>
        <w:t>As councils move onto a system based on Universal Credit</w:t>
      </w:r>
      <w:r w:rsidR="00B802DE">
        <w:rPr>
          <w:rFonts w:cstheme="minorHAnsi"/>
          <w:color w:val="000000" w:themeColor="text1"/>
          <w:sz w:val="24"/>
          <w:szCs w:val="24"/>
          <w:shd w:val="clear" w:color="auto" w:fill="FFFFFF"/>
        </w:rPr>
        <w:t xml:space="preserve"> (hereafter termed UC)</w:t>
      </w:r>
      <w:r w:rsidR="00984060">
        <w:rPr>
          <w:rFonts w:cstheme="minorHAnsi"/>
          <w:color w:val="000000" w:themeColor="text1"/>
          <w:sz w:val="24"/>
          <w:szCs w:val="24"/>
          <w:shd w:val="clear" w:color="auto" w:fill="FFFFFF"/>
        </w:rPr>
        <w:t xml:space="preserve">, this eligibility then applies to households earning over £7,400 per year </w:t>
      </w:r>
      <w:r w:rsidR="00881F0B">
        <w:rPr>
          <w:rFonts w:cstheme="minorHAnsi"/>
          <w:color w:val="000000" w:themeColor="text1"/>
          <w:sz w:val="24"/>
          <w:szCs w:val="24"/>
          <w:shd w:val="clear" w:color="auto" w:fill="FFFFFF"/>
        </w:rPr>
        <w:t>‘(</w:t>
      </w:r>
      <w:r w:rsidR="00984060">
        <w:rPr>
          <w:rFonts w:cstheme="minorHAnsi"/>
          <w:color w:val="000000" w:themeColor="text1"/>
          <w:sz w:val="24"/>
          <w:szCs w:val="24"/>
          <w:shd w:val="clear" w:color="auto" w:fill="FFFFFF"/>
        </w:rPr>
        <w:t xml:space="preserve">after tax not including any </w:t>
      </w:r>
      <w:r w:rsidR="00881F0B">
        <w:rPr>
          <w:rFonts w:cstheme="minorHAnsi"/>
          <w:color w:val="000000" w:themeColor="text1"/>
          <w:sz w:val="24"/>
          <w:szCs w:val="24"/>
          <w:shd w:val="clear" w:color="auto" w:fill="FFFFFF"/>
        </w:rPr>
        <w:t>benefits you get)</w:t>
      </w:r>
      <w:r w:rsidR="00B802DE">
        <w:rPr>
          <w:rFonts w:cstheme="minorHAnsi"/>
          <w:color w:val="000000" w:themeColor="text1"/>
          <w:sz w:val="24"/>
          <w:szCs w:val="24"/>
          <w:shd w:val="clear" w:color="auto" w:fill="FFFFFF"/>
        </w:rPr>
        <w:t>.</w:t>
      </w:r>
      <w:r w:rsidR="00881F0B">
        <w:rPr>
          <w:rFonts w:cstheme="minorHAnsi"/>
          <w:color w:val="000000" w:themeColor="text1"/>
          <w:sz w:val="24"/>
          <w:szCs w:val="24"/>
          <w:shd w:val="clear" w:color="auto" w:fill="FFFFFF"/>
        </w:rPr>
        <w:t>’</w:t>
      </w:r>
      <w:r w:rsidR="00881F0B">
        <w:rPr>
          <w:rStyle w:val="FootnoteReference"/>
          <w:rFonts w:cstheme="minorHAnsi"/>
          <w:color w:val="000000" w:themeColor="text1"/>
          <w:sz w:val="24"/>
          <w:szCs w:val="24"/>
          <w:shd w:val="clear" w:color="auto" w:fill="FFFFFF"/>
        </w:rPr>
        <w:footnoteReference w:id="32"/>
      </w:r>
      <w:r w:rsidR="00B802DE">
        <w:rPr>
          <w:rFonts w:cstheme="minorHAnsi"/>
          <w:color w:val="000000" w:themeColor="text1"/>
          <w:sz w:val="24"/>
          <w:szCs w:val="24"/>
          <w:shd w:val="clear" w:color="auto" w:fill="FFFFFF"/>
        </w:rPr>
        <w:t xml:space="preserve"> It doesn’t take a much thought to come to the conclusion that £7,400 per year is not very much, even when taking in to account that this does not </w:t>
      </w:r>
      <w:r w:rsidR="00B802DE">
        <w:rPr>
          <w:rFonts w:cstheme="minorHAnsi"/>
          <w:color w:val="000000" w:themeColor="text1"/>
          <w:sz w:val="24"/>
          <w:szCs w:val="24"/>
          <w:shd w:val="clear" w:color="auto" w:fill="FFFFFF"/>
        </w:rPr>
        <w:lastRenderedPageBreak/>
        <w:t>include other benefits</w:t>
      </w:r>
      <w:r w:rsidR="002E2888">
        <w:rPr>
          <w:rFonts w:cstheme="minorHAnsi"/>
          <w:color w:val="000000" w:themeColor="text1"/>
          <w:sz w:val="24"/>
          <w:szCs w:val="24"/>
          <w:shd w:val="clear" w:color="auto" w:fill="FFFFFF"/>
        </w:rPr>
        <w:t>. Primarily because</w:t>
      </w:r>
      <w:r w:rsidR="00B802DE">
        <w:rPr>
          <w:rFonts w:cstheme="minorHAnsi"/>
          <w:color w:val="000000" w:themeColor="text1"/>
          <w:sz w:val="24"/>
          <w:szCs w:val="24"/>
          <w:shd w:val="clear" w:color="auto" w:fill="FFFFFF"/>
        </w:rPr>
        <w:t xml:space="preserve"> if you are on UC it encompasses most of the legacy benefits and</w:t>
      </w:r>
      <w:r w:rsidR="002E2888">
        <w:rPr>
          <w:rFonts w:cstheme="minorHAnsi"/>
          <w:color w:val="000000" w:themeColor="text1"/>
          <w:sz w:val="24"/>
          <w:szCs w:val="24"/>
          <w:shd w:val="clear" w:color="auto" w:fill="FFFFFF"/>
        </w:rPr>
        <w:t xml:space="preserve"> any paid work</w:t>
      </w:r>
      <w:r w:rsidR="00B802DE">
        <w:rPr>
          <w:rFonts w:cstheme="minorHAnsi"/>
          <w:color w:val="000000" w:themeColor="text1"/>
          <w:sz w:val="24"/>
          <w:szCs w:val="24"/>
          <w:shd w:val="clear" w:color="auto" w:fill="FFFFFF"/>
        </w:rPr>
        <w:t xml:space="preserve"> also deducts £0.63 in benefit for every £1.00 of UC money the individual/couple are entitled to.</w:t>
      </w:r>
      <w:r w:rsidR="00B802DE">
        <w:rPr>
          <w:rStyle w:val="FootnoteReference"/>
          <w:rFonts w:cstheme="minorHAnsi"/>
          <w:color w:val="000000" w:themeColor="text1"/>
          <w:sz w:val="24"/>
          <w:szCs w:val="24"/>
          <w:shd w:val="clear" w:color="auto" w:fill="FFFFFF"/>
        </w:rPr>
        <w:footnoteReference w:id="33"/>
      </w:r>
      <w:r w:rsidR="00B802DE">
        <w:rPr>
          <w:rFonts w:cstheme="minorHAnsi"/>
          <w:color w:val="000000" w:themeColor="text1"/>
          <w:sz w:val="24"/>
          <w:szCs w:val="24"/>
          <w:shd w:val="clear" w:color="auto" w:fill="FFFFFF"/>
        </w:rPr>
        <w:t xml:space="preserve"> This is relevant</w:t>
      </w:r>
      <w:r w:rsidR="002E2888">
        <w:rPr>
          <w:rFonts w:cstheme="minorHAnsi"/>
          <w:color w:val="000000" w:themeColor="text1"/>
          <w:sz w:val="24"/>
          <w:szCs w:val="24"/>
          <w:shd w:val="clear" w:color="auto" w:fill="FFFFFF"/>
        </w:rPr>
        <w:t xml:space="preserve"> for YCH</w:t>
      </w:r>
      <w:r w:rsidR="00B802DE">
        <w:rPr>
          <w:rFonts w:cstheme="minorHAnsi"/>
          <w:color w:val="000000" w:themeColor="text1"/>
          <w:sz w:val="24"/>
          <w:szCs w:val="24"/>
          <w:shd w:val="clear" w:color="auto" w:fill="FFFFFF"/>
        </w:rPr>
        <w:t xml:space="preserve"> because both the chef and the headteacher mentioned that working families on benefits are often less likely to be eligible to claim for free school meals and cannot afford to pay for them every week; therefore bringing in packed lunches. The school when I arrived were in the process of thinking of a policy or a way to get parent</w:t>
      </w:r>
      <w:r w:rsidR="00DF1ED9">
        <w:rPr>
          <w:rFonts w:cstheme="minorHAnsi"/>
          <w:color w:val="000000" w:themeColor="text1"/>
          <w:sz w:val="24"/>
          <w:szCs w:val="24"/>
          <w:shd w:val="clear" w:color="auto" w:fill="FFFFFF"/>
        </w:rPr>
        <w:t>s</w:t>
      </w:r>
      <w:r w:rsidR="00B802DE">
        <w:rPr>
          <w:rFonts w:cstheme="minorHAnsi"/>
          <w:color w:val="000000" w:themeColor="text1"/>
          <w:sz w:val="24"/>
          <w:szCs w:val="24"/>
          <w:shd w:val="clear" w:color="auto" w:fill="FFFFFF"/>
        </w:rPr>
        <w:t xml:space="preserve"> who </w:t>
      </w:r>
      <w:r w:rsidR="00DF1ED9">
        <w:rPr>
          <w:rFonts w:cstheme="minorHAnsi"/>
          <w:color w:val="000000" w:themeColor="text1"/>
          <w:sz w:val="24"/>
          <w:szCs w:val="24"/>
          <w:shd w:val="clear" w:color="auto" w:fill="FFFFFF"/>
        </w:rPr>
        <w:t>pack</w:t>
      </w:r>
      <w:r w:rsidR="00B802DE">
        <w:rPr>
          <w:rFonts w:cstheme="minorHAnsi"/>
          <w:color w:val="000000" w:themeColor="text1"/>
          <w:sz w:val="24"/>
          <w:szCs w:val="24"/>
          <w:shd w:val="clear" w:color="auto" w:fill="FFFFFF"/>
        </w:rPr>
        <w:t xml:space="preserve"> packed lunches to bring in healthier items. This was primarily because many children would come in with sandwiches with white bread</w:t>
      </w:r>
      <w:r w:rsidR="00DF1ED9">
        <w:rPr>
          <w:rFonts w:cstheme="minorHAnsi"/>
          <w:color w:val="000000" w:themeColor="text1"/>
          <w:sz w:val="24"/>
          <w:szCs w:val="24"/>
          <w:shd w:val="clear" w:color="auto" w:fill="FFFFFF"/>
        </w:rPr>
        <w:t xml:space="preserve">, </w:t>
      </w:r>
      <w:r w:rsidR="00B802DE">
        <w:rPr>
          <w:rFonts w:cstheme="minorHAnsi"/>
          <w:color w:val="000000" w:themeColor="text1"/>
          <w:sz w:val="24"/>
          <w:szCs w:val="24"/>
          <w:shd w:val="clear" w:color="auto" w:fill="FFFFFF"/>
        </w:rPr>
        <w:t>no salads</w:t>
      </w:r>
      <w:r w:rsidR="00DF1ED9">
        <w:rPr>
          <w:rFonts w:cstheme="minorHAnsi"/>
          <w:color w:val="000000" w:themeColor="text1"/>
          <w:sz w:val="24"/>
          <w:szCs w:val="24"/>
          <w:shd w:val="clear" w:color="auto" w:fill="FFFFFF"/>
        </w:rPr>
        <w:t xml:space="preserve">, savoury snacks (banned under WAG guidance), </w:t>
      </w:r>
      <w:r w:rsidR="00B802DE">
        <w:rPr>
          <w:rFonts w:cstheme="minorHAnsi"/>
          <w:color w:val="000000" w:themeColor="text1"/>
          <w:sz w:val="24"/>
          <w:szCs w:val="24"/>
          <w:shd w:val="clear" w:color="auto" w:fill="FFFFFF"/>
        </w:rPr>
        <w:t xml:space="preserve">minimal or no fruit or vegetables and a </w:t>
      </w:r>
      <w:r w:rsidR="00407D32">
        <w:rPr>
          <w:rFonts w:cstheme="minorHAnsi"/>
          <w:color w:val="000000" w:themeColor="text1"/>
          <w:sz w:val="24"/>
          <w:szCs w:val="24"/>
          <w:shd w:val="clear" w:color="auto" w:fill="FFFFFF"/>
        </w:rPr>
        <w:t xml:space="preserve">large </w:t>
      </w:r>
      <w:r w:rsidR="00B802DE">
        <w:rPr>
          <w:rFonts w:cstheme="minorHAnsi"/>
          <w:color w:val="000000" w:themeColor="text1"/>
          <w:sz w:val="24"/>
          <w:szCs w:val="24"/>
          <w:shd w:val="clear" w:color="auto" w:fill="FFFFFF"/>
        </w:rPr>
        <w:t>amount of high sugar foods, mainly chocolate bars or cakes</w:t>
      </w:r>
      <w:r w:rsidR="00756716">
        <w:rPr>
          <w:rFonts w:cstheme="minorHAnsi"/>
          <w:color w:val="000000" w:themeColor="text1"/>
          <w:sz w:val="24"/>
          <w:szCs w:val="24"/>
          <w:shd w:val="clear" w:color="auto" w:fill="FFFFFF"/>
        </w:rPr>
        <w:t xml:space="preserve"> (also generally banned under WAG guidance)</w:t>
      </w:r>
      <w:r w:rsidR="00B802DE">
        <w:rPr>
          <w:rFonts w:cstheme="minorHAnsi"/>
          <w:color w:val="000000" w:themeColor="text1"/>
          <w:sz w:val="24"/>
          <w:szCs w:val="24"/>
          <w:shd w:val="clear" w:color="auto" w:fill="FFFFFF"/>
        </w:rPr>
        <w:t>.</w:t>
      </w:r>
      <w:r w:rsidR="007B1A4B">
        <w:rPr>
          <w:rFonts w:cstheme="minorHAnsi"/>
          <w:color w:val="000000" w:themeColor="text1"/>
          <w:sz w:val="24"/>
          <w:szCs w:val="24"/>
          <w:shd w:val="clear" w:color="auto" w:fill="FFFFFF"/>
        </w:rPr>
        <w:t xml:space="preserve"> However, they were struggling to think of a way to </w:t>
      </w:r>
      <w:r w:rsidR="00407D32">
        <w:rPr>
          <w:rFonts w:cstheme="minorHAnsi"/>
          <w:color w:val="000000" w:themeColor="text1"/>
          <w:sz w:val="24"/>
          <w:szCs w:val="24"/>
          <w:shd w:val="clear" w:color="auto" w:fill="FFFFFF"/>
        </w:rPr>
        <w:t>regulate</w:t>
      </w:r>
      <w:r w:rsidR="007B1A4B">
        <w:rPr>
          <w:rFonts w:cstheme="minorHAnsi"/>
          <w:color w:val="000000" w:themeColor="text1"/>
          <w:sz w:val="24"/>
          <w:szCs w:val="24"/>
          <w:shd w:val="clear" w:color="auto" w:fill="FFFFFF"/>
        </w:rPr>
        <w:t xml:space="preserve"> this</w:t>
      </w:r>
      <w:r w:rsidR="00407D32">
        <w:rPr>
          <w:rFonts w:cstheme="minorHAnsi"/>
          <w:color w:val="000000" w:themeColor="text1"/>
          <w:sz w:val="24"/>
          <w:szCs w:val="24"/>
          <w:shd w:val="clear" w:color="auto" w:fill="FFFFFF"/>
        </w:rPr>
        <w:t xml:space="preserve"> </w:t>
      </w:r>
      <w:r w:rsidR="007B1A4B">
        <w:rPr>
          <w:rFonts w:cstheme="minorHAnsi"/>
          <w:color w:val="000000" w:themeColor="text1"/>
          <w:sz w:val="24"/>
          <w:szCs w:val="24"/>
          <w:shd w:val="clear" w:color="auto" w:fill="FFFFFF"/>
        </w:rPr>
        <w:t>as they neither wanted to offend</w:t>
      </w:r>
      <w:r w:rsidR="00C3069D">
        <w:rPr>
          <w:rFonts w:cstheme="minorHAnsi"/>
          <w:color w:val="000000" w:themeColor="text1"/>
          <w:sz w:val="24"/>
          <w:szCs w:val="24"/>
          <w:shd w:val="clear" w:color="auto" w:fill="FFFFFF"/>
        </w:rPr>
        <w:t xml:space="preserve"> or discourage</w:t>
      </w:r>
      <w:r w:rsidR="007B1A4B">
        <w:rPr>
          <w:rFonts w:cstheme="minorHAnsi"/>
          <w:color w:val="000000" w:themeColor="text1"/>
          <w:sz w:val="24"/>
          <w:szCs w:val="24"/>
          <w:shd w:val="clear" w:color="auto" w:fill="FFFFFF"/>
        </w:rPr>
        <w:t xml:space="preserve"> the parents nor take food off children.</w:t>
      </w:r>
      <w:r w:rsidR="00953A7E">
        <w:rPr>
          <w:rFonts w:cstheme="minorHAnsi"/>
          <w:color w:val="000000" w:themeColor="text1"/>
          <w:sz w:val="24"/>
          <w:szCs w:val="24"/>
          <w:shd w:val="clear" w:color="auto" w:fill="FFFFFF"/>
        </w:rPr>
        <w:t xml:space="preserve"> As mentioned by Moore, the school were at their own discretion when it came to school dinners, with the menu sometimes differing from the standardised Carmarthenshire one, with </w:t>
      </w:r>
      <w:r w:rsidR="00326F8F">
        <w:rPr>
          <w:rFonts w:cstheme="minorHAnsi"/>
          <w:color w:val="000000" w:themeColor="text1"/>
          <w:sz w:val="24"/>
          <w:szCs w:val="24"/>
          <w:shd w:val="clear" w:color="auto" w:fill="FFFFFF"/>
        </w:rPr>
        <w:t>there</w:t>
      </w:r>
      <w:r w:rsidR="00953A7E">
        <w:rPr>
          <w:rFonts w:cstheme="minorHAnsi"/>
          <w:color w:val="000000" w:themeColor="text1"/>
          <w:sz w:val="24"/>
          <w:szCs w:val="24"/>
          <w:shd w:val="clear" w:color="auto" w:fill="FFFFFF"/>
        </w:rPr>
        <w:t xml:space="preserve"> being cawl </w:t>
      </w:r>
      <w:r w:rsidR="00926D53">
        <w:rPr>
          <w:rFonts w:cstheme="minorHAnsi"/>
          <w:color w:val="000000" w:themeColor="text1"/>
          <w:sz w:val="24"/>
          <w:szCs w:val="24"/>
          <w:shd w:val="clear" w:color="auto" w:fill="FFFFFF"/>
        </w:rPr>
        <w:t>one day</w:t>
      </w:r>
      <w:r w:rsidR="00953A7E">
        <w:rPr>
          <w:rFonts w:cstheme="minorHAnsi"/>
          <w:color w:val="000000" w:themeColor="text1"/>
          <w:sz w:val="24"/>
          <w:szCs w:val="24"/>
          <w:shd w:val="clear" w:color="auto" w:fill="FFFFFF"/>
        </w:rPr>
        <w:t xml:space="preserve"> as well as </w:t>
      </w:r>
      <w:r w:rsidR="00326F8F">
        <w:rPr>
          <w:rFonts w:cstheme="minorHAnsi"/>
          <w:color w:val="000000" w:themeColor="text1"/>
          <w:sz w:val="24"/>
          <w:szCs w:val="24"/>
          <w:shd w:val="clear" w:color="auto" w:fill="FFFFFF"/>
        </w:rPr>
        <w:t>other</w:t>
      </w:r>
      <w:r w:rsidR="00407D32">
        <w:rPr>
          <w:rFonts w:cstheme="minorHAnsi"/>
          <w:color w:val="000000" w:themeColor="text1"/>
          <w:sz w:val="24"/>
          <w:szCs w:val="24"/>
          <w:shd w:val="clear" w:color="auto" w:fill="FFFFFF"/>
        </w:rPr>
        <w:t xml:space="preserve"> adaptations to the men</w:t>
      </w:r>
      <w:r w:rsidR="00326F8F">
        <w:rPr>
          <w:rFonts w:cstheme="minorHAnsi"/>
          <w:color w:val="000000" w:themeColor="text1"/>
          <w:sz w:val="24"/>
          <w:szCs w:val="24"/>
          <w:shd w:val="clear" w:color="auto" w:fill="FFFFFF"/>
        </w:rPr>
        <w:t>u</w:t>
      </w:r>
      <w:r w:rsidR="00407D32">
        <w:rPr>
          <w:rFonts w:cstheme="minorHAnsi"/>
          <w:color w:val="000000" w:themeColor="text1"/>
          <w:sz w:val="24"/>
          <w:szCs w:val="24"/>
          <w:shd w:val="clear" w:color="auto" w:fill="FFFFFF"/>
        </w:rPr>
        <w:t>.</w:t>
      </w:r>
      <w:r w:rsidR="00326F8F">
        <w:rPr>
          <w:rFonts w:cstheme="minorHAnsi"/>
          <w:color w:val="000000" w:themeColor="text1"/>
          <w:sz w:val="24"/>
          <w:szCs w:val="24"/>
          <w:shd w:val="clear" w:color="auto" w:fill="FFFFFF"/>
        </w:rPr>
        <w:t xml:space="preserve"> For </w:t>
      </w:r>
      <w:proofErr w:type="gramStart"/>
      <w:r w:rsidR="00326F8F">
        <w:rPr>
          <w:rFonts w:cstheme="minorHAnsi"/>
          <w:color w:val="000000" w:themeColor="text1"/>
          <w:sz w:val="24"/>
          <w:szCs w:val="24"/>
          <w:shd w:val="clear" w:color="auto" w:fill="FFFFFF"/>
        </w:rPr>
        <w:t>example</w:t>
      </w:r>
      <w:proofErr w:type="gramEnd"/>
      <w:r w:rsidR="00326F8F">
        <w:rPr>
          <w:rFonts w:cstheme="minorHAnsi"/>
          <w:color w:val="000000" w:themeColor="text1"/>
          <w:sz w:val="24"/>
          <w:szCs w:val="24"/>
          <w:shd w:val="clear" w:color="auto" w:fill="FFFFFF"/>
        </w:rPr>
        <w:t xml:space="preserve"> in week 2 on Monday there was no vegetables offered. </w:t>
      </w:r>
      <w:r w:rsidR="00407D32">
        <w:rPr>
          <w:rFonts w:cstheme="minorHAnsi"/>
          <w:color w:val="000000" w:themeColor="text1"/>
          <w:sz w:val="24"/>
          <w:szCs w:val="24"/>
          <w:shd w:val="clear" w:color="auto" w:fill="FFFFFF"/>
        </w:rPr>
        <w:t>All the teachers I surveyed said that they generally prefer to bring in their own meals for lunch due to not always liking what’s on the menu as well as their own dietary choices</w:t>
      </w:r>
      <w:r w:rsidR="00326F8F">
        <w:rPr>
          <w:rFonts w:cstheme="minorHAnsi"/>
          <w:color w:val="000000" w:themeColor="text1"/>
          <w:sz w:val="24"/>
          <w:szCs w:val="24"/>
          <w:shd w:val="clear" w:color="auto" w:fill="FFFFFF"/>
        </w:rPr>
        <w:t>, however on Wednesdays (roast dinner day) they were a lot more likely to have a school lunch</w:t>
      </w:r>
      <w:r w:rsidR="00407D32">
        <w:rPr>
          <w:rFonts w:cstheme="minorHAnsi"/>
          <w:color w:val="000000" w:themeColor="text1"/>
          <w:sz w:val="24"/>
          <w:szCs w:val="24"/>
          <w:shd w:val="clear" w:color="auto" w:fill="FFFFFF"/>
        </w:rPr>
        <w:t>. One of the teachers surveyed said she usually brought her own meals because she was trying to lose weight and school dinners did not help her with that aim.</w:t>
      </w:r>
    </w:p>
    <w:p w14:paraId="1735CC33" w14:textId="2766B8E5" w:rsidR="00407D32" w:rsidRDefault="00303D29" w:rsidP="009513A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lastRenderedPageBreak/>
        <w:t>Whilst in YCH I observed and assisted students and the teacher in class and with their independent reading time. During the two-week placement I observed</w:t>
      </w:r>
      <w:r w:rsidR="00937016">
        <w:rPr>
          <w:rFonts w:cstheme="minorHAnsi"/>
          <w:color w:val="000000" w:themeColor="text1"/>
          <w:sz w:val="24"/>
          <w:szCs w:val="24"/>
          <w:shd w:val="clear" w:color="auto" w:fill="FFFFFF"/>
        </w:rPr>
        <w:t xml:space="preserve"> two</w:t>
      </w:r>
      <w:r w:rsidR="007728E4">
        <w:rPr>
          <w:rFonts w:cstheme="minorHAnsi"/>
          <w:color w:val="000000" w:themeColor="text1"/>
          <w:sz w:val="24"/>
          <w:szCs w:val="24"/>
          <w:shd w:val="clear" w:color="auto" w:fill="FFFFFF"/>
        </w:rPr>
        <w:t xml:space="preserve"> E</w:t>
      </w:r>
      <w:r w:rsidR="00937016">
        <w:rPr>
          <w:rFonts w:cstheme="minorHAnsi"/>
          <w:color w:val="000000" w:themeColor="text1"/>
          <w:sz w:val="24"/>
          <w:szCs w:val="24"/>
          <w:shd w:val="clear" w:color="auto" w:fill="FFFFFF"/>
        </w:rPr>
        <w:t>ng</w:t>
      </w:r>
      <w:r w:rsidR="007728E4">
        <w:rPr>
          <w:rFonts w:cstheme="minorHAnsi"/>
          <w:color w:val="000000" w:themeColor="text1"/>
          <w:sz w:val="24"/>
          <w:szCs w:val="24"/>
          <w:shd w:val="clear" w:color="auto" w:fill="FFFFFF"/>
        </w:rPr>
        <w:t>lish lessons,</w:t>
      </w:r>
      <w:r w:rsidR="00937016">
        <w:rPr>
          <w:rFonts w:cstheme="minorHAnsi"/>
          <w:color w:val="000000" w:themeColor="text1"/>
          <w:sz w:val="24"/>
          <w:szCs w:val="24"/>
          <w:shd w:val="clear" w:color="auto" w:fill="FFFFFF"/>
        </w:rPr>
        <w:t xml:space="preserve"> </w:t>
      </w:r>
      <w:r w:rsidR="007728E4">
        <w:rPr>
          <w:rFonts w:cstheme="minorHAnsi"/>
          <w:color w:val="000000" w:themeColor="text1"/>
          <w:sz w:val="24"/>
          <w:szCs w:val="24"/>
          <w:shd w:val="clear" w:color="auto" w:fill="FFFFFF"/>
        </w:rPr>
        <w:t>four</w:t>
      </w:r>
      <w:r w:rsidR="00937016">
        <w:rPr>
          <w:rFonts w:cstheme="minorHAnsi"/>
          <w:color w:val="000000" w:themeColor="text1"/>
          <w:sz w:val="24"/>
          <w:szCs w:val="24"/>
          <w:shd w:val="clear" w:color="auto" w:fill="FFFFFF"/>
        </w:rPr>
        <w:t xml:space="preserve"> theme</w:t>
      </w:r>
      <w:r w:rsidR="007728E4">
        <w:rPr>
          <w:rFonts w:cstheme="minorHAnsi"/>
          <w:color w:val="000000" w:themeColor="text1"/>
          <w:sz w:val="24"/>
          <w:szCs w:val="24"/>
          <w:shd w:val="clear" w:color="auto" w:fill="FFFFFF"/>
        </w:rPr>
        <w:t>-work classes,</w:t>
      </w:r>
      <w:r w:rsidR="00937016">
        <w:rPr>
          <w:rFonts w:cstheme="minorHAnsi"/>
          <w:color w:val="000000" w:themeColor="text1"/>
          <w:sz w:val="24"/>
          <w:szCs w:val="24"/>
          <w:shd w:val="clear" w:color="auto" w:fill="FFFFFF"/>
        </w:rPr>
        <w:t xml:space="preserve"> </w:t>
      </w:r>
      <w:r w:rsidR="007728E4">
        <w:rPr>
          <w:rFonts w:cstheme="minorHAnsi"/>
          <w:color w:val="000000" w:themeColor="text1"/>
          <w:sz w:val="24"/>
          <w:szCs w:val="24"/>
          <w:shd w:val="clear" w:color="auto" w:fill="FFFFFF"/>
        </w:rPr>
        <w:t>four</w:t>
      </w:r>
      <w:r w:rsidR="00937016">
        <w:rPr>
          <w:rFonts w:cstheme="minorHAnsi"/>
          <w:color w:val="000000" w:themeColor="text1"/>
          <w:sz w:val="24"/>
          <w:szCs w:val="24"/>
          <w:shd w:val="clear" w:color="auto" w:fill="FFFFFF"/>
        </w:rPr>
        <w:t xml:space="preserve"> math</w:t>
      </w:r>
      <w:r w:rsidR="007728E4">
        <w:rPr>
          <w:rFonts w:cstheme="minorHAnsi"/>
          <w:color w:val="000000" w:themeColor="text1"/>
          <w:sz w:val="24"/>
          <w:szCs w:val="24"/>
          <w:shd w:val="clear" w:color="auto" w:fill="FFFFFF"/>
        </w:rPr>
        <w:t>ematics classes</w:t>
      </w:r>
      <w:r w:rsidR="00937016">
        <w:rPr>
          <w:rFonts w:cstheme="minorHAnsi"/>
          <w:color w:val="000000" w:themeColor="text1"/>
          <w:sz w:val="24"/>
          <w:szCs w:val="24"/>
          <w:shd w:val="clear" w:color="auto" w:fill="FFFFFF"/>
        </w:rPr>
        <w:t xml:space="preserve">, </w:t>
      </w:r>
      <w:r w:rsidR="007728E4">
        <w:rPr>
          <w:rFonts w:cstheme="minorHAnsi"/>
          <w:color w:val="000000" w:themeColor="text1"/>
          <w:sz w:val="24"/>
          <w:szCs w:val="24"/>
          <w:shd w:val="clear" w:color="auto" w:fill="FFFFFF"/>
        </w:rPr>
        <w:t>two</w:t>
      </w:r>
      <w:r w:rsidR="00937016">
        <w:rPr>
          <w:rFonts w:cstheme="minorHAnsi"/>
          <w:color w:val="000000" w:themeColor="text1"/>
          <w:sz w:val="24"/>
          <w:szCs w:val="24"/>
          <w:shd w:val="clear" w:color="auto" w:fill="FFFFFF"/>
        </w:rPr>
        <w:t xml:space="preserve"> science</w:t>
      </w:r>
      <w:r w:rsidR="007728E4">
        <w:rPr>
          <w:rFonts w:cstheme="minorHAnsi"/>
          <w:color w:val="000000" w:themeColor="text1"/>
          <w:sz w:val="24"/>
          <w:szCs w:val="24"/>
          <w:shd w:val="clear" w:color="auto" w:fill="FFFFFF"/>
        </w:rPr>
        <w:t xml:space="preserve"> lessons</w:t>
      </w:r>
      <w:r w:rsidR="00937016">
        <w:rPr>
          <w:rFonts w:cstheme="minorHAnsi"/>
          <w:color w:val="000000" w:themeColor="text1"/>
          <w:sz w:val="24"/>
          <w:szCs w:val="24"/>
          <w:shd w:val="clear" w:color="auto" w:fill="FFFFFF"/>
        </w:rPr>
        <w:t xml:space="preserve">, </w:t>
      </w:r>
      <w:r w:rsidR="007728E4">
        <w:rPr>
          <w:rFonts w:cstheme="minorHAnsi"/>
          <w:color w:val="000000" w:themeColor="text1"/>
          <w:sz w:val="24"/>
          <w:szCs w:val="24"/>
          <w:shd w:val="clear" w:color="auto" w:fill="FFFFFF"/>
        </w:rPr>
        <w:t xml:space="preserve">two </w:t>
      </w:r>
      <w:r w:rsidR="00937016">
        <w:rPr>
          <w:rFonts w:cstheme="minorHAnsi"/>
          <w:color w:val="000000" w:themeColor="text1"/>
          <w:sz w:val="24"/>
          <w:szCs w:val="24"/>
          <w:shd w:val="clear" w:color="auto" w:fill="FFFFFF"/>
        </w:rPr>
        <w:t>art</w:t>
      </w:r>
      <w:r w:rsidR="007728E4">
        <w:rPr>
          <w:rFonts w:cstheme="minorHAnsi"/>
          <w:color w:val="000000" w:themeColor="text1"/>
          <w:sz w:val="24"/>
          <w:szCs w:val="24"/>
          <w:shd w:val="clear" w:color="auto" w:fill="FFFFFF"/>
        </w:rPr>
        <w:t xml:space="preserve"> classes</w:t>
      </w:r>
      <w:r w:rsidR="00937016">
        <w:rPr>
          <w:rFonts w:cstheme="minorHAnsi"/>
          <w:color w:val="000000" w:themeColor="text1"/>
          <w:sz w:val="24"/>
          <w:szCs w:val="24"/>
          <w:shd w:val="clear" w:color="auto" w:fill="FFFFFF"/>
        </w:rPr>
        <w:t>,</w:t>
      </w:r>
      <w:r w:rsidR="007728E4">
        <w:rPr>
          <w:rFonts w:cstheme="minorHAnsi"/>
          <w:color w:val="000000" w:themeColor="text1"/>
          <w:sz w:val="24"/>
          <w:szCs w:val="24"/>
          <w:shd w:val="clear" w:color="auto" w:fill="FFFFFF"/>
        </w:rPr>
        <w:t xml:space="preserve"> one Design &amp; Technology lesson,</w:t>
      </w:r>
      <w:r w:rsidR="00937016">
        <w:rPr>
          <w:rFonts w:cstheme="minorHAnsi"/>
          <w:color w:val="000000" w:themeColor="text1"/>
          <w:sz w:val="24"/>
          <w:szCs w:val="24"/>
          <w:shd w:val="clear" w:color="auto" w:fill="FFFFFF"/>
        </w:rPr>
        <w:t xml:space="preserve"> </w:t>
      </w:r>
      <w:r w:rsidR="007728E4">
        <w:rPr>
          <w:rFonts w:cstheme="minorHAnsi"/>
          <w:color w:val="000000" w:themeColor="text1"/>
          <w:sz w:val="24"/>
          <w:szCs w:val="24"/>
          <w:shd w:val="clear" w:color="auto" w:fill="FFFFFF"/>
        </w:rPr>
        <w:t>one</w:t>
      </w:r>
      <w:r w:rsidR="00937016">
        <w:rPr>
          <w:rFonts w:cstheme="minorHAnsi"/>
          <w:color w:val="000000" w:themeColor="text1"/>
          <w:sz w:val="24"/>
          <w:szCs w:val="24"/>
          <w:shd w:val="clear" w:color="auto" w:fill="FFFFFF"/>
        </w:rPr>
        <w:t xml:space="preserve"> eisteddfod, </w:t>
      </w:r>
      <w:r w:rsidR="007728E4">
        <w:rPr>
          <w:rFonts w:cstheme="minorHAnsi"/>
          <w:color w:val="000000" w:themeColor="text1"/>
          <w:sz w:val="24"/>
          <w:szCs w:val="24"/>
          <w:shd w:val="clear" w:color="auto" w:fill="FFFFFF"/>
        </w:rPr>
        <w:t>one</w:t>
      </w:r>
      <w:r w:rsidR="00937016">
        <w:rPr>
          <w:rFonts w:cstheme="minorHAnsi"/>
          <w:color w:val="000000" w:themeColor="text1"/>
          <w:sz w:val="24"/>
          <w:szCs w:val="24"/>
          <w:shd w:val="clear" w:color="auto" w:fill="FFFFFF"/>
        </w:rPr>
        <w:t xml:space="preserve"> world book day</w:t>
      </w:r>
      <w:r w:rsidR="007728E4">
        <w:rPr>
          <w:rFonts w:cstheme="minorHAnsi"/>
          <w:color w:val="000000" w:themeColor="text1"/>
          <w:sz w:val="24"/>
          <w:szCs w:val="24"/>
          <w:shd w:val="clear" w:color="auto" w:fill="FFFFFF"/>
        </w:rPr>
        <w:t>,</w:t>
      </w:r>
      <w:r w:rsidR="00937016">
        <w:rPr>
          <w:rFonts w:cstheme="minorHAnsi"/>
          <w:color w:val="000000" w:themeColor="text1"/>
          <w:sz w:val="24"/>
          <w:szCs w:val="24"/>
          <w:shd w:val="clear" w:color="auto" w:fill="FFFFFF"/>
        </w:rPr>
        <w:t xml:space="preserve"> </w:t>
      </w:r>
      <w:r w:rsidR="007728E4">
        <w:rPr>
          <w:rFonts w:cstheme="minorHAnsi"/>
          <w:color w:val="000000" w:themeColor="text1"/>
          <w:sz w:val="24"/>
          <w:szCs w:val="24"/>
          <w:shd w:val="clear" w:color="auto" w:fill="FFFFFF"/>
        </w:rPr>
        <w:t>one</w:t>
      </w:r>
      <w:r w:rsidR="00937016">
        <w:rPr>
          <w:rFonts w:cstheme="minorHAnsi"/>
          <w:color w:val="000000" w:themeColor="text1"/>
          <w:sz w:val="24"/>
          <w:szCs w:val="24"/>
          <w:shd w:val="clear" w:color="auto" w:fill="FFFFFF"/>
        </w:rPr>
        <w:t xml:space="preserve"> lesson on self-help, went on </w:t>
      </w:r>
      <w:r w:rsidR="007728E4">
        <w:rPr>
          <w:rFonts w:cstheme="minorHAnsi"/>
          <w:color w:val="000000" w:themeColor="text1"/>
          <w:sz w:val="24"/>
          <w:szCs w:val="24"/>
          <w:shd w:val="clear" w:color="auto" w:fill="FFFFFF"/>
        </w:rPr>
        <w:t>two</w:t>
      </w:r>
      <w:r w:rsidR="00937016">
        <w:rPr>
          <w:rFonts w:cstheme="minorHAnsi"/>
          <w:color w:val="000000" w:themeColor="text1"/>
          <w:sz w:val="24"/>
          <w:szCs w:val="24"/>
          <w:shd w:val="clear" w:color="auto" w:fill="FFFFFF"/>
        </w:rPr>
        <w:t xml:space="preserve"> trips (church and town), one retirement assembly</w:t>
      </w:r>
      <w:r w:rsidR="007728E4">
        <w:rPr>
          <w:rFonts w:cstheme="minorHAnsi"/>
          <w:color w:val="000000" w:themeColor="text1"/>
          <w:sz w:val="24"/>
          <w:szCs w:val="24"/>
          <w:shd w:val="clear" w:color="auto" w:fill="FFFFFF"/>
        </w:rPr>
        <w:t xml:space="preserve"> and</w:t>
      </w:r>
      <w:r w:rsidR="007728E4" w:rsidRPr="007728E4">
        <w:rPr>
          <w:rFonts w:cstheme="minorHAnsi"/>
          <w:color w:val="000000" w:themeColor="text1"/>
          <w:sz w:val="24"/>
          <w:szCs w:val="24"/>
          <w:shd w:val="clear" w:color="auto" w:fill="FFFFFF"/>
        </w:rPr>
        <w:t xml:space="preserve"> </w:t>
      </w:r>
      <w:r w:rsidR="007728E4">
        <w:rPr>
          <w:rFonts w:cstheme="minorHAnsi"/>
          <w:color w:val="000000" w:themeColor="text1"/>
          <w:sz w:val="24"/>
          <w:szCs w:val="24"/>
          <w:shd w:val="clear" w:color="auto" w:fill="FFFFFF"/>
        </w:rPr>
        <w:t>taught a lesson on Welsh history</w:t>
      </w:r>
      <w:r w:rsidR="00E31B2E">
        <w:rPr>
          <w:rFonts w:cstheme="minorHAnsi"/>
          <w:color w:val="000000" w:themeColor="text1"/>
          <w:sz w:val="24"/>
          <w:szCs w:val="24"/>
          <w:shd w:val="clear" w:color="auto" w:fill="FFFFFF"/>
        </w:rPr>
        <w:t>. All lessons except for the two English ones were primarily taught through the Welsh language but due to the classes being year 5 and 6 English was allowed within the classroom when needed, most children however preferred to speak in Welsh to each other inside and outside of the classroom.</w:t>
      </w:r>
      <w:r w:rsidR="00416AA0">
        <w:rPr>
          <w:rFonts w:cstheme="minorHAnsi"/>
          <w:color w:val="000000" w:themeColor="text1"/>
          <w:sz w:val="24"/>
          <w:szCs w:val="24"/>
          <w:shd w:val="clear" w:color="auto" w:fill="FFFFFF"/>
        </w:rPr>
        <w:t xml:space="preserve"> </w:t>
      </w:r>
      <w:r w:rsidR="00330FA8">
        <w:rPr>
          <w:rFonts w:cstheme="minorHAnsi"/>
          <w:color w:val="000000" w:themeColor="text1"/>
          <w:sz w:val="24"/>
          <w:szCs w:val="24"/>
          <w:shd w:val="clear" w:color="auto" w:fill="FFFFFF"/>
        </w:rPr>
        <w:t xml:space="preserve">The two trips I was sent to assist on were with the lower the foundation phase classes where Welsh was spoken entirely. </w:t>
      </w:r>
      <w:r w:rsidR="00416AA0">
        <w:rPr>
          <w:rFonts w:cstheme="minorHAnsi"/>
          <w:color w:val="000000" w:themeColor="text1"/>
          <w:sz w:val="24"/>
          <w:szCs w:val="24"/>
          <w:shd w:val="clear" w:color="auto" w:fill="FFFFFF"/>
        </w:rPr>
        <w:t>It surprised me that in the class during the start of the week most children were not good at their times tables, most not able to fill in a black 1-10 times table grid despite being in year 5/6. The teacher (recently returned from maternity leave) was discomforted by this and spent a lot of time and homework</w:t>
      </w:r>
      <w:r w:rsidR="00841A1C">
        <w:rPr>
          <w:rFonts w:cstheme="minorHAnsi"/>
          <w:color w:val="000000" w:themeColor="text1"/>
          <w:sz w:val="24"/>
          <w:szCs w:val="24"/>
          <w:shd w:val="clear" w:color="auto" w:fill="FFFFFF"/>
        </w:rPr>
        <w:t>-</w:t>
      </w:r>
      <w:r w:rsidR="00416AA0">
        <w:rPr>
          <w:rFonts w:cstheme="minorHAnsi"/>
          <w:color w:val="000000" w:themeColor="text1"/>
          <w:sz w:val="24"/>
          <w:szCs w:val="24"/>
          <w:shd w:val="clear" w:color="auto" w:fill="FFFFFF"/>
        </w:rPr>
        <w:t xml:space="preserve">giving to rectify it, on the second week moving on to division, showing them how they can use their times tables to work out difficult division problems. The speed of progress </w:t>
      </w:r>
      <w:r w:rsidR="00841A1C">
        <w:rPr>
          <w:rFonts w:cstheme="minorHAnsi"/>
          <w:color w:val="000000" w:themeColor="text1"/>
          <w:sz w:val="24"/>
          <w:szCs w:val="24"/>
          <w:shd w:val="clear" w:color="auto" w:fill="FFFFFF"/>
        </w:rPr>
        <w:t>regarding</w:t>
      </w:r>
      <w:r w:rsidR="00416AA0">
        <w:rPr>
          <w:rFonts w:cstheme="minorHAnsi"/>
          <w:color w:val="000000" w:themeColor="text1"/>
          <w:sz w:val="24"/>
          <w:szCs w:val="24"/>
          <w:shd w:val="clear" w:color="auto" w:fill="FFFFFF"/>
        </w:rPr>
        <w:t xml:space="preserve"> this was </w:t>
      </w:r>
      <w:r w:rsidR="00841A1C">
        <w:rPr>
          <w:rFonts w:cstheme="minorHAnsi"/>
          <w:color w:val="000000" w:themeColor="text1"/>
          <w:sz w:val="24"/>
          <w:szCs w:val="24"/>
          <w:shd w:val="clear" w:color="auto" w:fill="FFFFFF"/>
        </w:rPr>
        <w:t>surprisingly</w:t>
      </w:r>
      <w:r w:rsidR="00416AA0">
        <w:rPr>
          <w:rFonts w:cstheme="minorHAnsi"/>
          <w:color w:val="000000" w:themeColor="text1"/>
          <w:sz w:val="24"/>
          <w:szCs w:val="24"/>
          <w:shd w:val="clear" w:color="auto" w:fill="FFFFFF"/>
        </w:rPr>
        <w:t xml:space="preserve"> fast in some students and</w:t>
      </w:r>
      <w:r w:rsidR="00841A1C">
        <w:rPr>
          <w:rFonts w:cstheme="minorHAnsi"/>
          <w:color w:val="000000" w:themeColor="text1"/>
          <w:sz w:val="24"/>
          <w:szCs w:val="24"/>
          <w:shd w:val="clear" w:color="auto" w:fill="FFFFFF"/>
        </w:rPr>
        <w:t xml:space="preserve"> visibly</w:t>
      </w:r>
      <w:r w:rsidR="00416AA0">
        <w:rPr>
          <w:rFonts w:cstheme="minorHAnsi"/>
          <w:color w:val="000000" w:themeColor="text1"/>
          <w:sz w:val="24"/>
          <w:szCs w:val="24"/>
          <w:shd w:val="clear" w:color="auto" w:fill="FFFFFF"/>
        </w:rPr>
        <w:t xml:space="preserve"> slowe</w:t>
      </w:r>
      <w:r w:rsidR="00841A1C">
        <w:rPr>
          <w:rFonts w:cstheme="minorHAnsi"/>
          <w:color w:val="000000" w:themeColor="text1"/>
          <w:sz w:val="24"/>
          <w:szCs w:val="24"/>
          <w:shd w:val="clear" w:color="auto" w:fill="FFFFFF"/>
        </w:rPr>
        <w:t>r</w:t>
      </w:r>
      <w:r w:rsidR="00416AA0">
        <w:rPr>
          <w:rFonts w:cstheme="minorHAnsi"/>
          <w:color w:val="000000" w:themeColor="text1"/>
          <w:sz w:val="24"/>
          <w:szCs w:val="24"/>
          <w:shd w:val="clear" w:color="auto" w:fill="FFFFFF"/>
        </w:rPr>
        <w:t xml:space="preserve"> in others, but there were three sets of questions during each lessons and students would start from the easiest and work their way up as the lesson went on.</w:t>
      </w:r>
      <w:r w:rsidR="00330FA8">
        <w:rPr>
          <w:rFonts w:cstheme="minorHAnsi"/>
          <w:color w:val="000000" w:themeColor="text1"/>
          <w:sz w:val="24"/>
          <w:szCs w:val="24"/>
          <w:shd w:val="clear" w:color="auto" w:fill="FFFFFF"/>
        </w:rPr>
        <w:t xml:space="preserve"> Most lessons as well as theme-work seemed to be very STEM based, the exception to this seemed to be the Art lessons. </w:t>
      </w:r>
      <w:r w:rsidR="006A2CB2">
        <w:rPr>
          <w:rFonts w:cstheme="minorHAnsi"/>
          <w:color w:val="000000" w:themeColor="text1"/>
          <w:sz w:val="24"/>
          <w:szCs w:val="24"/>
          <w:shd w:val="clear" w:color="auto" w:fill="FFFFFF"/>
        </w:rPr>
        <w:t>Attainment in mathematics and Welsh in particular were an issue at YCH, partly due to additional learning needs (ALN) in some students affecting the outcomes as well as non-Welsh speaking incomers to the school.</w:t>
      </w:r>
      <w:r w:rsidR="006A2CB2">
        <w:rPr>
          <w:rStyle w:val="FootnoteReference"/>
          <w:rFonts w:cstheme="minorHAnsi"/>
          <w:color w:val="000000" w:themeColor="text1"/>
          <w:sz w:val="24"/>
          <w:szCs w:val="24"/>
          <w:shd w:val="clear" w:color="auto" w:fill="FFFFFF"/>
        </w:rPr>
        <w:footnoteReference w:id="34"/>
      </w:r>
      <w:r w:rsidR="006A2CB2">
        <w:rPr>
          <w:rFonts w:cstheme="minorHAnsi"/>
          <w:color w:val="000000" w:themeColor="text1"/>
          <w:sz w:val="24"/>
          <w:szCs w:val="24"/>
          <w:shd w:val="clear" w:color="auto" w:fill="FFFFFF"/>
        </w:rPr>
        <w:t xml:space="preserve"> The two students who did not attain any level 4 </w:t>
      </w:r>
      <w:r w:rsidR="006A2CB2">
        <w:rPr>
          <w:rFonts w:cstheme="minorHAnsi"/>
          <w:color w:val="000000" w:themeColor="text1"/>
          <w:sz w:val="24"/>
          <w:szCs w:val="24"/>
          <w:shd w:val="clear" w:color="auto" w:fill="FFFFFF"/>
        </w:rPr>
        <w:lastRenderedPageBreak/>
        <w:t>outcomes in the core subjects</w:t>
      </w:r>
      <w:r w:rsidR="00A911EE">
        <w:rPr>
          <w:rFonts w:cstheme="minorHAnsi"/>
          <w:color w:val="000000" w:themeColor="text1"/>
          <w:sz w:val="24"/>
          <w:szCs w:val="24"/>
          <w:shd w:val="clear" w:color="auto" w:fill="FFFFFF"/>
        </w:rPr>
        <w:t xml:space="preserve"> (Welsh, English, mathematics and Science)</w:t>
      </w:r>
      <w:r w:rsidR="00A911EE">
        <w:rPr>
          <w:rStyle w:val="FootnoteReference"/>
          <w:rFonts w:cstheme="minorHAnsi"/>
          <w:color w:val="000000" w:themeColor="text1"/>
          <w:sz w:val="24"/>
          <w:szCs w:val="24"/>
          <w:shd w:val="clear" w:color="auto" w:fill="FFFFFF"/>
        </w:rPr>
        <w:footnoteReference w:id="35"/>
      </w:r>
      <w:r w:rsidR="006A2CB2">
        <w:rPr>
          <w:rFonts w:cstheme="minorHAnsi"/>
          <w:color w:val="000000" w:themeColor="text1"/>
          <w:sz w:val="24"/>
          <w:szCs w:val="24"/>
          <w:shd w:val="clear" w:color="auto" w:fill="FFFFFF"/>
        </w:rPr>
        <w:t xml:space="preserve"> were both boys and both had ALN.</w:t>
      </w:r>
      <w:r w:rsidR="00A911EE">
        <w:rPr>
          <w:rFonts w:cstheme="minorHAnsi"/>
          <w:color w:val="000000" w:themeColor="text1"/>
          <w:sz w:val="24"/>
          <w:szCs w:val="24"/>
          <w:shd w:val="clear" w:color="auto" w:fill="FFFFFF"/>
        </w:rPr>
        <w:t xml:space="preserve"> Attainment is measured by the core subjects and YCH does very well statistically </w:t>
      </w:r>
      <w:r w:rsidR="00E64699">
        <w:rPr>
          <w:rFonts w:cstheme="minorHAnsi"/>
          <w:color w:val="000000" w:themeColor="text1"/>
          <w:sz w:val="24"/>
          <w:szCs w:val="24"/>
          <w:shd w:val="clear" w:color="auto" w:fill="FFFFFF"/>
        </w:rPr>
        <w:t>in regard to</w:t>
      </w:r>
      <w:r w:rsidR="00A911EE">
        <w:rPr>
          <w:rFonts w:cstheme="minorHAnsi"/>
          <w:color w:val="000000" w:themeColor="text1"/>
          <w:sz w:val="24"/>
          <w:szCs w:val="24"/>
          <w:shd w:val="clear" w:color="auto" w:fill="FFFFFF"/>
        </w:rPr>
        <w:t xml:space="preserve"> these subjects.</w:t>
      </w:r>
      <w:r w:rsidR="00A911EE">
        <w:rPr>
          <w:rStyle w:val="FootnoteReference"/>
          <w:rFonts w:cstheme="minorHAnsi"/>
          <w:color w:val="000000" w:themeColor="text1"/>
          <w:sz w:val="24"/>
          <w:szCs w:val="24"/>
          <w:shd w:val="clear" w:color="auto" w:fill="FFFFFF"/>
        </w:rPr>
        <w:footnoteReference w:id="36"/>
      </w:r>
      <w:r w:rsidR="00E64699">
        <w:rPr>
          <w:rFonts w:cstheme="minorHAnsi"/>
          <w:color w:val="000000" w:themeColor="text1"/>
          <w:sz w:val="24"/>
          <w:szCs w:val="24"/>
          <w:shd w:val="clear" w:color="auto" w:fill="FFFFFF"/>
        </w:rPr>
        <w:t xml:space="preserve"> This however might be due to the fact that these were the subjects most focused on during class time, at least during my time in observation, and little room was left for other subjects except for weekly arts lesson and twice-weekly Physical Education classes. The teachers did not seem as comfortable with subjects they themselves were not familiar with and, when asked, discussed this openly.</w:t>
      </w:r>
      <w:r w:rsidR="006A2CB2">
        <w:rPr>
          <w:rFonts w:cstheme="minorHAnsi"/>
          <w:color w:val="000000" w:themeColor="text1"/>
          <w:sz w:val="24"/>
          <w:szCs w:val="24"/>
          <w:shd w:val="clear" w:color="auto" w:fill="FFFFFF"/>
        </w:rPr>
        <w:t xml:space="preserve"> </w:t>
      </w:r>
      <w:r w:rsidR="009A2506">
        <w:rPr>
          <w:rFonts w:cstheme="minorHAnsi"/>
          <w:color w:val="000000" w:themeColor="text1"/>
          <w:sz w:val="24"/>
          <w:szCs w:val="24"/>
          <w:shd w:val="clear" w:color="auto" w:fill="FFFFFF"/>
        </w:rPr>
        <w:t xml:space="preserve">The attainment gap between genders did not seem to be a huge issue at YCH as both the statistical evidence as well as the headteacher did not flag it as an issue. </w:t>
      </w:r>
      <w:r w:rsidR="00DB33BE">
        <w:rPr>
          <w:rFonts w:cstheme="minorHAnsi"/>
          <w:color w:val="000000" w:themeColor="text1"/>
          <w:sz w:val="24"/>
          <w:szCs w:val="24"/>
          <w:shd w:val="clear" w:color="auto" w:fill="FFFFFF"/>
        </w:rPr>
        <w:t xml:space="preserve">However, it did often seem as though girls were more likely to not </w:t>
      </w:r>
      <w:r w:rsidR="00F0684E">
        <w:rPr>
          <w:rFonts w:cstheme="minorHAnsi"/>
          <w:color w:val="000000" w:themeColor="text1"/>
          <w:sz w:val="24"/>
          <w:szCs w:val="24"/>
          <w:shd w:val="clear" w:color="auto" w:fill="FFFFFF"/>
        </w:rPr>
        <w:t>misbehave in class whereas there were definitely more behaviour outbursts with the boys in</w:t>
      </w:r>
      <w:r w:rsidR="00C52FA9">
        <w:rPr>
          <w:rFonts w:cstheme="minorHAnsi"/>
          <w:color w:val="000000" w:themeColor="text1"/>
          <w:sz w:val="24"/>
          <w:szCs w:val="24"/>
          <w:shd w:val="clear" w:color="auto" w:fill="FFFFFF"/>
        </w:rPr>
        <w:t xml:space="preserve">side the </w:t>
      </w:r>
      <w:r w:rsidR="00F0684E">
        <w:rPr>
          <w:rFonts w:cstheme="minorHAnsi"/>
          <w:color w:val="000000" w:themeColor="text1"/>
          <w:sz w:val="24"/>
          <w:szCs w:val="24"/>
          <w:shd w:val="clear" w:color="auto" w:fill="FFFFFF"/>
        </w:rPr>
        <w:t>class</w:t>
      </w:r>
      <w:r w:rsidR="00C52FA9">
        <w:rPr>
          <w:rFonts w:cstheme="minorHAnsi"/>
          <w:color w:val="000000" w:themeColor="text1"/>
          <w:sz w:val="24"/>
          <w:szCs w:val="24"/>
          <w:shd w:val="clear" w:color="auto" w:fill="FFFFFF"/>
        </w:rPr>
        <w:t>room</w:t>
      </w:r>
      <w:r w:rsidR="00F0684E">
        <w:rPr>
          <w:rFonts w:cstheme="minorHAnsi"/>
          <w:color w:val="000000" w:themeColor="text1"/>
          <w:sz w:val="24"/>
          <w:szCs w:val="24"/>
          <w:shd w:val="clear" w:color="auto" w:fill="FFFFFF"/>
        </w:rPr>
        <w:t xml:space="preserve"> as well as </w:t>
      </w:r>
      <w:r w:rsidR="00C52FA9">
        <w:rPr>
          <w:rFonts w:cstheme="minorHAnsi"/>
          <w:color w:val="000000" w:themeColor="text1"/>
          <w:sz w:val="24"/>
          <w:szCs w:val="24"/>
          <w:shd w:val="clear" w:color="auto" w:fill="FFFFFF"/>
        </w:rPr>
        <w:t>on</w:t>
      </w:r>
      <w:r w:rsidR="00F0684E">
        <w:rPr>
          <w:rFonts w:cstheme="minorHAnsi"/>
          <w:color w:val="000000" w:themeColor="text1"/>
          <w:sz w:val="24"/>
          <w:szCs w:val="24"/>
          <w:shd w:val="clear" w:color="auto" w:fill="FFFFFF"/>
        </w:rPr>
        <w:t xml:space="preserve"> the foundation stage trip to the church.</w:t>
      </w:r>
    </w:p>
    <w:p w14:paraId="2AD001D5" w14:textId="77777777" w:rsidR="00FC2189" w:rsidRDefault="00FC2189" w:rsidP="009513A3">
      <w:pPr>
        <w:rPr>
          <w:rFonts w:cstheme="minorHAnsi"/>
          <w:color w:val="000000" w:themeColor="text1"/>
          <w:sz w:val="24"/>
          <w:szCs w:val="24"/>
          <w:shd w:val="clear" w:color="auto" w:fill="FFFFFF"/>
        </w:rPr>
      </w:pPr>
    </w:p>
    <w:p w14:paraId="7FA675A4" w14:textId="7CC83358" w:rsidR="00E64699" w:rsidRPr="00FC2189" w:rsidRDefault="00E64699" w:rsidP="009513A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To conclude, by investigating how policy and practice are deeply intertwined one can see why it is important to consider how and why policy comes into place and how each school individually implements them. In the case of healthy eating, it seems as though school meals are a major factor in what children eat during school hours. This is regulated by LEA’s and implemented by the schools themselves, however the menus produce do not always fit in with guidelines given by the WAG. Also, it is hard to regulate packed lunches whilst not denying children of much-needed food. When considering school meals, financial </w:t>
      </w:r>
      <w:r>
        <w:rPr>
          <w:rFonts w:cstheme="minorHAnsi"/>
          <w:color w:val="000000" w:themeColor="text1"/>
          <w:sz w:val="24"/>
          <w:szCs w:val="24"/>
          <w:shd w:val="clear" w:color="auto" w:fill="FFFFFF"/>
        </w:rPr>
        <w:lastRenderedPageBreak/>
        <w:t xml:space="preserve">obligations also come into question and </w:t>
      </w:r>
      <w:r w:rsidR="00C76CED">
        <w:rPr>
          <w:rFonts w:cstheme="minorHAnsi"/>
          <w:color w:val="000000" w:themeColor="text1"/>
          <w:sz w:val="24"/>
          <w:szCs w:val="24"/>
          <w:shd w:val="clear" w:color="auto" w:fill="FFFFFF"/>
        </w:rPr>
        <w:t>whilst</w:t>
      </w:r>
      <w:r>
        <w:rPr>
          <w:rFonts w:cstheme="minorHAnsi"/>
          <w:color w:val="000000" w:themeColor="text1"/>
          <w:sz w:val="24"/>
          <w:szCs w:val="24"/>
          <w:shd w:val="clear" w:color="auto" w:fill="FFFFFF"/>
        </w:rPr>
        <w:t xml:space="preserve"> considering a school such YCH, with a relatively low </w:t>
      </w:r>
      <w:r w:rsidR="00C76CED">
        <w:rPr>
          <w:rFonts w:cstheme="minorHAnsi"/>
          <w:color w:val="000000" w:themeColor="text1"/>
          <w:sz w:val="24"/>
          <w:szCs w:val="24"/>
          <w:shd w:val="clear" w:color="auto" w:fill="FFFFFF"/>
        </w:rPr>
        <w:t>eFSM rate yet in a high-poverty area one needs to ponder why the eFSM rate is so low. This seems to be due to issues with eligibility under the benefits and income systems which are regulated by the British and Welsh Assembly governments.</w:t>
      </w:r>
      <w:r w:rsidR="00DB2F47">
        <w:rPr>
          <w:rFonts w:cstheme="minorHAnsi"/>
          <w:color w:val="000000" w:themeColor="text1"/>
          <w:sz w:val="24"/>
          <w:szCs w:val="24"/>
          <w:shd w:val="clear" w:color="auto" w:fill="FFFFFF"/>
        </w:rPr>
        <w:t xml:space="preserve"> Teachers and staff within the schools are not very likely to eat school dinners not due to the financial obligations but more so to do with the fact that they don’t enjoy most of the meals. Attainment is recorded through the four core subjects and expected levels by the end of Key Stage 2 are level 4’s, any student that achieves above this level exceed expectations and any below are underachieving. This seems to make schools focus more on these subjects which are all STEM, physical education and language based, while neglecting the humanities almost entirely. Humanities subjects are now struggling to survive</w:t>
      </w:r>
      <w:r w:rsidR="00DC745E">
        <w:rPr>
          <w:rFonts w:cstheme="minorHAnsi"/>
          <w:color w:val="000000" w:themeColor="text1"/>
          <w:sz w:val="24"/>
          <w:szCs w:val="24"/>
          <w:shd w:val="clear" w:color="auto" w:fill="FFFFFF"/>
        </w:rPr>
        <w:t xml:space="preserve"> in a meaningful way</w:t>
      </w:r>
      <w:r w:rsidR="00DB2F47">
        <w:rPr>
          <w:rFonts w:cstheme="minorHAnsi"/>
          <w:color w:val="000000" w:themeColor="text1"/>
          <w:sz w:val="24"/>
          <w:szCs w:val="24"/>
          <w:shd w:val="clear" w:color="auto" w:fill="FFFFFF"/>
        </w:rPr>
        <w:t xml:space="preserve"> under this strain,</w:t>
      </w:r>
      <w:r w:rsidR="00DB2F47">
        <w:rPr>
          <w:rStyle w:val="FootnoteReference"/>
          <w:rFonts w:cstheme="minorHAnsi"/>
          <w:color w:val="000000" w:themeColor="text1"/>
          <w:sz w:val="24"/>
          <w:szCs w:val="24"/>
          <w:shd w:val="clear" w:color="auto" w:fill="FFFFFF"/>
        </w:rPr>
        <w:footnoteReference w:id="37"/>
      </w:r>
      <w:r w:rsidR="00DB2F47">
        <w:rPr>
          <w:rFonts w:cstheme="minorHAnsi"/>
          <w:color w:val="000000" w:themeColor="text1"/>
          <w:sz w:val="24"/>
          <w:szCs w:val="24"/>
          <w:shd w:val="clear" w:color="auto" w:fill="FFFFFF"/>
        </w:rPr>
        <w:t xml:space="preserve"> though hopefully with the imminent implementation </w:t>
      </w:r>
      <w:r w:rsidR="00DB2F47">
        <w:rPr>
          <w:rFonts w:cstheme="minorHAnsi"/>
          <w:i/>
          <w:iCs/>
          <w:color w:val="000000" w:themeColor="text1"/>
          <w:sz w:val="24"/>
          <w:szCs w:val="24"/>
          <w:shd w:val="clear" w:color="auto" w:fill="FFFFFF"/>
        </w:rPr>
        <w:t>Successful Futures</w:t>
      </w:r>
      <w:r w:rsidR="00DB2F47">
        <w:rPr>
          <w:rFonts w:cstheme="minorHAnsi"/>
          <w:color w:val="000000" w:themeColor="text1"/>
          <w:sz w:val="24"/>
          <w:szCs w:val="24"/>
          <w:shd w:val="clear" w:color="auto" w:fill="FFFFFF"/>
        </w:rPr>
        <w:t xml:space="preserve"> this will change. </w:t>
      </w:r>
      <w:r w:rsidR="00E37861">
        <w:rPr>
          <w:rFonts w:cstheme="minorHAnsi"/>
          <w:color w:val="000000" w:themeColor="text1"/>
          <w:sz w:val="24"/>
          <w:szCs w:val="24"/>
          <w:shd w:val="clear" w:color="auto" w:fill="FFFFFF"/>
        </w:rPr>
        <w:t xml:space="preserve">Gender in YCH did not seem to make a difference in attainment though ALN’s </w:t>
      </w:r>
      <w:r w:rsidR="00FC2189">
        <w:rPr>
          <w:rFonts w:cstheme="minorHAnsi"/>
          <w:color w:val="000000" w:themeColor="text1"/>
          <w:sz w:val="24"/>
          <w:szCs w:val="24"/>
          <w:shd w:val="clear" w:color="auto" w:fill="FFFFFF"/>
        </w:rPr>
        <w:t xml:space="preserve">did. </w:t>
      </w:r>
      <w:proofErr w:type="gramStart"/>
      <w:r w:rsidR="00FC2189">
        <w:rPr>
          <w:rFonts w:cstheme="minorHAnsi"/>
          <w:color w:val="000000" w:themeColor="text1"/>
          <w:sz w:val="24"/>
          <w:szCs w:val="24"/>
          <w:shd w:val="clear" w:color="auto" w:fill="FFFFFF"/>
        </w:rPr>
        <w:t>However</w:t>
      </w:r>
      <w:proofErr w:type="gramEnd"/>
      <w:r w:rsidR="00FC2189">
        <w:rPr>
          <w:rFonts w:cstheme="minorHAnsi"/>
          <w:color w:val="000000" w:themeColor="text1"/>
          <w:sz w:val="24"/>
          <w:szCs w:val="24"/>
          <w:shd w:val="clear" w:color="auto" w:fill="FFFFFF"/>
        </w:rPr>
        <w:t xml:space="preserve"> gender difference </w:t>
      </w:r>
      <w:r w:rsidR="00FC2189">
        <w:rPr>
          <w:rFonts w:cstheme="minorHAnsi"/>
          <w:i/>
          <w:iCs/>
          <w:color w:val="000000" w:themeColor="text1"/>
          <w:sz w:val="24"/>
          <w:szCs w:val="24"/>
          <w:shd w:val="clear" w:color="auto" w:fill="FFFFFF"/>
        </w:rPr>
        <w:t>did</w:t>
      </w:r>
      <w:r w:rsidR="00FC2189">
        <w:rPr>
          <w:rFonts w:cstheme="minorHAnsi"/>
          <w:color w:val="000000" w:themeColor="text1"/>
          <w:sz w:val="24"/>
          <w:szCs w:val="24"/>
          <w:shd w:val="clear" w:color="auto" w:fill="FFFFFF"/>
        </w:rPr>
        <w:t xml:space="preserve"> seem to influence behavioural difficulties.</w:t>
      </w:r>
    </w:p>
    <w:p w14:paraId="39442EE0" w14:textId="008DA749" w:rsidR="000C46DD" w:rsidRDefault="000C46DD" w:rsidP="009513A3">
      <w:pPr>
        <w:rPr>
          <w:rFonts w:cstheme="minorHAnsi"/>
          <w:b/>
          <w:bCs/>
          <w:color w:val="000000" w:themeColor="text1"/>
          <w:sz w:val="24"/>
          <w:szCs w:val="24"/>
          <w:shd w:val="clear" w:color="auto" w:fill="FFFFFF"/>
        </w:rPr>
      </w:pPr>
    </w:p>
    <w:p w14:paraId="55575477" w14:textId="125034DF" w:rsidR="00A911EE" w:rsidRDefault="00A911EE" w:rsidP="009513A3">
      <w:pPr>
        <w:rPr>
          <w:rFonts w:cstheme="minorHAnsi"/>
          <w:b/>
          <w:bCs/>
          <w:color w:val="000000" w:themeColor="text1"/>
          <w:sz w:val="24"/>
          <w:szCs w:val="24"/>
          <w:shd w:val="clear" w:color="auto" w:fill="FFFFFF"/>
        </w:rPr>
      </w:pPr>
    </w:p>
    <w:p w14:paraId="1FDF35C8" w14:textId="2A685943" w:rsidR="00A911EE" w:rsidRDefault="00A911EE" w:rsidP="009513A3">
      <w:pPr>
        <w:rPr>
          <w:rFonts w:cstheme="minorHAnsi"/>
          <w:b/>
          <w:bCs/>
          <w:color w:val="000000" w:themeColor="text1"/>
          <w:sz w:val="24"/>
          <w:szCs w:val="24"/>
          <w:shd w:val="clear" w:color="auto" w:fill="FFFFFF"/>
        </w:rPr>
      </w:pPr>
    </w:p>
    <w:bookmarkEnd w:id="0"/>
    <w:p w14:paraId="0035179D" w14:textId="77777777" w:rsidR="00FF7DC8" w:rsidRDefault="00FF7DC8" w:rsidP="009513A3">
      <w:pPr>
        <w:rPr>
          <w:rFonts w:cstheme="minorHAnsi"/>
          <w:b/>
          <w:bCs/>
          <w:color w:val="000000" w:themeColor="text1"/>
          <w:sz w:val="24"/>
          <w:szCs w:val="24"/>
          <w:shd w:val="clear" w:color="auto" w:fill="FFFFFF"/>
        </w:rPr>
      </w:pPr>
    </w:p>
    <w:p w14:paraId="4CA5EEF6" w14:textId="77777777" w:rsidR="00A911EE" w:rsidRDefault="00A911EE" w:rsidP="009513A3">
      <w:pPr>
        <w:rPr>
          <w:rFonts w:cstheme="minorHAnsi"/>
          <w:b/>
          <w:bCs/>
          <w:color w:val="000000" w:themeColor="text1"/>
          <w:sz w:val="24"/>
          <w:szCs w:val="24"/>
          <w:shd w:val="clear" w:color="auto" w:fill="FFFFFF"/>
        </w:rPr>
      </w:pPr>
    </w:p>
    <w:sdt>
      <w:sdtPr>
        <w:rPr>
          <w:rFonts w:asciiTheme="minorHAnsi" w:eastAsiaTheme="minorHAnsi" w:hAnsiTheme="minorHAnsi" w:cstheme="minorBidi"/>
          <w:color w:val="auto"/>
          <w:sz w:val="36"/>
          <w:szCs w:val="36"/>
          <w:lang w:val="en-GB"/>
        </w:rPr>
        <w:id w:val="1629274424"/>
        <w:docPartObj>
          <w:docPartGallery w:val="Bibliographies"/>
          <w:docPartUnique/>
        </w:docPartObj>
      </w:sdtPr>
      <w:sdtEndPr>
        <w:rPr>
          <w:b/>
          <w:bCs/>
          <w:sz w:val="22"/>
          <w:szCs w:val="22"/>
        </w:rPr>
      </w:sdtEndPr>
      <w:sdtContent>
        <w:p w14:paraId="655D436D" w14:textId="491715A6" w:rsidR="0081495A" w:rsidRPr="00407D32" w:rsidRDefault="0081495A" w:rsidP="00407D32">
          <w:pPr>
            <w:pStyle w:val="Heading1"/>
            <w:spacing w:line="360" w:lineRule="auto"/>
            <w:rPr>
              <w:sz w:val="36"/>
              <w:szCs w:val="36"/>
            </w:rPr>
          </w:pPr>
          <w:r w:rsidRPr="00407D32">
            <w:rPr>
              <w:sz w:val="36"/>
              <w:szCs w:val="36"/>
            </w:rPr>
            <w:t>Works Cited</w:t>
          </w:r>
        </w:p>
        <w:p w14:paraId="01E094CF" w14:textId="1FB97F00" w:rsidR="0081495A" w:rsidRPr="00407D32" w:rsidRDefault="0081495A" w:rsidP="00407D32">
          <w:pPr>
            <w:pStyle w:val="FootnoteText"/>
            <w:spacing w:line="360" w:lineRule="auto"/>
            <w:rPr>
              <w:sz w:val="22"/>
              <w:szCs w:val="22"/>
            </w:rPr>
          </w:pPr>
        </w:p>
        <w:p w14:paraId="2A49E684" w14:textId="0E7F09D3" w:rsidR="0081495A" w:rsidRDefault="0081495A" w:rsidP="00407D32">
          <w:pPr>
            <w:pStyle w:val="FootnoteText"/>
            <w:spacing w:line="360" w:lineRule="auto"/>
            <w:rPr>
              <w:sz w:val="22"/>
              <w:szCs w:val="22"/>
            </w:rPr>
          </w:pPr>
          <w:proofErr w:type="spellStart"/>
          <w:r w:rsidRPr="00407D32">
            <w:rPr>
              <w:sz w:val="22"/>
              <w:szCs w:val="22"/>
            </w:rPr>
            <w:t>Axin</w:t>
          </w:r>
          <w:proofErr w:type="spellEnd"/>
          <w:r w:rsidRPr="00407D32">
            <w:rPr>
              <w:sz w:val="22"/>
              <w:szCs w:val="22"/>
            </w:rPr>
            <w:t xml:space="preserve">, William G. &amp; Lisa D. Pearce. </w:t>
          </w:r>
          <w:r w:rsidRPr="00407D32">
            <w:rPr>
              <w:i/>
              <w:iCs/>
              <w:sz w:val="22"/>
              <w:szCs w:val="22"/>
            </w:rPr>
            <w:t>Mixed Method Data Collection Strategies</w:t>
          </w:r>
          <w:r w:rsidRPr="00407D32">
            <w:rPr>
              <w:sz w:val="22"/>
              <w:szCs w:val="22"/>
            </w:rPr>
            <w:t>. (Cambridge: Cambridge University Press, 2006)</w:t>
          </w:r>
        </w:p>
        <w:p w14:paraId="3AA89A93" w14:textId="77777777" w:rsidR="00DB2F47" w:rsidRPr="00407D32" w:rsidRDefault="00DB2F47" w:rsidP="00407D32">
          <w:pPr>
            <w:pStyle w:val="FootnoteText"/>
            <w:spacing w:line="360" w:lineRule="auto"/>
            <w:rPr>
              <w:sz w:val="22"/>
              <w:szCs w:val="22"/>
            </w:rPr>
          </w:pPr>
        </w:p>
        <w:p w14:paraId="40FDDE83" w14:textId="66B37AE8" w:rsidR="0081495A" w:rsidRPr="00407D32" w:rsidRDefault="0081495A" w:rsidP="00407D32">
          <w:pPr>
            <w:pStyle w:val="FootnoteText"/>
            <w:spacing w:line="360" w:lineRule="auto"/>
            <w:rPr>
              <w:sz w:val="22"/>
              <w:szCs w:val="22"/>
            </w:rPr>
          </w:pPr>
          <w:r w:rsidRPr="00407D32">
            <w:rPr>
              <w:sz w:val="22"/>
              <w:szCs w:val="22"/>
            </w:rPr>
            <w:t xml:space="preserve">Baker, Carl. ‘Obesity Statistics’ </w:t>
          </w:r>
          <w:r w:rsidRPr="00407D32">
            <w:rPr>
              <w:i/>
              <w:iCs/>
              <w:sz w:val="22"/>
              <w:szCs w:val="22"/>
            </w:rPr>
            <w:t xml:space="preserve">House of Commons. </w:t>
          </w:r>
          <w:r w:rsidRPr="00407D32">
            <w:rPr>
              <w:sz w:val="22"/>
              <w:szCs w:val="22"/>
            </w:rPr>
            <w:t xml:space="preserve">Briefing Paper No. 3336 (2019) </w:t>
          </w:r>
        </w:p>
        <w:p w14:paraId="00E680F7" w14:textId="713ED8B5" w:rsidR="0081495A" w:rsidRPr="00DB2F47" w:rsidRDefault="0081495A" w:rsidP="00407D32">
          <w:pPr>
            <w:pStyle w:val="FootnoteText"/>
            <w:spacing w:line="360" w:lineRule="auto"/>
            <w:rPr>
              <w:sz w:val="22"/>
              <w:szCs w:val="22"/>
            </w:rPr>
          </w:pPr>
        </w:p>
        <w:p w14:paraId="130C99C2" w14:textId="554FFD70" w:rsidR="00DB2F47" w:rsidRPr="00DB2F47" w:rsidRDefault="00DB2F47" w:rsidP="00407D32">
          <w:pPr>
            <w:pStyle w:val="FootnoteText"/>
            <w:spacing w:line="360" w:lineRule="auto"/>
            <w:rPr>
              <w:rFonts w:cstheme="minorHAnsi"/>
              <w:color w:val="000000" w:themeColor="text1"/>
              <w:sz w:val="22"/>
              <w:szCs w:val="22"/>
            </w:rPr>
          </w:pPr>
          <w:r w:rsidRPr="00DB2F47">
            <w:rPr>
              <w:rFonts w:cstheme="minorHAnsi"/>
              <w:color w:val="000000" w:themeColor="text1"/>
              <w:sz w:val="22"/>
              <w:szCs w:val="22"/>
            </w:rPr>
            <w:t xml:space="preserve">Barnes, Jonathan &amp; Stephan </w:t>
          </w:r>
          <w:proofErr w:type="spellStart"/>
          <w:r w:rsidRPr="00DB2F47">
            <w:rPr>
              <w:rFonts w:cstheme="minorHAnsi"/>
              <w:color w:val="000000" w:themeColor="text1"/>
              <w:sz w:val="22"/>
              <w:szCs w:val="22"/>
            </w:rPr>
            <w:t>Scoffham</w:t>
          </w:r>
          <w:proofErr w:type="spellEnd"/>
          <w:r w:rsidRPr="00DB2F47">
            <w:rPr>
              <w:rFonts w:cstheme="minorHAnsi"/>
              <w:color w:val="000000" w:themeColor="text1"/>
              <w:sz w:val="22"/>
              <w:szCs w:val="22"/>
            </w:rPr>
            <w:t xml:space="preserve">. ‘The humanities in English primary schools: struggling to survive.’ </w:t>
          </w:r>
          <w:r w:rsidRPr="00DB2F47">
            <w:rPr>
              <w:rFonts w:cstheme="minorHAnsi"/>
              <w:i/>
              <w:iCs/>
              <w:color w:val="000000" w:themeColor="text1"/>
              <w:sz w:val="22"/>
              <w:szCs w:val="22"/>
            </w:rPr>
            <w:t>Education 3-13: International Journal of Primary, Elementary and Early Years Education</w:t>
          </w:r>
          <w:r w:rsidRPr="00DB2F47">
            <w:rPr>
              <w:rFonts w:cstheme="minorHAnsi"/>
              <w:color w:val="000000" w:themeColor="text1"/>
              <w:sz w:val="22"/>
              <w:szCs w:val="22"/>
            </w:rPr>
            <w:t xml:space="preserve"> Vol.35 (2017)</w:t>
          </w:r>
        </w:p>
        <w:p w14:paraId="78BA993C" w14:textId="77777777" w:rsidR="00DB2F47" w:rsidRPr="00407D32" w:rsidRDefault="00DB2F47" w:rsidP="00407D32">
          <w:pPr>
            <w:pStyle w:val="FootnoteText"/>
            <w:spacing w:line="360" w:lineRule="auto"/>
            <w:rPr>
              <w:sz w:val="22"/>
              <w:szCs w:val="22"/>
            </w:rPr>
          </w:pPr>
        </w:p>
        <w:p w14:paraId="5A7D6690" w14:textId="3513A05B" w:rsidR="0081495A" w:rsidRPr="00407D32" w:rsidRDefault="0081495A" w:rsidP="00407D32">
          <w:pPr>
            <w:pStyle w:val="FootnoteText"/>
            <w:spacing w:line="360" w:lineRule="auto"/>
            <w:rPr>
              <w:sz w:val="22"/>
              <w:szCs w:val="22"/>
            </w:rPr>
          </w:pPr>
          <w:r w:rsidRPr="00407D32">
            <w:rPr>
              <w:sz w:val="22"/>
              <w:szCs w:val="22"/>
            </w:rPr>
            <w:t xml:space="preserve">Brown, K., H. </w:t>
          </w:r>
          <w:proofErr w:type="spellStart"/>
          <w:r w:rsidRPr="00407D32">
            <w:rPr>
              <w:sz w:val="22"/>
              <w:szCs w:val="22"/>
            </w:rPr>
            <w:t>Mcllveen</w:t>
          </w:r>
          <w:proofErr w:type="spellEnd"/>
          <w:r w:rsidRPr="00407D32">
            <w:rPr>
              <w:sz w:val="22"/>
              <w:szCs w:val="22"/>
            </w:rPr>
            <w:t xml:space="preserve">, C. </w:t>
          </w:r>
          <w:proofErr w:type="spellStart"/>
          <w:r w:rsidRPr="00407D32">
            <w:rPr>
              <w:sz w:val="22"/>
              <w:szCs w:val="22"/>
            </w:rPr>
            <w:t>Strugnell</w:t>
          </w:r>
          <w:proofErr w:type="spellEnd"/>
          <w:r w:rsidRPr="00407D32">
            <w:rPr>
              <w:sz w:val="22"/>
              <w:szCs w:val="22"/>
            </w:rPr>
            <w:t xml:space="preserve">. “Nutritional Awareness and Food Preferences of Young Consumers” </w:t>
          </w:r>
          <w:r w:rsidRPr="00407D32">
            <w:rPr>
              <w:i/>
              <w:sz w:val="22"/>
              <w:szCs w:val="22"/>
            </w:rPr>
            <w:t>Nutrition and Food Science</w:t>
          </w:r>
          <w:r w:rsidRPr="00407D32">
            <w:rPr>
              <w:sz w:val="22"/>
              <w:szCs w:val="22"/>
            </w:rPr>
            <w:t xml:space="preserve"> 30.5 (2000) pp.230-253</w:t>
          </w:r>
        </w:p>
        <w:p w14:paraId="16223124" w14:textId="77777777" w:rsidR="007E4921" w:rsidRDefault="007E4921" w:rsidP="00407D32">
          <w:pPr>
            <w:pStyle w:val="FootnoteText"/>
            <w:spacing w:line="360" w:lineRule="auto"/>
            <w:rPr>
              <w:sz w:val="22"/>
              <w:szCs w:val="22"/>
            </w:rPr>
          </w:pPr>
        </w:p>
        <w:p w14:paraId="4041FEA7" w14:textId="63F3AC34" w:rsidR="0081495A" w:rsidRPr="00407D32" w:rsidRDefault="0081495A" w:rsidP="00407D32">
          <w:pPr>
            <w:pStyle w:val="FootnoteText"/>
            <w:spacing w:line="360" w:lineRule="auto"/>
            <w:rPr>
              <w:sz w:val="22"/>
              <w:szCs w:val="22"/>
            </w:rPr>
          </w:pPr>
          <w:r w:rsidRPr="00407D32">
            <w:rPr>
              <w:sz w:val="22"/>
              <w:szCs w:val="22"/>
            </w:rPr>
            <w:t xml:space="preserve">Carmarthenshire County Council. </w:t>
          </w:r>
          <w:proofErr w:type="spellStart"/>
          <w:r w:rsidRPr="00407D32">
            <w:rPr>
              <w:i/>
              <w:iCs/>
              <w:sz w:val="22"/>
              <w:szCs w:val="22"/>
            </w:rPr>
            <w:t>Bwydlen</w:t>
          </w:r>
          <w:proofErr w:type="spellEnd"/>
          <w:r w:rsidRPr="00407D32">
            <w:rPr>
              <w:i/>
              <w:iCs/>
              <w:sz w:val="22"/>
              <w:szCs w:val="22"/>
            </w:rPr>
            <w:t xml:space="preserve"> Sir </w:t>
          </w:r>
          <w:proofErr w:type="spellStart"/>
          <w:r w:rsidRPr="00407D32">
            <w:rPr>
              <w:i/>
              <w:iCs/>
              <w:sz w:val="22"/>
              <w:szCs w:val="22"/>
            </w:rPr>
            <w:t>Gaerfyrddin</w:t>
          </w:r>
          <w:proofErr w:type="spellEnd"/>
          <w:r w:rsidRPr="00407D32">
            <w:rPr>
              <w:i/>
              <w:iCs/>
              <w:sz w:val="22"/>
              <w:szCs w:val="22"/>
            </w:rPr>
            <w:t xml:space="preserve"> - </w:t>
          </w:r>
          <w:proofErr w:type="spellStart"/>
          <w:r w:rsidRPr="00407D32">
            <w:rPr>
              <w:i/>
              <w:iCs/>
              <w:sz w:val="22"/>
              <w:szCs w:val="22"/>
            </w:rPr>
            <w:t>Gaeaf</w:t>
          </w:r>
          <w:proofErr w:type="spellEnd"/>
          <w:r w:rsidRPr="00407D32">
            <w:rPr>
              <w:i/>
              <w:iCs/>
              <w:sz w:val="22"/>
              <w:szCs w:val="22"/>
            </w:rPr>
            <w:t xml:space="preserve"> 2019</w:t>
          </w:r>
        </w:p>
        <w:p w14:paraId="470922FA" w14:textId="3C177975" w:rsidR="0081495A" w:rsidRPr="00407D32" w:rsidRDefault="0081495A" w:rsidP="00407D32">
          <w:pPr>
            <w:pStyle w:val="FootnoteText"/>
            <w:spacing w:line="360" w:lineRule="auto"/>
            <w:rPr>
              <w:sz w:val="22"/>
              <w:szCs w:val="22"/>
            </w:rPr>
          </w:pPr>
          <w:r w:rsidRPr="00407D32">
            <w:rPr>
              <w:sz w:val="22"/>
              <w:szCs w:val="22"/>
            </w:rPr>
            <w:t xml:space="preserve">&lt; </w:t>
          </w:r>
          <w:hyperlink r:id="rId7" w:history="1">
            <w:r w:rsidRPr="00407D32">
              <w:rPr>
                <w:rStyle w:val="Hyperlink"/>
                <w:sz w:val="22"/>
                <w:szCs w:val="22"/>
              </w:rPr>
              <w:t>https://www.carmarthenshire.gov.wales/media/1220586/wintermenu2019.pdf</w:t>
            </w:r>
          </w:hyperlink>
          <w:r w:rsidRPr="00407D32">
            <w:rPr>
              <w:sz w:val="22"/>
              <w:szCs w:val="22"/>
            </w:rPr>
            <w:t>&gt; [accessed 18/5/2020]</w:t>
          </w:r>
        </w:p>
        <w:p w14:paraId="518BE4C1" w14:textId="7ED393A8" w:rsidR="007E4921" w:rsidRDefault="007E4921" w:rsidP="00407D32">
          <w:pPr>
            <w:pStyle w:val="Bibliography"/>
            <w:spacing w:line="360" w:lineRule="auto"/>
            <w:rPr>
              <w:noProof/>
              <w:lang w:val="en-US"/>
            </w:rPr>
          </w:pPr>
        </w:p>
        <w:p w14:paraId="0933582A" w14:textId="34999896" w:rsidR="007E4921" w:rsidRDefault="007E4921" w:rsidP="00252C24">
          <w:pPr>
            <w:pStyle w:val="Heading1"/>
            <w:spacing w:before="0"/>
            <w:rPr>
              <w:rStyle w:val="title-text"/>
              <w:rFonts w:asciiTheme="minorHAnsi" w:hAnsiTheme="minorHAnsi" w:cstheme="minorHAnsi"/>
              <w:color w:val="auto"/>
              <w:sz w:val="22"/>
              <w:szCs w:val="22"/>
            </w:rPr>
          </w:pPr>
          <w:proofErr w:type="spellStart"/>
          <w:r w:rsidRPr="007E4921">
            <w:rPr>
              <w:rFonts w:asciiTheme="minorHAnsi" w:hAnsiTheme="minorHAnsi" w:cstheme="minorHAnsi"/>
              <w:color w:val="auto"/>
              <w:sz w:val="22"/>
              <w:szCs w:val="22"/>
            </w:rPr>
            <w:t>Demmler</w:t>
          </w:r>
          <w:proofErr w:type="spellEnd"/>
          <w:r>
            <w:rPr>
              <w:rFonts w:asciiTheme="minorHAnsi" w:hAnsiTheme="minorHAnsi" w:cstheme="minorHAnsi"/>
              <w:color w:val="auto"/>
              <w:sz w:val="22"/>
              <w:szCs w:val="22"/>
            </w:rPr>
            <w:t>,</w:t>
          </w:r>
          <w:r w:rsidRPr="007E4921">
            <w:rPr>
              <w:rFonts w:asciiTheme="minorHAnsi" w:hAnsiTheme="minorHAnsi" w:cstheme="minorHAnsi"/>
              <w:color w:val="auto"/>
              <w:sz w:val="22"/>
              <w:szCs w:val="22"/>
            </w:rPr>
            <w:t xml:space="preserve"> Joanne C. (et. Al.) ‘</w:t>
          </w:r>
          <w:r w:rsidRPr="007E4921">
            <w:rPr>
              <w:rStyle w:val="title-text"/>
              <w:rFonts w:asciiTheme="minorHAnsi" w:hAnsiTheme="minorHAnsi" w:cstheme="minorHAnsi"/>
              <w:color w:val="auto"/>
              <w:sz w:val="22"/>
              <w:szCs w:val="22"/>
            </w:rPr>
            <w:t xml:space="preserve">Educational Attainment at Age 10–11 Years Predicts Health Risk Behaviors and Injury Risk During Adolescence’ </w:t>
          </w:r>
          <w:r w:rsidRPr="007E4921">
            <w:rPr>
              <w:rStyle w:val="title-text"/>
              <w:rFonts w:asciiTheme="minorHAnsi" w:hAnsiTheme="minorHAnsi" w:cstheme="minorHAnsi"/>
              <w:i/>
              <w:iCs/>
              <w:color w:val="auto"/>
              <w:sz w:val="22"/>
              <w:szCs w:val="22"/>
            </w:rPr>
            <w:t>Journal of Adolescent Health</w:t>
          </w:r>
          <w:r w:rsidR="00252C24">
            <w:rPr>
              <w:rStyle w:val="title-text"/>
              <w:rFonts w:asciiTheme="minorHAnsi" w:hAnsiTheme="minorHAnsi" w:cstheme="minorHAnsi"/>
              <w:color w:val="auto"/>
              <w:sz w:val="22"/>
              <w:szCs w:val="22"/>
            </w:rPr>
            <w:t xml:space="preserve"> Vol. 61.2 (2017)</w:t>
          </w:r>
          <w:r w:rsidRPr="007E4921">
            <w:rPr>
              <w:rStyle w:val="title-text"/>
              <w:rFonts w:asciiTheme="minorHAnsi" w:hAnsiTheme="minorHAnsi" w:cstheme="minorHAnsi"/>
              <w:color w:val="auto"/>
              <w:sz w:val="22"/>
              <w:szCs w:val="22"/>
            </w:rPr>
            <w:t xml:space="preserve"> p.212-218</w:t>
          </w:r>
        </w:p>
        <w:p w14:paraId="5C67A850" w14:textId="77777777" w:rsidR="00252C24" w:rsidRPr="00252C24" w:rsidRDefault="00252C24" w:rsidP="00252C24">
          <w:pPr>
            <w:rPr>
              <w:lang w:val="en-US"/>
            </w:rPr>
          </w:pPr>
        </w:p>
        <w:p w14:paraId="6B9B528C" w14:textId="38C3FB49" w:rsidR="00407D32" w:rsidRPr="00407D32" w:rsidRDefault="00407D32" w:rsidP="00407D32">
          <w:pPr>
            <w:pStyle w:val="Bibliography"/>
            <w:spacing w:line="360" w:lineRule="auto"/>
            <w:rPr>
              <w:noProof/>
              <w:lang w:val="en-US"/>
            </w:rPr>
          </w:pPr>
          <w:r w:rsidRPr="00407D32">
            <w:rPr>
              <w:noProof/>
              <w:lang w:val="en-US"/>
            </w:rPr>
            <w:t>Donaldson,</w:t>
          </w:r>
          <w:r w:rsidRPr="00407D32">
            <w:t xml:space="preserve"> Prof. Graham</w:t>
          </w:r>
          <w:r w:rsidRPr="00407D32">
            <w:rPr>
              <w:noProof/>
              <w:lang w:val="en-US"/>
            </w:rPr>
            <w:t xml:space="preserve">. </w:t>
          </w:r>
          <w:r w:rsidRPr="00407D32">
            <w:rPr>
              <w:i/>
              <w:iCs/>
              <w:noProof/>
              <w:lang w:val="en-US"/>
            </w:rPr>
            <w:t>Successful Futures: Independent Review of Curriculum and Assessment Arrangements in Wales.</w:t>
          </w:r>
          <w:r w:rsidRPr="00407D32">
            <w:rPr>
              <w:noProof/>
              <w:lang w:val="en-US"/>
            </w:rPr>
            <w:t xml:space="preserve"> (WAG, 2015)</w:t>
          </w:r>
        </w:p>
        <w:p w14:paraId="32FB2D42" w14:textId="427AF39D" w:rsidR="0081495A" w:rsidRPr="00407D32" w:rsidRDefault="0081495A" w:rsidP="00407D32">
          <w:pPr>
            <w:pStyle w:val="FootnoteText"/>
            <w:spacing w:line="360" w:lineRule="auto"/>
            <w:rPr>
              <w:sz w:val="22"/>
              <w:szCs w:val="22"/>
            </w:rPr>
          </w:pPr>
          <w:r w:rsidRPr="00407D32">
            <w:rPr>
              <w:sz w:val="22"/>
              <w:szCs w:val="22"/>
            </w:rPr>
            <w:t xml:space="preserve">Gov UK. </w:t>
          </w:r>
          <w:r w:rsidRPr="00407D32">
            <w:rPr>
              <w:i/>
              <w:iCs/>
              <w:sz w:val="22"/>
              <w:szCs w:val="22"/>
            </w:rPr>
            <w:t>Changes to Working Tax Credits and Free School Meal Entitlement</w:t>
          </w:r>
          <w:r w:rsidRPr="00407D32">
            <w:rPr>
              <w:sz w:val="22"/>
              <w:szCs w:val="22"/>
            </w:rPr>
            <w:t xml:space="preserve"> (2013)</w:t>
          </w:r>
        </w:p>
        <w:p w14:paraId="45F0A708" w14:textId="690405F4" w:rsidR="0081495A" w:rsidRPr="00407D32" w:rsidRDefault="0081495A" w:rsidP="00407D32">
          <w:pPr>
            <w:spacing w:line="360" w:lineRule="auto"/>
          </w:pPr>
          <w:r w:rsidRPr="00407D32">
            <w:t>&lt;</w:t>
          </w:r>
          <w:hyperlink r:id="rId8" w:history="1">
            <w:r w:rsidRPr="00407D32">
              <w:rPr>
                <w:rStyle w:val="Hyperlink"/>
              </w:rPr>
              <w:t>https://www.gov.uk/government/publications/changes-to-working-tax-credit-and-free-school-meals-entitlement/changes-to-working-tax-credit-and-free-school-meals-entitlement</w:t>
            </w:r>
          </w:hyperlink>
          <w:r w:rsidRPr="00407D32">
            <w:t>&gt; (accessed 7/3/2020)</w:t>
          </w:r>
        </w:p>
      </w:sdtContent>
    </w:sdt>
    <w:p w14:paraId="2C73CEA0" w14:textId="77777777" w:rsidR="0081495A" w:rsidRPr="00407D32" w:rsidRDefault="0081495A" w:rsidP="00407D32">
      <w:pPr>
        <w:pStyle w:val="FootnoteText"/>
        <w:spacing w:line="360" w:lineRule="auto"/>
        <w:rPr>
          <w:sz w:val="22"/>
          <w:szCs w:val="22"/>
        </w:rPr>
      </w:pPr>
      <w:r w:rsidRPr="00407D32">
        <w:rPr>
          <w:sz w:val="22"/>
          <w:szCs w:val="22"/>
        </w:rPr>
        <w:t xml:space="preserve">Gov UK. </w:t>
      </w:r>
      <w:r w:rsidRPr="00407D32">
        <w:rPr>
          <w:i/>
          <w:iCs/>
          <w:sz w:val="22"/>
          <w:szCs w:val="22"/>
        </w:rPr>
        <w:t>Working Tax Credit</w:t>
      </w:r>
      <w:r w:rsidRPr="00407D32">
        <w:rPr>
          <w:sz w:val="22"/>
          <w:szCs w:val="22"/>
        </w:rPr>
        <w:t xml:space="preserve"> (2020)</w:t>
      </w:r>
    </w:p>
    <w:p w14:paraId="15B2E996" w14:textId="71770231" w:rsidR="0081495A" w:rsidRPr="00DA19D8" w:rsidRDefault="0081495A" w:rsidP="00407D32">
      <w:pPr>
        <w:spacing w:line="360" w:lineRule="auto"/>
      </w:pPr>
      <w:r w:rsidRPr="00DA19D8">
        <w:t>&lt;</w:t>
      </w:r>
      <w:hyperlink r:id="rId9" w:history="1">
        <w:r w:rsidRPr="00DA19D8">
          <w:rPr>
            <w:rStyle w:val="Hyperlink"/>
          </w:rPr>
          <w:t>https://www.gov.uk/working-tax-credit</w:t>
        </w:r>
      </w:hyperlink>
      <w:r w:rsidRPr="00DA19D8">
        <w:t>&gt; (accessed 07/03/2020)</w:t>
      </w:r>
    </w:p>
    <w:p w14:paraId="7D9BF959" w14:textId="5A6BDC9E" w:rsidR="002B13A3" w:rsidRDefault="002B13A3" w:rsidP="00407D32">
      <w:pPr>
        <w:spacing w:line="360" w:lineRule="auto"/>
        <w:rPr>
          <w:rStyle w:val="title-text"/>
          <w:rFonts w:cstheme="minorHAnsi"/>
        </w:rPr>
      </w:pPr>
      <w:r w:rsidRPr="00DA19D8">
        <w:rPr>
          <w:rFonts w:cstheme="minorHAnsi"/>
        </w:rPr>
        <w:lastRenderedPageBreak/>
        <w:t>Hardcastle, Katie. (et.al) ‘</w:t>
      </w:r>
      <w:r w:rsidRPr="00DA19D8">
        <w:rPr>
          <w:rStyle w:val="title-text"/>
          <w:rFonts w:cstheme="minorHAnsi"/>
        </w:rPr>
        <w:t xml:space="preserve">Measuring the relationships between adverse childhood experiences and educational and employment success in England and Wales: findings from a retrospective study’ </w:t>
      </w:r>
      <w:r w:rsidRPr="00DA19D8">
        <w:rPr>
          <w:rStyle w:val="title-text"/>
          <w:rFonts w:cstheme="minorHAnsi"/>
          <w:i/>
          <w:iCs/>
        </w:rPr>
        <w:t xml:space="preserve">Public Health </w:t>
      </w:r>
      <w:r w:rsidRPr="00DA19D8">
        <w:rPr>
          <w:rStyle w:val="title-text"/>
          <w:rFonts w:cstheme="minorHAnsi"/>
        </w:rPr>
        <w:t>Vol.165 (2018) p.106-116</w:t>
      </w:r>
    </w:p>
    <w:p w14:paraId="76FB721C" w14:textId="15C9E689" w:rsidR="005E5F8F" w:rsidRPr="00DA19D8" w:rsidRDefault="005E5F8F" w:rsidP="00407D32">
      <w:pPr>
        <w:spacing w:line="360" w:lineRule="auto"/>
      </w:pPr>
      <w:r>
        <w:t xml:space="preserve">Hill, Francesca (et. al). ‘Maths anxiety in primary and secondary school students: Gender differences, developmental changes and anxiety specificity’ </w:t>
      </w:r>
      <w:r>
        <w:rPr>
          <w:i/>
          <w:iCs/>
        </w:rPr>
        <w:t xml:space="preserve">Learning and Individual Differences </w:t>
      </w:r>
      <w:r>
        <w:t>Vol.48 (2016) p.45-53</w:t>
      </w:r>
    </w:p>
    <w:p w14:paraId="21D0A45A" w14:textId="254B828D" w:rsidR="00FA6367" w:rsidRPr="00FA6367" w:rsidRDefault="00FA6367" w:rsidP="00407D32">
      <w:pPr>
        <w:spacing w:line="360" w:lineRule="auto"/>
      </w:pPr>
      <w:r w:rsidRPr="00FA6367">
        <w:rPr>
          <w:rFonts w:cstheme="minorHAnsi"/>
        </w:rPr>
        <w:t>Hutchings, Hayley A. (et. Al.) ‘</w:t>
      </w:r>
      <w:r w:rsidRPr="00FA6367">
        <w:rPr>
          <w:rFonts w:cstheme="minorHAnsi"/>
          <w:shd w:val="clear" w:color="auto" w:fill="FFFFFF"/>
        </w:rPr>
        <w:t xml:space="preserve">Do Children Who Move Home and School Frequently Have Poorer Educational Outcomes in Their Early Years at School? An Anonymised Cohort Study’ </w:t>
      </w:r>
      <w:proofErr w:type="spellStart"/>
      <w:r w:rsidRPr="00FA6367">
        <w:rPr>
          <w:rFonts w:cstheme="minorHAnsi"/>
          <w:i/>
          <w:iCs/>
          <w:shd w:val="clear" w:color="auto" w:fill="FFFFFF"/>
        </w:rPr>
        <w:t>PLoS</w:t>
      </w:r>
      <w:proofErr w:type="spellEnd"/>
      <w:r w:rsidRPr="00FA6367">
        <w:rPr>
          <w:rFonts w:cstheme="minorHAnsi"/>
          <w:i/>
          <w:iCs/>
          <w:shd w:val="clear" w:color="auto" w:fill="FFFFFF"/>
        </w:rPr>
        <w:t xml:space="preserve"> ONE</w:t>
      </w:r>
      <w:r w:rsidRPr="00FA6367">
        <w:rPr>
          <w:rFonts w:cstheme="minorHAnsi"/>
          <w:shd w:val="clear" w:color="auto" w:fill="FFFFFF"/>
        </w:rPr>
        <w:t> Vol. 8.8 (2013) p.1-7</w:t>
      </w:r>
    </w:p>
    <w:p w14:paraId="293C1DE5" w14:textId="46673C19" w:rsidR="0081495A" w:rsidRPr="00407D32" w:rsidRDefault="0081495A" w:rsidP="00407D32">
      <w:pPr>
        <w:spacing w:line="360" w:lineRule="auto"/>
      </w:pPr>
      <w:r w:rsidRPr="00407D32">
        <w:t xml:space="preserve">McCann, D., A. Barrett, A. Cooper, Food additives and hyperactive behaviour in </w:t>
      </w:r>
      <w:proofErr w:type="gramStart"/>
      <w:r w:rsidRPr="00407D32">
        <w:t>3 year-old</w:t>
      </w:r>
      <w:proofErr w:type="gramEnd"/>
      <w:r w:rsidRPr="00407D32">
        <w:t xml:space="preserve"> and 8/9 year old children in the community: a randomised, double-blinded, placebo-controlled trial, </w:t>
      </w:r>
      <w:r w:rsidRPr="00407D32">
        <w:rPr>
          <w:i/>
        </w:rPr>
        <w:t>Lancet</w:t>
      </w:r>
      <w:r w:rsidRPr="00407D32">
        <w:t xml:space="preserve"> 370 (Lancet, 2007)</w:t>
      </w:r>
    </w:p>
    <w:p w14:paraId="01796C91" w14:textId="1E43FD93" w:rsidR="0081495A" w:rsidRPr="00407D32" w:rsidRDefault="0081495A" w:rsidP="00407D32">
      <w:pPr>
        <w:spacing w:line="360" w:lineRule="auto"/>
      </w:pPr>
      <w:proofErr w:type="spellStart"/>
      <w:r w:rsidRPr="00407D32">
        <w:t>Mileneux</w:t>
      </w:r>
      <w:proofErr w:type="spellEnd"/>
      <w:r w:rsidRPr="00407D32">
        <w:t xml:space="preserve">, Ruth &amp; Ross </w:t>
      </w:r>
      <w:proofErr w:type="spellStart"/>
      <w:r w:rsidRPr="00407D32">
        <w:t>Chaimberlain</w:t>
      </w:r>
      <w:proofErr w:type="spellEnd"/>
      <w:r w:rsidRPr="00407D32">
        <w:t xml:space="preserve">. </w:t>
      </w:r>
      <w:r w:rsidRPr="00407D32">
        <w:rPr>
          <w:i/>
          <w:iCs/>
        </w:rPr>
        <w:t xml:space="preserve">Child Poverty Snapshots: The Local Picture in Wales </w:t>
      </w:r>
      <w:r w:rsidRPr="00407D32">
        <w:t>(Cardiff: Save the Children, 2012)</w:t>
      </w:r>
    </w:p>
    <w:p w14:paraId="24C3EAE9" w14:textId="6AD55CE5" w:rsidR="0081495A" w:rsidRPr="00407D32" w:rsidRDefault="0081495A" w:rsidP="00407D32">
      <w:pPr>
        <w:spacing w:line="360" w:lineRule="auto"/>
        <w:rPr>
          <w:rFonts w:cstheme="minorHAnsi"/>
        </w:rPr>
      </w:pPr>
      <w:r w:rsidRPr="00407D32">
        <w:rPr>
          <w:rFonts w:cstheme="minorHAnsi"/>
        </w:rPr>
        <w:t xml:space="preserve">Moore, Sue., Simon Murphy, Kate Tapper, Laurence Moore. “From policy to plate: Barriers to implementing healthy eating policies in primary schools in Wales.” </w:t>
      </w:r>
      <w:r w:rsidRPr="00407D32">
        <w:rPr>
          <w:rFonts w:cstheme="minorHAnsi"/>
          <w:i/>
        </w:rPr>
        <w:t xml:space="preserve">Health Policy </w:t>
      </w:r>
      <w:r w:rsidRPr="00407D32">
        <w:rPr>
          <w:rFonts w:cstheme="minorHAnsi"/>
        </w:rPr>
        <w:t>94 (2010)</w:t>
      </w:r>
    </w:p>
    <w:p w14:paraId="0AAD25E0" w14:textId="4027C29B" w:rsidR="0081495A" w:rsidRPr="00407D32" w:rsidRDefault="0081495A" w:rsidP="00407D32">
      <w:pPr>
        <w:pStyle w:val="FootnoteText"/>
        <w:spacing w:line="360" w:lineRule="auto"/>
        <w:rPr>
          <w:i/>
          <w:iCs/>
          <w:sz w:val="22"/>
          <w:szCs w:val="22"/>
        </w:rPr>
      </w:pPr>
      <w:r w:rsidRPr="00407D32">
        <w:rPr>
          <w:sz w:val="22"/>
          <w:szCs w:val="22"/>
        </w:rPr>
        <w:t xml:space="preserve">Pollock, India. </w:t>
      </w:r>
      <w:r w:rsidRPr="00407D32">
        <w:rPr>
          <w:i/>
          <w:iCs/>
          <w:sz w:val="22"/>
          <w:szCs w:val="22"/>
        </w:rPr>
        <w:t>Child Poverty: Wales is the only UK nation to see an increase</w:t>
      </w:r>
      <w:r w:rsidRPr="00407D32">
        <w:rPr>
          <w:sz w:val="22"/>
          <w:szCs w:val="22"/>
        </w:rPr>
        <w:t xml:space="preserve"> (15/05.2019)</w:t>
      </w:r>
    </w:p>
    <w:p w14:paraId="250D4F6F" w14:textId="1659B6A7" w:rsidR="0081495A" w:rsidRDefault="0081495A" w:rsidP="00407D32">
      <w:pPr>
        <w:pStyle w:val="FootnoteText"/>
        <w:spacing w:line="360" w:lineRule="auto"/>
        <w:rPr>
          <w:sz w:val="22"/>
          <w:szCs w:val="22"/>
        </w:rPr>
      </w:pPr>
      <w:r w:rsidRPr="00407D32">
        <w:rPr>
          <w:sz w:val="22"/>
          <w:szCs w:val="22"/>
        </w:rPr>
        <w:t xml:space="preserve">&lt; </w:t>
      </w:r>
      <w:hyperlink r:id="rId10" w:history="1">
        <w:r w:rsidRPr="00407D32">
          <w:rPr>
            <w:rStyle w:val="Hyperlink"/>
            <w:sz w:val="22"/>
            <w:szCs w:val="22"/>
          </w:rPr>
          <w:t>https://www.bbc.co.uk/news/uk-wales-48259327</w:t>
        </w:r>
      </w:hyperlink>
      <w:r w:rsidRPr="00407D32">
        <w:rPr>
          <w:sz w:val="22"/>
          <w:szCs w:val="22"/>
        </w:rPr>
        <w:t>&gt; (Accessed 08/03/2020)</w:t>
      </w:r>
    </w:p>
    <w:p w14:paraId="0AC0E915" w14:textId="25BA77E3" w:rsidR="0040290A" w:rsidRDefault="0040290A" w:rsidP="00407D32">
      <w:pPr>
        <w:pStyle w:val="FootnoteText"/>
        <w:spacing w:line="360" w:lineRule="auto"/>
        <w:rPr>
          <w:sz w:val="22"/>
          <w:szCs w:val="22"/>
        </w:rPr>
      </w:pPr>
    </w:p>
    <w:p w14:paraId="7D960E36" w14:textId="4AE571A0" w:rsidR="0040290A" w:rsidRPr="0040290A" w:rsidRDefault="0040290A" w:rsidP="00407D32">
      <w:pPr>
        <w:pStyle w:val="FootnoteText"/>
        <w:spacing w:line="360" w:lineRule="auto"/>
        <w:rPr>
          <w:sz w:val="22"/>
          <w:szCs w:val="22"/>
        </w:rPr>
      </w:pPr>
      <w:r w:rsidRPr="0040290A">
        <w:rPr>
          <w:rFonts w:cstheme="minorHAnsi"/>
          <w:sz w:val="22"/>
          <w:szCs w:val="22"/>
        </w:rPr>
        <w:t xml:space="preserve">Rahman, Muhammad A. (et. Al.) ‘School achievement as a predictor of depression and self-harm in adolescence: linked education and health record study’ </w:t>
      </w:r>
      <w:r w:rsidRPr="0040290A">
        <w:rPr>
          <w:rFonts w:cstheme="minorHAnsi"/>
          <w:i/>
          <w:iCs/>
          <w:sz w:val="22"/>
          <w:szCs w:val="22"/>
        </w:rPr>
        <w:t xml:space="preserve">The British Journal of Psychiatry </w:t>
      </w:r>
      <w:r w:rsidRPr="0040290A">
        <w:rPr>
          <w:rFonts w:cstheme="minorHAnsi"/>
          <w:sz w:val="22"/>
          <w:szCs w:val="22"/>
        </w:rPr>
        <w:t>Vol. 212.4 (2018) p.215-221</w:t>
      </w:r>
    </w:p>
    <w:p w14:paraId="3A09643B" w14:textId="77777777" w:rsidR="0081495A" w:rsidRPr="00407D32" w:rsidRDefault="0081495A" w:rsidP="00407D32">
      <w:pPr>
        <w:pStyle w:val="FootnoteText"/>
        <w:spacing w:line="360" w:lineRule="auto"/>
        <w:rPr>
          <w:sz w:val="22"/>
          <w:szCs w:val="22"/>
        </w:rPr>
      </w:pPr>
    </w:p>
    <w:p w14:paraId="296CA001" w14:textId="18487166" w:rsidR="0081495A" w:rsidRDefault="0081495A" w:rsidP="00407D32">
      <w:pPr>
        <w:pStyle w:val="FootnoteText"/>
        <w:spacing w:line="360" w:lineRule="auto"/>
        <w:rPr>
          <w:sz w:val="22"/>
          <w:szCs w:val="22"/>
        </w:rPr>
      </w:pPr>
      <w:r w:rsidRPr="00407D32">
        <w:rPr>
          <w:sz w:val="22"/>
          <w:szCs w:val="22"/>
        </w:rPr>
        <w:t xml:space="preserve">Taylor, Chris. “The Reliability of Free School Meal Eligibility as a Measure of Socio-Economic Disadvantage: Evidence from the Millennium Cohort Study in Wales” </w:t>
      </w:r>
      <w:r w:rsidRPr="00407D32">
        <w:rPr>
          <w:i/>
          <w:iCs/>
          <w:sz w:val="22"/>
          <w:szCs w:val="22"/>
        </w:rPr>
        <w:t>British Journal of Educational Studies</w:t>
      </w:r>
      <w:r w:rsidRPr="00407D32">
        <w:rPr>
          <w:sz w:val="22"/>
          <w:szCs w:val="22"/>
        </w:rPr>
        <w:t xml:space="preserve"> Vol.66.1 (2018) </w:t>
      </w:r>
      <w:r w:rsidR="009C35CA">
        <w:rPr>
          <w:sz w:val="22"/>
          <w:szCs w:val="22"/>
        </w:rPr>
        <w:t>p.29-51</w:t>
      </w:r>
    </w:p>
    <w:p w14:paraId="2E33227C" w14:textId="77777777" w:rsidR="006A2CB2" w:rsidRPr="00407D32" w:rsidRDefault="006A2CB2" w:rsidP="00407D32">
      <w:pPr>
        <w:pStyle w:val="FootnoteText"/>
        <w:spacing w:line="360" w:lineRule="auto"/>
        <w:rPr>
          <w:sz w:val="22"/>
          <w:szCs w:val="22"/>
        </w:rPr>
      </w:pPr>
    </w:p>
    <w:p w14:paraId="55B94840" w14:textId="77777777" w:rsidR="006A2CB2" w:rsidRPr="00407D32" w:rsidRDefault="006A2CB2" w:rsidP="006A2CB2">
      <w:pPr>
        <w:pStyle w:val="FootnoteText"/>
        <w:spacing w:line="360" w:lineRule="auto"/>
        <w:rPr>
          <w:sz w:val="22"/>
          <w:szCs w:val="22"/>
        </w:rPr>
      </w:pPr>
      <w:r w:rsidRPr="00407D32">
        <w:rPr>
          <w:sz w:val="22"/>
          <w:szCs w:val="22"/>
        </w:rPr>
        <w:t xml:space="preserve">Universal Credit </w:t>
      </w:r>
      <w:r w:rsidRPr="00407D32">
        <w:rPr>
          <w:i/>
          <w:iCs/>
          <w:sz w:val="22"/>
          <w:szCs w:val="22"/>
        </w:rPr>
        <w:t>7. Universal Credit and Work</w:t>
      </w:r>
      <w:r w:rsidRPr="00407D32">
        <w:rPr>
          <w:sz w:val="22"/>
          <w:szCs w:val="22"/>
        </w:rPr>
        <w:t xml:space="preserve"> (2020)</w:t>
      </w:r>
    </w:p>
    <w:p w14:paraId="40159D83" w14:textId="77777777" w:rsidR="006A2CB2" w:rsidRPr="00407D32" w:rsidRDefault="006A2CB2" w:rsidP="006A2CB2">
      <w:pPr>
        <w:pStyle w:val="FootnoteText"/>
        <w:spacing w:line="360" w:lineRule="auto"/>
        <w:rPr>
          <w:sz w:val="22"/>
          <w:szCs w:val="22"/>
        </w:rPr>
      </w:pPr>
      <w:r w:rsidRPr="00407D32">
        <w:rPr>
          <w:sz w:val="22"/>
          <w:szCs w:val="22"/>
        </w:rPr>
        <w:t>&lt;</w:t>
      </w:r>
      <w:hyperlink r:id="rId11" w:history="1">
        <w:r w:rsidRPr="00407D32">
          <w:rPr>
            <w:rStyle w:val="Hyperlink"/>
            <w:sz w:val="22"/>
            <w:szCs w:val="22"/>
          </w:rPr>
          <w:t>https://www.understandinguniversalcredit.gov.uk/new-to-universal-credit/universal-credit-and-work/</w:t>
        </w:r>
      </w:hyperlink>
      <w:r w:rsidRPr="00407D32">
        <w:rPr>
          <w:sz w:val="22"/>
          <w:szCs w:val="22"/>
        </w:rPr>
        <w:t>&gt; (accessed 7/3/2020)</w:t>
      </w:r>
    </w:p>
    <w:p w14:paraId="4A91E62D" w14:textId="1AC55E75" w:rsidR="0081495A" w:rsidRPr="00407D32" w:rsidRDefault="0081495A" w:rsidP="00407D32">
      <w:pPr>
        <w:pStyle w:val="FootnoteText"/>
        <w:spacing w:line="360" w:lineRule="auto"/>
        <w:rPr>
          <w:sz w:val="22"/>
          <w:szCs w:val="22"/>
        </w:rPr>
      </w:pPr>
    </w:p>
    <w:p w14:paraId="4F1BCE0E" w14:textId="77777777" w:rsidR="0081495A" w:rsidRPr="00407D32" w:rsidRDefault="0081495A" w:rsidP="00407D32">
      <w:pPr>
        <w:pStyle w:val="FootnoteText"/>
        <w:spacing w:line="360" w:lineRule="auto"/>
        <w:rPr>
          <w:sz w:val="22"/>
          <w:szCs w:val="22"/>
        </w:rPr>
      </w:pPr>
      <w:r w:rsidRPr="00407D32">
        <w:rPr>
          <w:sz w:val="22"/>
          <w:szCs w:val="22"/>
        </w:rPr>
        <w:t xml:space="preserve">WAG. </w:t>
      </w:r>
      <w:r w:rsidRPr="00407D32">
        <w:rPr>
          <w:i/>
          <w:iCs/>
          <w:sz w:val="22"/>
          <w:szCs w:val="22"/>
        </w:rPr>
        <w:t>Developing a Whole School Food and Fitness Policy</w:t>
      </w:r>
      <w:r w:rsidRPr="00407D32">
        <w:rPr>
          <w:sz w:val="22"/>
          <w:szCs w:val="22"/>
        </w:rPr>
        <w:t xml:space="preserve"> (March 2007) p.3</w:t>
      </w:r>
    </w:p>
    <w:p w14:paraId="20C560B5" w14:textId="6C0510E4" w:rsidR="0081495A" w:rsidRPr="00407D32" w:rsidRDefault="0081495A" w:rsidP="00407D32">
      <w:pPr>
        <w:pStyle w:val="FootnoteText"/>
        <w:spacing w:line="360" w:lineRule="auto"/>
        <w:rPr>
          <w:sz w:val="22"/>
          <w:szCs w:val="22"/>
        </w:rPr>
      </w:pPr>
      <w:r w:rsidRPr="00407D32">
        <w:rPr>
          <w:sz w:val="22"/>
          <w:szCs w:val="22"/>
        </w:rPr>
        <w:lastRenderedPageBreak/>
        <w:t>&lt;</w:t>
      </w:r>
      <w:hyperlink r:id="rId12" w:history="1">
        <w:r w:rsidRPr="00407D32">
          <w:rPr>
            <w:rStyle w:val="Hyperlink"/>
            <w:sz w:val="22"/>
            <w:szCs w:val="22"/>
          </w:rPr>
          <w:t>http://www.wales.nhs.uk/sites3/Documents/740/food%20and%20fitness%20guidance%20in%20schools.pdf</w:t>
        </w:r>
      </w:hyperlink>
      <w:r w:rsidRPr="00407D32">
        <w:rPr>
          <w:sz w:val="22"/>
          <w:szCs w:val="22"/>
        </w:rPr>
        <w:t>&gt;  [accessed 15/5/2020]</w:t>
      </w:r>
    </w:p>
    <w:p w14:paraId="1965EA66" w14:textId="75DE105C" w:rsidR="0081495A" w:rsidRPr="00407D32" w:rsidRDefault="0081495A" w:rsidP="00407D32">
      <w:pPr>
        <w:pStyle w:val="FootnoteText"/>
        <w:spacing w:line="360" w:lineRule="auto"/>
        <w:rPr>
          <w:sz w:val="22"/>
          <w:szCs w:val="22"/>
        </w:rPr>
      </w:pPr>
    </w:p>
    <w:p w14:paraId="5AFA3FA2" w14:textId="44DA2785" w:rsidR="0081495A" w:rsidRPr="00407D32" w:rsidRDefault="0081495A" w:rsidP="00407D32">
      <w:pPr>
        <w:pStyle w:val="FootnoteText"/>
        <w:spacing w:line="360" w:lineRule="auto"/>
        <w:rPr>
          <w:sz w:val="22"/>
          <w:szCs w:val="22"/>
        </w:rPr>
      </w:pPr>
      <w:r w:rsidRPr="00407D32">
        <w:rPr>
          <w:sz w:val="22"/>
          <w:szCs w:val="22"/>
        </w:rPr>
        <w:t xml:space="preserve">WAG. </w:t>
      </w:r>
      <w:r w:rsidRPr="00407D32">
        <w:rPr>
          <w:i/>
          <w:iCs/>
          <w:sz w:val="22"/>
          <w:szCs w:val="22"/>
        </w:rPr>
        <w:t>Healthy Eating in Maintained Schools: Statutory Guidance for Local Authorities and Governing Bodies</w:t>
      </w:r>
      <w:r w:rsidRPr="00407D32">
        <w:rPr>
          <w:sz w:val="22"/>
          <w:szCs w:val="22"/>
        </w:rPr>
        <w:t xml:space="preserve">. (June 2014) </w:t>
      </w:r>
    </w:p>
    <w:p w14:paraId="63269A4C" w14:textId="583DEAF7" w:rsidR="0081495A" w:rsidRDefault="0081495A" w:rsidP="00407D32">
      <w:pPr>
        <w:pStyle w:val="FootnoteText"/>
        <w:spacing w:line="360" w:lineRule="auto"/>
        <w:rPr>
          <w:sz w:val="22"/>
          <w:szCs w:val="22"/>
        </w:rPr>
      </w:pPr>
      <w:r w:rsidRPr="00407D32">
        <w:rPr>
          <w:sz w:val="22"/>
          <w:szCs w:val="22"/>
        </w:rPr>
        <w:t>&lt;</w:t>
      </w:r>
      <w:hyperlink r:id="rId13" w:history="1">
        <w:r w:rsidRPr="00407D32">
          <w:rPr>
            <w:rStyle w:val="Hyperlink"/>
            <w:sz w:val="22"/>
            <w:szCs w:val="22"/>
          </w:rPr>
          <w:t>https://gov.wales/sites/default/files/publications/2018-12/healthy-eating-in-maintained-schools-statutory-guidance-for-local-authorities-and-governing-bodies.pdf</w:t>
        </w:r>
      </w:hyperlink>
      <w:r w:rsidRPr="00407D32">
        <w:rPr>
          <w:sz w:val="22"/>
          <w:szCs w:val="22"/>
        </w:rPr>
        <w:t>&gt; [accessed on 15/5/2020]</w:t>
      </w:r>
    </w:p>
    <w:p w14:paraId="5A6BE6E9" w14:textId="78866909" w:rsidR="00B009F8" w:rsidRDefault="00B009F8" w:rsidP="00407D32">
      <w:pPr>
        <w:pStyle w:val="FootnoteText"/>
        <w:spacing w:line="360" w:lineRule="auto"/>
        <w:rPr>
          <w:sz w:val="22"/>
          <w:szCs w:val="22"/>
        </w:rPr>
      </w:pPr>
    </w:p>
    <w:p w14:paraId="417F5D66" w14:textId="68A1FECD" w:rsidR="00B009F8" w:rsidRPr="006A723A" w:rsidRDefault="00B009F8" w:rsidP="00B009F8">
      <w:pPr>
        <w:pStyle w:val="FootnoteText"/>
        <w:rPr>
          <w:sz w:val="22"/>
          <w:szCs w:val="22"/>
        </w:rPr>
      </w:pPr>
      <w:r w:rsidRPr="00B009F8">
        <w:rPr>
          <w:sz w:val="22"/>
          <w:szCs w:val="22"/>
        </w:rPr>
        <w:t>WAG, ‘</w:t>
      </w:r>
      <w:r w:rsidRPr="00B009F8">
        <w:rPr>
          <w:i/>
          <w:iCs/>
          <w:sz w:val="22"/>
          <w:szCs w:val="22"/>
        </w:rPr>
        <w:t>Statistics for Wales: Academic achievement of pupils aged 4 to 14 in core subjects, 2019</w:t>
      </w:r>
      <w:r w:rsidR="006A723A">
        <w:rPr>
          <w:i/>
          <w:iCs/>
          <w:sz w:val="22"/>
          <w:szCs w:val="22"/>
        </w:rPr>
        <w:t xml:space="preserve"> </w:t>
      </w:r>
      <w:r w:rsidR="006A723A" w:rsidRPr="006A723A">
        <w:rPr>
          <w:sz w:val="22"/>
          <w:szCs w:val="22"/>
        </w:rPr>
        <w:t>(</w:t>
      </w:r>
      <w:r w:rsidR="006A723A">
        <w:rPr>
          <w:sz w:val="22"/>
          <w:szCs w:val="22"/>
        </w:rPr>
        <w:t>7/8/2019)</w:t>
      </w:r>
    </w:p>
    <w:p w14:paraId="577869CA" w14:textId="4E2EE4ED" w:rsidR="00B009F8" w:rsidRPr="00B009F8" w:rsidRDefault="00B009F8" w:rsidP="00B009F8">
      <w:pPr>
        <w:pStyle w:val="FootnoteText"/>
        <w:spacing w:line="360" w:lineRule="auto"/>
        <w:rPr>
          <w:sz w:val="22"/>
          <w:szCs w:val="22"/>
        </w:rPr>
      </w:pPr>
      <w:r w:rsidRPr="00B009F8">
        <w:rPr>
          <w:sz w:val="22"/>
          <w:szCs w:val="22"/>
        </w:rPr>
        <w:t>&lt;</w:t>
      </w:r>
      <w:hyperlink r:id="rId14" w:history="1">
        <w:r w:rsidRPr="00B009F8">
          <w:rPr>
            <w:rStyle w:val="Hyperlink"/>
            <w:sz w:val="22"/>
            <w:szCs w:val="22"/>
          </w:rPr>
          <w:t>https://gov.wales/sites/default/files/statistics-and-research/2019-08/academic-achievement-pupils-aged-4-14-core-subjects-2019.pdf</w:t>
        </w:r>
      </w:hyperlink>
      <w:r w:rsidRPr="00B009F8">
        <w:rPr>
          <w:sz w:val="22"/>
          <w:szCs w:val="22"/>
        </w:rPr>
        <w:t>&gt; (accessed 3/6/2020)</w:t>
      </w:r>
    </w:p>
    <w:p w14:paraId="4AB62F70" w14:textId="77777777" w:rsidR="0081495A" w:rsidRPr="00407D32" w:rsidRDefault="0081495A" w:rsidP="00407D32">
      <w:pPr>
        <w:pStyle w:val="FootnoteText"/>
        <w:spacing w:line="360" w:lineRule="auto"/>
        <w:rPr>
          <w:sz w:val="22"/>
          <w:szCs w:val="22"/>
        </w:rPr>
      </w:pPr>
    </w:p>
    <w:p w14:paraId="450AB5CF" w14:textId="77777777" w:rsidR="0081495A" w:rsidRPr="00407D32" w:rsidRDefault="0081495A" w:rsidP="00407D32">
      <w:pPr>
        <w:pStyle w:val="FootnoteText"/>
        <w:spacing w:line="360" w:lineRule="auto"/>
        <w:rPr>
          <w:sz w:val="22"/>
          <w:szCs w:val="22"/>
        </w:rPr>
      </w:pPr>
      <w:r w:rsidRPr="00407D32">
        <w:rPr>
          <w:sz w:val="22"/>
          <w:szCs w:val="22"/>
        </w:rPr>
        <w:t xml:space="preserve">Welsh Government. </w:t>
      </w:r>
      <w:r w:rsidRPr="00407D32">
        <w:rPr>
          <w:i/>
          <w:iCs/>
          <w:sz w:val="22"/>
          <w:szCs w:val="22"/>
        </w:rPr>
        <w:t xml:space="preserve">Free School Meals in Wales: Information for Schools </w:t>
      </w:r>
      <w:r w:rsidRPr="00407D32">
        <w:rPr>
          <w:sz w:val="22"/>
          <w:szCs w:val="22"/>
        </w:rPr>
        <w:t>(29/3/2019)</w:t>
      </w:r>
    </w:p>
    <w:p w14:paraId="54726E9F" w14:textId="3EA445EC" w:rsidR="0081495A" w:rsidRDefault="0081495A" w:rsidP="00407D32">
      <w:pPr>
        <w:spacing w:line="360" w:lineRule="auto"/>
      </w:pPr>
      <w:r w:rsidRPr="00407D32">
        <w:t>&lt;</w:t>
      </w:r>
      <w:hyperlink r:id="rId15" w:history="1">
        <w:r w:rsidRPr="00407D32">
          <w:rPr>
            <w:rStyle w:val="Hyperlink"/>
          </w:rPr>
          <w:t>https://gov.wales/sites/default/files/publications/2019-03/free-school-meals-in-wales-information-for-schools.pdf</w:t>
        </w:r>
      </w:hyperlink>
      <w:r w:rsidRPr="00407D32">
        <w:t>&gt; (accessed 7/3/2020)</w:t>
      </w:r>
    </w:p>
    <w:p w14:paraId="12CAB773" w14:textId="77777777" w:rsidR="00A911EE" w:rsidRPr="00A911EE" w:rsidRDefault="00A911EE" w:rsidP="00A911EE">
      <w:pPr>
        <w:pStyle w:val="FootnoteText"/>
        <w:rPr>
          <w:sz w:val="22"/>
          <w:szCs w:val="22"/>
        </w:rPr>
      </w:pPr>
      <w:r w:rsidRPr="00A911EE">
        <w:rPr>
          <w:sz w:val="22"/>
          <w:szCs w:val="22"/>
        </w:rPr>
        <w:t xml:space="preserve">Ysgol </w:t>
      </w:r>
      <w:proofErr w:type="spellStart"/>
      <w:r w:rsidRPr="00A911EE">
        <w:rPr>
          <w:sz w:val="22"/>
          <w:szCs w:val="22"/>
        </w:rPr>
        <w:t>Carreg</w:t>
      </w:r>
      <w:proofErr w:type="spellEnd"/>
      <w:r w:rsidRPr="00A911EE">
        <w:rPr>
          <w:sz w:val="22"/>
          <w:szCs w:val="22"/>
        </w:rPr>
        <w:t xml:space="preserve"> </w:t>
      </w:r>
      <w:proofErr w:type="spellStart"/>
      <w:r w:rsidRPr="00A911EE">
        <w:rPr>
          <w:sz w:val="22"/>
          <w:szCs w:val="22"/>
        </w:rPr>
        <w:t>Hirfaen</w:t>
      </w:r>
      <w:proofErr w:type="spellEnd"/>
      <w:r w:rsidRPr="00A911EE">
        <w:rPr>
          <w:sz w:val="22"/>
          <w:szCs w:val="22"/>
        </w:rPr>
        <w:t>. Annual Report 2016-17.</w:t>
      </w:r>
    </w:p>
    <w:p w14:paraId="3F1B3B9C" w14:textId="05EC8036" w:rsidR="00A911EE" w:rsidRPr="00A911EE" w:rsidRDefault="00A911EE" w:rsidP="00A911EE">
      <w:pPr>
        <w:spacing w:line="360" w:lineRule="auto"/>
      </w:pPr>
      <w:r w:rsidRPr="00A911EE">
        <w:t xml:space="preserve">&lt; </w:t>
      </w:r>
      <w:hyperlink r:id="rId16" w:history="1">
        <w:r w:rsidRPr="00A911EE">
          <w:rPr>
            <w:rStyle w:val="Hyperlink"/>
          </w:rPr>
          <w:t>http://www.carreghirfaen.amdro.org.uk/home/information/annual-report/2017-annual-report/</w:t>
        </w:r>
      </w:hyperlink>
      <w:r w:rsidRPr="00A911EE">
        <w:t>&gt; (accessed 2/6/2020)</w:t>
      </w:r>
    </w:p>
    <w:p w14:paraId="7A7DB925" w14:textId="776DDE21" w:rsidR="0081495A" w:rsidRDefault="006A2CB2" w:rsidP="00407D32">
      <w:pPr>
        <w:spacing w:line="360" w:lineRule="auto"/>
      </w:pPr>
      <w:r>
        <w:t xml:space="preserve">Ysgol </w:t>
      </w:r>
      <w:proofErr w:type="spellStart"/>
      <w:r>
        <w:t>Carreg</w:t>
      </w:r>
      <w:proofErr w:type="spellEnd"/>
      <w:r>
        <w:t xml:space="preserve"> </w:t>
      </w:r>
      <w:proofErr w:type="spellStart"/>
      <w:r>
        <w:t>Hirfaen</w:t>
      </w:r>
      <w:proofErr w:type="spellEnd"/>
      <w:r>
        <w:t xml:space="preserve">. </w:t>
      </w:r>
      <w:proofErr w:type="spellStart"/>
      <w:r>
        <w:rPr>
          <w:i/>
          <w:iCs/>
        </w:rPr>
        <w:t>Cofnod</w:t>
      </w:r>
      <w:proofErr w:type="spellEnd"/>
      <w:r>
        <w:rPr>
          <w:i/>
          <w:iCs/>
        </w:rPr>
        <w:t xml:space="preserve"> </w:t>
      </w:r>
      <w:proofErr w:type="spellStart"/>
      <w:r>
        <w:rPr>
          <w:i/>
          <w:iCs/>
        </w:rPr>
        <w:t>Monitro</w:t>
      </w:r>
      <w:proofErr w:type="spellEnd"/>
      <w:r>
        <w:t xml:space="preserve"> (2019)</w:t>
      </w:r>
    </w:p>
    <w:p w14:paraId="2026F0AF" w14:textId="29114352" w:rsidR="00A911EE" w:rsidRPr="00A911EE" w:rsidRDefault="00A911EE" w:rsidP="00A911EE">
      <w:pPr>
        <w:pStyle w:val="FootnoteText"/>
        <w:rPr>
          <w:sz w:val="22"/>
          <w:szCs w:val="22"/>
        </w:rPr>
      </w:pPr>
      <w:r w:rsidRPr="00A911EE">
        <w:rPr>
          <w:sz w:val="22"/>
          <w:szCs w:val="22"/>
        </w:rPr>
        <w:t xml:space="preserve">Ysgol </w:t>
      </w:r>
      <w:proofErr w:type="spellStart"/>
      <w:r w:rsidRPr="00A911EE">
        <w:rPr>
          <w:sz w:val="22"/>
          <w:szCs w:val="22"/>
        </w:rPr>
        <w:t>Carreg</w:t>
      </w:r>
      <w:proofErr w:type="spellEnd"/>
      <w:r w:rsidRPr="00A911EE">
        <w:rPr>
          <w:sz w:val="22"/>
          <w:szCs w:val="22"/>
        </w:rPr>
        <w:t xml:space="preserve"> </w:t>
      </w:r>
      <w:proofErr w:type="spellStart"/>
      <w:r>
        <w:rPr>
          <w:sz w:val="22"/>
          <w:szCs w:val="22"/>
        </w:rPr>
        <w:t>H</w:t>
      </w:r>
      <w:r w:rsidRPr="00A911EE">
        <w:rPr>
          <w:sz w:val="22"/>
          <w:szCs w:val="22"/>
        </w:rPr>
        <w:t>irfaen</w:t>
      </w:r>
      <w:proofErr w:type="spellEnd"/>
      <w:r w:rsidRPr="00A911EE">
        <w:rPr>
          <w:sz w:val="22"/>
          <w:szCs w:val="22"/>
        </w:rPr>
        <w:t xml:space="preserve">. </w:t>
      </w:r>
      <w:r w:rsidRPr="00A911EE">
        <w:rPr>
          <w:i/>
          <w:iCs/>
          <w:sz w:val="22"/>
          <w:szCs w:val="22"/>
        </w:rPr>
        <w:t>Curriculum Policy</w:t>
      </w:r>
      <w:r w:rsidRPr="00A911EE">
        <w:rPr>
          <w:sz w:val="22"/>
          <w:szCs w:val="22"/>
        </w:rPr>
        <w:t xml:space="preserve">. (2017) </w:t>
      </w:r>
    </w:p>
    <w:p w14:paraId="4CEFA201" w14:textId="165074C9" w:rsidR="00A911EE" w:rsidRDefault="00A911EE" w:rsidP="00A911EE">
      <w:pPr>
        <w:spacing w:line="360" w:lineRule="auto"/>
      </w:pPr>
      <w:r>
        <w:t>&lt;</w:t>
      </w:r>
      <w:r w:rsidRPr="00A911EE">
        <w:t xml:space="preserve"> </w:t>
      </w:r>
      <w:hyperlink r:id="rId17" w:history="1">
        <w:r>
          <w:rPr>
            <w:rStyle w:val="Hyperlink"/>
          </w:rPr>
          <w:t>http://www.carreghirfaen.amdro.org.uk/media/96693/Carreg-Hirfaen-Curriculum-Policy-2017.pdf</w:t>
        </w:r>
      </w:hyperlink>
      <w:r>
        <w:t>&gt; (accessed 2/6/2020)</w:t>
      </w:r>
    </w:p>
    <w:p w14:paraId="279D0E40" w14:textId="77777777" w:rsidR="00A911EE" w:rsidRPr="00407D32" w:rsidRDefault="00A911EE" w:rsidP="00A911EE">
      <w:pPr>
        <w:spacing w:line="360" w:lineRule="auto"/>
        <w:rPr>
          <w:rFonts w:cstheme="minorHAnsi"/>
          <w:b/>
          <w:bCs/>
          <w:iCs/>
        </w:rPr>
      </w:pPr>
    </w:p>
    <w:sectPr w:rsidR="00A911EE" w:rsidRPr="00407D3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E5DD4" w14:textId="77777777" w:rsidR="002C5C0A" w:rsidRDefault="002C5C0A" w:rsidP="00C12E6D">
      <w:pPr>
        <w:spacing w:after="0" w:line="240" w:lineRule="auto"/>
      </w:pPr>
      <w:r>
        <w:separator/>
      </w:r>
    </w:p>
  </w:endnote>
  <w:endnote w:type="continuationSeparator" w:id="0">
    <w:p w14:paraId="0FF37C12" w14:textId="77777777" w:rsidR="002C5C0A" w:rsidRDefault="002C5C0A" w:rsidP="00C12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0D7AF" w14:textId="77777777" w:rsidR="002C5C0A" w:rsidRDefault="002C5C0A" w:rsidP="00C12E6D">
      <w:pPr>
        <w:spacing w:after="0" w:line="240" w:lineRule="auto"/>
      </w:pPr>
      <w:r>
        <w:separator/>
      </w:r>
    </w:p>
  </w:footnote>
  <w:footnote w:type="continuationSeparator" w:id="0">
    <w:p w14:paraId="39C7397F" w14:textId="77777777" w:rsidR="002C5C0A" w:rsidRDefault="002C5C0A" w:rsidP="00C12E6D">
      <w:pPr>
        <w:spacing w:after="0" w:line="240" w:lineRule="auto"/>
      </w:pPr>
      <w:r>
        <w:continuationSeparator/>
      </w:r>
    </w:p>
  </w:footnote>
  <w:footnote w:id="1">
    <w:p w14:paraId="0F478404" w14:textId="25E53E61" w:rsidR="00E37861" w:rsidRPr="00DC522C" w:rsidRDefault="00E37861" w:rsidP="00DC522C">
      <w:pPr>
        <w:pStyle w:val="Bibliography"/>
        <w:rPr>
          <w:noProof/>
          <w:sz w:val="20"/>
          <w:szCs w:val="20"/>
          <w:lang w:val="en-US"/>
        </w:rPr>
      </w:pPr>
      <w:r w:rsidRPr="00DC522C">
        <w:rPr>
          <w:rStyle w:val="FootnoteReference"/>
          <w:sz w:val="20"/>
          <w:szCs w:val="20"/>
        </w:rPr>
        <w:footnoteRef/>
      </w:r>
      <w:r w:rsidRPr="00DC522C">
        <w:rPr>
          <w:sz w:val="20"/>
          <w:szCs w:val="20"/>
        </w:rPr>
        <w:t xml:space="preserve"> Professor Graham </w:t>
      </w:r>
      <w:r w:rsidRPr="00DC522C">
        <w:rPr>
          <w:noProof/>
          <w:sz w:val="20"/>
          <w:szCs w:val="20"/>
          <w:lang w:val="en-US"/>
        </w:rPr>
        <w:t xml:space="preserve">Donaldson. </w:t>
      </w:r>
      <w:r w:rsidRPr="00DC522C">
        <w:rPr>
          <w:i/>
          <w:iCs/>
          <w:noProof/>
          <w:sz w:val="20"/>
          <w:szCs w:val="20"/>
          <w:lang w:val="en-US"/>
        </w:rPr>
        <w:t>Successful Futures: Independent Review of Curriculum and Assessment Arrangements in Wales.</w:t>
      </w:r>
      <w:r>
        <w:rPr>
          <w:noProof/>
          <w:sz w:val="20"/>
          <w:szCs w:val="20"/>
          <w:lang w:val="en-US"/>
        </w:rPr>
        <w:t xml:space="preserve"> (WAG, 2015)</w:t>
      </w:r>
    </w:p>
  </w:footnote>
  <w:footnote w:id="2">
    <w:p w14:paraId="4409C58F" w14:textId="57AD1FA7" w:rsidR="00E37861" w:rsidRDefault="00E37861">
      <w:pPr>
        <w:pStyle w:val="FootnoteText"/>
      </w:pPr>
      <w:r>
        <w:rPr>
          <w:rStyle w:val="FootnoteReference"/>
        </w:rPr>
        <w:footnoteRef/>
      </w:r>
      <w:r>
        <w:t xml:space="preserve">Carl Baker. ‘Obesity Statistics’ </w:t>
      </w:r>
      <w:r>
        <w:rPr>
          <w:i/>
          <w:iCs/>
        </w:rPr>
        <w:t xml:space="preserve">House of Commons. </w:t>
      </w:r>
      <w:r>
        <w:t>Briefing Paper No. 3336 (2019) p.14</w:t>
      </w:r>
    </w:p>
  </w:footnote>
  <w:footnote w:id="3">
    <w:p w14:paraId="685F7C08" w14:textId="04EFC164" w:rsidR="00E37861" w:rsidRDefault="00E37861">
      <w:pPr>
        <w:pStyle w:val="FootnoteText"/>
      </w:pPr>
      <w:r>
        <w:rPr>
          <w:rStyle w:val="FootnoteReference"/>
        </w:rPr>
        <w:footnoteRef/>
      </w:r>
      <w:r>
        <w:t xml:space="preserve"> Baker. p.15</w:t>
      </w:r>
    </w:p>
  </w:footnote>
  <w:footnote w:id="4">
    <w:p w14:paraId="147664A6" w14:textId="350BF59C" w:rsidR="00E37861" w:rsidRDefault="00E37861">
      <w:pPr>
        <w:pStyle w:val="FootnoteText"/>
      </w:pPr>
      <w:r>
        <w:rPr>
          <w:rStyle w:val="FootnoteReference"/>
        </w:rPr>
        <w:footnoteRef/>
      </w:r>
      <w:r>
        <w:t xml:space="preserve"> Baker. p.15</w:t>
      </w:r>
    </w:p>
  </w:footnote>
  <w:footnote w:id="5">
    <w:p w14:paraId="41611E96" w14:textId="77777777" w:rsidR="00E37861" w:rsidRPr="00081B56" w:rsidRDefault="00E37861" w:rsidP="00F12477">
      <w:pPr>
        <w:pStyle w:val="FootnoteText"/>
      </w:pPr>
      <w:r>
        <w:rPr>
          <w:rStyle w:val="FootnoteReference"/>
        </w:rPr>
        <w:footnoteRef/>
      </w:r>
      <w:r>
        <w:t xml:space="preserve"> Ruth </w:t>
      </w:r>
      <w:proofErr w:type="spellStart"/>
      <w:r>
        <w:t>Mileneux</w:t>
      </w:r>
      <w:proofErr w:type="spellEnd"/>
      <w:r>
        <w:t xml:space="preserve"> &amp; Ross </w:t>
      </w:r>
      <w:proofErr w:type="spellStart"/>
      <w:r>
        <w:t>Chaimberlain</w:t>
      </w:r>
      <w:proofErr w:type="spellEnd"/>
      <w:r>
        <w:t xml:space="preserve">. </w:t>
      </w:r>
      <w:r w:rsidRPr="00081B56">
        <w:rPr>
          <w:i/>
          <w:iCs/>
        </w:rPr>
        <w:t>Child Poverty Snapshots: The Local Picture in Wales</w:t>
      </w:r>
      <w:r>
        <w:rPr>
          <w:i/>
          <w:iCs/>
        </w:rPr>
        <w:t xml:space="preserve"> </w:t>
      </w:r>
      <w:r>
        <w:t>(Cardiff: Save the Children, 2012) p.7-8</w:t>
      </w:r>
    </w:p>
  </w:footnote>
  <w:footnote w:id="6">
    <w:p w14:paraId="4B7C90E8" w14:textId="134775A2" w:rsidR="00E37861" w:rsidRPr="00F12477" w:rsidRDefault="00E37861">
      <w:pPr>
        <w:pStyle w:val="FootnoteText"/>
        <w:rPr>
          <w:i/>
          <w:iCs/>
        </w:rPr>
      </w:pPr>
      <w:r>
        <w:rPr>
          <w:rStyle w:val="FootnoteReference"/>
        </w:rPr>
        <w:footnoteRef/>
      </w:r>
      <w:r>
        <w:t xml:space="preserve"> India Pollock </w:t>
      </w:r>
      <w:r>
        <w:rPr>
          <w:i/>
          <w:iCs/>
        </w:rPr>
        <w:t>Child Poverty: Wales is the only UK nation to see an increase</w:t>
      </w:r>
      <w:r w:rsidRPr="00F12477">
        <w:t xml:space="preserve"> (15/05.2019)</w:t>
      </w:r>
    </w:p>
    <w:p w14:paraId="6694BA4C" w14:textId="6E2184FA" w:rsidR="00E37861" w:rsidRPr="00F12477" w:rsidRDefault="00E37861">
      <w:pPr>
        <w:pStyle w:val="FootnoteText"/>
      </w:pPr>
      <w:r>
        <w:t>&lt;</w:t>
      </w:r>
      <w:r w:rsidRPr="00F12477">
        <w:t xml:space="preserve"> </w:t>
      </w:r>
      <w:hyperlink r:id="rId1" w:history="1">
        <w:r>
          <w:rPr>
            <w:rStyle w:val="Hyperlink"/>
          </w:rPr>
          <w:t>https://www.bbc.co.uk/news/uk-wales-48259327</w:t>
        </w:r>
      </w:hyperlink>
      <w:r>
        <w:t>&gt; (Accessed 08/03/2020)</w:t>
      </w:r>
    </w:p>
  </w:footnote>
  <w:footnote w:id="7">
    <w:p w14:paraId="6BCD2EE1" w14:textId="6A690F0B" w:rsidR="00E37861" w:rsidRDefault="00E37861">
      <w:pPr>
        <w:pStyle w:val="FootnoteText"/>
      </w:pPr>
      <w:r>
        <w:rPr>
          <w:rStyle w:val="FootnoteReference"/>
        </w:rPr>
        <w:footnoteRef/>
      </w:r>
      <w:r>
        <w:t xml:space="preserve"> WAG. </w:t>
      </w:r>
      <w:r>
        <w:rPr>
          <w:i/>
          <w:iCs/>
        </w:rPr>
        <w:t>Developing a Whole School Food and Fitness Policy</w:t>
      </w:r>
      <w:r w:rsidRPr="00D85D90">
        <w:t xml:space="preserve"> </w:t>
      </w:r>
      <w:r>
        <w:t>(March 2007) p.3</w:t>
      </w:r>
    </w:p>
    <w:p w14:paraId="5B7319CC" w14:textId="2D7E19D5" w:rsidR="00E37861" w:rsidRPr="00D85D90" w:rsidRDefault="00E37861">
      <w:pPr>
        <w:pStyle w:val="FootnoteText"/>
      </w:pPr>
      <w:r>
        <w:t>&lt;</w:t>
      </w:r>
      <w:hyperlink r:id="rId2" w:history="1">
        <w:r w:rsidRPr="00F40A98">
          <w:rPr>
            <w:rStyle w:val="Hyperlink"/>
          </w:rPr>
          <w:t>http://www.wales.nhs.uk/sites3/Documents/740/food%20and%20fitness%20guidance%20in%20schools.pdf</w:t>
        </w:r>
      </w:hyperlink>
      <w:r>
        <w:t>&gt;  [accessed 15/5/2020]</w:t>
      </w:r>
    </w:p>
  </w:footnote>
  <w:footnote w:id="8">
    <w:p w14:paraId="468BCE55" w14:textId="2EACFF72" w:rsidR="00E37861" w:rsidRPr="00D85D90" w:rsidRDefault="00E37861">
      <w:pPr>
        <w:pStyle w:val="FootnoteText"/>
      </w:pPr>
      <w:r w:rsidRPr="00D85D90">
        <w:rPr>
          <w:rStyle w:val="FootnoteReference"/>
        </w:rPr>
        <w:footnoteRef/>
      </w:r>
      <w:r w:rsidRPr="00D85D90">
        <w:t xml:space="preserve"> WAG. </w:t>
      </w:r>
      <w:r w:rsidRPr="00D85D90">
        <w:rPr>
          <w:i/>
          <w:iCs/>
        </w:rPr>
        <w:t>Healthy Eating in Maintained Schools: Statutory Guidance for Local Authorities and Governing Bodies</w:t>
      </w:r>
      <w:r w:rsidRPr="00D85D90">
        <w:t>. (June 2014) p.2</w:t>
      </w:r>
    </w:p>
    <w:p w14:paraId="4914765A" w14:textId="128CBBE1" w:rsidR="00E37861" w:rsidRPr="00D85D90" w:rsidRDefault="00E37861">
      <w:pPr>
        <w:pStyle w:val="FootnoteText"/>
      </w:pPr>
      <w:r w:rsidRPr="00D85D90">
        <w:t>&lt;</w:t>
      </w:r>
      <w:hyperlink r:id="rId3" w:history="1">
        <w:r w:rsidRPr="00D85D90">
          <w:rPr>
            <w:rStyle w:val="Hyperlink"/>
          </w:rPr>
          <w:t>https://gov.wales/sites/default/files/publications/2018-12/healthy-eating-in-maintained-schools-statutory-guidance-for-local-authorities-and-governing-bodies.pdf</w:t>
        </w:r>
      </w:hyperlink>
      <w:r w:rsidRPr="00D85D90">
        <w:t>&gt; [accessed on 1</w:t>
      </w:r>
      <w:r>
        <w:t>5</w:t>
      </w:r>
      <w:r w:rsidRPr="00D85D90">
        <w:t>/5/2020]</w:t>
      </w:r>
    </w:p>
  </w:footnote>
  <w:footnote w:id="9">
    <w:p w14:paraId="107451F1" w14:textId="77777777" w:rsidR="00E37861" w:rsidRDefault="00E37861" w:rsidP="00B91374">
      <w:pPr>
        <w:pStyle w:val="FootnoteText"/>
      </w:pPr>
      <w:r>
        <w:rPr>
          <w:rStyle w:val="FootnoteReference"/>
        </w:rPr>
        <w:footnoteRef/>
      </w:r>
      <w:r>
        <w:t xml:space="preserve"> </w:t>
      </w:r>
      <w:r w:rsidRPr="007F63D6">
        <w:rPr>
          <w:sz w:val="18"/>
          <w:szCs w:val="18"/>
        </w:rPr>
        <w:t xml:space="preserve">D. McCann, A. Barrett, A. Cooper, Food additives and hyperactive behaviour in </w:t>
      </w:r>
      <w:proofErr w:type="gramStart"/>
      <w:r w:rsidRPr="007F63D6">
        <w:rPr>
          <w:sz w:val="18"/>
          <w:szCs w:val="18"/>
        </w:rPr>
        <w:t>3 year-old</w:t>
      </w:r>
      <w:proofErr w:type="gramEnd"/>
      <w:r w:rsidRPr="007F63D6">
        <w:rPr>
          <w:sz w:val="18"/>
          <w:szCs w:val="18"/>
        </w:rPr>
        <w:t xml:space="preserve"> and 8/9 year old children in the community: a randomised, double-blinded, placebo-controlled trial, </w:t>
      </w:r>
      <w:r w:rsidRPr="007F63D6">
        <w:rPr>
          <w:i/>
          <w:sz w:val="18"/>
          <w:szCs w:val="18"/>
        </w:rPr>
        <w:t>Lancet</w:t>
      </w:r>
      <w:r w:rsidRPr="007F63D6">
        <w:rPr>
          <w:sz w:val="18"/>
          <w:szCs w:val="18"/>
        </w:rPr>
        <w:t xml:space="preserve"> 370 (Lancet, 2007) pp.1560,1567</w:t>
      </w:r>
      <w:r>
        <w:t xml:space="preserve"> </w:t>
      </w:r>
    </w:p>
  </w:footnote>
  <w:footnote w:id="10">
    <w:p w14:paraId="233AD56D" w14:textId="7EFDD2FC" w:rsidR="00E37861" w:rsidRPr="00D85D90" w:rsidRDefault="00E37861">
      <w:pPr>
        <w:pStyle w:val="FootnoteText"/>
      </w:pPr>
      <w:r w:rsidRPr="00D85D90">
        <w:rPr>
          <w:rStyle w:val="FootnoteReference"/>
        </w:rPr>
        <w:footnoteRef/>
      </w:r>
      <w:r w:rsidRPr="00D85D90">
        <w:t xml:space="preserve"> WAG (2014) p.18</w:t>
      </w:r>
    </w:p>
  </w:footnote>
  <w:footnote w:id="11">
    <w:p w14:paraId="4B431731" w14:textId="0FE75D4C" w:rsidR="00E37861" w:rsidRPr="00D85D90" w:rsidRDefault="00E37861">
      <w:pPr>
        <w:pStyle w:val="FootnoteText"/>
      </w:pPr>
      <w:r w:rsidRPr="00D85D90">
        <w:rPr>
          <w:rStyle w:val="FootnoteReference"/>
        </w:rPr>
        <w:footnoteRef/>
      </w:r>
      <w:r w:rsidRPr="00D85D90">
        <w:t xml:space="preserve"> WAG (2014) p.18-19</w:t>
      </w:r>
    </w:p>
  </w:footnote>
  <w:footnote w:id="12">
    <w:p w14:paraId="126F3C10" w14:textId="7C7E8729" w:rsidR="00E37861" w:rsidRDefault="00E37861">
      <w:pPr>
        <w:pStyle w:val="FootnoteText"/>
      </w:pPr>
      <w:r>
        <w:rPr>
          <w:rStyle w:val="FootnoteReference"/>
        </w:rPr>
        <w:footnoteRef/>
      </w:r>
      <w:r>
        <w:t xml:space="preserve"> </w:t>
      </w:r>
      <w:r w:rsidRPr="002B428B">
        <w:rPr>
          <w:rFonts w:cstheme="minorHAnsi"/>
        </w:rPr>
        <w:t xml:space="preserve">Sue Moore, Simon Murphy, Kate Tapper, Laurence Moore. “From policy to plate: Barriers to implementing healthy eating policies in primary schools in Wales.” </w:t>
      </w:r>
      <w:r w:rsidRPr="002B428B">
        <w:rPr>
          <w:rFonts w:cstheme="minorHAnsi"/>
          <w:i/>
        </w:rPr>
        <w:t xml:space="preserve">Health Policy </w:t>
      </w:r>
      <w:r w:rsidRPr="002B428B">
        <w:rPr>
          <w:rFonts w:cstheme="minorHAnsi"/>
        </w:rPr>
        <w:t>94 (2010)</w:t>
      </w:r>
      <w:r>
        <w:rPr>
          <w:rFonts w:cstheme="minorHAnsi"/>
        </w:rPr>
        <w:t xml:space="preserve"> p.241</w:t>
      </w:r>
    </w:p>
  </w:footnote>
  <w:footnote w:id="13">
    <w:p w14:paraId="61A71106" w14:textId="5FD4E20B" w:rsidR="00E37861" w:rsidRPr="002B428B" w:rsidRDefault="00E37861" w:rsidP="006E0B2C">
      <w:pPr>
        <w:pStyle w:val="FootnoteText"/>
      </w:pPr>
      <w:r w:rsidRPr="00D85D90">
        <w:rPr>
          <w:rStyle w:val="FootnoteReference"/>
        </w:rPr>
        <w:footnoteRef/>
      </w:r>
      <w:r w:rsidRPr="00D85D90">
        <w:t xml:space="preserve"> </w:t>
      </w:r>
      <w:r w:rsidRPr="002B428B">
        <w:rPr>
          <w:rFonts w:cstheme="minorHAnsi"/>
        </w:rPr>
        <w:t>Moore. pp.240</w:t>
      </w:r>
    </w:p>
  </w:footnote>
  <w:footnote w:id="14">
    <w:p w14:paraId="6234715E" w14:textId="39A0B5D9" w:rsidR="00E37861" w:rsidRPr="00FC67CC" w:rsidRDefault="00E37861" w:rsidP="00D60BF2">
      <w:pPr>
        <w:pStyle w:val="FootnoteText"/>
      </w:pPr>
      <w:r w:rsidRPr="002B428B">
        <w:rPr>
          <w:rStyle w:val="FootnoteReference"/>
        </w:rPr>
        <w:footnoteRef/>
      </w:r>
      <w:r w:rsidRPr="002B428B">
        <w:t xml:space="preserve"> K. Brown, H. </w:t>
      </w:r>
      <w:proofErr w:type="spellStart"/>
      <w:r w:rsidRPr="002B428B">
        <w:t>Mcllveen</w:t>
      </w:r>
      <w:proofErr w:type="spellEnd"/>
      <w:r w:rsidRPr="002B428B">
        <w:t xml:space="preserve">, C. </w:t>
      </w:r>
      <w:proofErr w:type="spellStart"/>
      <w:r w:rsidRPr="002B428B">
        <w:t>Strugnell</w:t>
      </w:r>
      <w:proofErr w:type="spellEnd"/>
      <w:r w:rsidRPr="002B428B">
        <w:t xml:space="preserve">. “Nutritional Awareness and Food Preferences of Young Consumers” </w:t>
      </w:r>
      <w:r w:rsidRPr="002B428B">
        <w:rPr>
          <w:i/>
        </w:rPr>
        <w:t>Nutrition and Food Science</w:t>
      </w:r>
      <w:r w:rsidRPr="002B428B">
        <w:t xml:space="preserve"> 30.5 (2000) pp.230-253</w:t>
      </w:r>
    </w:p>
  </w:footnote>
  <w:footnote w:id="15">
    <w:p w14:paraId="2F7DF6B6" w14:textId="7B76EF05" w:rsidR="00E37861" w:rsidRDefault="00E37861">
      <w:pPr>
        <w:pStyle w:val="FootnoteText"/>
      </w:pPr>
      <w:r>
        <w:rPr>
          <w:rStyle w:val="FootnoteReference"/>
        </w:rPr>
        <w:footnoteRef/>
      </w:r>
      <w:r>
        <w:t xml:space="preserve"> Carmarthenshire County Council. </w:t>
      </w:r>
      <w:proofErr w:type="spellStart"/>
      <w:r w:rsidRPr="00EC64D5">
        <w:rPr>
          <w:i/>
          <w:iCs/>
        </w:rPr>
        <w:t>Bwydlen</w:t>
      </w:r>
      <w:proofErr w:type="spellEnd"/>
      <w:r w:rsidRPr="00EC64D5">
        <w:rPr>
          <w:i/>
          <w:iCs/>
        </w:rPr>
        <w:t xml:space="preserve"> Sir </w:t>
      </w:r>
      <w:proofErr w:type="spellStart"/>
      <w:r w:rsidRPr="00EC64D5">
        <w:rPr>
          <w:i/>
          <w:iCs/>
        </w:rPr>
        <w:t>Gaerfyrddin</w:t>
      </w:r>
      <w:proofErr w:type="spellEnd"/>
      <w:r w:rsidRPr="00EC64D5">
        <w:rPr>
          <w:i/>
          <w:iCs/>
        </w:rPr>
        <w:t xml:space="preserve"> - </w:t>
      </w:r>
      <w:proofErr w:type="spellStart"/>
      <w:r w:rsidRPr="00EC64D5">
        <w:rPr>
          <w:i/>
          <w:iCs/>
        </w:rPr>
        <w:t>Gaeaf</w:t>
      </w:r>
      <w:proofErr w:type="spellEnd"/>
      <w:r w:rsidRPr="00EC64D5">
        <w:rPr>
          <w:i/>
          <w:iCs/>
        </w:rPr>
        <w:t xml:space="preserve"> 2019</w:t>
      </w:r>
    </w:p>
    <w:p w14:paraId="1CBC85AF" w14:textId="1F9D6539" w:rsidR="00E37861" w:rsidRPr="00EC64D5" w:rsidRDefault="00E37861">
      <w:pPr>
        <w:pStyle w:val="FootnoteText"/>
      </w:pPr>
      <w:r>
        <w:t>&lt;</w:t>
      </w:r>
      <w:r w:rsidRPr="00EC64D5">
        <w:t xml:space="preserve"> </w:t>
      </w:r>
      <w:hyperlink r:id="rId4" w:history="1">
        <w:r>
          <w:rPr>
            <w:rStyle w:val="Hyperlink"/>
          </w:rPr>
          <w:t>https://www.car</w:t>
        </w:r>
        <w:r>
          <w:rPr>
            <w:rStyle w:val="Hyperlink"/>
          </w:rPr>
          <w:t>marthenshire.gov.wales/media/1220586/wintermenu2019.pdf</w:t>
        </w:r>
      </w:hyperlink>
      <w:r>
        <w:t>&gt; [accessed 18/5/2020]</w:t>
      </w:r>
    </w:p>
  </w:footnote>
  <w:footnote w:id="16">
    <w:p w14:paraId="739B6EB3" w14:textId="69DE8A24" w:rsidR="00E37861" w:rsidRDefault="00E37861">
      <w:pPr>
        <w:pStyle w:val="FootnoteText"/>
      </w:pPr>
      <w:r>
        <w:rPr>
          <w:rStyle w:val="FootnoteReference"/>
        </w:rPr>
        <w:footnoteRef/>
      </w:r>
      <w:r>
        <w:t xml:space="preserve"> Moore. P.241</w:t>
      </w:r>
    </w:p>
  </w:footnote>
  <w:footnote w:id="17">
    <w:p w14:paraId="7671486D" w14:textId="02E4DC5A" w:rsidR="00E37861" w:rsidRPr="00252C24" w:rsidRDefault="00E37861" w:rsidP="00252C24">
      <w:pPr>
        <w:pStyle w:val="Heading1"/>
        <w:spacing w:before="0" w:line="240" w:lineRule="auto"/>
        <w:rPr>
          <w:rStyle w:val="title-text"/>
          <w:rFonts w:asciiTheme="minorHAnsi" w:hAnsiTheme="minorHAnsi" w:cstheme="minorHAnsi"/>
          <w:color w:val="auto"/>
          <w:sz w:val="20"/>
          <w:szCs w:val="20"/>
        </w:rPr>
      </w:pPr>
      <w:r w:rsidRPr="007E4921">
        <w:rPr>
          <w:rStyle w:val="FootnoteReference"/>
          <w:rFonts w:asciiTheme="minorHAnsi" w:hAnsiTheme="minorHAnsi" w:cstheme="minorHAnsi"/>
          <w:color w:val="auto"/>
          <w:sz w:val="20"/>
          <w:szCs w:val="20"/>
        </w:rPr>
        <w:footnoteRef/>
      </w:r>
      <w:r w:rsidRPr="007E4921">
        <w:rPr>
          <w:rFonts w:asciiTheme="minorHAnsi" w:hAnsiTheme="minorHAnsi" w:cstheme="minorHAnsi"/>
          <w:color w:val="auto"/>
          <w:sz w:val="20"/>
          <w:szCs w:val="20"/>
        </w:rPr>
        <w:t xml:space="preserve"> Joanne C. </w:t>
      </w:r>
      <w:proofErr w:type="spellStart"/>
      <w:r w:rsidRPr="007E4921">
        <w:rPr>
          <w:rFonts w:asciiTheme="minorHAnsi" w:hAnsiTheme="minorHAnsi" w:cstheme="minorHAnsi"/>
          <w:color w:val="auto"/>
          <w:sz w:val="20"/>
          <w:szCs w:val="20"/>
        </w:rPr>
        <w:t>Demmler</w:t>
      </w:r>
      <w:proofErr w:type="spellEnd"/>
      <w:r w:rsidRPr="007E4921">
        <w:rPr>
          <w:rFonts w:asciiTheme="minorHAnsi" w:hAnsiTheme="minorHAnsi" w:cstheme="minorHAnsi"/>
          <w:color w:val="auto"/>
          <w:sz w:val="20"/>
          <w:szCs w:val="20"/>
        </w:rPr>
        <w:t xml:space="preserve"> (et. Al.) ‘</w:t>
      </w:r>
      <w:r w:rsidRPr="007E4921">
        <w:rPr>
          <w:rStyle w:val="title-text"/>
          <w:rFonts w:asciiTheme="minorHAnsi" w:hAnsiTheme="minorHAnsi" w:cstheme="minorHAnsi"/>
          <w:color w:val="auto"/>
          <w:sz w:val="20"/>
          <w:szCs w:val="20"/>
        </w:rPr>
        <w:t xml:space="preserve">Educational Attainment at Age 10–11 Years Predicts Health Risk Behaviors and </w:t>
      </w:r>
      <w:r w:rsidRPr="00252C24">
        <w:rPr>
          <w:rStyle w:val="title-text"/>
          <w:rFonts w:asciiTheme="minorHAnsi" w:hAnsiTheme="minorHAnsi" w:cstheme="minorHAnsi"/>
          <w:color w:val="auto"/>
          <w:sz w:val="20"/>
          <w:szCs w:val="20"/>
        </w:rPr>
        <w:t xml:space="preserve">Injury Risk During Adolescence’ </w:t>
      </w:r>
      <w:r w:rsidRPr="00252C24">
        <w:rPr>
          <w:rStyle w:val="title-text"/>
          <w:rFonts w:asciiTheme="minorHAnsi" w:hAnsiTheme="minorHAnsi" w:cstheme="minorHAnsi"/>
          <w:i/>
          <w:iCs/>
          <w:color w:val="auto"/>
          <w:sz w:val="20"/>
          <w:szCs w:val="20"/>
        </w:rPr>
        <w:t xml:space="preserve">Journal of Adolescent Health </w:t>
      </w:r>
      <w:r w:rsidRPr="00252C24">
        <w:rPr>
          <w:rStyle w:val="title-text"/>
          <w:rFonts w:asciiTheme="minorHAnsi" w:hAnsiTheme="minorHAnsi" w:cstheme="minorHAnsi"/>
          <w:color w:val="auto"/>
          <w:sz w:val="20"/>
          <w:szCs w:val="20"/>
        </w:rPr>
        <w:t>Vol. 61.2 (2017) p.212-218</w:t>
      </w:r>
    </w:p>
    <w:p w14:paraId="1B0A3DE3" w14:textId="6907630C" w:rsidR="00E37861" w:rsidRPr="00252C24" w:rsidRDefault="00E37861" w:rsidP="00252C24">
      <w:pPr>
        <w:spacing w:line="240" w:lineRule="auto"/>
        <w:rPr>
          <w:sz w:val="20"/>
          <w:szCs w:val="20"/>
          <w:lang w:val="en-US"/>
        </w:rPr>
      </w:pPr>
      <w:r w:rsidRPr="00252C24">
        <w:rPr>
          <w:sz w:val="20"/>
          <w:szCs w:val="20"/>
          <w:lang w:val="en-US"/>
        </w:rPr>
        <w:t>This study followed students aged primary school students aged between 7-11 and discovered that students who attained expected levels at age 7 and not at 11 were more likely to have an injury and/or drink alcohol in their adolescent years. They were also more likely to put themselves in situations which could risk their health.</w:t>
      </w:r>
    </w:p>
  </w:footnote>
  <w:footnote w:id="18">
    <w:p w14:paraId="100577A8" w14:textId="21B7109B" w:rsidR="00E37861" w:rsidRPr="0040290A" w:rsidRDefault="00E37861" w:rsidP="00252C24">
      <w:pPr>
        <w:pStyle w:val="Heading1"/>
        <w:shd w:val="clear" w:color="auto" w:fill="FFFFFF"/>
        <w:spacing w:before="75" w:after="150" w:line="240" w:lineRule="auto"/>
        <w:textAlignment w:val="baseline"/>
        <w:rPr>
          <w:rFonts w:asciiTheme="minorHAnsi" w:hAnsiTheme="minorHAnsi" w:cstheme="minorHAnsi"/>
          <w:color w:val="auto"/>
          <w:sz w:val="20"/>
          <w:szCs w:val="20"/>
        </w:rPr>
      </w:pPr>
      <w:r w:rsidRPr="0040290A">
        <w:rPr>
          <w:rStyle w:val="FootnoteReference"/>
          <w:color w:val="auto"/>
          <w:sz w:val="20"/>
          <w:szCs w:val="20"/>
        </w:rPr>
        <w:footnoteRef/>
      </w:r>
      <w:r w:rsidRPr="0040290A">
        <w:rPr>
          <w:color w:val="auto"/>
          <w:sz w:val="20"/>
          <w:szCs w:val="20"/>
        </w:rPr>
        <w:t xml:space="preserve"> </w:t>
      </w:r>
      <w:r w:rsidRPr="0040290A">
        <w:rPr>
          <w:rFonts w:asciiTheme="minorHAnsi" w:hAnsiTheme="minorHAnsi" w:cstheme="minorHAnsi"/>
          <w:color w:val="auto"/>
          <w:sz w:val="20"/>
          <w:szCs w:val="20"/>
        </w:rPr>
        <w:t xml:space="preserve">Muhammad A. Rahman (et. Al.) ‘School achievement as a predictor of depression and self-harm in adolescence: linked education and health record study’ </w:t>
      </w:r>
      <w:r w:rsidRPr="0040290A">
        <w:rPr>
          <w:rFonts w:asciiTheme="minorHAnsi" w:hAnsiTheme="minorHAnsi" w:cstheme="minorHAnsi"/>
          <w:i/>
          <w:iCs/>
          <w:color w:val="auto"/>
          <w:sz w:val="20"/>
          <w:szCs w:val="20"/>
        </w:rPr>
        <w:t xml:space="preserve">The British Journal of Psychiatry </w:t>
      </w:r>
      <w:r w:rsidRPr="0040290A">
        <w:rPr>
          <w:rFonts w:asciiTheme="minorHAnsi" w:hAnsiTheme="minorHAnsi" w:cstheme="minorHAnsi"/>
          <w:color w:val="auto"/>
          <w:sz w:val="20"/>
          <w:szCs w:val="20"/>
        </w:rPr>
        <w:t>Vol. 212.4 (2018) p.215-221</w:t>
      </w:r>
    </w:p>
    <w:p w14:paraId="0704DD68" w14:textId="405730E1" w:rsidR="00E37861" w:rsidRPr="00252C24" w:rsidRDefault="00E37861" w:rsidP="00252C24">
      <w:pPr>
        <w:spacing w:line="240" w:lineRule="auto"/>
        <w:rPr>
          <w:sz w:val="20"/>
          <w:szCs w:val="20"/>
          <w:lang w:val="en-US"/>
        </w:rPr>
      </w:pPr>
      <w:r>
        <w:rPr>
          <w:sz w:val="20"/>
          <w:szCs w:val="20"/>
          <w:lang w:val="en-US"/>
        </w:rPr>
        <w:t>This was a very large study with over 652,000 children in Wales and took place over 15 years. 5.1% percent of these children developed depression and 2.4% self-harmed when between the ages of 12-20. The study found that the children who were depressed generally attained at aged 7 but did not when 11 and therefore were declining academically in primary school. However, those that self-harmed did not seem to have any correlation with what they were achieving (or not) at primary aged level. Self-harm therefore was only attributed to issues that the children were facing academically at secondary school level whereas depression seemed to be directly linked with declining attainment levels within primary school.</w:t>
      </w:r>
    </w:p>
  </w:footnote>
  <w:footnote w:id="19">
    <w:p w14:paraId="2C5965E2" w14:textId="35AF3327" w:rsidR="00E37861" w:rsidRPr="002B13A3" w:rsidRDefault="00E37861" w:rsidP="00E75D31">
      <w:pPr>
        <w:pStyle w:val="Heading1"/>
        <w:spacing w:before="0"/>
        <w:rPr>
          <w:rFonts w:asciiTheme="minorHAnsi" w:hAnsiTheme="minorHAnsi" w:cstheme="minorHAnsi"/>
          <w:color w:val="auto"/>
          <w:sz w:val="20"/>
          <w:szCs w:val="20"/>
        </w:rPr>
      </w:pPr>
      <w:r w:rsidRPr="002B13A3">
        <w:rPr>
          <w:rStyle w:val="FootnoteReference"/>
          <w:rFonts w:asciiTheme="minorHAnsi" w:hAnsiTheme="minorHAnsi" w:cstheme="minorHAnsi"/>
          <w:color w:val="auto"/>
          <w:sz w:val="20"/>
          <w:szCs w:val="20"/>
        </w:rPr>
        <w:footnoteRef/>
      </w:r>
      <w:r w:rsidRPr="002B13A3">
        <w:rPr>
          <w:rFonts w:asciiTheme="minorHAnsi" w:hAnsiTheme="minorHAnsi" w:cstheme="minorHAnsi"/>
          <w:color w:val="auto"/>
          <w:sz w:val="20"/>
          <w:szCs w:val="20"/>
        </w:rPr>
        <w:t xml:space="preserve"> Katie Hardcastle (et.al) ‘</w:t>
      </w:r>
      <w:r w:rsidRPr="002B13A3">
        <w:rPr>
          <w:rStyle w:val="title-text"/>
          <w:rFonts w:asciiTheme="minorHAnsi" w:hAnsiTheme="minorHAnsi" w:cstheme="minorHAnsi"/>
          <w:color w:val="auto"/>
          <w:sz w:val="20"/>
          <w:szCs w:val="20"/>
        </w:rPr>
        <w:t xml:space="preserve">Measuring the relationships between adverse childhood experiences and educational and employment success in England and Wales: findings from a retrospective study’ </w:t>
      </w:r>
      <w:r w:rsidRPr="002B13A3">
        <w:rPr>
          <w:rStyle w:val="title-text"/>
          <w:rFonts w:asciiTheme="minorHAnsi" w:hAnsiTheme="minorHAnsi" w:cstheme="minorHAnsi"/>
          <w:i/>
          <w:iCs/>
          <w:color w:val="auto"/>
          <w:sz w:val="20"/>
          <w:szCs w:val="20"/>
        </w:rPr>
        <w:t xml:space="preserve">Public Health </w:t>
      </w:r>
      <w:r w:rsidRPr="002B13A3">
        <w:rPr>
          <w:rStyle w:val="title-text"/>
          <w:rFonts w:asciiTheme="minorHAnsi" w:hAnsiTheme="minorHAnsi" w:cstheme="minorHAnsi"/>
          <w:color w:val="auto"/>
          <w:sz w:val="20"/>
          <w:szCs w:val="20"/>
        </w:rPr>
        <w:t>Vol.165 (2018) p.106-116</w:t>
      </w:r>
    </w:p>
    <w:p w14:paraId="3F9B9B1C" w14:textId="7507E7A1" w:rsidR="00E37861" w:rsidRDefault="00E37861">
      <w:pPr>
        <w:pStyle w:val="FootnoteText"/>
      </w:pPr>
      <w:r>
        <w:t xml:space="preserve">According to this article, adverse childhood experiences (ACE’s) more than double the risk of not achieving in regard to educational qualifications and employment success in England and Wales. </w:t>
      </w:r>
    </w:p>
  </w:footnote>
  <w:footnote w:id="20">
    <w:p w14:paraId="7557F5C4" w14:textId="57EF27C2" w:rsidR="00E37861" w:rsidRPr="00FA6367" w:rsidRDefault="00E37861">
      <w:pPr>
        <w:pStyle w:val="FootnoteText"/>
        <w:rPr>
          <w:rFonts w:cstheme="minorHAnsi"/>
        </w:rPr>
      </w:pPr>
      <w:r w:rsidRPr="00FA6367">
        <w:rPr>
          <w:rStyle w:val="FootnoteReference"/>
          <w:rFonts w:cstheme="minorHAnsi"/>
        </w:rPr>
        <w:footnoteRef/>
      </w:r>
      <w:r w:rsidRPr="00FA6367">
        <w:rPr>
          <w:rFonts w:cstheme="minorHAnsi"/>
        </w:rPr>
        <w:t>Hayley A. Hutchings (et. Al.) ‘</w:t>
      </w:r>
      <w:r w:rsidRPr="00FA6367">
        <w:rPr>
          <w:rFonts w:cstheme="minorHAnsi"/>
          <w:shd w:val="clear" w:color="auto" w:fill="FFFFFF"/>
        </w:rPr>
        <w:t xml:space="preserve">Do Children Who Move Home and School Frequently Have Poorer Educational Outcomes in Their Early Years at School? An Anonymised Cohort Study’ </w:t>
      </w:r>
      <w:proofErr w:type="spellStart"/>
      <w:r w:rsidRPr="00FA6367">
        <w:rPr>
          <w:rFonts w:cstheme="minorHAnsi"/>
          <w:i/>
          <w:iCs/>
          <w:shd w:val="clear" w:color="auto" w:fill="FFFFFF"/>
        </w:rPr>
        <w:t>PLoS</w:t>
      </w:r>
      <w:proofErr w:type="spellEnd"/>
      <w:r w:rsidRPr="00FA6367">
        <w:rPr>
          <w:rFonts w:cstheme="minorHAnsi"/>
          <w:i/>
          <w:iCs/>
          <w:shd w:val="clear" w:color="auto" w:fill="FFFFFF"/>
        </w:rPr>
        <w:t xml:space="preserve"> ONE</w:t>
      </w:r>
      <w:r w:rsidRPr="00FA6367">
        <w:rPr>
          <w:rFonts w:cstheme="minorHAnsi"/>
          <w:shd w:val="clear" w:color="auto" w:fill="FFFFFF"/>
        </w:rPr>
        <w:t> </w:t>
      </w:r>
      <w:r>
        <w:rPr>
          <w:rFonts w:cstheme="minorHAnsi"/>
          <w:shd w:val="clear" w:color="auto" w:fill="FFFFFF"/>
        </w:rPr>
        <w:t xml:space="preserve">Vol. </w:t>
      </w:r>
      <w:r w:rsidRPr="00FA6367">
        <w:rPr>
          <w:rFonts w:cstheme="minorHAnsi"/>
          <w:shd w:val="clear" w:color="auto" w:fill="FFFFFF"/>
        </w:rPr>
        <w:t>8.8 (2013</w:t>
      </w:r>
      <w:r>
        <w:rPr>
          <w:rFonts w:cstheme="minorHAnsi"/>
          <w:shd w:val="clear" w:color="auto" w:fill="FFFFFF"/>
        </w:rPr>
        <w:t>) p.1-7</w:t>
      </w:r>
      <w:r w:rsidRPr="00FA6367">
        <w:rPr>
          <w:rFonts w:cstheme="minorHAnsi"/>
        </w:rPr>
        <w:t xml:space="preserve"> </w:t>
      </w:r>
    </w:p>
  </w:footnote>
  <w:footnote w:id="21">
    <w:p w14:paraId="03DECED1" w14:textId="47C7D4DD" w:rsidR="00E37861" w:rsidRPr="00B009F8" w:rsidRDefault="00E37861">
      <w:pPr>
        <w:pStyle w:val="FootnoteText"/>
      </w:pPr>
      <w:r>
        <w:rPr>
          <w:rStyle w:val="FootnoteReference"/>
        </w:rPr>
        <w:footnoteRef/>
      </w:r>
      <w:r>
        <w:t xml:space="preserve"> WAG, ‘</w:t>
      </w:r>
      <w:r w:rsidRPr="00B009F8">
        <w:rPr>
          <w:i/>
          <w:iCs/>
        </w:rPr>
        <w:t>Statistics for Wales</w:t>
      </w:r>
      <w:r>
        <w:rPr>
          <w:i/>
          <w:iCs/>
        </w:rPr>
        <w:t xml:space="preserve">: </w:t>
      </w:r>
      <w:r w:rsidRPr="00B009F8">
        <w:rPr>
          <w:i/>
          <w:iCs/>
        </w:rPr>
        <w:t>Academic achievement of pupils aged 4 to 14 in core subjects</w:t>
      </w:r>
      <w:r>
        <w:rPr>
          <w:i/>
          <w:iCs/>
        </w:rPr>
        <w:t>,</w:t>
      </w:r>
      <w:r w:rsidRPr="00B009F8">
        <w:rPr>
          <w:i/>
          <w:iCs/>
        </w:rPr>
        <w:t xml:space="preserve"> 2019</w:t>
      </w:r>
      <w:r>
        <w:t>, p.1</w:t>
      </w:r>
    </w:p>
    <w:p w14:paraId="1237CDF1" w14:textId="7537A9F8" w:rsidR="00E37861" w:rsidRPr="00B009F8" w:rsidRDefault="00E37861">
      <w:pPr>
        <w:pStyle w:val="FootnoteText"/>
      </w:pPr>
      <w:r>
        <w:t>&lt;</w:t>
      </w:r>
      <w:hyperlink r:id="rId5" w:history="1">
        <w:r>
          <w:rPr>
            <w:rStyle w:val="Hyperlink"/>
          </w:rPr>
          <w:t>https://gov.wales/sites/default/files/statistics-and-research/2019-08/academic-achievement-pupils-aged-4-14-core-subjects-2019.pdf</w:t>
        </w:r>
      </w:hyperlink>
      <w:r>
        <w:t>&gt; (accessed 3/6/2020)</w:t>
      </w:r>
    </w:p>
  </w:footnote>
  <w:footnote w:id="22">
    <w:p w14:paraId="7F7506CE" w14:textId="1C26C9A4" w:rsidR="00E37861" w:rsidRPr="006A723A" w:rsidRDefault="00E37861">
      <w:pPr>
        <w:pStyle w:val="FootnoteText"/>
      </w:pPr>
      <w:r>
        <w:rPr>
          <w:rStyle w:val="FootnoteReference"/>
        </w:rPr>
        <w:footnoteRef/>
      </w:r>
      <w:r>
        <w:t xml:space="preserve"> WAG, </w:t>
      </w:r>
      <w:r>
        <w:rPr>
          <w:i/>
          <w:iCs/>
        </w:rPr>
        <w:t>Academic Achievement, 2019</w:t>
      </w:r>
      <w:r>
        <w:t xml:space="preserve"> p.3</w:t>
      </w:r>
    </w:p>
  </w:footnote>
  <w:footnote w:id="23">
    <w:p w14:paraId="6CF0ECF7" w14:textId="4388FA85" w:rsidR="00E37861" w:rsidRDefault="00E37861">
      <w:pPr>
        <w:pStyle w:val="FootnoteText"/>
      </w:pPr>
      <w:r>
        <w:rPr>
          <w:rStyle w:val="FootnoteReference"/>
        </w:rPr>
        <w:footnoteRef/>
      </w:r>
      <w:r>
        <w:t xml:space="preserve"> WAG, </w:t>
      </w:r>
      <w:r>
        <w:rPr>
          <w:i/>
          <w:iCs/>
        </w:rPr>
        <w:t>Academic Achievement, 2019</w:t>
      </w:r>
      <w:r>
        <w:t xml:space="preserve"> p.10</w:t>
      </w:r>
    </w:p>
  </w:footnote>
  <w:footnote w:id="24">
    <w:p w14:paraId="644E40A2" w14:textId="455E3933" w:rsidR="00E37861" w:rsidRDefault="00E37861">
      <w:pPr>
        <w:pStyle w:val="FootnoteText"/>
      </w:pPr>
      <w:r>
        <w:rPr>
          <w:rStyle w:val="FootnoteReference"/>
        </w:rPr>
        <w:footnoteRef/>
      </w:r>
      <w:r>
        <w:t xml:space="preserve"> Francesca Hill (et. al). ‘Maths anxiety in primary and secondary school students: Gender differences, developmental changes and anxiety specificity’ </w:t>
      </w:r>
      <w:r>
        <w:rPr>
          <w:i/>
          <w:iCs/>
        </w:rPr>
        <w:t xml:space="preserve">Learning and Individual Differences </w:t>
      </w:r>
      <w:r>
        <w:t xml:space="preserve">Vol.48 (2016) p.51 </w:t>
      </w:r>
    </w:p>
  </w:footnote>
  <w:footnote w:id="25">
    <w:p w14:paraId="66DA28F6" w14:textId="456898F1" w:rsidR="00E37861" w:rsidRPr="00C24986" w:rsidRDefault="00E37861">
      <w:pPr>
        <w:pStyle w:val="FootnoteText"/>
      </w:pPr>
      <w:r>
        <w:rPr>
          <w:rStyle w:val="FootnoteReference"/>
        </w:rPr>
        <w:footnoteRef/>
      </w:r>
      <w:r>
        <w:t xml:space="preserve"> WAG, </w:t>
      </w:r>
      <w:r>
        <w:rPr>
          <w:i/>
          <w:iCs/>
        </w:rPr>
        <w:t>Academic Achievement, 2019</w:t>
      </w:r>
      <w:r>
        <w:t xml:space="preserve"> p.9</w:t>
      </w:r>
    </w:p>
  </w:footnote>
  <w:footnote w:id="26">
    <w:p w14:paraId="01D6811A" w14:textId="4CBF798E" w:rsidR="00E37861" w:rsidRDefault="00E37861">
      <w:pPr>
        <w:pStyle w:val="FootnoteText"/>
      </w:pPr>
      <w:r>
        <w:rPr>
          <w:rStyle w:val="FootnoteReference"/>
        </w:rPr>
        <w:footnoteRef/>
      </w:r>
      <w:r>
        <w:t xml:space="preserve"> WAG, </w:t>
      </w:r>
      <w:r>
        <w:rPr>
          <w:i/>
          <w:iCs/>
        </w:rPr>
        <w:t>Academic Achievement, 2019</w:t>
      </w:r>
      <w:r>
        <w:t xml:space="preserve"> p.1/3</w:t>
      </w:r>
    </w:p>
  </w:footnote>
  <w:footnote w:id="27">
    <w:p w14:paraId="7D034E6E" w14:textId="5A441D97" w:rsidR="00E37861" w:rsidRPr="00252C24" w:rsidRDefault="00E37861" w:rsidP="00252C24">
      <w:pPr>
        <w:pStyle w:val="FootnoteText"/>
        <w:rPr>
          <w:rFonts w:cstheme="minorHAnsi"/>
        </w:rPr>
      </w:pPr>
      <w:r w:rsidRPr="00252C24">
        <w:rPr>
          <w:rStyle w:val="FootnoteReference"/>
          <w:rFonts w:cstheme="minorHAnsi"/>
        </w:rPr>
        <w:footnoteRef/>
      </w:r>
      <w:r w:rsidRPr="00252C24">
        <w:rPr>
          <w:rFonts w:cstheme="minorHAnsi"/>
        </w:rPr>
        <w:t xml:space="preserve"> William G. </w:t>
      </w:r>
      <w:proofErr w:type="spellStart"/>
      <w:r w:rsidRPr="00252C24">
        <w:rPr>
          <w:rFonts w:cstheme="minorHAnsi"/>
        </w:rPr>
        <w:t>Axin</w:t>
      </w:r>
      <w:proofErr w:type="spellEnd"/>
      <w:r w:rsidRPr="00252C24">
        <w:rPr>
          <w:rFonts w:cstheme="minorHAnsi"/>
        </w:rPr>
        <w:t xml:space="preserve"> &amp; Lisa D. Pearce. </w:t>
      </w:r>
      <w:r w:rsidRPr="00252C24">
        <w:rPr>
          <w:rFonts w:cstheme="minorHAnsi"/>
          <w:i/>
          <w:iCs/>
        </w:rPr>
        <w:t>Mixed Method Data Collection Strategies</w:t>
      </w:r>
      <w:r w:rsidRPr="00252C24">
        <w:rPr>
          <w:rFonts w:cstheme="minorHAnsi"/>
        </w:rPr>
        <w:t>. (Cambridge: Cambridge University Press, 2006) p.4</w:t>
      </w:r>
    </w:p>
  </w:footnote>
  <w:footnote w:id="28">
    <w:p w14:paraId="47D66924" w14:textId="1DDD1444" w:rsidR="00E37861" w:rsidRDefault="00E37861" w:rsidP="00252C24">
      <w:pPr>
        <w:pStyle w:val="FootnoteText"/>
      </w:pPr>
      <w:r w:rsidRPr="00252C24">
        <w:rPr>
          <w:rStyle w:val="FootnoteReference"/>
          <w:rFonts w:cstheme="minorHAnsi"/>
        </w:rPr>
        <w:footnoteRef/>
      </w:r>
      <w:r w:rsidRPr="00252C24">
        <w:rPr>
          <w:rFonts w:cstheme="minorHAnsi"/>
        </w:rPr>
        <w:t xml:space="preserve"> </w:t>
      </w:r>
      <w:proofErr w:type="spellStart"/>
      <w:r w:rsidRPr="00252C24">
        <w:rPr>
          <w:rFonts w:cstheme="minorHAnsi"/>
        </w:rPr>
        <w:t>Axin</w:t>
      </w:r>
      <w:proofErr w:type="spellEnd"/>
      <w:r w:rsidRPr="00252C24">
        <w:rPr>
          <w:rFonts w:cstheme="minorHAnsi"/>
        </w:rPr>
        <w:t xml:space="preserve"> &amp; Pearce. p.5-6</w:t>
      </w:r>
    </w:p>
  </w:footnote>
  <w:footnote w:id="29">
    <w:p w14:paraId="2FD797AF" w14:textId="4E41C3A9" w:rsidR="00E37861" w:rsidRDefault="00E37861">
      <w:pPr>
        <w:pStyle w:val="FootnoteText"/>
      </w:pPr>
      <w:r>
        <w:rPr>
          <w:rStyle w:val="FootnoteReference"/>
        </w:rPr>
        <w:footnoteRef/>
      </w:r>
      <w:r>
        <w:t xml:space="preserve">Chris Taylor. “The Reliability of Free School Meal Eligibility as a Measure of Socio-Economic Disadvantage: Evidence from the Millennium Cohort Study in Wales” </w:t>
      </w:r>
      <w:r>
        <w:rPr>
          <w:i/>
          <w:iCs/>
        </w:rPr>
        <w:t>British Journal of Educational Studies</w:t>
      </w:r>
      <w:r>
        <w:t xml:space="preserve"> Vol.66.1 (2018) </w:t>
      </w:r>
    </w:p>
  </w:footnote>
  <w:footnote w:id="30">
    <w:p w14:paraId="24566C89" w14:textId="77777777" w:rsidR="00E37861" w:rsidRDefault="00E37861" w:rsidP="00984060">
      <w:pPr>
        <w:pStyle w:val="FootnoteText"/>
      </w:pPr>
      <w:r>
        <w:rPr>
          <w:rStyle w:val="FootnoteReference"/>
        </w:rPr>
        <w:footnoteRef/>
      </w:r>
      <w:r>
        <w:t xml:space="preserve"> Gov UK. </w:t>
      </w:r>
      <w:r>
        <w:rPr>
          <w:i/>
          <w:iCs/>
        </w:rPr>
        <w:t>Working Tax Credit</w:t>
      </w:r>
      <w:r>
        <w:t xml:space="preserve"> (2020)</w:t>
      </w:r>
    </w:p>
    <w:p w14:paraId="228E7AFE" w14:textId="77777777" w:rsidR="00E37861" w:rsidRPr="00984060" w:rsidRDefault="00E37861" w:rsidP="00984060">
      <w:pPr>
        <w:pStyle w:val="FootnoteText"/>
      </w:pPr>
      <w:r>
        <w:t>&lt;</w:t>
      </w:r>
      <w:hyperlink r:id="rId6" w:history="1">
        <w:r>
          <w:rPr>
            <w:rStyle w:val="Hyperlink"/>
          </w:rPr>
          <w:t>https://www.gov.uk/working-tax-credit</w:t>
        </w:r>
      </w:hyperlink>
      <w:r>
        <w:t>&gt; (accessed 07/03/2020)</w:t>
      </w:r>
    </w:p>
  </w:footnote>
  <w:footnote w:id="31">
    <w:p w14:paraId="28A95C19" w14:textId="06029915" w:rsidR="00E37861" w:rsidRDefault="00E37861">
      <w:pPr>
        <w:pStyle w:val="FootnoteText"/>
      </w:pPr>
      <w:r>
        <w:rPr>
          <w:rStyle w:val="FootnoteReference"/>
        </w:rPr>
        <w:footnoteRef/>
      </w:r>
      <w:r>
        <w:t xml:space="preserve"> Gov UK. </w:t>
      </w:r>
      <w:r>
        <w:rPr>
          <w:i/>
          <w:iCs/>
        </w:rPr>
        <w:t>Changes to Working Tax Credits and Free School Meal Entitlement</w:t>
      </w:r>
      <w:r>
        <w:t xml:space="preserve"> (2013)</w:t>
      </w:r>
    </w:p>
    <w:p w14:paraId="2CB767BD" w14:textId="7DEAC48B" w:rsidR="00E37861" w:rsidRPr="00984060" w:rsidRDefault="00E37861">
      <w:pPr>
        <w:pStyle w:val="FootnoteText"/>
      </w:pPr>
      <w:r>
        <w:t>&lt;</w:t>
      </w:r>
      <w:hyperlink r:id="rId7" w:history="1">
        <w:r>
          <w:rPr>
            <w:rStyle w:val="Hyperlink"/>
          </w:rPr>
          <w:t>https://www.gov.uk/government/publications/changes-to-working-tax-credit-and-free-school-meals-entitlement/changes-to-working-tax-credit-and-free-school-meals-entitlement</w:t>
        </w:r>
      </w:hyperlink>
      <w:r>
        <w:t>&gt; (accessed 7/3/2020)</w:t>
      </w:r>
    </w:p>
  </w:footnote>
  <w:footnote w:id="32">
    <w:p w14:paraId="5C7D4264" w14:textId="32830999" w:rsidR="00E37861" w:rsidRDefault="00E37861">
      <w:pPr>
        <w:pStyle w:val="FootnoteText"/>
      </w:pPr>
      <w:r>
        <w:rPr>
          <w:rStyle w:val="FootnoteReference"/>
        </w:rPr>
        <w:footnoteRef/>
      </w:r>
      <w:r>
        <w:t xml:space="preserve"> Welsh Government. </w:t>
      </w:r>
      <w:r>
        <w:rPr>
          <w:i/>
          <w:iCs/>
        </w:rPr>
        <w:t xml:space="preserve">Free School Meals in Wales: Information for Schools </w:t>
      </w:r>
      <w:r>
        <w:t>(29/3/2019)</w:t>
      </w:r>
    </w:p>
    <w:p w14:paraId="4EBC2B02" w14:textId="63FF5EF9" w:rsidR="00E37861" w:rsidRPr="00881F0B" w:rsidRDefault="00E37861">
      <w:pPr>
        <w:pStyle w:val="FootnoteText"/>
      </w:pPr>
      <w:r>
        <w:t>&lt;</w:t>
      </w:r>
      <w:hyperlink r:id="rId8" w:history="1">
        <w:r>
          <w:rPr>
            <w:rStyle w:val="Hyperlink"/>
          </w:rPr>
          <w:t>https://gov.wales/sites/default/files/publications/2019-03/free-school-meals-in-wales-information-for-schools.pdf</w:t>
        </w:r>
      </w:hyperlink>
      <w:r>
        <w:t>&gt; (accessed 7/3/2020)</w:t>
      </w:r>
    </w:p>
  </w:footnote>
  <w:footnote w:id="33">
    <w:p w14:paraId="795159D2" w14:textId="56EB6B6B" w:rsidR="00E37861" w:rsidRDefault="00E37861">
      <w:pPr>
        <w:pStyle w:val="FootnoteText"/>
      </w:pPr>
      <w:r>
        <w:rPr>
          <w:rStyle w:val="FootnoteReference"/>
        </w:rPr>
        <w:footnoteRef/>
      </w:r>
      <w:r>
        <w:t xml:space="preserve"> Universal Credit </w:t>
      </w:r>
      <w:r>
        <w:rPr>
          <w:i/>
          <w:iCs/>
        </w:rPr>
        <w:t>7. Universal Credit and Work</w:t>
      </w:r>
      <w:r>
        <w:t xml:space="preserve"> (2020)</w:t>
      </w:r>
    </w:p>
    <w:p w14:paraId="70EF43BA" w14:textId="323C286E" w:rsidR="00E37861" w:rsidRDefault="00E37861">
      <w:pPr>
        <w:pStyle w:val="FootnoteText"/>
      </w:pPr>
      <w:r>
        <w:t>&lt;</w:t>
      </w:r>
      <w:hyperlink r:id="rId9" w:history="1">
        <w:r>
          <w:rPr>
            <w:rStyle w:val="Hyperlink"/>
          </w:rPr>
          <w:t>https://www.understandinguniversalcredit.gov.uk/new-to-universal-credit/universal-credit-and-work/</w:t>
        </w:r>
      </w:hyperlink>
      <w:r>
        <w:t>&gt; (accessed 7/3/2020)</w:t>
      </w:r>
    </w:p>
  </w:footnote>
  <w:footnote w:id="34">
    <w:p w14:paraId="370493C4" w14:textId="5202EFD8" w:rsidR="00E37861" w:rsidRDefault="00E37861">
      <w:pPr>
        <w:pStyle w:val="FootnoteText"/>
      </w:pPr>
      <w:r>
        <w:rPr>
          <w:rStyle w:val="FootnoteReference"/>
        </w:rPr>
        <w:footnoteRef/>
      </w:r>
      <w:r>
        <w:t xml:space="preserve"> Ysgol </w:t>
      </w:r>
      <w:proofErr w:type="spellStart"/>
      <w:r>
        <w:t>Carreg</w:t>
      </w:r>
      <w:proofErr w:type="spellEnd"/>
      <w:r>
        <w:t xml:space="preserve"> </w:t>
      </w:r>
      <w:proofErr w:type="spellStart"/>
      <w:r>
        <w:t>Hirfaen</w:t>
      </w:r>
      <w:proofErr w:type="spellEnd"/>
      <w:r>
        <w:t xml:space="preserve">. </w:t>
      </w:r>
      <w:proofErr w:type="spellStart"/>
      <w:r>
        <w:rPr>
          <w:i/>
          <w:iCs/>
        </w:rPr>
        <w:t>Cofnod</w:t>
      </w:r>
      <w:proofErr w:type="spellEnd"/>
      <w:r>
        <w:rPr>
          <w:i/>
          <w:iCs/>
        </w:rPr>
        <w:t xml:space="preserve"> </w:t>
      </w:r>
      <w:proofErr w:type="spellStart"/>
      <w:r>
        <w:rPr>
          <w:i/>
          <w:iCs/>
        </w:rPr>
        <w:t>Monitro</w:t>
      </w:r>
      <w:proofErr w:type="spellEnd"/>
      <w:r>
        <w:t xml:space="preserve"> (2019) p.2</w:t>
      </w:r>
    </w:p>
    <w:p w14:paraId="24A07BA6" w14:textId="1886C7A2" w:rsidR="00E37861" w:rsidRPr="006A2CB2" w:rsidRDefault="00E37861">
      <w:pPr>
        <w:pStyle w:val="FootnoteText"/>
      </w:pPr>
      <w:r>
        <w:t>Paper copy. Not for public access.</w:t>
      </w:r>
    </w:p>
  </w:footnote>
  <w:footnote w:id="35">
    <w:p w14:paraId="29F3C564" w14:textId="6D9B682B" w:rsidR="00E37861" w:rsidRDefault="00E37861">
      <w:pPr>
        <w:pStyle w:val="FootnoteText"/>
      </w:pPr>
      <w:r>
        <w:rPr>
          <w:rStyle w:val="FootnoteReference"/>
        </w:rPr>
        <w:footnoteRef/>
      </w:r>
      <w:r>
        <w:t xml:space="preserve"> Ysgol </w:t>
      </w:r>
      <w:proofErr w:type="spellStart"/>
      <w:r>
        <w:t>Carreg</w:t>
      </w:r>
      <w:proofErr w:type="spellEnd"/>
      <w:r>
        <w:t xml:space="preserve"> </w:t>
      </w:r>
      <w:proofErr w:type="spellStart"/>
      <w:r>
        <w:t>Hirfaen</w:t>
      </w:r>
      <w:proofErr w:type="spellEnd"/>
      <w:r>
        <w:t xml:space="preserve">. </w:t>
      </w:r>
      <w:r>
        <w:rPr>
          <w:i/>
          <w:iCs/>
        </w:rPr>
        <w:t>Curriculum Policy</w:t>
      </w:r>
      <w:r>
        <w:t>. (2017) p.1</w:t>
      </w:r>
    </w:p>
    <w:p w14:paraId="79B6BAB9" w14:textId="4E339F5B" w:rsidR="00E37861" w:rsidRPr="00A911EE" w:rsidRDefault="00E37861">
      <w:pPr>
        <w:pStyle w:val="FootnoteText"/>
      </w:pPr>
      <w:r>
        <w:t>&lt;</w:t>
      </w:r>
      <w:r w:rsidRPr="00A911EE">
        <w:t xml:space="preserve"> </w:t>
      </w:r>
      <w:hyperlink r:id="rId10" w:history="1">
        <w:r>
          <w:rPr>
            <w:rStyle w:val="Hyperlink"/>
          </w:rPr>
          <w:t>http://www.carreghirfaen.amdro.org.uk/media/96693/Carreg-Hirfaen-Curriculum-Policy-2017.pdf</w:t>
        </w:r>
      </w:hyperlink>
      <w:r>
        <w:t>&gt; (accessed on 2/6/2020)</w:t>
      </w:r>
    </w:p>
  </w:footnote>
  <w:footnote w:id="36">
    <w:p w14:paraId="21BF2AFE" w14:textId="1CF3C12D" w:rsidR="00E37861" w:rsidRDefault="00E37861">
      <w:pPr>
        <w:pStyle w:val="FootnoteText"/>
      </w:pPr>
      <w:r>
        <w:rPr>
          <w:rStyle w:val="FootnoteReference"/>
        </w:rPr>
        <w:footnoteRef/>
      </w:r>
      <w:r>
        <w:t xml:space="preserve"> Ysgol </w:t>
      </w:r>
      <w:proofErr w:type="spellStart"/>
      <w:r>
        <w:t>Carreg</w:t>
      </w:r>
      <w:proofErr w:type="spellEnd"/>
      <w:r>
        <w:t xml:space="preserve"> </w:t>
      </w:r>
      <w:proofErr w:type="spellStart"/>
      <w:r>
        <w:t>Hirfaen</w:t>
      </w:r>
      <w:proofErr w:type="spellEnd"/>
      <w:r>
        <w:t>. Annual Report 2016-17.</w:t>
      </w:r>
    </w:p>
    <w:p w14:paraId="4E469138" w14:textId="113F8029" w:rsidR="00E37861" w:rsidRDefault="00E37861">
      <w:pPr>
        <w:pStyle w:val="FootnoteText"/>
      </w:pPr>
      <w:r>
        <w:t>&lt;</w:t>
      </w:r>
      <w:r w:rsidRPr="00A911EE">
        <w:t xml:space="preserve"> </w:t>
      </w:r>
      <w:hyperlink r:id="rId11" w:history="1">
        <w:r>
          <w:rPr>
            <w:rStyle w:val="Hyperlink"/>
          </w:rPr>
          <w:t>http://www.carreghirfaen.amdro.org.uk/home/information/annual-report/2017-annual-report/</w:t>
        </w:r>
      </w:hyperlink>
      <w:r>
        <w:t>&gt; (accessed 2/6/2020)</w:t>
      </w:r>
    </w:p>
  </w:footnote>
  <w:footnote w:id="37">
    <w:p w14:paraId="483F15F3" w14:textId="3B611E92" w:rsidR="00E37861" w:rsidRPr="00DB2F47" w:rsidRDefault="00E37861" w:rsidP="00DB2F47">
      <w:pPr>
        <w:pStyle w:val="Heading1"/>
        <w:shd w:val="clear" w:color="auto" w:fill="EEEEEE"/>
        <w:spacing w:before="0" w:line="312" w:lineRule="atLeast"/>
        <w:rPr>
          <w:rFonts w:asciiTheme="minorHAnsi" w:hAnsiTheme="minorHAnsi" w:cstheme="minorHAnsi"/>
          <w:color w:val="000000" w:themeColor="text1"/>
          <w:sz w:val="20"/>
          <w:szCs w:val="20"/>
        </w:rPr>
      </w:pPr>
      <w:r w:rsidRPr="00DB2F47">
        <w:rPr>
          <w:rStyle w:val="FootnoteReference"/>
          <w:rFonts w:asciiTheme="minorHAnsi" w:hAnsiTheme="minorHAnsi" w:cstheme="minorHAnsi"/>
          <w:color w:val="000000" w:themeColor="text1"/>
          <w:sz w:val="20"/>
          <w:szCs w:val="20"/>
        </w:rPr>
        <w:footnoteRef/>
      </w:r>
      <w:r w:rsidRPr="00DB2F47">
        <w:rPr>
          <w:rFonts w:asciiTheme="minorHAnsi" w:hAnsiTheme="minorHAnsi" w:cstheme="minorHAnsi"/>
          <w:color w:val="000000" w:themeColor="text1"/>
          <w:sz w:val="20"/>
          <w:szCs w:val="20"/>
        </w:rPr>
        <w:t xml:space="preserve"> Jonathan Barnes &amp; Stephan </w:t>
      </w:r>
      <w:proofErr w:type="spellStart"/>
      <w:r w:rsidRPr="00DB2F47">
        <w:rPr>
          <w:rFonts w:asciiTheme="minorHAnsi" w:hAnsiTheme="minorHAnsi" w:cstheme="minorHAnsi"/>
          <w:color w:val="000000" w:themeColor="text1"/>
          <w:sz w:val="20"/>
          <w:szCs w:val="20"/>
        </w:rPr>
        <w:t>Scoffham</w:t>
      </w:r>
      <w:proofErr w:type="spellEnd"/>
      <w:r w:rsidRPr="00DB2F47">
        <w:rPr>
          <w:rFonts w:asciiTheme="minorHAnsi" w:hAnsiTheme="minorHAnsi" w:cstheme="minorHAnsi"/>
          <w:color w:val="000000" w:themeColor="text1"/>
          <w:sz w:val="20"/>
          <w:szCs w:val="20"/>
        </w:rPr>
        <w:t xml:space="preserve">. ‘The humanities in English primary schools: struggling to survive.’ </w:t>
      </w:r>
      <w:r w:rsidRPr="00DB2F47">
        <w:rPr>
          <w:rFonts w:asciiTheme="minorHAnsi" w:hAnsiTheme="minorHAnsi" w:cstheme="minorHAnsi"/>
          <w:i/>
          <w:iCs/>
          <w:color w:val="000000" w:themeColor="text1"/>
          <w:sz w:val="20"/>
          <w:szCs w:val="20"/>
        </w:rPr>
        <w:t>Education 3-13: International Journal of Primary, Elementary and Early Years Education</w:t>
      </w:r>
      <w:r>
        <w:rPr>
          <w:rFonts w:asciiTheme="minorHAnsi" w:hAnsiTheme="minorHAnsi" w:cstheme="minorHAnsi"/>
          <w:color w:val="000000" w:themeColor="text1"/>
          <w:sz w:val="20"/>
          <w:szCs w:val="20"/>
        </w:rPr>
        <w:t xml:space="preserve"> Vol.35 (2017) </w:t>
      </w:r>
    </w:p>
    <w:p w14:paraId="4362A7DC" w14:textId="3739D695" w:rsidR="00E37861" w:rsidRPr="00DB2F47" w:rsidRDefault="00E37861">
      <w:pPr>
        <w:pStyle w:val="FootnoteText"/>
        <w:rPr>
          <w:color w:val="000000" w:themeColor="text1"/>
        </w:rPr>
      </w:pPr>
      <w:r>
        <w:rPr>
          <w:rFonts w:cstheme="minorHAnsi"/>
          <w:color w:val="000000" w:themeColor="text1"/>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2C15D" w14:textId="6E521047" w:rsidR="00E37861" w:rsidRDefault="00E37861">
    <w:pPr>
      <w:pStyle w:val="Header"/>
    </w:pPr>
    <w:r>
      <w:t>Melantha Snow</w:t>
    </w:r>
    <w:r>
      <w:ptab w:relativeTo="margin" w:alignment="center" w:leader="none"/>
    </w:r>
    <w:r>
      <w:t>HPED6003</w:t>
    </w:r>
    <w:r>
      <w:ptab w:relativeTo="margin" w:alignment="right" w:leader="none"/>
    </w:r>
    <w:r>
      <w:t>1601759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E6D"/>
    <w:rsid w:val="00004BD8"/>
    <w:rsid w:val="0002772A"/>
    <w:rsid w:val="00046CFE"/>
    <w:rsid w:val="00063644"/>
    <w:rsid w:val="00081B56"/>
    <w:rsid w:val="000A07CF"/>
    <w:rsid w:val="000A3D70"/>
    <w:rsid w:val="000B0EF1"/>
    <w:rsid w:val="000C46DD"/>
    <w:rsid w:val="0014139E"/>
    <w:rsid w:val="00144AFF"/>
    <w:rsid w:val="00156988"/>
    <w:rsid w:val="00187115"/>
    <w:rsid w:val="00195A1C"/>
    <w:rsid w:val="00213F4C"/>
    <w:rsid w:val="00214AA1"/>
    <w:rsid w:val="00252C24"/>
    <w:rsid w:val="00270392"/>
    <w:rsid w:val="002A575B"/>
    <w:rsid w:val="002B13A3"/>
    <w:rsid w:val="002B428B"/>
    <w:rsid w:val="002C5C0A"/>
    <w:rsid w:val="002E2888"/>
    <w:rsid w:val="00303D29"/>
    <w:rsid w:val="00326F8F"/>
    <w:rsid w:val="00330FA8"/>
    <w:rsid w:val="00331588"/>
    <w:rsid w:val="00332956"/>
    <w:rsid w:val="00375A66"/>
    <w:rsid w:val="003861FE"/>
    <w:rsid w:val="003A2FE8"/>
    <w:rsid w:val="003C7706"/>
    <w:rsid w:val="003F3243"/>
    <w:rsid w:val="0040290A"/>
    <w:rsid w:val="00407D32"/>
    <w:rsid w:val="00416AA0"/>
    <w:rsid w:val="00427701"/>
    <w:rsid w:val="00435579"/>
    <w:rsid w:val="0045255C"/>
    <w:rsid w:val="004D3DA5"/>
    <w:rsid w:val="004E61D6"/>
    <w:rsid w:val="004F6FF8"/>
    <w:rsid w:val="00514860"/>
    <w:rsid w:val="00530BBD"/>
    <w:rsid w:val="005A182B"/>
    <w:rsid w:val="005B0E83"/>
    <w:rsid w:val="005E5F8F"/>
    <w:rsid w:val="0060140C"/>
    <w:rsid w:val="006042EB"/>
    <w:rsid w:val="00604A6C"/>
    <w:rsid w:val="006231EA"/>
    <w:rsid w:val="0062396B"/>
    <w:rsid w:val="00636EC9"/>
    <w:rsid w:val="00643351"/>
    <w:rsid w:val="00682743"/>
    <w:rsid w:val="00686AEC"/>
    <w:rsid w:val="006A2CB2"/>
    <w:rsid w:val="006A723A"/>
    <w:rsid w:val="006C2443"/>
    <w:rsid w:val="006E0B2C"/>
    <w:rsid w:val="006E19C4"/>
    <w:rsid w:val="0070127A"/>
    <w:rsid w:val="00705F4E"/>
    <w:rsid w:val="00745115"/>
    <w:rsid w:val="00752060"/>
    <w:rsid w:val="00756716"/>
    <w:rsid w:val="007728E4"/>
    <w:rsid w:val="007B1A4B"/>
    <w:rsid w:val="007E4921"/>
    <w:rsid w:val="0081495A"/>
    <w:rsid w:val="00832DDA"/>
    <w:rsid w:val="00841A1C"/>
    <w:rsid w:val="00871DAA"/>
    <w:rsid w:val="00876B97"/>
    <w:rsid w:val="00881F0B"/>
    <w:rsid w:val="008D706E"/>
    <w:rsid w:val="008F001E"/>
    <w:rsid w:val="009144A4"/>
    <w:rsid w:val="00926D53"/>
    <w:rsid w:val="0092702F"/>
    <w:rsid w:val="00937016"/>
    <w:rsid w:val="009513A3"/>
    <w:rsid w:val="00953A7E"/>
    <w:rsid w:val="00956207"/>
    <w:rsid w:val="00963143"/>
    <w:rsid w:val="009636F0"/>
    <w:rsid w:val="00984060"/>
    <w:rsid w:val="00987A79"/>
    <w:rsid w:val="009A2506"/>
    <w:rsid w:val="009C35CA"/>
    <w:rsid w:val="00A078B1"/>
    <w:rsid w:val="00A07AE0"/>
    <w:rsid w:val="00A35B13"/>
    <w:rsid w:val="00A367D5"/>
    <w:rsid w:val="00A40EED"/>
    <w:rsid w:val="00A51266"/>
    <w:rsid w:val="00A53FA6"/>
    <w:rsid w:val="00A631DE"/>
    <w:rsid w:val="00A739E1"/>
    <w:rsid w:val="00A76157"/>
    <w:rsid w:val="00A911EE"/>
    <w:rsid w:val="00AD67DF"/>
    <w:rsid w:val="00AD7FC5"/>
    <w:rsid w:val="00AF6602"/>
    <w:rsid w:val="00B009F8"/>
    <w:rsid w:val="00B1514C"/>
    <w:rsid w:val="00B31EBC"/>
    <w:rsid w:val="00B3346F"/>
    <w:rsid w:val="00B578B7"/>
    <w:rsid w:val="00B802DE"/>
    <w:rsid w:val="00B91374"/>
    <w:rsid w:val="00BA60CD"/>
    <w:rsid w:val="00BE656D"/>
    <w:rsid w:val="00BE727F"/>
    <w:rsid w:val="00C10F8A"/>
    <w:rsid w:val="00C12E6D"/>
    <w:rsid w:val="00C24986"/>
    <w:rsid w:val="00C3069D"/>
    <w:rsid w:val="00C34D40"/>
    <w:rsid w:val="00C3564F"/>
    <w:rsid w:val="00C36DFC"/>
    <w:rsid w:val="00C52FA9"/>
    <w:rsid w:val="00C63D1A"/>
    <w:rsid w:val="00C76CED"/>
    <w:rsid w:val="00CB706A"/>
    <w:rsid w:val="00CF714E"/>
    <w:rsid w:val="00CF76A8"/>
    <w:rsid w:val="00D03612"/>
    <w:rsid w:val="00D372FF"/>
    <w:rsid w:val="00D60BF2"/>
    <w:rsid w:val="00D85D90"/>
    <w:rsid w:val="00DA19D8"/>
    <w:rsid w:val="00DA6027"/>
    <w:rsid w:val="00DB1938"/>
    <w:rsid w:val="00DB2F47"/>
    <w:rsid w:val="00DB33BE"/>
    <w:rsid w:val="00DC2608"/>
    <w:rsid w:val="00DC45FB"/>
    <w:rsid w:val="00DC522C"/>
    <w:rsid w:val="00DC745E"/>
    <w:rsid w:val="00DF1ED9"/>
    <w:rsid w:val="00E31B2E"/>
    <w:rsid w:val="00E37861"/>
    <w:rsid w:val="00E4464B"/>
    <w:rsid w:val="00E556AF"/>
    <w:rsid w:val="00E64699"/>
    <w:rsid w:val="00E75D31"/>
    <w:rsid w:val="00E951B9"/>
    <w:rsid w:val="00E96E98"/>
    <w:rsid w:val="00EC64D5"/>
    <w:rsid w:val="00ED5705"/>
    <w:rsid w:val="00ED61A5"/>
    <w:rsid w:val="00F0684E"/>
    <w:rsid w:val="00F12477"/>
    <w:rsid w:val="00FA6367"/>
    <w:rsid w:val="00FB0908"/>
    <w:rsid w:val="00FC2189"/>
    <w:rsid w:val="00FC4F16"/>
    <w:rsid w:val="00FD6AA4"/>
    <w:rsid w:val="00FF7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26696"/>
  <w15:chartTrackingRefBased/>
  <w15:docId w15:val="{9A09ABA1-5BEB-4839-844A-D6525EA45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95A"/>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12E6D"/>
    <w:pPr>
      <w:spacing w:after="0" w:line="240" w:lineRule="auto"/>
    </w:pPr>
    <w:rPr>
      <w:sz w:val="20"/>
      <w:szCs w:val="20"/>
    </w:rPr>
  </w:style>
  <w:style w:type="character" w:customStyle="1" w:styleId="FootnoteTextChar">
    <w:name w:val="Footnote Text Char"/>
    <w:basedOn w:val="DefaultParagraphFont"/>
    <w:link w:val="FootnoteText"/>
    <w:uiPriority w:val="99"/>
    <w:rsid w:val="00C12E6D"/>
    <w:rPr>
      <w:sz w:val="20"/>
      <w:szCs w:val="20"/>
    </w:rPr>
  </w:style>
  <w:style w:type="character" w:styleId="FootnoteReference">
    <w:name w:val="footnote reference"/>
    <w:basedOn w:val="DefaultParagraphFont"/>
    <w:uiPriority w:val="99"/>
    <w:semiHidden/>
    <w:unhideWhenUsed/>
    <w:rsid w:val="00C12E6D"/>
    <w:rPr>
      <w:vertAlign w:val="superscript"/>
    </w:rPr>
  </w:style>
  <w:style w:type="character" w:styleId="Hyperlink">
    <w:name w:val="Hyperlink"/>
    <w:basedOn w:val="DefaultParagraphFont"/>
    <w:uiPriority w:val="99"/>
    <w:unhideWhenUsed/>
    <w:rsid w:val="00F12477"/>
    <w:rPr>
      <w:color w:val="0000FF"/>
      <w:u w:val="single"/>
    </w:rPr>
  </w:style>
  <w:style w:type="paragraph" w:styleId="Header">
    <w:name w:val="header"/>
    <w:basedOn w:val="Normal"/>
    <w:link w:val="HeaderChar"/>
    <w:uiPriority w:val="99"/>
    <w:unhideWhenUsed/>
    <w:rsid w:val="003A2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FE8"/>
  </w:style>
  <w:style w:type="paragraph" w:styleId="Footer">
    <w:name w:val="footer"/>
    <w:basedOn w:val="Normal"/>
    <w:link w:val="FooterChar"/>
    <w:uiPriority w:val="99"/>
    <w:unhideWhenUsed/>
    <w:rsid w:val="003A2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FE8"/>
  </w:style>
  <w:style w:type="paragraph" w:styleId="Bibliography">
    <w:name w:val="Bibliography"/>
    <w:basedOn w:val="Normal"/>
    <w:next w:val="Normal"/>
    <w:uiPriority w:val="37"/>
    <w:unhideWhenUsed/>
    <w:rsid w:val="00DC522C"/>
  </w:style>
  <w:style w:type="character" w:styleId="UnresolvedMention">
    <w:name w:val="Unresolved Mention"/>
    <w:basedOn w:val="DefaultParagraphFont"/>
    <w:uiPriority w:val="99"/>
    <w:semiHidden/>
    <w:unhideWhenUsed/>
    <w:rsid w:val="00D85D90"/>
    <w:rPr>
      <w:color w:val="605E5C"/>
      <w:shd w:val="clear" w:color="auto" w:fill="E1DFDD"/>
    </w:rPr>
  </w:style>
  <w:style w:type="character" w:customStyle="1" w:styleId="Heading1Char">
    <w:name w:val="Heading 1 Char"/>
    <w:basedOn w:val="DefaultParagraphFont"/>
    <w:link w:val="Heading1"/>
    <w:uiPriority w:val="9"/>
    <w:rsid w:val="0081495A"/>
    <w:rPr>
      <w:rFonts w:asciiTheme="majorHAnsi" w:eastAsiaTheme="majorEastAsia" w:hAnsiTheme="majorHAnsi" w:cstheme="majorBidi"/>
      <w:color w:val="2F5496" w:themeColor="accent1" w:themeShade="BF"/>
      <w:sz w:val="32"/>
      <w:szCs w:val="32"/>
      <w:lang w:val="en-US"/>
    </w:rPr>
  </w:style>
  <w:style w:type="character" w:customStyle="1" w:styleId="sr-only">
    <w:name w:val="sr-only"/>
    <w:basedOn w:val="DefaultParagraphFont"/>
    <w:rsid w:val="007E4921"/>
  </w:style>
  <w:style w:type="character" w:customStyle="1" w:styleId="text">
    <w:name w:val="text"/>
    <w:basedOn w:val="DefaultParagraphFont"/>
    <w:rsid w:val="007E4921"/>
  </w:style>
  <w:style w:type="character" w:customStyle="1" w:styleId="author-ref">
    <w:name w:val="author-ref"/>
    <w:basedOn w:val="DefaultParagraphFont"/>
    <w:rsid w:val="007E4921"/>
  </w:style>
  <w:style w:type="character" w:customStyle="1" w:styleId="title-text">
    <w:name w:val="title-text"/>
    <w:basedOn w:val="DefaultParagraphFont"/>
    <w:rsid w:val="007E4921"/>
  </w:style>
  <w:style w:type="character" w:styleId="FollowedHyperlink">
    <w:name w:val="FollowedHyperlink"/>
    <w:basedOn w:val="DefaultParagraphFont"/>
    <w:uiPriority w:val="99"/>
    <w:semiHidden/>
    <w:unhideWhenUsed/>
    <w:rsid w:val="00B913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525333">
      <w:bodyDiv w:val="1"/>
      <w:marLeft w:val="0"/>
      <w:marRight w:val="0"/>
      <w:marTop w:val="0"/>
      <w:marBottom w:val="0"/>
      <w:divBdr>
        <w:top w:val="none" w:sz="0" w:space="0" w:color="auto"/>
        <w:left w:val="none" w:sz="0" w:space="0" w:color="auto"/>
        <w:bottom w:val="none" w:sz="0" w:space="0" w:color="auto"/>
        <w:right w:val="none" w:sz="0" w:space="0" w:color="auto"/>
      </w:divBdr>
    </w:div>
    <w:div w:id="395780154">
      <w:bodyDiv w:val="1"/>
      <w:marLeft w:val="0"/>
      <w:marRight w:val="0"/>
      <w:marTop w:val="0"/>
      <w:marBottom w:val="0"/>
      <w:divBdr>
        <w:top w:val="none" w:sz="0" w:space="0" w:color="auto"/>
        <w:left w:val="none" w:sz="0" w:space="0" w:color="auto"/>
        <w:bottom w:val="none" w:sz="0" w:space="0" w:color="auto"/>
        <w:right w:val="none" w:sz="0" w:space="0" w:color="auto"/>
      </w:divBdr>
    </w:div>
    <w:div w:id="842431612">
      <w:bodyDiv w:val="1"/>
      <w:marLeft w:val="0"/>
      <w:marRight w:val="0"/>
      <w:marTop w:val="0"/>
      <w:marBottom w:val="0"/>
      <w:divBdr>
        <w:top w:val="none" w:sz="0" w:space="0" w:color="auto"/>
        <w:left w:val="none" w:sz="0" w:space="0" w:color="auto"/>
        <w:bottom w:val="none" w:sz="0" w:space="0" w:color="auto"/>
        <w:right w:val="none" w:sz="0" w:space="0" w:color="auto"/>
      </w:divBdr>
    </w:div>
    <w:div w:id="1023481858">
      <w:bodyDiv w:val="1"/>
      <w:marLeft w:val="0"/>
      <w:marRight w:val="0"/>
      <w:marTop w:val="0"/>
      <w:marBottom w:val="0"/>
      <w:divBdr>
        <w:top w:val="none" w:sz="0" w:space="0" w:color="auto"/>
        <w:left w:val="none" w:sz="0" w:space="0" w:color="auto"/>
        <w:bottom w:val="none" w:sz="0" w:space="0" w:color="auto"/>
        <w:right w:val="none" w:sz="0" w:space="0" w:color="auto"/>
      </w:divBdr>
    </w:div>
    <w:div w:id="1365474319">
      <w:bodyDiv w:val="1"/>
      <w:marLeft w:val="0"/>
      <w:marRight w:val="0"/>
      <w:marTop w:val="0"/>
      <w:marBottom w:val="0"/>
      <w:divBdr>
        <w:top w:val="none" w:sz="0" w:space="0" w:color="auto"/>
        <w:left w:val="none" w:sz="0" w:space="0" w:color="auto"/>
        <w:bottom w:val="none" w:sz="0" w:space="0" w:color="auto"/>
        <w:right w:val="none" w:sz="0" w:space="0" w:color="auto"/>
      </w:divBdr>
    </w:div>
    <w:div w:id="1684747264">
      <w:bodyDiv w:val="1"/>
      <w:marLeft w:val="0"/>
      <w:marRight w:val="0"/>
      <w:marTop w:val="0"/>
      <w:marBottom w:val="0"/>
      <w:divBdr>
        <w:top w:val="none" w:sz="0" w:space="0" w:color="auto"/>
        <w:left w:val="none" w:sz="0" w:space="0" w:color="auto"/>
        <w:bottom w:val="none" w:sz="0" w:space="0" w:color="auto"/>
        <w:right w:val="none" w:sz="0" w:space="0" w:color="auto"/>
      </w:divBdr>
    </w:div>
    <w:div w:id="1750034170">
      <w:bodyDiv w:val="1"/>
      <w:marLeft w:val="0"/>
      <w:marRight w:val="0"/>
      <w:marTop w:val="0"/>
      <w:marBottom w:val="0"/>
      <w:divBdr>
        <w:top w:val="none" w:sz="0" w:space="0" w:color="auto"/>
        <w:left w:val="none" w:sz="0" w:space="0" w:color="auto"/>
        <w:bottom w:val="none" w:sz="0" w:space="0" w:color="auto"/>
        <w:right w:val="none" w:sz="0" w:space="0" w:color="auto"/>
      </w:divBdr>
    </w:div>
    <w:div w:id="1757314697">
      <w:bodyDiv w:val="1"/>
      <w:marLeft w:val="0"/>
      <w:marRight w:val="0"/>
      <w:marTop w:val="0"/>
      <w:marBottom w:val="0"/>
      <w:divBdr>
        <w:top w:val="none" w:sz="0" w:space="0" w:color="auto"/>
        <w:left w:val="none" w:sz="0" w:space="0" w:color="auto"/>
        <w:bottom w:val="none" w:sz="0" w:space="0" w:color="auto"/>
        <w:right w:val="none" w:sz="0" w:space="0" w:color="auto"/>
      </w:divBdr>
    </w:div>
    <w:div w:id="2045327968">
      <w:bodyDiv w:val="1"/>
      <w:marLeft w:val="0"/>
      <w:marRight w:val="0"/>
      <w:marTop w:val="0"/>
      <w:marBottom w:val="0"/>
      <w:divBdr>
        <w:top w:val="none" w:sz="0" w:space="0" w:color="auto"/>
        <w:left w:val="none" w:sz="0" w:space="0" w:color="auto"/>
        <w:bottom w:val="none" w:sz="0" w:space="0" w:color="auto"/>
        <w:right w:val="none" w:sz="0" w:space="0" w:color="auto"/>
      </w:divBdr>
    </w:div>
    <w:div w:id="211979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anges-to-working-tax-credit-and-free-school-meals-entitlement/changes-to-working-tax-credit-and-free-school-meals-entitlement" TargetMode="External"/><Relationship Id="rId13" Type="http://schemas.openxmlformats.org/officeDocument/2006/relationships/hyperlink" Target="https://gov.wales/sites/default/files/publications/2018-12/healthy-eating-in-maintained-schools-statutory-guidance-for-local-authorities-and-governing-bodies.pdf"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armarthenshire.gov.wales/media/1220586/wintermenu2019.pdf" TargetMode="External"/><Relationship Id="rId12" Type="http://schemas.openxmlformats.org/officeDocument/2006/relationships/hyperlink" Target="http://www.wales.nhs.uk/sites3/Documents/740/food%20and%20fitness%20guidance%20in%20schools.pdf" TargetMode="External"/><Relationship Id="rId17" Type="http://schemas.openxmlformats.org/officeDocument/2006/relationships/hyperlink" Target="http://www.carreghirfaen.amdro.org.uk/media/96693/Carreg-Hirfaen-Curriculum-Policy-2017.pdf" TargetMode="External"/><Relationship Id="rId2" Type="http://schemas.openxmlformats.org/officeDocument/2006/relationships/styles" Target="styles.xml"/><Relationship Id="rId16" Type="http://schemas.openxmlformats.org/officeDocument/2006/relationships/hyperlink" Target="http://www.carreghirfaen.amdro.org.uk/home/information/annual-report/2017-annual-repor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nderstandinguniversalcredit.gov.uk/new-to-universal-credit/universal-credit-and-work/" TargetMode="External"/><Relationship Id="rId5" Type="http://schemas.openxmlformats.org/officeDocument/2006/relationships/footnotes" Target="footnotes.xml"/><Relationship Id="rId15" Type="http://schemas.openxmlformats.org/officeDocument/2006/relationships/hyperlink" Target="https://gov.wales/sites/default/files/publications/2019-03/free-school-meals-in-wales-information-for-schools.pdf" TargetMode="External"/><Relationship Id="rId10" Type="http://schemas.openxmlformats.org/officeDocument/2006/relationships/hyperlink" Target="https://www.bbc.co.uk/news/uk-wales-4825932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working-tax-credit" TargetMode="External"/><Relationship Id="rId14" Type="http://schemas.openxmlformats.org/officeDocument/2006/relationships/hyperlink" Target="https://gov.wales/sites/default/files/statistics-and-research/2019-08/academic-achievement-pupils-aged-4-14-core-subjects-2019.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gov.wales/sites/default/files/publications/2019-03/free-school-meals-in-wales-information-for-schools.pdf" TargetMode="External"/><Relationship Id="rId3" Type="http://schemas.openxmlformats.org/officeDocument/2006/relationships/hyperlink" Target="https://gov.wales/sites/default/files/publications/2018-12/healthy-eating-in-maintained-schools-statutory-guidance-for-local-authorities-and-governing-bodies.pdf" TargetMode="External"/><Relationship Id="rId7" Type="http://schemas.openxmlformats.org/officeDocument/2006/relationships/hyperlink" Target="https://www.gov.uk/government/publications/changes-to-working-tax-credit-and-free-school-meals-entitlement/changes-to-working-tax-credit-and-free-school-meals-entitlement" TargetMode="External"/><Relationship Id="rId2" Type="http://schemas.openxmlformats.org/officeDocument/2006/relationships/hyperlink" Target="http://www.wales.nhs.uk/sites3/Documents/740/food%20and%20fitness%20guidance%20in%20schools.pdf" TargetMode="External"/><Relationship Id="rId1" Type="http://schemas.openxmlformats.org/officeDocument/2006/relationships/hyperlink" Target="https://www.bbc.co.uk/news/uk-wales-48259327" TargetMode="External"/><Relationship Id="rId6" Type="http://schemas.openxmlformats.org/officeDocument/2006/relationships/hyperlink" Target="https://www.gov.uk/working-tax-credit" TargetMode="External"/><Relationship Id="rId11" Type="http://schemas.openxmlformats.org/officeDocument/2006/relationships/hyperlink" Target="http://www.carreghirfaen.amdro.org.uk/home/information/annual-report/2017-annual-report/" TargetMode="External"/><Relationship Id="rId5" Type="http://schemas.openxmlformats.org/officeDocument/2006/relationships/hyperlink" Target="https://gov.wales/sites/default/files/statistics-and-research/2019-08/academic-achievement-pupils-aged-4-14-core-subjects-2019.pdf" TargetMode="External"/><Relationship Id="rId10" Type="http://schemas.openxmlformats.org/officeDocument/2006/relationships/hyperlink" Target="http://www.carreghirfaen.amdro.org.uk/media/96693/Carreg-Hirfaen-Curriculum-Policy-2017.pdf" TargetMode="External"/><Relationship Id="rId4" Type="http://schemas.openxmlformats.org/officeDocument/2006/relationships/hyperlink" Target="https://www.carmarthenshire.gov.wales/media/1220586/wintermenu2019.pdf" TargetMode="External"/><Relationship Id="rId9" Type="http://schemas.openxmlformats.org/officeDocument/2006/relationships/hyperlink" Target="https://www.understandinguniversalcredit.gov.uk/new-to-universal-credit/universal-credit-and-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69976-78D9-4D89-8A01-F026E238C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16</Pages>
  <Words>3762</Words>
  <Characters>21444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Melantha Snow</dc:creator>
  <cp:keywords/>
  <dc:description/>
  <cp:lastModifiedBy>Melantha Snow (1601759)</cp:lastModifiedBy>
  <cp:revision>103</cp:revision>
  <dcterms:created xsi:type="dcterms:W3CDTF">2020-03-01T09:27:00Z</dcterms:created>
  <dcterms:modified xsi:type="dcterms:W3CDTF">2020-06-04T21:36:00Z</dcterms:modified>
</cp:coreProperties>
</file>