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8E36C42" wp14:paraId="7851242E" wp14:textId="3DDF83FC">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this work, challenges would be discussed about the role of Men’s Rea, within confirmation of the criminal liability concept. What are these challenges? Finding the answer to this question, more questions need to be raised like what is Men’s Rea for? What is the importance of Men’s Rea within criminal liability? Why is Men's Rea necessary? Is Men’s Rea objective? Should criminal guilt require Men’s Rea at all? To reach some conclusion, historical cornerstones of Men’s Rea is going to be examined to understand the evolution of it, in the cases such as R v Cunnigham (1957), Cawthorne (1968), Hyam (1974), Morgan (1975), Caldwell (1981), R v Mohan (1976), R v Nedrick (1986), R v Woolin (1998) and R v Matthews and Alleyne (2003). </w:t>
      </w:r>
    </w:p>
    <w:p xmlns:wp14="http://schemas.microsoft.com/office/word/2010/wordml" wp14:paraId="5F680CBF" wp14:textId="26F28589">
      <w:pPr>
        <w:rPr/>
      </w:pPr>
    </w:p>
    <w:p xmlns:wp14="http://schemas.microsoft.com/office/word/2010/wordml" w:rsidP="48E36C42" wp14:paraId="770CBD88" wp14:textId="5DA3C81C">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‘Actus non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facit</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reum</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nisi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mens</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sit rea.’  According to Oxford University Press (2024), an act does not make a person guilty unless the mind is also guilty. According to London University international programs criminal law module guide, there are three components of crime; actus reus, physical or external part of crime, men’s rea, the internal or mental part of the crime and absence of </w:t>
      </w:r>
      <w:r w:rsidRPr="48E36C42" w:rsidR="63ADD97B">
        <w:rPr>
          <w:rFonts w:ascii="Arial" w:hAnsi="Arial" w:eastAsia="Arial" w:cs="Arial"/>
          <w:b w:val="0"/>
          <w:bCs w:val="0"/>
          <w:i w:val="0"/>
          <w:iCs w:val="0"/>
          <w:strike w:val="0"/>
          <w:dstrike w:val="0"/>
          <w:noProof w:val="0"/>
          <w:color w:val="000000" w:themeColor="text1" w:themeTint="FF" w:themeShade="FF"/>
          <w:sz w:val="24"/>
          <w:szCs w:val="24"/>
          <w:u w:val="none"/>
          <w:lang w:val="en-US"/>
        </w:rPr>
        <w:t>defense</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8E36C42" w:rsidR="230B64D8">
        <w:rPr>
          <w:rFonts w:ascii="Arial" w:hAnsi="Arial" w:eastAsia="Arial" w:cs="Arial"/>
          <w:b w:val="0"/>
          <w:bCs w:val="0"/>
          <w:i w:val="0"/>
          <w:iCs w:val="0"/>
          <w:strike w:val="0"/>
          <w:dstrike w:val="0"/>
          <w:noProof w:val="0"/>
          <w:color w:val="000000" w:themeColor="text1" w:themeTint="FF" w:themeShade="FF"/>
          <w:sz w:val="24"/>
          <w:szCs w:val="24"/>
          <w:u w:val="none"/>
          <w:lang w:val="en-US"/>
        </w:rPr>
        <w:t>Analyzing</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conflict on a decision about the crime, a certain method needed to be followed: Is there any prohibited or unlawful action? What is the thought behind this action? What is the </w:t>
      </w:r>
      <w:r w:rsidRPr="48E36C42" w:rsidR="16152DEA">
        <w:rPr>
          <w:rFonts w:ascii="Arial" w:hAnsi="Arial" w:eastAsia="Arial" w:cs="Arial"/>
          <w:b w:val="0"/>
          <w:bCs w:val="0"/>
          <w:i w:val="0"/>
          <w:iCs w:val="0"/>
          <w:strike w:val="0"/>
          <w:dstrike w:val="0"/>
          <w:noProof w:val="0"/>
          <w:color w:val="000000" w:themeColor="text1" w:themeTint="FF" w:themeShade="FF"/>
          <w:sz w:val="24"/>
          <w:szCs w:val="24"/>
          <w:u w:val="none"/>
          <w:lang w:val="en-US"/>
        </w:rPr>
        <w:t>defense</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for this action? According to Law Bank, men’s rea is guilty mind element of criminal liability. It has a vital role because it is the distinguishing part of the crime when the actus reus same, but the punishment would be different such as in section 20 and 18 of offences against person act 1861. According to The Crown Prosecution Service, maximum penalty for section 20 is five years imprisonment and for section 18 is life imprisonment. Men’s Rea needed to be separated from the motive. It is about the person who committed the crime, whether he has meant it, instead of the reason. So how could it be understood if it is </w:t>
      </w:r>
      <w:r w:rsidRPr="48E36C42" w:rsidR="38AD5585">
        <w:rPr>
          <w:rFonts w:ascii="Arial" w:hAnsi="Arial" w:eastAsia="Arial" w:cs="Arial"/>
          <w:b w:val="0"/>
          <w:bCs w:val="0"/>
          <w:i w:val="0"/>
          <w:iCs w:val="0"/>
          <w:strike w:val="0"/>
          <w:dstrike w:val="0"/>
          <w:noProof w:val="0"/>
          <w:color w:val="000000" w:themeColor="text1" w:themeTint="FF" w:themeShade="FF"/>
          <w:sz w:val="24"/>
          <w:szCs w:val="24"/>
          <w:u w:val="none"/>
          <w:lang w:val="en-US"/>
        </w:rPr>
        <w:t>meant?</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law there are forms of men’s rea which are direct intention, oblique intention, and recklessness. The spectrum helps to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determine</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boundaries of blameworthiness. To understand the evolution of the definitions in the criminal law system of the U.K. some cases needed to be investigated to highlight the reasons caused confusions and why different courts gave different decisions. According to Oxbridge Law Team (2024), R v Mohan (1976) case, defendant charged attempted grievous bodily harm to police officer as well as reckless driving to endanger public safety because of speeding, because he had not stopped the car and driven it straight to police officer. The court of appeal acquitted the defendant from the first charge because it had to be proven that the defendant intended the crime. In another case according to Oxbridge Law Team (2024), R v Nedrick (1986), the defendant poured paraffin to the door and ignited it because of the hate and caused the death of a twelve-year-old boy but he claimed he had no intention to kill anyone. The court convicted him of murder but sentenced him to one of manslaughter on appeal. The importance of the case is that the jury cannot decide unless there is an </w:t>
      </w:r>
      <w:bookmarkStart w:name="_Int_QsBp6tGV" w:id="1122525387"/>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almost certainty</w:t>
      </w:r>
      <w:bookmarkEnd w:id="1122525387"/>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death or serious bodily harm because of defendants' action and it is already known by the defendant, indirect intention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established</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this case. According to Oxbridge Law Team (2024), In the R v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Woolin</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case, the defendant caused the death of three-month-old son by throwing him to a solid surface to stop him crying. Defendant charged with murder and appealed and argued that he did not have an intention to kill or harm. Court of appeal jury directed by a judge as if the defendant is aware of the substantial risk of the action which can cause death or serious harm, can be convicted with intention. But direct intention was already defined in R v Nedrick case and should be tested with two sides which the jury cannot infer related intention, without being sure, death or serious bodily harm is virtual certainty due to defendants the action and defendant appreciated that which is the subjective part of the intention. According to Oxbridge Law Team (2024), in the R v Matthews and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Aleynee</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case, defendants threw a boy from a bridge, even the deceased told them he cannot swim. The victim drowned. Defendants charged with murder. Appeals were denied due to virtual certainty and appreciation of that, and decided appreciation of the virtual certainty of death is not the necessary proof of intent to kill but can be used as evidence. So, with these cases definitions and boundaries were getting clear between direct intention and indirect intention so could make decisions easier to bring justice in serious cases. Also, in the other element of men’s rea, recklessness has also got a subjective part as well.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The definition of recklessness is that the defendant knows there is a risk and is willing to take it deliberately.</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Also, it needs to be separated from direct and indirect intention. There are two questions that need to be asked; what the defendant is trying to achieve and is the result an inevitable consequence of achieving primary purpose. According to Oxbridge Law Team (2024), in R v Cunnigham (1957) case, the defendant tried to steal money from a gas meter and caused gas leakage and sickness of a neighbor. He was charged with malicious action, but in the appeal his conviction was quashed. Because the judge and jury assumed the defendant knew the risk but did not try to prove it using an objective test.  </w:t>
      </w:r>
    </w:p>
    <w:p xmlns:wp14="http://schemas.microsoft.com/office/word/2010/wordml" wp14:paraId="27F4E577" wp14:textId="673480DC">
      <w:pPr>
        <w:rPr/>
      </w:pPr>
    </w:p>
    <w:p xmlns:wp14="http://schemas.microsoft.com/office/word/2010/wordml" w:rsidP="48E36C42" wp14:paraId="1F28D602" wp14:textId="66ABC2C5">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p14:paraId="51B7878F" wp14:textId="425ACAEB">
      <w:pPr>
        <w:rPr/>
      </w:pPr>
    </w:p>
    <w:p xmlns:wp14="http://schemas.microsoft.com/office/word/2010/wordml" w:rsidP="48E36C42" wp14:paraId="155CAF75" wp14:textId="64E9F435">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a conclusion, with the key cases law system developed definitions, boundaries, and tests to </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determine</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if there is proof of men's era to complete the criminal liability equation. If the defendant has an absence of insanity, the subjective part of men’s era, compared with a reasonable person's action which should be taken in the same circumstance and accepted as defendant could do the same thing. But can prosecutors have certainty about it? Or would it be a mind reading? There is no common sense, otherwise we would have the same flowers in every garden. Is questioning the defendant the direct way to reach the men’s rea? Could the right answers be gotten every time? Is there any chance to detect if the defendant tells a lie about the intention? Those questions lead to checking the accuracy of lie detection tests. According to the Home Office (2024) lie detection methods including the fMRI are not </w:t>
      </w:r>
      <w:r w:rsidRPr="48E36C42" w:rsidR="54F1750B">
        <w:rPr>
          <w:rFonts w:ascii="Arial" w:hAnsi="Arial" w:eastAsia="Arial" w:cs="Arial"/>
          <w:b w:val="0"/>
          <w:bCs w:val="0"/>
          <w:i w:val="0"/>
          <w:iCs w:val="0"/>
          <w:strike w:val="0"/>
          <w:dstrike w:val="0"/>
          <w:noProof w:val="0"/>
          <w:color w:val="000000" w:themeColor="text1" w:themeTint="FF" w:themeShade="FF"/>
          <w:sz w:val="24"/>
          <w:szCs w:val="24"/>
          <w:u w:val="none"/>
          <w:lang w:val="en-US"/>
        </w:rPr>
        <w:t>accepted and</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proved by science as direct evidence in the justice system. According to the National Academies (2002), secret services all over the world are </w:t>
      </w:r>
      <w:r w:rsidRPr="48E36C42" w:rsidR="0444F38A">
        <w:rPr>
          <w:rFonts w:ascii="Arial" w:hAnsi="Arial" w:eastAsia="Arial" w:cs="Arial"/>
          <w:b w:val="0"/>
          <w:bCs w:val="0"/>
          <w:i w:val="0"/>
          <w:iCs w:val="0"/>
          <w:strike w:val="0"/>
          <w:dstrike w:val="0"/>
          <w:noProof w:val="0"/>
          <w:color w:val="000000" w:themeColor="text1" w:themeTint="FF" w:themeShade="FF"/>
          <w:sz w:val="24"/>
          <w:szCs w:val="24"/>
          <w:u w:val="none"/>
          <w:lang w:val="en-US"/>
        </w:rPr>
        <w:t>using</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lie detection methods as one of employment and working procedures. It proves that those can be used as a tool trying to reach the truth. Even if the definitions and boundaries are clearer than the past, police should take the closest place to men’s rea while investigating the cases, understand these definitions and borderlines very well, and develop strategies to reach the answers of the tests used to distinguish the type of men’s rea. </w:t>
      </w:r>
    </w:p>
    <w:p xmlns:wp14="http://schemas.microsoft.com/office/word/2010/wordml" wp14:paraId="5934DA9D" wp14:textId="5E20A2BA">
      <w:pPr>
        <w:rPr/>
      </w:pPr>
    </w:p>
    <w:p xmlns:wp14="http://schemas.microsoft.com/office/word/2010/wordml" w:rsidP="48E36C42" wp14:paraId="5F520C4B" wp14:textId="1C2BEE33">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All human intentions are in the brain which there is no direct access to yet.</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Neuroscience is advancing every day. Secrets of the brain are being revealed one by one every day. Some of the relationships with parts of the brain, senses, and abilities have already been discovered. Some of the age, gender, race groups risk taking </w:t>
      </w:r>
      <w:r w:rsidRPr="48E36C42" w:rsidR="08AFF6C9">
        <w:rPr>
          <w:rFonts w:ascii="Arial" w:hAnsi="Arial" w:eastAsia="Arial" w:cs="Arial"/>
          <w:b w:val="0"/>
          <w:bCs w:val="0"/>
          <w:i w:val="0"/>
          <w:iCs w:val="0"/>
          <w:strike w:val="0"/>
          <w:dstrike w:val="0"/>
          <w:noProof w:val="0"/>
          <w:color w:val="000000" w:themeColor="text1" w:themeTint="FF" w:themeShade="FF"/>
          <w:sz w:val="24"/>
          <w:szCs w:val="24"/>
          <w:u w:val="none"/>
          <w:lang w:val="en-US"/>
        </w:rPr>
        <w:t>behaviors</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scientifically are being searched for which those data could be helpful in recklessness cases. But where humans hide the memories is still a big mystery. In the future it may be possible to recall these memories and feelings inside them and have access to the first source of men’s rea. According to BBC Reel (2023), mind reading </w:t>
      </w:r>
      <w:r w:rsidRPr="48E36C42" w:rsidR="2C977C77">
        <w:rPr>
          <w:rFonts w:ascii="Arial" w:hAnsi="Arial" w:eastAsia="Arial" w:cs="Arial"/>
          <w:b w:val="0"/>
          <w:bCs w:val="0"/>
          <w:i w:val="0"/>
          <w:iCs w:val="0"/>
          <w:strike w:val="0"/>
          <w:dstrike w:val="0"/>
          <w:noProof w:val="0"/>
          <w:color w:val="000000" w:themeColor="text1" w:themeTint="FF" w:themeShade="FF"/>
          <w:sz w:val="24"/>
          <w:szCs w:val="24"/>
          <w:u w:val="none"/>
          <w:lang w:val="en-US"/>
        </w:rPr>
        <w:t>techniques</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are closer than expected. That kind of advancement could bring many other problems with them such as losing the freedom to think </w:t>
      </w:r>
      <w:r w:rsidRPr="48E36C42" w:rsidR="6D4C2C6A">
        <w:rPr>
          <w:rFonts w:ascii="Arial" w:hAnsi="Arial" w:eastAsia="Arial" w:cs="Arial"/>
          <w:b w:val="0"/>
          <w:bCs w:val="0"/>
          <w:i w:val="0"/>
          <w:iCs w:val="0"/>
          <w:strike w:val="0"/>
          <w:dstrike w:val="0"/>
          <w:noProof w:val="0"/>
          <w:color w:val="000000" w:themeColor="text1" w:themeTint="FF" w:themeShade="FF"/>
          <w:sz w:val="24"/>
          <w:szCs w:val="24"/>
          <w:u w:val="none"/>
          <w:lang w:val="en-US"/>
        </w:rPr>
        <w:t>for</w:t>
      </w: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ourselves. If the thoughts could be provoked in that way how can the innocent defendant be protected with today's justice system? It would be necessary to start to think about how to construct men’s </w:t>
      </w:r>
      <w:bookmarkStart w:name="_Int_9Hzqzjko" w:id="1695197178"/>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rea</w:t>
      </w:r>
      <w:bookmarkEnd w:id="1695197178"/>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part of the criminal liability again.</w:t>
      </w:r>
    </w:p>
    <w:p xmlns:wp14="http://schemas.microsoft.com/office/word/2010/wordml" wp14:paraId="36F27B73" wp14:textId="166C8FEA">
      <w:pPr>
        <w:rPr/>
      </w:pPr>
    </w:p>
    <w:p xmlns:wp14="http://schemas.microsoft.com/office/word/2010/wordml" w:rsidP="48E36C42" wp14:paraId="7B53279A" wp14:textId="13A4611F">
      <w:pPr>
        <w:spacing w:before="0" w:beforeAutospacing="off" w:after="0" w:afterAutospacing="off"/>
        <w:ind w:left="-20" w:right="-20"/>
        <w:rPr/>
      </w:pPr>
      <w:r w:rsidRPr="48E36C42" w:rsidR="1138D16E">
        <w:rPr>
          <w:rFonts w:ascii="Arial" w:hAnsi="Arial" w:eastAsia="Arial" w:cs="Arial"/>
          <w:b w:val="1"/>
          <w:bCs w:val="1"/>
          <w:i w:val="0"/>
          <w:iCs w:val="0"/>
          <w:strike w:val="0"/>
          <w:dstrike w:val="0"/>
          <w:noProof w:val="0"/>
          <w:color w:val="000000" w:themeColor="text1" w:themeTint="FF" w:themeShade="FF"/>
          <w:sz w:val="22"/>
          <w:szCs w:val="22"/>
          <w:u w:val="none"/>
          <w:lang w:val="en-US"/>
        </w:rPr>
        <w:t>References:</w:t>
      </w: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p14:paraId="2AC9AC66" wp14:textId="6B3668A4">
      <w:pPr>
        <w:rPr/>
      </w:pPr>
    </w:p>
    <w:p xmlns:wp14="http://schemas.microsoft.com/office/word/2010/wordml" w:rsidP="48E36C42" wp14:paraId="16D9237B" wp14:textId="468708F2">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Oxford University Press (2024) Men’s Rea. Available at: </w:t>
      </w:r>
      <w:hyperlink w:anchor=":~:text=actus%20non%20facit%20reum%20nisi%20mens%20sit%20rea%20%5BLatin%3A%20an,mind%20required%20for%20that%20offence%5D" r:id="R75924b0060a14608">
        <w:r w:rsidRPr="48E36C42" w:rsidR="1138D16E">
          <w:rPr>
            <w:rStyle w:val="Hyperlink"/>
            <w:b w:val="0"/>
            <w:bCs w:val="0"/>
            <w:i w:val="0"/>
            <w:iCs w:val="0"/>
            <w:strike w:val="0"/>
            <w:dstrike w:val="0"/>
            <w:noProof w:val="0"/>
            <w:color w:val="1155CC"/>
            <w:u w:val="none"/>
            <w:lang w:val="en-US"/>
          </w:rPr>
          <w:t>https://www.oxfordreference.com/display/10.1093/acref/9780198802525.001.0001/acref-9780198802525-e-80#:~:text=actus%20non%20facit%20reum%20nisi%20mens%20sit%20rea%20%5BLatin%3A%20an,mind%20required%20for%20that%20offence%5D</w:t>
        </w:r>
      </w:hyperlink>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7 March 2024). </w:t>
      </w:r>
    </w:p>
    <w:p xmlns:wp14="http://schemas.microsoft.com/office/word/2010/wordml" wp14:paraId="5A6F6F6B" wp14:textId="7C7D27C1">
      <w:pPr>
        <w:rPr/>
      </w:pPr>
    </w:p>
    <w:p xmlns:wp14="http://schemas.microsoft.com/office/word/2010/wordml" w:rsidP="48E36C42" wp14:paraId="008A0AA5" wp14:textId="7A2F537E">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London University (2024) International courses criminal law guide. Available at: </w:t>
      </w:r>
      <w:hyperlink r:id="R594eeb2c068145ac">
        <w:r w:rsidRPr="48E36C42" w:rsidR="1138D16E">
          <w:rPr>
            <w:rStyle w:val="Hyperlink"/>
            <w:b w:val="0"/>
            <w:bCs w:val="0"/>
            <w:i w:val="0"/>
            <w:iCs w:val="0"/>
            <w:strike w:val="0"/>
            <w:dstrike w:val="0"/>
            <w:noProof w:val="0"/>
            <w:color w:val="1155CC"/>
            <w:u w:val="none"/>
            <w:lang w:val="en-US"/>
          </w:rPr>
          <w:t>https://www.london.ac.uk/sites/default/files/study-guides/criminal-law-study-guide.pdf</w:t>
        </w:r>
      </w:hyperlink>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7 March 2024) </w:t>
      </w:r>
    </w:p>
    <w:p xmlns:wp14="http://schemas.microsoft.com/office/word/2010/wordml" wp14:paraId="46F8D9FE" wp14:textId="42130AFE">
      <w:pPr>
        <w:rPr/>
      </w:pPr>
    </w:p>
    <w:p xmlns:wp14="http://schemas.microsoft.com/office/word/2010/wordml" w:rsidP="48E36C42" wp14:paraId="273963E0" wp14:textId="15166876">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Law Bank (2024) Men’s rea. Available at: </w:t>
      </w:r>
      <w:hyperlink r:id="R80fff002eff0432e">
        <w:r w:rsidRPr="48E36C42" w:rsidR="1138D16E">
          <w:rPr>
            <w:rStyle w:val="Hyperlink"/>
            <w:b w:val="0"/>
            <w:bCs w:val="0"/>
            <w:i w:val="0"/>
            <w:iCs w:val="0"/>
            <w:strike w:val="0"/>
            <w:dstrike w:val="0"/>
            <w:noProof w:val="0"/>
            <w:color w:val="1155CC"/>
            <w:u w:val="none"/>
            <w:lang w:val="en-US"/>
          </w:rPr>
          <w:t>https://www.youtube.com/watch?v=bcnUo-iIoSs</w:t>
        </w:r>
      </w:hyperlink>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7 March 2024). </w:t>
      </w:r>
    </w:p>
    <w:p xmlns:wp14="http://schemas.microsoft.com/office/word/2010/wordml" wp14:paraId="26114C78" wp14:textId="26FDBF2C">
      <w:pPr>
        <w:rPr/>
      </w:pPr>
    </w:p>
    <w:p xmlns:wp14="http://schemas.microsoft.com/office/word/2010/wordml" w:rsidP="48E36C42" wp14:paraId="6E79A0ED" wp14:textId="46857D84">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Crown Prosecution Service [CPS] (2022) Unlawful wounding/inflicting gbh – s.20 and wounding/causing gbh with intent – s.18. Available at: </w:t>
      </w:r>
      <w:hyperlink w:anchor=":~:text=The%20maximum%20sentence%20for%20section,18%20it%20is%20life%20imprisonment" r:id="Rba79cbf678ca4c9e">
        <w:r w:rsidRPr="48E36C42" w:rsidR="1138D16E">
          <w:rPr>
            <w:rStyle w:val="Hyperlink"/>
            <w:b w:val="0"/>
            <w:bCs w:val="0"/>
            <w:i w:val="0"/>
            <w:iCs w:val="0"/>
            <w:strike w:val="0"/>
            <w:dstrike w:val="0"/>
            <w:noProof w:val="0"/>
            <w:color w:val="1155CC"/>
            <w:u w:val="none"/>
            <w:lang w:val="en-US"/>
          </w:rPr>
          <w:t>https://www.cps.gov.uk/legal-guidance/offences-against-person-incorporating-charging-standard#:~:text=The%20maximum%20sentence%20for%20section,18%20it%20is%20life%20imprisonment</w:t>
        </w:r>
      </w:hyperlink>
      <w:r w:rsidRPr="48E36C42" w:rsidR="1138D16E">
        <w:rPr>
          <w:rFonts w:ascii="Arial" w:hAnsi="Arial" w:eastAsia="Arial" w:cs="Arial"/>
          <w:b w:val="0"/>
          <w:bCs w:val="0"/>
          <w:i w:val="0"/>
          <w:iCs w:val="0"/>
          <w:strike w:val="0"/>
          <w:dstrike w:val="0"/>
          <w:noProof w:val="0"/>
          <w:color w:val="000000" w:themeColor="text1" w:themeTint="FF" w:themeShade="FF"/>
          <w:sz w:val="24"/>
          <w:szCs w:val="24"/>
          <w:u w:val="none"/>
          <w:lang w:val="en-US"/>
        </w:rPr>
        <w:t>.  (Accessed: 7 March 2024).</w:t>
      </w:r>
    </w:p>
    <w:p xmlns:wp14="http://schemas.microsoft.com/office/word/2010/wordml" wp14:paraId="0286B13D" wp14:textId="3F63A7F7">
      <w:pPr>
        <w:rPr/>
      </w:pPr>
    </w:p>
    <w:p xmlns:wp14="http://schemas.microsoft.com/office/word/2010/wordml" w:rsidP="48E36C42" wp14:paraId="1662E118" wp14:textId="53109018">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Oxbridge Law Team (2024), R v Mohan [1976] QB 1. Available at: </w:t>
      </w:r>
      <w:hyperlink w:anchor=":~:text=1" r:id="R86fe8da96d1e44ba">
        <w:r w:rsidRPr="48E36C42" w:rsidR="1138D16E">
          <w:rPr>
            <w:rStyle w:val="Hyperlink"/>
            <w:b w:val="0"/>
            <w:bCs w:val="0"/>
            <w:i w:val="0"/>
            <w:iCs w:val="0"/>
            <w:strike w:val="0"/>
            <w:dstrike w:val="0"/>
            <w:noProof w:val="0"/>
            <w:color w:val="1155CC"/>
            <w:u w:val="none"/>
            <w:lang w:val="en-US"/>
          </w:rPr>
          <w:t>https://www.oxbridgenotes.co.uk/law_cases/mohan#:~:text=1</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)%20he%20attempted%20to%20</w:t>
      </w:r>
      <w:bookmarkStart w:name="_Int_eo7Hj2Jg" w:id="1500602142"/>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cause,dangerous</w:t>
      </w:r>
      <w:bookmarkEnd w:id="1500602142"/>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%20to%20the%20general%20public. (Accessed: 15 March 2024).</w:t>
      </w:r>
    </w:p>
    <w:p xmlns:wp14="http://schemas.microsoft.com/office/word/2010/wordml" wp14:paraId="15818B82" wp14:textId="61C7814E">
      <w:pPr>
        <w:rPr/>
      </w:pPr>
    </w:p>
    <w:p xmlns:wp14="http://schemas.microsoft.com/office/word/2010/wordml" w:rsidP="48E36C42" wp14:paraId="49C3D122" wp14:textId="16A9D85F">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Oxbridge Law Team (2024), R v Nedrick [1986] 83 Cr.App.R 267. Available at: </w:t>
      </w:r>
      <w:hyperlink r:id="R8e3111fb30dd45dc">
        <w:r w:rsidRPr="48E36C42" w:rsidR="1138D16E">
          <w:rPr>
            <w:rStyle w:val="Hyperlink"/>
            <w:b w:val="0"/>
            <w:bCs w:val="0"/>
            <w:i w:val="0"/>
            <w:iCs w:val="0"/>
            <w:strike w:val="0"/>
            <w:dstrike w:val="0"/>
            <w:noProof w:val="0"/>
            <w:color w:val="1155CC"/>
            <w:u w:val="none"/>
            <w:lang w:val="en-US"/>
          </w:rPr>
          <w:t>https://www.oxbridgenotes.co.uk/law_cases/r-v-nedrick</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15 March 2024).</w:t>
      </w:r>
    </w:p>
    <w:p xmlns:wp14="http://schemas.microsoft.com/office/word/2010/wordml" wp14:paraId="4E210033" wp14:textId="6A6A5A65">
      <w:pPr>
        <w:rPr/>
      </w:pPr>
    </w:p>
    <w:p xmlns:wp14="http://schemas.microsoft.com/office/word/2010/wordml" w:rsidP="48E36C42" wp14:paraId="6C22B2A8" wp14:textId="77A0B3DA">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Oxbridge Law Team (2024), R v Woollin [1999] AC 82. Available at: </w:t>
      </w:r>
      <w:hyperlink r:id="Rad120cad662f4695">
        <w:r w:rsidRPr="48E36C42" w:rsidR="1138D16E">
          <w:rPr>
            <w:rStyle w:val="Hyperlink"/>
            <w:b w:val="0"/>
            <w:bCs w:val="0"/>
            <w:i w:val="0"/>
            <w:iCs w:val="0"/>
            <w:strike w:val="0"/>
            <w:dstrike w:val="0"/>
            <w:noProof w:val="0"/>
            <w:color w:val="1155CC"/>
            <w:u w:val="none"/>
            <w:lang w:val="en-US"/>
          </w:rPr>
          <w:t>https://www.oxbridgenotes.co.uk/law_cases/r-v-woollin</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15 March 2024).</w:t>
      </w:r>
    </w:p>
    <w:p xmlns:wp14="http://schemas.microsoft.com/office/word/2010/wordml" wp14:paraId="23D4C586" wp14:textId="66615564">
      <w:pPr>
        <w:rPr/>
      </w:pPr>
    </w:p>
    <w:p xmlns:wp14="http://schemas.microsoft.com/office/word/2010/wordml" w:rsidP="48E36C42" wp14:paraId="202EEAF0" wp14:textId="21116DA0">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Oxbridge Law Team (2024), R v Matthews and Alleyne [2003] Crim L R 553. Available at: </w:t>
      </w:r>
      <w:hyperlink r:id="Rffeb3e46850449f3">
        <w:r w:rsidRPr="48E36C42" w:rsidR="1138D16E">
          <w:rPr>
            <w:rStyle w:val="Hyperlink"/>
            <w:b w:val="0"/>
            <w:bCs w:val="0"/>
            <w:i w:val="0"/>
            <w:iCs w:val="0"/>
            <w:strike w:val="0"/>
            <w:dstrike w:val="0"/>
            <w:noProof w:val="0"/>
            <w:color w:val="1155CC"/>
            <w:u w:val="none"/>
            <w:lang w:val="en-US"/>
          </w:rPr>
          <w:t>https://www.oxbridgenotes.co.uk/law_cases/r-v-matthews-and-alleyne</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15 March 2024).</w:t>
      </w:r>
    </w:p>
    <w:p xmlns:wp14="http://schemas.microsoft.com/office/word/2010/wordml" wp14:paraId="1F7D4A8F" wp14:textId="40A0B1FE">
      <w:pPr>
        <w:rPr/>
      </w:pPr>
    </w:p>
    <w:p xmlns:wp14="http://schemas.microsoft.com/office/word/2010/wordml" w:rsidP="48E36C42" wp14:paraId="17F47BE9" wp14:textId="050F2F1D">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Oxbridge Law Team (2024), R v Cunningham [1957] 2 QB 396. Available at: </w:t>
      </w:r>
      <w:hyperlink r:id="Rc457930af15547f3">
        <w:r w:rsidRPr="48E36C42" w:rsidR="1138D16E">
          <w:rPr>
            <w:rStyle w:val="Hyperlink"/>
            <w:b w:val="0"/>
            <w:bCs w:val="0"/>
            <w:i w:val="0"/>
            <w:iCs w:val="0"/>
            <w:strike w:val="0"/>
            <w:dstrike w:val="0"/>
            <w:noProof w:val="0"/>
            <w:color w:val="1155CC"/>
            <w:u w:val="none"/>
            <w:lang w:val="en-US"/>
          </w:rPr>
          <w:t>https://www.oxbridgenotes.co.uk/law_cases/r-v-cunningham</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15 March 2024).</w:t>
      </w:r>
    </w:p>
    <w:p xmlns:wp14="http://schemas.microsoft.com/office/word/2010/wordml" wp14:paraId="267AF438" wp14:textId="5FF4E2F9">
      <w:pPr>
        <w:rPr/>
      </w:pPr>
    </w:p>
    <w:p xmlns:wp14="http://schemas.microsoft.com/office/word/2010/wordml" w:rsidP="48E36C42" wp14:paraId="39098C4A" wp14:textId="185EE715">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Home Office (2024), Mandatory polygraph tests factsheet. Available at: </w:t>
      </w:r>
      <w:hyperlink r:id="R82e154d104794f95">
        <w:r w:rsidRPr="48E36C42" w:rsidR="1138D16E">
          <w:rPr>
            <w:rStyle w:val="Hyperlink"/>
            <w:b w:val="0"/>
            <w:bCs w:val="0"/>
            <w:i w:val="0"/>
            <w:iCs w:val="0"/>
            <w:strike w:val="0"/>
            <w:dstrike w:val="0"/>
            <w:noProof w:val="0"/>
            <w:color w:val="1155CC"/>
            <w:u w:val="none"/>
            <w:lang w:val="en-US"/>
          </w:rPr>
          <w:t>https://www.gov.uk/government/publications/domestic-abuse-bill-2020-factsheets/mandatory-polygraph-tests-factsheet</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15 March 2024).</w:t>
      </w:r>
    </w:p>
    <w:p xmlns:wp14="http://schemas.microsoft.com/office/word/2010/wordml" wp14:paraId="50BD5098" wp14:textId="1637F7BE">
      <w:pPr>
        <w:rPr/>
      </w:pPr>
    </w:p>
    <w:p xmlns:wp14="http://schemas.microsoft.com/office/word/2010/wordml" w:rsidP="48E36C42" wp14:paraId="2FF0E95C" wp14:textId="7B21BD90">
      <w:pPr>
        <w:spacing w:before="0" w:beforeAutospacing="off" w:after="0" w:afterAutospacing="off"/>
        <w:ind w:left="-20" w:right="-20"/>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National Academies (2002), </w:t>
      </w:r>
      <w:bookmarkStart w:name="_Int_W3uLLFEm" w:id="1277926680"/>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The polygraph</w:t>
      </w:r>
      <w:bookmarkEnd w:id="1277926680"/>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lie detection. Available at: </w:t>
      </w:r>
      <w:hyperlink r:id="R9f1dbb52f1444b43">
        <w:r w:rsidRPr="48E36C42" w:rsidR="1138D16E">
          <w:rPr>
            <w:rStyle w:val="Hyperlink"/>
            <w:b w:val="0"/>
            <w:bCs w:val="0"/>
            <w:i w:val="0"/>
            <w:iCs w:val="0"/>
            <w:strike w:val="0"/>
            <w:dstrike w:val="0"/>
            <w:noProof w:val="0"/>
            <w:color w:val="1155CC"/>
            <w:u w:val="none"/>
            <w:lang w:val="en-US"/>
          </w:rPr>
          <w:t>https://www.nationalacademies.org/news/2002/10/the-polygraph-and-lie-detection</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15 March 2024).</w:t>
      </w:r>
    </w:p>
    <w:p xmlns:wp14="http://schemas.microsoft.com/office/word/2010/wordml" wp14:paraId="4FB0A34A" wp14:textId="24C99D21">
      <w:pPr>
        <w:rPr/>
      </w:pPr>
    </w:p>
    <w:p xmlns:wp14="http://schemas.microsoft.com/office/word/2010/wordml" w:rsidP="48E36C42" wp14:paraId="2C078E63" wp14:textId="6B429E95">
      <w:pPr>
        <w:pStyle w:val="Normal"/>
        <w:rPr/>
      </w:pPr>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BBC Reel (2023), Mind-reading tech is closer than you think. Available at: </w:t>
      </w:r>
      <w:hyperlink r:id="Rc24341995f48455e">
        <w:r w:rsidRPr="48E36C42" w:rsidR="1138D16E">
          <w:rPr>
            <w:rStyle w:val="Hyperlink"/>
            <w:b w:val="0"/>
            <w:bCs w:val="0"/>
            <w:i w:val="0"/>
            <w:iCs w:val="0"/>
            <w:strike w:val="0"/>
            <w:dstrike w:val="0"/>
            <w:noProof w:val="0"/>
            <w:color w:val="1155CC"/>
            <w:u w:val="none"/>
            <w:lang w:val="en-US"/>
          </w:rPr>
          <w:t>https://www.youtube.com/watch?v=qt21L7tCHYU&amp;t=19s</w:t>
        </w:r>
      </w:hyperlink>
      <w:r w:rsidRPr="48E36C42" w:rsidR="1138D16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15 March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31Ck6IoW0FCrVK" int2:id="cel9Op8y">
      <int2:state int2:type="AugLoop_Text_Critique" int2:value="Rejected"/>
    </int2:textHash>
    <int2:textHash int2:hashCode="QJXf0V4WYWtmyP" int2:id="bWJKVygh">
      <int2:state int2:type="AugLoop_Text_Critique" int2:value="Rejected"/>
    </int2:textHash>
    <int2:textHash int2:hashCode="9hRlM/IsqAo+tW" int2:id="U7rEB6Yi">
      <int2:state int2:type="AugLoop_Text_Critique" int2:value="Rejected"/>
    </int2:textHash>
    <int2:textHash int2:hashCode="MhU/EI8YQb+QRi" int2:id="7Qy2iJrh">
      <int2:state int2:type="AugLoop_Text_Critique" int2:value="Rejected"/>
    </int2:textHash>
    <int2:textHash int2:hashCode="ypnpCXlvsG9C54" int2:id="9a4YJQ6z">
      <int2:state int2:type="AugLoop_Text_Critique" int2:value="Rejected"/>
    </int2:textHash>
    <int2:textHash int2:hashCode="YSTJgoaO5iBiQc" int2:id="5ZyS2JN7">
      <int2:state int2:type="AugLoop_Text_Critique" int2:value="Rejected"/>
    </int2:textHash>
    <int2:textHash int2:hashCode="pP8uEHkNeM+WUc" int2:id="mMkUifLD">
      <int2:state int2:type="AugLoop_Text_Critique" int2:value="Rejected"/>
    </int2:textHash>
    <int2:textHash int2:hashCode="Oqpe4RFXrRYns1" int2:id="KgtXP4om">
      <int2:state int2:type="AugLoop_Text_Critique" int2:value="Rejected"/>
    </int2:textHash>
    <int2:bookmark int2:bookmarkName="_Int_W3uLLFEm" int2:invalidationBookmarkName="" int2:hashCode="mMhb9ewX6Lqkt9" int2:id="SPfDoT2T">
      <int2:state int2:type="AugLoop_Text_Critique" int2:value="Rejected"/>
    </int2:bookmark>
    <int2:bookmark int2:bookmarkName="_Int_eo7Hj2Jg" int2:invalidationBookmarkName="" int2:hashCode="pZVQxIIKh3JT+h" int2:id="EDrj52QP">
      <int2:state int2:type="AugLoop_Text_Critique" int2:value="Rejected"/>
    </int2:bookmark>
    <int2:bookmark int2:bookmarkName="_Int_9Hzqzjko" int2:invalidationBookmarkName="" int2:hashCode="nyEE6PhjdCVycN" int2:id="JOd1Pomi">
      <int2:state int2:type="AugLoop_Text_Critique" int2:value="Rejected"/>
    </int2:bookmark>
    <int2:bookmark int2:bookmarkName="_Int_QsBp6tGV" int2:invalidationBookmarkName="" int2:hashCode="DH6GZ7MUYJ+Jv1" int2:id="EkxVwtI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0C7A6E"/>
    <w:rsid w:val="026C2F3B"/>
    <w:rsid w:val="040C7A6E"/>
    <w:rsid w:val="0444F38A"/>
    <w:rsid w:val="08AFF6C9"/>
    <w:rsid w:val="1138D16E"/>
    <w:rsid w:val="16152DEA"/>
    <w:rsid w:val="230B64D8"/>
    <w:rsid w:val="2C977C77"/>
    <w:rsid w:val="38AD5585"/>
    <w:rsid w:val="48E36C42"/>
    <w:rsid w:val="4A7F3CA3"/>
    <w:rsid w:val="54F1750B"/>
    <w:rsid w:val="63ADD97B"/>
    <w:rsid w:val="6B77A67D"/>
    <w:rsid w:val="6D4C2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C7A6E"/>
  <w15:chartTrackingRefBased/>
  <w15:docId w15:val="{84F594E0-5AD4-47B5-B10B-932236C7B6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xfordreference.com/display/10.1093/acref/9780198802525.001.0001/acref-9780198802525-e-80" TargetMode="External" Id="R75924b0060a14608" /><Relationship Type="http://schemas.openxmlformats.org/officeDocument/2006/relationships/hyperlink" Target="https://www.london.ac.uk/sites/default/files/study-guides/criminal-law-study-guide.pdf" TargetMode="External" Id="R594eeb2c068145ac" /><Relationship Type="http://schemas.openxmlformats.org/officeDocument/2006/relationships/hyperlink" Target="https://www.youtube.com/watch?v=bcnUo-iIoSs" TargetMode="External" Id="R80fff002eff0432e" /><Relationship Type="http://schemas.openxmlformats.org/officeDocument/2006/relationships/hyperlink" Target="https://www.cps.gov.uk/legal-guidance/offences-against-person-incorporating-charging-standard" TargetMode="External" Id="Rba79cbf678ca4c9e" /><Relationship Type="http://schemas.openxmlformats.org/officeDocument/2006/relationships/hyperlink" Target="https://www.oxbridgenotes.co.uk/law_cases/mohan" TargetMode="External" Id="R86fe8da96d1e44ba" /><Relationship Type="http://schemas.openxmlformats.org/officeDocument/2006/relationships/hyperlink" Target="https://www.oxbridgenotes.co.uk/law_cases/r-v-nedrick" TargetMode="External" Id="R8e3111fb30dd45dc" /><Relationship Type="http://schemas.openxmlformats.org/officeDocument/2006/relationships/hyperlink" Target="https://www.oxbridgenotes.co.uk/law_cases/r-v-woollin" TargetMode="External" Id="Rad120cad662f4695" /><Relationship Type="http://schemas.openxmlformats.org/officeDocument/2006/relationships/hyperlink" Target="https://www.oxbridgenotes.co.uk/law_cases/r-v-matthews-and-alleyne" TargetMode="External" Id="Rffeb3e46850449f3" /><Relationship Type="http://schemas.openxmlformats.org/officeDocument/2006/relationships/hyperlink" Target="https://www.oxbridgenotes.co.uk/law_cases/r-v-cunningham" TargetMode="External" Id="Rc457930af15547f3" /><Relationship Type="http://schemas.openxmlformats.org/officeDocument/2006/relationships/hyperlink" Target="https://www.gov.uk/government/publications/domestic-abuse-bill-2020-factsheets/mandatory-polygraph-tests-factsheet" TargetMode="External" Id="R82e154d104794f95" /><Relationship Type="http://schemas.openxmlformats.org/officeDocument/2006/relationships/hyperlink" Target="https://www.nationalacademies.org/news/2002/10/the-polygraph-and-lie-detection" TargetMode="External" Id="R9f1dbb52f1444b43" /><Relationship Type="http://schemas.openxmlformats.org/officeDocument/2006/relationships/hyperlink" Target="https://www.youtube.com/watch?v=qt21L7tCHYU&amp;t=19s" TargetMode="External" Id="Rc24341995f48455e" /><Relationship Type="http://schemas.microsoft.com/office/2020/10/relationships/intelligence" Target="intelligence2.xml" Id="Rb5a9e2cc94ca48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2024-03-15T13:10:00.3606056Z</dcterms:created>
  <dcterms:modified xsi:type="dcterms:W3CDTF">2024-03-15T13:14:42.6565294Z</dcterms:modified>
  <dc:creator>Serkan Sayiner (1816794)</dc:creator>
  <lastModifiedBy>Serkan Sayiner (1816794)</lastModifiedBy>
</coreProperties>
</file>