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CB8E2"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w:t>
      </w:r>
    </w:p>
    <w:p w14:paraId="3D1D69BA"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w:t>
      </w:r>
    </w:p>
    <w:p w14:paraId="2C6DE42F"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w:t>
      </w:r>
    </w:p>
    <w:p w14:paraId="0ED7A0DD" w14:textId="77777777" w:rsidR="00AB6715" w:rsidRPr="00AB6715" w:rsidRDefault="00AB6715" w:rsidP="00AB6715">
      <w:pPr>
        <w:spacing w:line="360" w:lineRule="auto"/>
        <w:jc w:val="center"/>
        <w:rPr>
          <w:rFonts w:ascii="Arial" w:hAnsi="Arial" w:cs="Arial"/>
          <w:sz w:val="22"/>
          <w:szCs w:val="22"/>
        </w:rPr>
      </w:pPr>
      <w:r w:rsidRPr="00AB6715">
        <w:rPr>
          <w:rFonts w:ascii="Arial" w:hAnsi="Arial" w:cs="Arial"/>
          <w:sz w:val="22"/>
          <w:szCs w:val="22"/>
        </w:rPr>
        <w:t>BSc Health and Social Care</w:t>
      </w:r>
    </w:p>
    <w:p w14:paraId="01430433" w14:textId="77777777" w:rsidR="00AB6715" w:rsidRPr="00AB6715" w:rsidRDefault="00AB6715" w:rsidP="00AB6715">
      <w:pPr>
        <w:spacing w:line="360" w:lineRule="auto"/>
        <w:jc w:val="center"/>
        <w:rPr>
          <w:rFonts w:ascii="Arial" w:hAnsi="Arial" w:cs="Arial"/>
          <w:sz w:val="22"/>
          <w:szCs w:val="22"/>
        </w:rPr>
      </w:pPr>
      <w:r w:rsidRPr="00AB6715">
        <w:rPr>
          <w:rFonts w:ascii="Arial" w:hAnsi="Arial" w:cs="Arial"/>
          <w:sz w:val="22"/>
          <w:szCs w:val="22"/>
        </w:rPr>
        <w:t>Principles of Health and Social Care Practice</w:t>
      </w:r>
    </w:p>
    <w:p w14:paraId="0304B7B4" w14:textId="77777777" w:rsidR="00AB6715" w:rsidRPr="00AB6715" w:rsidRDefault="00AB6715" w:rsidP="00AB6715">
      <w:pPr>
        <w:spacing w:line="360" w:lineRule="auto"/>
        <w:jc w:val="center"/>
        <w:rPr>
          <w:rFonts w:ascii="Arial" w:hAnsi="Arial" w:cs="Arial"/>
          <w:sz w:val="22"/>
          <w:szCs w:val="22"/>
        </w:rPr>
      </w:pPr>
      <w:r w:rsidRPr="00AB6715">
        <w:rPr>
          <w:rFonts w:ascii="Arial" w:hAnsi="Arial" w:cs="Arial"/>
          <w:sz w:val="22"/>
          <w:szCs w:val="22"/>
        </w:rPr>
        <w:t>Module Code: BMHP5016</w:t>
      </w:r>
    </w:p>
    <w:p w14:paraId="67081715" w14:textId="5C6E672A" w:rsidR="00AB6715" w:rsidRPr="00AB6715" w:rsidRDefault="00AB6715" w:rsidP="00AB6715">
      <w:pPr>
        <w:spacing w:line="360" w:lineRule="auto"/>
        <w:jc w:val="center"/>
        <w:rPr>
          <w:rFonts w:ascii="Arial" w:hAnsi="Arial" w:cs="Arial"/>
          <w:sz w:val="22"/>
          <w:szCs w:val="22"/>
        </w:rPr>
      </w:pPr>
    </w:p>
    <w:p w14:paraId="3C6A69CA" w14:textId="77777777" w:rsidR="00AB6715" w:rsidRPr="00AB6715" w:rsidRDefault="00AB6715" w:rsidP="00AB6715">
      <w:pPr>
        <w:spacing w:line="360" w:lineRule="auto"/>
        <w:jc w:val="center"/>
        <w:rPr>
          <w:rFonts w:ascii="Arial" w:hAnsi="Arial" w:cs="Arial"/>
          <w:sz w:val="22"/>
          <w:szCs w:val="22"/>
        </w:rPr>
      </w:pPr>
      <w:r w:rsidRPr="00AB6715">
        <w:rPr>
          <w:rFonts w:ascii="Arial" w:hAnsi="Arial" w:cs="Arial"/>
          <w:sz w:val="22"/>
          <w:szCs w:val="22"/>
        </w:rPr>
        <w:t>Component 2: Written Assignment (Report)</w:t>
      </w:r>
    </w:p>
    <w:p w14:paraId="59693DDA" w14:textId="77777777" w:rsidR="00AB6715" w:rsidRPr="00AB6715" w:rsidRDefault="00AB6715" w:rsidP="00AB6715">
      <w:pPr>
        <w:spacing w:line="360" w:lineRule="auto"/>
        <w:jc w:val="center"/>
        <w:rPr>
          <w:rFonts w:ascii="Arial" w:hAnsi="Arial" w:cs="Arial"/>
          <w:sz w:val="22"/>
          <w:szCs w:val="22"/>
        </w:rPr>
      </w:pP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and Partnership Working in Health and Social Care</w:t>
      </w:r>
    </w:p>
    <w:p w14:paraId="3576BB5F" w14:textId="12789951" w:rsidR="00AB6715" w:rsidRPr="00AB6715" w:rsidRDefault="00AB6715" w:rsidP="00AB6715">
      <w:pPr>
        <w:spacing w:line="360" w:lineRule="auto"/>
        <w:jc w:val="center"/>
        <w:rPr>
          <w:rFonts w:ascii="Arial" w:hAnsi="Arial" w:cs="Arial"/>
          <w:sz w:val="22"/>
          <w:szCs w:val="22"/>
        </w:rPr>
      </w:pPr>
    </w:p>
    <w:p w14:paraId="26FF09EC" w14:textId="379E70D9" w:rsidR="00AB6715" w:rsidRPr="00AB6715" w:rsidRDefault="00AB6715" w:rsidP="00AB6715">
      <w:pPr>
        <w:spacing w:line="360" w:lineRule="auto"/>
        <w:jc w:val="center"/>
        <w:rPr>
          <w:rFonts w:ascii="Arial" w:hAnsi="Arial" w:cs="Arial"/>
          <w:sz w:val="22"/>
          <w:szCs w:val="22"/>
        </w:rPr>
      </w:pPr>
    </w:p>
    <w:p w14:paraId="212C777B" w14:textId="3A08CEDE" w:rsidR="00AB6715" w:rsidRPr="00AB6715" w:rsidRDefault="00AB6715" w:rsidP="00AB6715">
      <w:pPr>
        <w:spacing w:line="360" w:lineRule="auto"/>
        <w:jc w:val="center"/>
        <w:rPr>
          <w:rFonts w:ascii="Arial" w:hAnsi="Arial" w:cs="Arial"/>
          <w:sz w:val="22"/>
          <w:szCs w:val="22"/>
        </w:rPr>
      </w:pPr>
      <w:r w:rsidRPr="00AB6715">
        <w:rPr>
          <w:rFonts w:ascii="Arial" w:hAnsi="Arial" w:cs="Arial"/>
          <w:sz w:val="22"/>
          <w:szCs w:val="22"/>
        </w:rPr>
        <w:t xml:space="preserve">Student Name: </w:t>
      </w:r>
      <w:r w:rsidR="000E72D2">
        <w:rPr>
          <w:rFonts w:ascii="Arial" w:hAnsi="Arial" w:cs="Arial"/>
          <w:sz w:val="22"/>
          <w:szCs w:val="22"/>
        </w:rPr>
        <w:t xml:space="preserve">Robina </w:t>
      </w:r>
      <w:proofErr w:type="spellStart"/>
      <w:r w:rsidR="000E72D2">
        <w:rPr>
          <w:rFonts w:ascii="Arial" w:hAnsi="Arial" w:cs="Arial"/>
          <w:sz w:val="22"/>
          <w:szCs w:val="22"/>
        </w:rPr>
        <w:t>Kausar</w:t>
      </w:r>
      <w:proofErr w:type="spellEnd"/>
    </w:p>
    <w:p w14:paraId="41F06DDE" w14:textId="27AEC82C" w:rsidR="00AB6715" w:rsidRPr="00AB6715" w:rsidRDefault="00AB6715" w:rsidP="00AB6715">
      <w:pPr>
        <w:spacing w:line="360" w:lineRule="auto"/>
        <w:jc w:val="center"/>
        <w:rPr>
          <w:rFonts w:ascii="Arial" w:hAnsi="Arial" w:cs="Arial"/>
          <w:sz w:val="22"/>
          <w:szCs w:val="22"/>
        </w:rPr>
      </w:pPr>
      <w:r w:rsidRPr="00AB6715">
        <w:rPr>
          <w:rFonts w:ascii="Arial" w:hAnsi="Arial" w:cs="Arial"/>
          <w:sz w:val="22"/>
          <w:szCs w:val="22"/>
        </w:rPr>
        <w:t xml:space="preserve">Student Number: </w:t>
      </w:r>
      <w:r w:rsidR="00C50470">
        <w:rPr>
          <w:rFonts w:ascii="Arial" w:hAnsi="Arial" w:cs="Arial"/>
          <w:sz w:val="22"/>
          <w:szCs w:val="22"/>
        </w:rPr>
        <w:t>2407033</w:t>
      </w:r>
    </w:p>
    <w:p w14:paraId="6E4234AE" w14:textId="3031536F" w:rsidR="00AB6715" w:rsidRPr="00AB6715" w:rsidRDefault="000E72D2" w:rsidP="000E72D2">
      <w:pPr>
        <w:spacing w:line="360" w:lineRule="auto"/>
        <w:jc w:val="center"/>
        <w:rPr>
          <w:rFonts w:ascii="Arial" w:hAnsi="Arial" w:cs="Arial"/>
          <w:sz w:val="22"/>
          <w:szCs w:val="22"/>
        </w:rPr>
      </w:pPr>
      <w:r>
        <w:rPr>
          <w:rFonts w:ascii="Arial" w:hAnsi="Arial" w:cs="Arial"/>
          <w:sz w:val="22"/>
          <w:szCs w:val="22"/>
        </w:rPr>
        <w:t>Teacher’s Name</w:t>
      </w:r>
      <w:r w:rsidR="00AB6715" w:rsidRPr="00AB6715">
        <w:rPr>
          <w:rFonts w:ascii="Arial" w:hAnsi="Arial" w:cs="Arial"/>
          <w:sz w:val="22"/>
          <w:szCs w:val="22"/>
        </w:rPr>
        <w:t xml:space="preserve">: </w:t>
      </w:r>
      <w:r>
        <w:rPr>
          <w:rFonts w:ascii="Arial" w:hAnsi="Arial" w:cs="Arial"/>
          <w:sz w:val="22"/>
          <w:szCs w:val="22"/>
        </w:rPr>
        <w:t xml:space="preserve">Precious </w:t>
      </w:r>
      <w:proofErr w:type="spellStart"/>
      <w:r>
        <w:rPr>
          <w:rFonts w:ascii="Arial" w:hAnsi="Arial" w:cs="Arial"/>
          <w:sz w:val="22"/>
          <w:szCs w:val="22"/>
        </w:rPr>
        <w:t>Igbinigie</w:t>
      </w:r>
      <w:proofErr w:type="spellEnd"/>
    </w:p>
    <w:p w14:paraId="7CEBF29D" w14:textId="77777777" w:rsidR="00AB6715" w:rsidRPr="00AB6715" w:rsidRDefault="00AB6715" w:rsidP="00AB6715">
      <w:pPr>
        <w:spacing w:line="360" w:lineRule="auto"/>
        <w:jc w:val="center"/>
        <w:rPr>
          <w:rFonts w:ascii="Arial" w:hAnsi="Arial" w:cs="Arial"/>
          <w:sz w:val="22"/>
          <w:szCs w:val="22"/>
        </w:rPr>
      </w:pPr>
      <w:r w:rsidRPr="00AB6715">
        <w:rPr>
          <w:rFonts w:ascii="Arial" w:hAnsi="Arial" w:cs="Arial"/>
          <w:sz w:val="22"/>
          <w:szCs w:val="22"/>
        </w:rPr>
        <w:t>Submission Date: 29th March 2026</w:t>
      </w:r>
    </w:p>
    <w:p w14:paraId="02C77789" w14:textId="545C060E" w:rsidR="00AB6715" w:rsidRPr="00AB6715" w:rsidRDefault="00AB6715" w:rsidP="00AB6715">
      <w:pPr>
        <w:spacing w:line="360" w:lineRule="auto"/>
        <w:jc w:val="center"/>
        <w:rPr>
          <w:rFonts w:ascii="Arial" w:hAnsi="Arial" w:cs="Arial"/>
          <w:sz w:val="22"/>
          <w:szCs w:val="22"/>
        </w:rPr>
      </w:pPr>
    </w:p>
    <w:p w14:paraId="3941780B" w14:textId="69611D07" w:rsidR="00AB6715" w:rsidRPr="00AB6715" w:rsidRDefault="00AB6715" w:rsidP="00AB6715">
      <w:pPr>
        <w:spacing w:line="360" w:lineRule="auto"/>
        <w:jc w:val="center"/>
        <w:rPr>
          <w:rFonts w:ascii="Arial" w:hAnsi="Arial" w:cs="Arial"/>
          <w:sz w:val="22"/>
          <w:szCs w:val="22"/>
        </w:rPr>
      </w:pPr>
    </w:p>
    <w:p w14:paraId="1FA71D76" w14:textId="77777777" w:rsidR="00AB6715" w:rsidRPr="00AB6715" w:rsidRDefault="00AB6715" w:rsidP="00AB6715">
      <w:pPr>
        <w:spacing w:line="360" w:lineRule="auto"/>
        <w:jc w:val="center"/>
        <w:rPr>
          <w:rFonts w:ascii="Arial" w:hAnsi="Arial" w:cs="Arial"/>
          <w:sz w:val="22"/>
          <w:szCs w:val="22"/>
        </w:rPr>
      </w:pPr>
      <w:r w:rsidRPr="00AB6715">
        <w:rPr>
          <w:rFonts w:ascii="Arial" w:hAnsi="Arial" w:cs="Arial"/>
          <w:sz w:val="22"/>
          <w:szCs w:val="22"/>
        </w:rPr>
        <w:t>Word Count: approximately 2,000 words</w:t>
      </w:r>
    </w:p>
    <w:p w14:paraId="57F9C75B"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br/>
      </w:r>
      <w:r w:rsidRPr="00AB6715">
        <w:rPr>
          <w:rFonts w:ascii="Arial" w:hAnsi="Arial" w:cs="Arial"/>
          <w:sz w:val="22"/>
          <w:szCs w:val="22"/>
        </w:rPr>
        <w:br/>
      </w:r>
    </w:p>
    <w:p w14:paraId="5A6EC3FD" w14:textId="77777777" w:rsidR="00AB6715" w:rsidRPr="00AB6715" w:rsidRDefault="00AB6715" w:rsidP="00AB6715">
      <w:pPr>
        <w:spacing w:line="360" w:lineRule="auto"/>
        <w:rPr>
          <w:rFonts w:ascii="Arial" w:hAnsi="Arial" w:cs="Arial"/>
          <w:sz w:val="22"/>
          <w:szCs w:val="22"/>
        </w:rPr>
      </w:pPr>
    </w:p>
    <w:p w14:paraId="4904AEB9" w14:textId="77777777" w:rsidR="00AB6715" w:rsidRPr="00AB6715" w:rsidRDefault="00AB6715" w:rsidP="00AB6715">
      <w:pPr>
        <w:spacing w:line="360" w:lineRule="auto"/>
        <w:rPr>
          <w:rFonts w:ascii="Arial" w:hAnsi="Arial" w:cs="Arial"/>
          <w:sz w:val="22"/>
          <w:szCs w:val="22"/>
        </w:rPr>
      </w:pPr>
    </w:p>
    <w:p w14:paraId="1C02690A" w14:textId="77777777" w:rsidR="00AB6715" w:rsidRPr="00AB6715" w:rsidRDefault="00AB6715" w:rsidP="00AB6715">
      <w:pPr>
        <w:spacing w:line="360" w:lineRule="auto"/>
        <w:rPr>
          <w:rFonts w:ascii="Arial" w:hAnsi="Arial" w:cs="Arial"/>
          <w:sz w:val="22"/>
          <w:szCs w:val="22"/>
        </w:rPr>
      </w:pPr>
    </w:p>
    <w:p w14:paraId="6921EBB7" w14:textId="53AFD81B"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lastRenderedPageBreak/>
        <w:br/>
      </w:r>
    </w:p>
    <w:p w14:paraId="0998181F" w14:textId="77777777" w:rsidR="00AB6715" w:rsidRPr="00AB6715" w:rsidRDefault="00AB6715" w:rsidP="00AB6715">
      <w:pPr>
        <w:spacing w:line="360" w:lineRule="auto"/>
        <w:rPr>
          <w:rFonts w:ascii="Arial" w:hAnsi="Arial" w:cs="Arial"/>
          <w:sz w:val="22"/>
          <w:szCs w:val="22"/>
        </w:rPr>
      </w:pPr>
    </w:p>
    <w:p w14:paraId="3B2935B6" w14:textId="77777777" w:rsidR="00BB27FC" w:rsidRDefault="00BB27FC" w:rsidP="00AB6715">
      <w:pPr>
        <w:spacing w:line="360" w:lineRule="auto"/>
        <w:rPr>
          <w:rFonts w:ascii="Arial" w:hAnsi="Arial" w:cs="Arial"/>
          <w:sz w:val="22"/>
          <w:szCs w:val="22"/>
        </w:rPr>
      </w:pPr>
    </w:p>
    <w:p w14:paraId="55621C21" w14:textId="77777777" w:rsidR="00BB27FC" w:rsidRDefault="00BB27FC" w:rsidP="00AB6715">
      <w:pPr>
        <w:spacing w:line="360" w:lineRule="auto"/>
        <w:rPr>
          <w:rFonts w:ascii="Arial" w:hAnsi="Arial" w:cs="Arial"/>
          <w:sz w:val="22"/>
          <w:szCs w:val="22"/>
        </w:rPr>
      </w:pPr>
    </w:p>
    <w:p w14:paraId="73AF9835" w14:textId="77777777" w:rsidR="00BB27FC" w:rsidRDefault="00BB27FC" w:rsidP="00AB6715">
      <w:pPr>
        <w:spacing w:line="360" w:lineRule="auto"/>
        <w:rPr>
          <w:rFonts w:ascii="Arial" w:hAnsi="Arial" w:cs="Arial"/>
          <w:sz w:val="22"/>
          <w:szCs w:val="22"/>
        </w:rPr>
      </w:pPr>
    </w:p>
    <w:sdt>
      <w:sdtPr>
        <w:rPr>
          <w:rFonts w:asciiTheme="minorHAnsi" w:eastAsiaTheme="minorHAnsi" w:hAnsiTheme="minorHAnsi" w:cstheme="minorBidi"/>
          <w:color w:val="auto"/>
          <w:kern w:val="2"/>
          <w:sz w:val="24"/>
          <w:szCs w:val="24"/>
          <w14:ligatures w14:val="standardContextual"/>
        </w:rPr>
        <w:id w:val="960003643"/>
        <w:docPartObj>
          <w:docPartGallery w:val="Table of Contents"/>
          <w:docPartUnique/>
        </w:docPartObj>
      </w:sdtPr>
      <w:sdtEndPr>
        <w:rPr>
          <w:b/>
          <w:bCs/>
          <w:noProof/>
        </w:rPr>
      </w:sdtEndPr>
      <w:sdtContent>
        <w:p w14:paraId="4EDBD618" w14:textId="618D6A35" w:rsidR="00BB27FC" w:rsidRDefault="00BB27FC">
          <w:pPr>
            <w:pStyle w:val="TOCHeading"/>
          </w:pPr>
          <w:r>
            <w:t>Table of Contents</w:t>
          </w:r>
        </w:p>
        <w:p w14:paraId="30FAC267" w14:textId="4A808F67" w:rsidR="00BB27FC" w:rsidRDefault="00BB27FC">
          <w:pPr>
            <w:pStyle w:val="TOC1"/>
            <w:tabs>
              <w:tab w:val="right" w:leader="dot" w:pos="9350"/>
            </w:tabs>
            <w:rPr>
              <w:noProof/>
            </w:rPr>
          </w:pPr>
          <w:r>
            <w:fldChar w:fldCharType="begin"/>
          </w:r>
          <w:r>
            <w:instrText xml:space="preserve"> TOC \o "1-3" \h \z \u </w:instrText>
          </w:r>
          <w:r>
            <w:fldChar w:fldCharType="separate"/>
          </w:r>
          <w:hyperlink w:anchor="_Toc225629464" w:history="1">
            <w:r w:rsidRPr="00A13F27">
              <w:rPr>
                <w:rStyle w:val="Hyperlink"/>
                <w:rFonts w:ascii="Arial" w:hAnsi="Arial" w:cs="Arial"/>
                <w:noProof/>
              </w:rPr>
              <w:t>Abstract</w:t>
            </w:r>
            <w:r>
              <w:rPr>
                <w:noProof/>
                <w:webHidden/>
              </w:rPr>
              <w:tab/>
            </w:r>
            <w:r>
              <w:rPr>
                <w:noProof/>
                <w:webHidden/>
              </w:rPr>
              <w:fldChar w:fldCharType="begin"/>
            </w:r>
            <w:r>
              <w:rPr>
                <w:noProof/>
                <w:webHidden/>
              </w:rPr>
              <w:instrText xml:space="preserve"> PAGEREF _Toc225629464 \h </w:instrText>
            </w:r>
            <w:r>
              <w:rPr>
                <w:noProof/>
                <w:webHidden/>
              </w:rPr>
            </w:r>
            <w:r>
              <w:rPr>
                <w:noProof/>
                <w:webHidden/>
              </w:rPr>
              <w:fldChar w:fldCharType="separate"/>
            </w:r>
            <w:r>
              <w:rPr>
                <w:noProof/>
                <w:webHidden/>
              </w:rPr>
              <w:t>3</w:t>
            </w:r>
            <w:r>
              <w:rPr>
                <w:noProof/>
                <w:webHidden/>
              </w:rPr>
              <w:fldChar w:fldCharType="end"/>
            </w:r>
          </w:hyperlink>
        </w:p>
        <w:p w14:paraId="1F00B5B3" w14:textId="3E88DABD" w:rsidR="00BB27FC" w:rsidRDefault="00BB27FC">
          <w:pPr>
            <w:pStyle w:val="TOC1"/>
            <w:tabs>
              <w:tab w:val="right" w:leader="dot" w:pos="9350"/>
            </w:tabs>
            <w:rPr>
              <w:noProof/>
            </w:rPr>
          </w:pPr>
          <w:hyperlink w:anchor="_Toc225629465" w:history="1">
            <w:r w:rsidRPr="00A13F27">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_Toc225629465 \h </w:instrText>
            </w:r>
            <w:r>
              <w:rPr>
                <w:noProof/>
                <w:webHidden/>
              </w:rPr>
            </w:r>
            <w:r>
              <w:rPr>
                <w:noProof/>
                <w:webHidden/>
              </w:rPr>
              <w:fldChar w:fldCharType="separate"/>
            </w:r>
            <w:r>
              <w:rPr>
                <w:noProof/>
                <w:webHidden/>
              </w:rPr>
              <w:t>3</w:t>
            </w:r>
            <w:r>
              <w:rPr>
                <w:noProof/>
                <w:webHidden/>
              </w:rPr>
              <w:fldChar w:fldCharType="end"/>
            </w:r>
          </w:hyperlink>
        </w:p>
        <w:p w14:paraId="7947440E" w14:textId="5D05318D" w:rsidR="00BB27FC" w:rsidRDefault="00BB27FC">
          <w:pPr>
            <w:pStyle w:val="TOC1"/>
            <w:tabs>
              <w:tab w:val="right" w:leader="dot" w:pos="9350"/>
            </w:tabs>
            <w:rPr>
              <w:noProof/>
            </w:rPr>
          </w:pPr>
          <w:hyperlink w:anchor="_Toc225629466" w:history="1">
            <w:r w:rsidRPr="00A13F27">
              <w:rPr>
                <w:rStyle w:val="Hyperlink"/>
                <w:rFonts w:ascii="Arial" w:hAnsi="Arial" w:cs="Arial"/>
                <w:noProof/>
              </w:rPr>
              <w:t>2. Person-Centred Care: Definition, Benefits and Limitations</w:t>
            </w:r>
            <w:r>
              <w:rPr>
                <w:noProof/>
                <w:webHidden/>
              </w:rPr>
              <w:tab/>
            </w:r>
            <w:r>
              <w:rPr>
                <w:noProof/>
                <w:webHidden/>
              </w:rPr>
              <w:fldChar w:fldCharType="begin"/>
            </w:r>
            <w:r>
              <w:rPr>
                <w:noProof/>
                <w:webHidden/>
              </w:rPr>
              <w:instrText xml:space="preserve"> PAGEREF _Toc225629466 \h </w:instrText>
            </w:r>
            <w:r>
              <w:rPr>
                <w:noProof/>
                <w:webHidden/>
              </w:rPr>
            </w:r>
            <w:r>
              <w:rPr>
                <w:noProof/>
                <w:webHidden/>
              </w:rPr>
              <w:fldChar w:fldCharType="separate"/>
            </w:r>
            <w:r>
              <w:rPr>
                <w:noProof/>
                <w:webHidden/>
              </w:rPr>
              <w:t>3</w:t>
            </w:r>
            <w:r>
              <w:rPr>
                <w:noProof/>
                <w:webHidden/>
              </w:rPr>
              <w:fldChar w:fldCharType="end"/>
            </w:r>
          </w:hyperlink>
        </w:p>
        <w:p w14:paraId="3E0AB77C" w14:textId="71738241" w:rsidR="00BB27FC" w:rsidRDefault="00BB27FC">
          <w:pPr>
            <w:pStyle w:val="TOC1"/>
            <w:tabs>
              <w:tab w:val="right" w:leader="dot" w:pos="9350"/>
            </w:tabs>
            <w:rPr>
              <w:noProof/>
            </w:rPr>
          </w:pPr>
          <w:hyperlink w:anchor="_Toc225629467" w:history="1">
            <w:r w:rsidRPr="00A13F27">
              <w:rPr>
                <w:rStyle w:val="Hyperlink"/>
                <w:rFonts w:ascii="Arial" w:hAnsi="Arial" w:cs="Arial"/>
                <w:noProof/>
              </w:rPr>
              <w:t>3. Theoretical Foundation: The Social Model of Health.</w:t>
            </w:r>
            <w:r>
              <w:rPr>
                <w:noProof/>
                <w:webHidden/>
              </w:rPr>
              <w:tab/>
            </w:r>
            <w:r>
              <w:rPr>
                <w:noProof/>
                <w:webHidden/>
              </w:rPr>
              <w:fldChar w:fldCharType="begin"/>
            </w:r>
            <w:r>
              <w:rPr>
                <w:noProof/>
                <w:webHidden/>
              </w:rPr>
              <w:instrText xml:space="preserve"> PAGEREF _Toc225629467 \h </w:instrText>
            </w:r>
            <w:r>
              <w:rPr>
                <w:noProof/>
                <w:webHidden/>
              </w:rPr>
            </w:r>
            <w:r>
              <w:rPr>
                <w:noProof/>
                <w:webHidden/>
              </w:rPr>
              <w:fldChar w:fldCharType="separate"/>
            </w:r>
            <w:r>
              <w:rPr>
                <w:noProof/>
                <w:webHidden/>
              </w:rPr>
              <w:t>4</w:t>
            </w:r>
            <w:r>
              <w:rPr>
                <w:noProof/>
                <w:webHidden/>
              </w:rPr>
              <w:fldChar w:fldCharType="end"/>
            </w:r>
          </w:hyperlink>
        </w:p>
        <w:p w14:paraId="3C2DE730" w14:textId="297E71D1" w:rsidR="00BB27FC" w:rsidRDefault="00BB27FC">
          <w:pPr>
            <w:pStyle w:val="TOC1"/>
            <w:tabs>
              <w:tab w:val="right" w:leader="dot" w:pos="9350"/>
            </w:tabs>
            <w:rPr>
              <w:noProof/>
            </w:rPr>
          </w:pPr>
          <w:hyperlink w:anchor="_Toc225629468" w:history="1">
            <w:r w:rsidRPr="00A13F27">
              <w:rPr>
                <w:rStyle w:val="Hyperlink"/>
                <w:rFonts w:ascii="Arial" w:hAnsi="Arial" w:cs="Arial"/>
                <w:noProof/>
              </w:rPr>
              <w:t>4. Health and Social Care Ethical Fundamentals</w:t>
            </w:r>
            <w:r>
              <w:rPr>
                <w:noProof/>
                <w:webHidden/>
              </w:rPr>
              <w:tab/>
            </w:r>
            <w:r>
              <w:rPr>
                <w:noProof/>
                <w:webHidden/>
              </w:rPr>
              <w:fldChar w:fldCharType="begin"/>
            </w:r>
            <w:r>
              <w:rPr>
                <w:noProof/>
                <w:webHidden/>
              </w:rPr>
              <w:instrText xml:space="preserve"> PAGEREF _Toc225629468 \h </w:instrText>
            </w:r>
            <w:r>
              <w:rPr>
                <w:noProof/>
                <w:webHidden/>
              </w:rPr>
            </w:r>
            <w:r>
              <w:rPr>
                <w:noProof/>
                <w:webHidden/>
              </w:rPr>
              <w:fldChar w:fldCharType="separate"/>
            </w:r>
            <w:r>
              <w:rPr>
                <w:noProof/>
                <w:webHidden/>
              </w:rPr>
              <w:t>5</w:t>
            </w:r>
            <w:r>
              <w:rPr>
                <w:noProof/>
                <w:webHidden/>
              </w:rPr>
              <w:fldChar w:fldCharType="end"/>
            </w:r>
          </w:hyperlink>
        </w:p>
        <w:p w14:paraId="480AFFCB" w14:textId="3FF3466F" w:rsidR="00BB27FC" w:rsidRDefault="00BB27FC">
          <w:pPr>
            <w:pStyle w:val="TOC1"/>
            <w:tabs>
              <w:tab w:val="right" w:leader="dot" w:pos="9350"/>
            </w:tabs>
            <w:rPr>
              <w:noProof/>
            </w:rPr>
          </w:pPr>
          <w:hyperlink w:anchor="_Toc225629469" w:history="1">
            <w:r w:rsidRPr="00A13F27">
              <w:rPr>
                <w:rStyle w:val="Hyperlink"/>
                <w:rFonts w:ascii="Arial" w:hAnsi="Arial" w:cs="Arial"/>
                <w:noProof/>
              </w:rPr>
              <w:t>5. Evaluation of Partnership Working in Health and Social Care</w:t>
            </w:r>
            <w:r>
              <w:rPr>
                <w:noProof/>
                <w:webHidden/>
              </w:rPr>
              <w:tab/>
            </w:r>
            <w:r>
              <w:rPr>
                <w:noProof/>
                <w:webHidden/>
              </w:rPr>
              <w:fldChar w:fldCharType="begin"/>
            </w:r>
            <w:r>
              <w:rPr>
                <w:noProof/>
                <w:webHidden/>
              </w:rPr>
              <w:instrText xml:space="preserve"> PAGEREF _Toc225629469 \h </w:instrText>
            </w:r>
            <w:r>
              <w:rPr>
                <w:noProof/>
                <w:webHidden/>
              </w:rPr>
            </w:r>
            <w:r>
              <w:rPr>
                <w:noProof/>
                <w:webHidden/>
              </w:rPr>
              <w:fldChar w:fldCharType="separate"/>
            </w:r>
            <w:r>
              <w:rPr>
                <w:noProof/>
                <w:webHidden/>
              </w:rPr>
              <w:t>6</w:t>
            </w:r>
            <w:r>
              <w:rPr>
                <w:noProof/>
                <w:webHidden/>
              </w:rPr>
              <w:fldChar w:fldCharType="end"/>
            </w:r>
          </w:hyperlink>
        </w:p>
        <w:p w14:paraId="6903E30A" w14:textId="609916A7" w:rsidR="00BB27FC" w:rsidRDefault="00BB27FC">
          <w:pPr>
            <w:pStyle w:val="TOC1"/>
            <w:tabs>
              <w:tab w:val="right" w:leader="dot" w:pos="9350"/>
            </w:tabs>
            <w:rPr>
              <w:noProof/>
            </w:rPr>
          </w:pPr>
          <w:hyperlink w:anchor="_Toc225629470" w:history="1">
            <w:r w:rsidRPr="00A13F27">
              <w:rPr>
                <w:rStyle w:val="Hyperlink"/>
                <w:rFonts w:ascii="Arial" w:hAnsi="Arial" w:cs="Arial"/>
                <w:noProof/>
              </w:rPr>
              <w:t>6. Partnership Working in Practice: Community Care for Older Adults</w:t>
            </w:r>
            <w:r>
              <w:rPr>
                <w:noProof/>
                <w:webHidden/>
              </w:rPr>
              <w:tab/>
            </w:r>
            <w:r>
              <w:rPr>
                <w:noProof/>
                <w:webHidden/>
              </w:rPr>
              <w:fldChar w:fldCharType="begin"/>
            </w:r>
            <w:r>
              <w:rPr>
                <w:noProof/>
                <w:webHidden/>
              </w:rPr>
              <w:instrText xml:space="preserve"> PAGEREF _Toc225629470 \h </w:instrText>
            </w:r>
            <w:r>
              <w:rPr>
                <w:noProof/>
                <w:webHidden/>
              </w:rPr>
            </w:r>
            <w:r>
              <w:rPr>
                <w:noProof/>
                <w:webHidden/>
              </w:rPr>
              <w:fldChar w:fldCharType="separate"/>
            </w:r>
            <w:r>
              <w:rPr>
                <w:noProof/>
                <w:webHidden/>
              </w:rPr>
              <w:t>6</w:t>
            </w:r>
            <w:r>
              <w:rPr>
                <w:noProof/>
                <w:webHidden/>
              </w:rPr>
              <w:fldChar w:fldCharType="end"/>
            </w:r>
          </w:hyperlink>
        </w:p>
        <w:p w14:paraId="5529DDBC" w14:textId="5F3F6B23" w:rsidR="00BB27FC" w:rsidRDefault="00BB27FC">
          <w:pPr>
            <w:pStyle w:val="TOC1"/>
            <w:tabs>
              <w:tab w:val="right" w:leader="dot" w:pos="9350"/>
            </w:tabs>
            <w:rPr>
              <w:noProof/>
            </w:rPr>
          </w:pPr>
          <w:hyperlink w:anchor="_Toc225629471" w:history="1">
            <w:r w:rsidRPr="00A13F27">
              <w:rPr>
                <w:rStyle w:val="Hyperlink"/>
                <w:rFonts w:ascii="Arial" w:hAnsi="Arial" w:cs="Arial"/>
                <w:noProof/>
              </w:rPr>
              <w:t>7. Policy and Legislation in Relation to PCC and Partnership Working</w:t>
            </w:r>
            <w:r>
              <w:rPr>
                <w:noProof/>
                <w:webHidden/>
              </w:rPr>
              <w:tab/>
            </w:r>
            <w:r>
              <w:rPr>
                <w:noProof/>
                <w:webHidden/>
              </w:rPr>
              <w:fldChar w:fldCharType="begin"/>
            </w:r>
            <w:r>
              <w:rPr>
                <w:noProof/>
                <w:webHidden/>
              </w:rPr>
              <w:instrText xml:space="preserve"> PAGEREF _Toc225629471 \h </w:instrText>
            </w:r>
            <w:r>
              <w:rPr>
                <w:noProof/>
                <w:webHidden/>
              </w:rPr>
            </w:r>
            <w:r>
              <w:rPr>
                <w:noProof/>
                <w:webHidden/>
              </w:rPr>
              <w:fldChar w:fldCharType="separate"/>
            </w:r>
            <w:r>
              <w:rPr>
                <w:noProof/>
                <w:webHidden/>
              </w:rPr>
              <w:t>7</w:t>
            </w:r>
            <w:r>
              <w:rPr>
                <w:noProof/>
                <w:webHidden/>
              </w:rPr>
              <w:fldChar w:fldCharType="end"/>
            </w:r>
          </w:hyperlink>
        </w:p>
        <w:p w14:paraId="422C4CBD" w14:textId="1333B00D" w:rsidR="00BB27FC" w:rsidRDefault="00BB27FC">
          <w:pPr>
            <w:pStyle w:val="TOC1"/>
            <w:tabs>
              <w:tab w:val="right" w:leader="dot" w:pos="9350"/>
            </w:tabs>
            <w:rPr>
              <w:noProof/>
            </w:rPr>
          </w:pPr>
          <w:hyperlink w:anchor="_Toc225629472" w:history="1">
            <w:r w:rsidRPr="00A13F27">
              <w:rPr>
                <w:rStyle w:val="Hyperlink"/>
                <w:rFonts w:ascii="Arial" w:hAnsi="Arial" w:cs="Arial"/>
                <w:noProof/>
              </w:rPr>
              <w:t>8. Future Development Recommendation</w:t>
            </w:r>
            <w:r>
              <w:rPr>
                <w:noProof/>
                <w:webHidden/>
              </w:rPr>
              <w:tab/>
            </w:r>
            <w:r>
              <w:rPr>
                <w:noProof/>
                <w:webHidden/>
              </w:rPr>
              <w:fldChar w:fldCharType="begin"/>
            </w:r>
            <w:r>
              <w:rPr>
                <w:noProof/>
                <w:webHidden/>
              </w:rPr>
              <w:instrText xml:space="preserve"> PAGEREF _Toc225629472 \h </w:instrText>
            </w:r>
            <w:r>
              <w:rPr>
                <w:noProof/>
                <w:webHidden/>
              </w:rPr>
            </w:r>
            <w:r>
              <w:rPr>
                <w:noProof/>
                <w:webHidden/>
              </w:rPr>
              <w:fldChar w:fldCharType="separate"/>
            </w:r>
            <w:r>
              <w:rPr>
                <w:noProof/>
                <w:webHidden/>
              </w:rPr>
              <w:t>8</w:t>
            </w:r>
            <w:r>
              <w:rPr>
                <w:noProof/>
                <w:webHidden/>
              </w:rPr>
              <w:fldChar w:fldCharType="end"/>
            </w:r>
          </w:hyperlink>
        </w:p>
        <w:p w14:paraId="3888C787" w14:textId="280BBA26" w:rsidR="00BB27FC" w:rsidRDefault="00BB27FC">
          <w:pPr>
            <w:pStyle w:val="TOC1"/>
            <w:tabs>
              <w:tab w:val="right" w:leader="dot" w:pos="9350"/>
            </w:tabs>
            <w:rPr>
              <w:noProof/>
            </w:rPr>
          </w:pPr>
          <w:hyperlink w:anchor="_Toc225629473" w:history="1">
            <w:r w:rsidRPr="00A13F27">
              <w:rPr>
                <w:rStyle w:val="Hyperlink"/>
                <w:rFonts w:ascii="Arial" w:hAnsi="Arial" w:cs="Arial"/>
                <w:noProof/>
              </w:rPr>
              <w:t>9. Conclusion</w:t>
            </w:r>
            <w:r>
              <w:rPr>
                <w:noProof/>
                <w:webHidden/>
              </w:rPr>
              <w:tab/>
            </w:r>
            <w:r>
              <w:rPr>
                <w:noProof/>
                <w:webHidden/>
              </w:rPr>
              <w:fldChar w:fldCharType="begin"/>
            </w:r>
            <w:r>
              <w:rPr>
                <w:noProof/>
                <w:webHidden/>
              </w:rPr>
              <w:instrText xml:space="preserve"> PAGEREF _Toc225629473 \h </w:instrText>
            </w:r>
            <w:r>
              <w:rPr>
                <w:noProof/>
                <w:webHidden/>
              </w:rPr>
            </w:r>
            <w:r>
              <w:rPr>
                <w:noProof/>
                <w:webHidden/>
              </w:rPr>
              <w:fldChar w:fldCharType="separate"/>
            </w:r>
            <w:r>
              <w:rPr>
                <w:noProof/>
                <w:webHidden/>
              </w:rPr>
              <w:t>8</w:t>
            </w:r>
            <w:r>
              <w:rPr>
                <w:noProof/>
                <w:webHidden/>
              </w:rPr>
              <w:fldChar w:fldCharType="end"/>
            </w:r>
          </w:hyperlink>
        </w:p>
        <w:p w14:paraId="725B49DA" w14:textId="10A39946" w:rsidR="00BB27FC" w:rsidRDefault="00BB27FC">
          <w:pPr>
            <w:pStyle w:val="TOC1"/>
            <w:tabs>
              <w:tab w:val="right" w:leader="dot" w:pos="9350"/>
            </w:tabs>
            <w:rPr>
              <w:noProof/>
            </w:rPr>
          </w:pPr>
          <w:hyperlink w:anchor="_Toc225629474" w:history="1">
            <w:r w:rsidRPr="00A13F27">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_Toc225629474 \h </w:instrText>
            </w:r>
            <w:r>
              <w:rPr>
                <w:noProof/>
                <w:webHidden/>
              </w:rPr>
            </w:r>
            <w:r>
              <w:rPr>
                <w:noProof/>
                <w:webHidden/>
              </w:rPr>
              <w:fldChar w:fldCharType="separate"/>
            </w:r>
            <w:r>
              <w:rPr>
                <w:noProof/>
                <w:webHidden/>
              </w:rPr>
              <w:t>10</w:t>
            </w:r>
            <w:r>
              <w:rPr>
                <w:noProof/>
                <w:webHidden/>
              </w:rPr>
              <w:fldChar w:fldCharType="end"/>
            </w:r>
          </w:hyperlink>
        </w:p>
        <w:p w14:paraId="62B13161" w14:textId="6F3BC05C" w:rsidR="00BB27FC" w:rsidRDefault="00BB27FC">
          <w:r>
            <w:rPr>
              <w:b/>
              <w:bCs/>
              <w:noProof/>
            </w:rPr>
            <w:fldChar w:fldCharType="end"/>
          </w:r>
        </w:p>
      </w:sdtContent>
    </w:sdt>
    <w:p w14:paraId="5C592E3B" w14:textId="77777777" w:rsidR="00AB6715" w:rsidRPr="00AB6715" w:rsidRDefault="00AB6715" w:rsidP="00AB6715">
      <w:pPr>
        <w:spacing w:line="360" w:lineRule="auto"/>
        <w:rPr>
          <w:rFonts w:ascii="Arial" w:hAnsi="Arial" w:cs="Arial"/>
          <w:sz w:val="22"/>
          <w:szCs w:val="22"/>
        </w:rPr>
      </w:pPr>
    </w:p>
    <w:p w14:paraId="514285D6" w14:textId="77777777" w:rsidR="00AB6715" w:rsidRPr="00AB6715" w:rsidRDefault="00AB6715" w:rsidP="00AB6715">
      <w:pPr>
        <w:spacing w:line="360" w:lineRule="auto"/>
        <w:rPr>
          <w:rFonts w:ascii="Arial" w:hAnsi="Arial" w:cs="Arial"/>
          <w:sz w:val="22"/>
          <w:szCs w:val="22"/>
        </w:rPr>
      </w:pPr>
    </w:p>
    <w:p w14:paraId="487D376B" w14:textId="77777777" w:rsidR="00AB6715" w:rsidRPr="00AB6715" w:rsidRDefault="00AB6715" w:rsidP="00AB6715">
      <w:pPr>
        <w:spacing w:line="360" w:lineRule="auto"/>
        <w:rPr>
          <w:rFonts w:ascii="Arial" w:hAnsi="Arial" w:cs="Arial"/>
          <w:sz w:val="22"/>
          <w:szCs w:val="22"/>
        </w:rPr>
      </w:pPr>
    </w:p>
    <w:p w14:paraId="227C75AC" w14:textId="77777777" w:rsidR="00AB6715" w:rsidRPr="00AB6715" w:rsidRDefault="00AB6715" w:rsidP="00AB6715">
      <w:pPr>
        <w:spacing w:line="360" w:lineRule="auto"/>
        <w:rPr>
          <w:rFonts w:ascii="Arial" w:hAnsi="Arial" w:cs="Arial"/>
          <w:sz w:val="22"/>
          <w:szCs w:val="22"/>
        </w:rPr>
      </w:pPr>
    </w:p>
    <w:p w14:paraId="6F967CE6" w14:textId="77777777" w:rsidR="00AB6715" w:rsidRPr="00AB6715" w:rsidRDefault="00AB6715" w:rsidP="00AB6715">
      <w:pPr>
        <w:spacing w:line="360" w:lineRule="auto"/>
        <w:rPr>
          <w:rFonts w:ascii="Arial" w:hAnsi="Arial" w:cs="Arial"/>
          <w:sz w:val="22"/>
          <w:szCs w:val="22"/>
        </w:rPr>
      </w:pPr>
    </w:p>
    <w:p w14:paraId="3F3058F8" w14:textId="77777777" w:rsidR="00AB6715" w:rsidRPr="00AB6715" w:rsidRDefault="00AB6715" w:rsidP="00AB6715">
      <w:pPr>
        <w:spacing w:line="360" w:lineRule="auto"/>
        <w:rPr>
          <w:rFonts w:ascii="Arial" w:hAnsi="Arial" w:cs="Arial"/>
          <w:sz w:val="22"/>
          <w:szCs w:val="22"/>
        </w:rPr>
      </w:pPr>
    </w:p>
    <w:p w14:paraId="5E089983" w14:textId="77777777" w:rsidR="00AB6715" w:rsidRPr="00AB6715" w:rsidRDefault="00AB6715" w:rsidP="00AB6715">
      <w:pPr>
        <w:spacing w:line="360" w:lineRule="auto"/>
        <w:rPr>
          <w:rFonts w:ascii="Arial" w:hAnsi="Arial" w:cs="Arial"/>
          <w:sz w:val="22"/>
          <w:szCs w:val="22"/>
        </w:rPr>
      </w:pPr>
    </w:p>
    <w:p w14:paraId="20983456" w14:textId="77777777" w:rsidR="00AB6715" w:rsidRPr="00AB6715" w:rsidRDefault="00AB6715" w:rsidP="00AB6715">
      <w:pPr>
        <w:spacing w:line="360" w:lineRule="auto"/>
        <w:rPr>
          <w:rFonts w:ascii="Arial" w:hAnsi="Arial" w:cs="Arial"/>
          <w:sz w:val="22"/>
          <w:szCs w:val="22"/>
        </w:rPr>
      </w:pPr>
    </w:p>
    <w:p w14:paraId="044BB79C" w14:textId="77777777" w:rsidR="00AB6715" w:rsidRPr="00AB6715" w:rsidRDefault="00AB6715" w:rsidP="00AB6715">
      <w:pPr>
        <w:spacing w:line="360" w:lineRule="auto"/>
        <w:rPr>
          <w:rFonts w:ascii="Arial" w:hAnsi="Arial" w:cs="Arial"/>
          <w:sz w:val="22"/>
          <w:szCs w:val="22"/>
        </w:rPr>
      </w:pPr>
    </w:p>
    <w:p w14:paraId="555CBFFE" w14:textId="65E12CDF" w:rsidR="00AB6715" w:rsidRPr="00AB6715" w:rsidRDefault="00AB6715" w:rsidP="00AB6715">
      <w:pPr>
        <w:pStyle w:val="Heading1"/>
        <w:rPr>
          <w:rFonts w:ascii="Arial" w:hAnsi="Arial" w:cs="Arial"/>
          <w:b/>
          <w:bCs/>
          <w:sz w:val="28"/>
          <w:szCs w:val="28"/>
        </w:rPr>
      </w:pPr>
      <w:bookmarkStart w:id="0" w:name="_Toc225629464"/>
      <w:r w:rsidRPr="00AB6715">
        <w:rPr>
          <w:rFonts w:ascii="Arial" w:hAnsi="Arial" w:cs="Arial"/>
          <w:sz w:val="28"/>
          <w:szCs w:val="28"/>
        </w:rPr>
        <w:t>Abstract</w:t>
      </w:r>
      <w:bookmarkEnd w:id="0"/>
    </w:p>
    <w:p w14:paraId="623E5E6B"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The present report considers the concept of </w:t>
      </w: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(PCC) and partnership working (PW) within the UK health and social care, using community care of older adults as the selected working scenario. It introduces PCC and the Social Model of Health as a theoretical framework and the ethical principles that govern practice. Partnership working is considered, as well as its functioning within the community, caring for the elderly. Other important laws, like the Care Act 2014 and the Health and Care Act 2022, are addressed in relation to PCC and PW. The report concludes with practical suggestions for enhancing both approaches across the UK and </w:t>
      </w:r>
      <w:proofErr w:type="spellStart"/>
      <w:r w:rsidRPr="00AB6715">
        <w:rPr>
          <w:rFonts w:ascii="Arial" w:hAnsi="Arial" w:cs="Arial"/>
          <w:sz w:val="22"/>
          <w:szCs w:val="22"/>
        </w:rPr>
        <w:t>recognises</w:t>
      </w:r>
      <w:proofErr w:type="spellEnd"/>
      <w:r w:rsidRPr="00AB6715">
        <w:rPr>
          <w:rFonts w:ascii="Arial" w:hAnsi="Arial" w:cs="Arial"/>
          <w:sz w:val="22"/>
          <w:szCs w:val="22"/>
        </w:rPr>
        <w:t xml:space="preserve"> obstacles such as funding pressures and workforce challenges.</w:t>
      </w:r>
    </w:p>
    <w:p w14:paraId="0DB92556"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w:t>
      </w:r>
    </w:p>
    <w:p w14:paraId="12DA0E64" w14:textId="77777777" w:rsidR="00AB6715" w:rsidRPr="00AB6715" w:rsidRDefault="00AB6715" w:rsidP="00AB6715">
      <w:pPr>
        <w:pStyle w:val="Heading1"/>
        <w:rPr>
          <w:rFonts w:ascii="Arial" w:hAnsi="Arial" w:cs="Arial"/>
          <w:b/>
          <w:bCs/>
          <w:sz w:val="28"/>
          <w:szCs w:val="28"/>
        </w:rPr>
      </w:pPr>
      <w:bookmarkStart w:id="1" w:name="_Toc225629465"/>
      <w:r w:rsidRPr="00AB6715">
        <w:rPr>
          <w:rFonts w:ascii="Arial" w:hAnsi="Arial" w:cs="Arial"/>
          <w:sz w:val="28"/>
          <w:szCs w:val="28"/>
        </w:rPr>
        <w:t>1. Introduction</w:t>
      </w:r>
      <w:bookmarkEnd w:id="1"/>
    </w:p>
    <w:p w14:paraId="5266C401"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Two concepts of modern health and social care in the UK are </w:t>
      </w: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and partnership working. PCC concerns an approach where the person is at the centre of their care, that is, making a consideration of their values, wishes, and personal goals instead of only relying on a diagnosis (McCormack, and McCance, 2016). Partnership working, conversely, relates to various professionals and </w:t>
      </w:r>
      <w:proofErr w:type="spellStart"/>
      <w:r w:rsidRPr="00AB6715">
        <w:rPr>
          <w:rFonts w:ascii="Arial" w:hAnsi="Arial" w:cs="Arial"/>
          <w:sz w:val="22"/>
          <w:szCs w:val="22"/>
        </w:rPr>
        <w:t>organisations</w:t>
      </w:r>
      <w:proofErr w:type="spellEnd"/>
      <w:r w:rsidRPr="00AB6715">
        <w:rPr>
          <w:rFonts w:ascii="Arial" w:hAnsi="Arial" w:cs="Arial"/>
          <w:sz w:val="22"/>
          <w:szCs w:val="22"/>
        </w:rPr>
        <w:t xml:space="preserve"> working together to deliver improved, more integrated care to people (Glasby, 2017). When these two strategies are combined, they have the potential to transform the quality of care people obtain.</w:t>
      </w:r>
    </w:p>
    <w:p w14:paraId="4B7A449C" w14:textId="239DF0B0" w:rsidR="00AB6715" w:rsidRPr="00AB6715" w:rsidRDefault="00AB6715" w:rsidP="00B52D3F">
      <w:pPr>
        <w:spacing w:line="360" w:lineRule="auto"/>
        <w:rPr>
          <w:rFonts w:ascii="Arial" w:hAnsi="Arial" w:cs="Arial"/>
          <w:sz w:val="22"/>
          <w:szCs w:val="22"/>
        </w:rPr>
      </w:pPr>
      <w:r w:rsidRPr="00AB6715">
        <w:rPr>
          <w:rFonts w:ascii="Arial" w:hAnsi="Arial" w:cs="Arial"/>
          <w:sz w:val="22"/>
          <w:szCs w:val="22"/>
        </w:rPr>
        <w:t xml:space="preserve">This report will define and </w:t>
      </w:r>
      <w:r w:rsidR="00B52D3F" w:rsidRPr="00B52D3F">
        <w:rPr>
          <w:rFonts w:ascii="Arial" w:hAnsi="Arial" w:cs="Arial"/>
          <w:sz w:val="22"/>
          <w:szCs w:val="22"/>
        </w:rPr>
        <w:t>evaluate</w:t>
      </w:r>
      <w:r w:rsidRPr="00AB6715">
        <w:rPr>
          <w:rFonts w:ascii="Arial" w:hAnsi="Arial" w:cs="Arial"/>
          <w:sz w:val="22"/>
          <w:szCs w:val="22"/>
        </w:rPr>
        <w:t xml:space="preserve"> </w:t>
      </w: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(PCC), discuss the Social Model of Health, </w:t>
      </w:r>
      <w:r w:rsidR="00B52D3F" w:rsidRPr="00B52D3F">
        <w:rPr>
          <w:rFonts w:ascii="Arial" w:hAnsi="Arial" w:cs="Arial"/>
          <w:sz w:val="22"/>
          <w:szCs w:val="22"/>
        </w:rPr>
        <w:t>analyze</w:t>
      </w:r>
      <w:r w:rsidRPr="00AB6715">
        <w:rPr>
          <w:rFonts w:ascii="Arial" w:hAnsi="Arial" w:cs="Arial"/>
          <w:sz w:val="22"/>
          <w:szCs w:val="22"/>
        </w:rPr>
        <w:t xml:space="preserve"> ethical considerations in health and social care, and examine partnership working. It focuses on community care for older adults, driven by the aging UK population.</w:t>
      </w:r>
      <w:r w:rsidR="00B52D3F" w:rsidRPr="00B52D3F">
        <w:rPr>
          <w:rFonts w:ascii="Arial" w:hAnsi="Arial" w:cs="Arial"/>
          <w:sz w:val="22"/>
          <w:szCs w:val="22"/>
        </w:rPr>
        <w:t xml:space="preserve"> Relevant legislation and policy will also be addressed, and the report will wrap up by giving recommendations </w:t>
      </w:r>
      <w:r w:rsidR="00B52D3F">
        <w:rPr>
          <w:rFonts w:ascii="Arial" w:hAnsi="Arial" w:cs="Arial"/>
          <w:sz w:val="22"/>
          <w:szCs w:val="22"/>
        </w:rPr>
        <w:t>for</w:t>
      </w:r>
      <w:r w:rsidR="00B52D3F" w:rsidRPr="00B52D3F">
        <w:rPr>
          <w:rFonts w:ascii="Arial" w:hAnsi="Arial" w:cs="Arial"/>
          <w:sz w:val="22"/>
          <w:szCs w:val="22"/>
        </w:rPr>
        <w:t xml:space="preserve"> the future. </w:t>
      </w:r>
    </w:p>
    <w:p w14:paraId="2CA7043E"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w:t>
      </w:r>
    </w:p>
    <w:p w14:paraId="1E5A83C2" w14:textId="77777777" w:rsidR="00AB6715" w:rsidRPr="00AB6715" w:rsidRDefault="00AB6715" w:rsidP="00AB6715">
      <w:pPr>
        <w:pStyle w:val="Heading1"/>
        <w:rPr>
          <w:rFonts w:ascii="Arial" w:hAnsi="Arial" w:cs="Arial"/>
          <w:b/>
          <w:bCs/>
          <w:sz w:val="28"/>
          <w:szCs w:val="28"/>
        </w:rPr>
      </w:pPr>
      <w:bookmarkStart w:id="2" w:name="_Toc225629466"/>
      <w:r w:rsidRPr="00AB6715">
        <w:rPr>
          <w:rFonts w:ascii="Arial" w:hAnsi="Arial" w:cs="Arial"/>
          <w:sz w:val="28"/>
          <w:szCs w:val="28"/>
        </w:rPr>
        <w:t xml:space="preserve">2. </w:t>
      </w:r>
      <w:proofErr w:type="spellStart"/>
      <w:r w:rsidRPr="00AB6715">
        <w:rPr>
          <w:rFonts w:ascii="Arial" w:hAnsi="Arial" w:cs="Arial"/>
          <w:sz w:val="28"/>
          <w:szCs w:val="28"/>
        </w:rPr>
        <w:t>Person-Centred</w:t>
      </w:r>
      <w:proofErr w:type="spellEnd"/>
      <w:r w:rsidRPr="00AB6715">
        <w:rPr>
          <w:rFonts w:ascii="Arial" w:hAnsi="Arial" w:cs="Arial"/>
          <w:sz w:val="28"/>
          <w:szCs w:val="28"/>
        </w:rPr>
        <w:t xml:space="preserve"> Care: Definition, Benefits and Limitations</w:t>
      </w:r>
      <w:bookmarkEnd w:id="2"/>
    </w:p>
    <w:p w14:paraId="163216F7" w14:textId="6CA81C43" w:rsidR="00AB6715" w:rsidRPr="00AB6715" w:rsidRDefault="00AB6715" w:rsidP="00AB6715">
      <w:pPr>
        <w:spacing w:line="360" w:lineRule="auto"/>
        <w:rPr>
          <w:rFonts w:ascii="Arial" w:hAnsi="Arial" w:cs="Arial"/>
          <w:sz w:val="22"/>
          <w:szCs w:val="22"/>
        </w:rPr>
      </w:pP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is a healthcare model that prioritizes the needs and </w:t>
      </w:r>
      <w:r w:rsidR="009363FC">
        <w:rPr>
          <w:rFonts w:ascii="Arial" w:hAnsi="Arial" w:cs="Arial"/>
          <w:sz w:val="22"/>
          <w:szCs w:val="22"/>
        </w:rPr>
        <w:t>wishes</w:t>
      </w:r>
      <w:r w:rsidRPr="00AB6715">
        <w:rPr>
          <w:rFonts w:ascii="Arial" w:hAnsi="Arial" w:cs="Arial"/>
          <w:sz w:val="22"/>
          <w:szCs w:val="22"/>
        </w:rPr>
        <w:t xml:space="preserve"> of an individual over the condition being treated. The Health Foundation (2016) defines it as a philosophy that </w:t>
      </w:r>
      <w:r w:rsidR="009363FC">
        <w:rPr>
          <w:rFonts w:ascii="Arial" w:hAnsi="Arial" w:cs="Arial"/>
          <w:sz w:val="22"/>
          <w:szCs w:val="22"/>
        </w:rPr>
        <w:t>help</w:t>
      </w:r>
      <w:r w:rsidRPr="00AB6715">
        <w:rPr>
          <w:rFonts w:ascii="Arial" w:hAnsi="Arial" w:cs="Arial"/>
          <w:sz w:val="22"/>
          <w:szCs w:val="22"/>
        </w:rPr>
        <w:t xml:space="preserve">s individuals to </w:t>
      </w:r>
      <w:r w:rsidR="009363FC" w:rsidRPr="00AB6715">
        <w:rPr>
          <w:rFonts w:ascii="Arial" w:hAnsi="Arial" w:cs="Arial"/>
          <w:sz w:val="22"/>
          <w:szCs w:val="22"/>
        </w:rPr>
        <w:t>achieve</w:t>
      </w:r>
      <w:r w:rsidRPr="00AB6715">
        <w:rPr>
          <w:rFonts w:ascii="Arial" w:hAnsi="Arial" w:cs="Arial"/>
          <w:sz w:val="22"/>
          <w:szCs w:val="22"/>
        </w:rPr>
        <w:t xml:space="preserve"> the knowledge, skills, and confidence they require to be in control of </w:t>
      </w:r>
      <w:r w:rsidRPr="00AB6715">
        <w:rPr>
          <w:rFonts w:ascii="Arial" w:hAnsi="Arial" w:cs="Arial"/>
          <w:sz w:val="22"/>
          <w:szCs w:val="22"/>
        </w:rPr>
        <w:lastRenderedPageBreak/>
        <w:t>their own health and make rational decisions. The NMC Code (2018), also highlights this concept, claiming that nurses are expected to focus on people and treat each subject with dignity and respect (</w:t>
      </w:r>
      <w:proofErr w:type="spellStart"/>
      <w:r w:rsidRPr="00AB6715">
        <w:rPr>
          <w:rFonts w:ascii="Arial" w:hAnsi="Arial" w:cs="Arial"/>
          <w:sz w:val="22"/>
          <w:szCs w:val="22"/>
        </w:rPr>
        <w:t>Elobaid</w:t>
      </w:r>
      <w:proofErr w:type="spellEnd"/>
      <w:r w:rsidRPr="00AB6715">
        <w:rPr>
          <w:rFonts w:ascii="Arial" w:hAnsi="Arial" w:cs="Arial"/>
          <w:sz w:val="22"/>
          <w:szCs w:val="22"/>
        </w:rPr>
        <w:t xml:space="preserve"> et al., 2025).</w:t>
      </w:r>
    </w:p>
    <w:p w14:paraId="1AA7B5A9"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PCC results in improved outcomes. McCormack and McCance (2017) state that patients become more satisfied with their care and are inclined to comply with the treatment plans when it is indeed </w:t>
      </w:r>
      <w:proofErr w:type="spellStart"/>
      <w:r w:rsidRPr="00AB6715">
        <w:rPr>
          <w:rFonts w:ascii="Arial" w:hAnsi="Arial" w:cs="Arial"/>
          <w:sz w:val="22"/>
          <w:szCs w:val="22"/>
        </w:rPr>
        <w:t>person-centred</w:t>
      </w:r>
      <w:proofErr w:type="spellEnd"/>
      <w:r w:rsidRPr="00AB6715">
        <w:rPr>
          <w:rFonts w:ascii="Arial" w:hAnsi="Arial" w:cs="Arial"/>
          <w:sz w:val="22"/>
          <w:szCs w:val="22"/>
        </w:rPr>
        <w:t>, which will consequently result in better health outcomes. The study by Wong et al. (2018) confirms that personalized multi-component interventions for older adults in the community lead to significant improvements in self-rated health, mental quality of life, and a notable reduction in falls, illustrating that person-centered care (PCC) offers practical, tangible benefits.</w:t>
      </w:r>
    </w:p>
    <w:p w14:paraId="657B6FD4" w14:textId="559B46CB"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However, </w:t>
      </w: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(PCC) faces challenges in the NHS and social care sector due to staff shortages, high workloads, and time pressures. Research by Ahmed et al. (2022) </w:t>
      </w:r>
      <w:r w:rsidR="00ED458C" w:rsidRPr="00AB6715">
        <w:rPr>
          <w:rFonts w:ascii="Arial" w:hAnsi="Arial" w:cs="Arial"/>
          <w:sz w:val="22"/>
          <w:szCs w:val="22"/>
        </w:rPr>
        <w:t>shows</w:t>
      </w:r>
      <w:r w:rsidRPr="00AB6715">
        <w:rPr>
          <w:rFonts w:ascii="Arial" w:hAnsi="Arial" w:cs="Arial"/>
          <w:sz w:val="22"/>
          <w:szCs w:val="22"/>
        </w:rPr>
        <w:t xml:space="preserve"> that organizational structures and funding in general practices often do not support PCC, </w:t>
      </w:r>
      <w:r w:rsidR="00ED458C" w:rsidRPr="00AB6715">
        <w:rPr>
          <w:rFonts w:ascii="Arial" w:hAnsi="Arial" w:cs="Arial"/>
          <w:sz w:val="22"/>
          <w:szCs w:val="22"/>
        </w:rPr>
        <w:t>combined</w:t>
      </w:r>
      <w:r w:rsidRPr="00AB6715">
        <w:rPr>
          <w:rFonts w:ascii="Arial" w:hAnsi="Arial" w:cs="Arial"/>
          <w:sz w:val="22"/>
          <w:szCs w:val="22"/>
        </w:rPr>
        <w:t xml:space="preserve"> by poor interprofessional coordination. </w:t>
      </w:r>
      <w:r w:rsidR="00ED458C">
        <w:rPr>
          <w:rFonts w:ascii="Arial" w:hAnsi="Arial" w:cs="Arial"/>
          <w:sz w:val="22"/>
          <w:szCs w:val="22"/>
        </w:rPr>
        <w:t>Furthermore</w:t>
      </w:r>
      <w:r w:rsidRPr="00AB6715">
        <w:rPr>
          <w:rFonts w:ascii="Arial" w:hAnsi="Arial" w:cs="Arial"/>
          <w:sz w:val="22"/>
          <w:szCs w:val="22"/>
        </w:rPr>
        <w:t xml:space="preserve">, some professionals may resist the shift to PCC, and language and cultural barriers can </w:t>
      </w:r>
      <w:r w:rsidR="00ED458C" w:rsidRPr="00AB6715">
        <w:rPr>
          <w:rFonts w:ascii="Arial" w:hAnsi="Arial" w:cs="Arial"/>
          <w:sz w:val="22"/>
          <w:szCs w:val="22"/>
        </w:rPr>
        <w:t>delay</w:t>
      </w:r>
      <w:r w:rsidRPr="00AB6715">
        <w:rPr>
          <w:rFonts w:ascii="Arial" w:hAnsi="Arial" w:cs="Arial"/>
          <w:sz w:val="22"/>
          <w:szCs w:val="22"/>
        </w:rPr>
        <w:t xml:space="preserve"> access for non-majority individuals (Engel, 1977). </w:t>
      </w:r>
    </w:p>
    <w:p w14:paraId="28845EAA" w14:textId="77777777" w:rsidR="00AB6715" w:rsidRPr="00AB6715" w:rsidRDefault="00AB6715" w:rsidP="00AB6715">
      <w:pPr>
        <w:spacing w:line="360" w:lineRule="auto"/>
        <w:rPr>
          <w:rFonts w:ascii="Arial" w:hAnsi="Arial" w:cs="Arial"/>
          <w:sz w:val="22"/>
          <w:szCs w:val="22"/>
        </w:rPr>
      </w:pPr>
    </w:p>
    <w:p w14:paraId="4B7E0EDA" w14:textId="77777777" w:rsidR="00AB6715" w:rsidRPr="00AB6715" w:rsidRDefault="00AB6715" w:rsidP="00AB6715">
      <w:pPr>
        <w:pStyle w:val="Heading1"/>
        <w:rPr>
          <w:rFonts w:ascii="Arial" w:hAnsi="Arial" w:cs="Arial"/>
          <w:sz w:val="28"/>
          <w:szCs w:val="28"/>
        </w:rPr>
      </w:pPr>
      <w:bookmarkStart w:id="3" w:name="_Toc225629467"/>
      <w:r w:rsidRPr="00AB6715">
        <w:rPr>
          <w:rFonts w:ascii="Arial" w:hAnsi="Arial" w:cs="Arial"/>
          <w:sz w:val="28"/>
          <w:szCs w:val="28"/>
        </w:rPr>
        <w:t>3. Theoretical Foundation: The Social Model of Health.</w:t>
      </w:r>
      <w:bookmarkEnd w:id="3"/>
    </w:p>
    <w:p w14:paraId="3E0C9E2F" w14:textId="77777777" w:rsidR="00AB6715" w:rsidRPr="00AB6715" w:rsidRDefault="00AB6715" w:rsidP="00AB6715">
      <w:pPr>
        <w:spacing w:line="360" w:lineRule="auto"/>
        <w:rPr>
          <w:rFonts w:ascii="Arial" w:hAnsi="Arial" w:cs="Arial"/>
          <w:sz w:val="22"/>
          <w:szCs w:val="22"/>
        </w:rPr>
      </w:pP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can be supported by several theories and models. In this report, the Social Model of Health was selected due to its applicability, especially in the case of PCC and in the context of setting up community care in the elderly.</w:t>
      </w:r>
    </w:p>
    <w:p w14:paraId="051D3483"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The Social Model of Health was formed to some extent in reaction to the Medical Model, which has a tendency to think of health in terms of disease, symptoms, and clinical treatment (Engel, 1977). The Social Model has a much broader perspective in its stance, and argues that housing, income, education, social relationships, and service access are key determinants of health (Dahlgren and Whitehead, 2007). This is particularly applicable to older adults residing in the community at home, such as loneliness and poverty, or poor housing, which can affect the health of a person even as much as any physical illness.</w:t>
      </w:r>
    </w:p>
    <w:p w14:paraId="4C744B59"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Practically, the Social Model invites care workers to contemplate clinical manifestation of the individual and their broader conditions. To illustrate, where a practitioner would make a physical evaluation of an individual, in a community care setting, applying the Social Model would also </w:t>
      </w:r>
      <w:r w:rsidRPr="00AB6715">
        <w:rPr>
          <w:rFonts w:ascii="Arial" w:hAnsi="Arial" w:cs="Arial"/>
          <w:sz w:val="22"/>
          <w:szCs w:val="22"/>
        </w:rPr>
        <w:lastRenderedPageBreak/>
        <w:t>imply evaluating the social support system of the individual, their financial status, and access to services available in the locality. Such holistic perspective is more appropriate with PCC since it results in care plans that deal with the actual root causes of ill-health (Marmot, 2025). Nevertheless, the Social Model is of great importance as a pillar to PCC in community health and social care. </w:t>
      </w:r>
    </w:p>
    <w:p w14:paraId="247B734B" w14:textId="77777777" w:rsidR="00AB6715" w:rsidRPr="00AB6715" w:rsidRDefault="00AB6715" w:rsidP="00AB6715">
      <w:pPr>
        <w:spacing w:line="360" w:lineRule="auto"/>
        <w:rPr>
          <w:rFonts w:ascii="Arial" w:hAnsi="Arial" w:cs="Arial"/>
          <w:sz w:val="22"/>
          <w:szCs w:val="22"/>
        </w:rPr>
      </w:pPr>
    </w:p>
    <w:p w14:paraId="2F02D58B" w14:textId="652A2740" w:rsidR="00AB6715" w:rsidRPr="00AB6715" w:rsidRDefault="00AB6715" w:rsidP="00AB6715">
      <w:pPr>
        <w:pStyle w:val="Heading1"/>
        <w:rPr>
          <w:rFonts w:ascii="Arial" w:hAnsi="Arial" w:cs="Arial"/>
          <w:sz w:val="28"/>
          <w:szCs w:val="28"/>
        </w:rPr>
      </w:pPr>
      <w:bookmarkStart w:id="4" w:name="_Toc225629468"/>
      <w:r w:rsidRPr="00AB6715">
        <w:rPr>
          <w:rFonts w:ascii="Arial" w:hAnsi="Arial" w:cs="Arial"/>
          <w:sz w:val="28"/>
          <w:szCs w:val="28"/>
        </w:rPr>
        <w:t>4. Health and Social Care Ethical Fundamentals</w:t>
      </w:r>
      <w:bookmarkEnd w:id="4"/>
    </w:p>
    <w:p w14:paraId="1AC71269"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The practice of social care and good health revolves around ethics. Beauchamp and Childress defined the four predominant ethical principles prevalent in healthcare autonomy, beneficence, non-maleficence, and justice, which continue in common use (Furlan, 2024). Autonomy involves giving one the right to make personal decisions regarding their care. When applied to PCC, this refers to engaging individuals in all phases of their care planning and attentively hearing their desires, which may conflict with their views.</w:t>
      </w:r>
    </w:p>
    <w:p w14:paraId="621A029C"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Beneficence implies doing what is in the best interests of the individual, whereas non-maleficence is doing without causing harm. The latter two principles might conflict in some cases. In the community care of the elderly, as an example, a service user may wish to live his life on his own at home, even though there are some safety risks. The practitioner in this case must strike a balance between the desire to ensure that the individual is safe and the desire to allow him or her to make decisions on their own (Dixon, 2023). Such ethical dilemma is rather widespread in practice and it matters to make a given decision thoughtfully.</w:t>
      </w:r>
    </w:p>
    <w:p w14:paraId="1AE30AEB"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Justice is concerned with how everyone is treated and that the distribution of resources is equally distributed. This is supported in the UK, by the Equality Act 2010, which forbids discrimination of individuals in delivering services based on the nature of age, disability or race. The HCPC (2016) Standards of Conduct, Performance and Ethics also provide clear guidelines on the expectations of the practitioners such as honesty, accountability, and prioritizing the wellbeing of the service users. Devaney (2016), also orients to the vitality of these values by outlining the seven principles of the life of a population. </w:t>
      </w:r>
    </w:p>
    <w:p w14:paraId="13269099" w14:textId="77777777" w:rsidR="00AB6715" w:rsidRPr="00AB6715" w:rsidRDefault="00AB6715" w:rsidP="00AB6715">
      <w:pPr>
        <w:spacing w:line="360" w:lineRule="auto"/>
        <w:rPr>
          <w:rFonts w:ascii="Arial" w:hAnsi="Arial" w:cs="Arial"/>
          <w:sz w:val="22"/>
          <w:szCs w:val="22"/>
        </w:rPr>
      </w:pPr>
    </w:p>
    <w:p w14:paraId="4985EC0A" w14:textId="77777777" w:rsidR="00AB6715" w:rsidRPr="00AB6715" w:rsidRDefault="00AB6715" w:rsidP="00AB6715">
      <w:pPr>
        <w:pStyle w:val="Heading1"/>
        <w:rPr>
          <w:rFonts w:ascii="Arial" w:hAnsi="Arial" w:cs="Arial"/>
          <w:sz w:val="28"/>
          <w:szCs w:val="28"/>
        </w:rPr>
      </w:pPr>
      <w:bookmarkStart w:id="5" w:name="_Toc225629469"/>
      <w:r w:rsidRPr="00AB6715">
        <w:rPr>
          <w:rFonts w:ascii="Arial" w:hAnsi="Arial" w:cs="Arial"/>
          <w:sz w:val="28"/>
          <w:szCs w:val="28"/>
        </w:rPr>
        <w:lastRenderedPageBreak/>
        <w:t>5. Evaluation of Partnership Working in Health and Social Care</w:t>
      </w:r>
      <w:bookmarkEnd w:id="5"/>
    </w:p>
    <w:p w14:paraId="3BBA2DFA"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Partnership working is the collaboration between various professionals, agencies, and </w:t>
      </w:r>
      <w:proofErr w:type="spellStart"/>
      <w:r w:rsidRPr="00AB6715">
        <w:rPr>
          <w:rFonts w:ascii="Arial" w:hAnsi="Arial" w:cs="Arial"/>
          <w:sz w:val="22"/>
          <w:szCs w:val="22"/>
        </w:rPr>
        <w:t>organisations</w:t>
      </w:r>
      <w:proofErr w:type="spellEnd"/>
      <w:r w:rsidRPr="00AB6715">
        <w:rPr>
          <w:rFonts w:ascii="Arial" w:hAnsi="Arial" w:cs="Arial"/>
          <w:sz w:val="22"/>
          <w:szCs w:val="22"/>
        </w:rPr>
        <w:t xml:space="preserve"> as well as service users themselves towards achieving a common objective (Glasby, 2017). Partnership working has become a key government policy in the UK in recent years. Health and Care Act 2022 brought about the  Integrated Care Systems (ICSs), where NHS trusts, local councils, and voluntary </w:t>
      </w:r>
      <w:proofErr w:type="spellStart"/>
      <w:r w:rsidRPr="00AB6715">
        <w:rPr>
          <w:rFonts w:ascii="Arial" w:hAnsi="Arial" w:cs="Arial"/>
          <w:sz w:val="22"/>
          <w:szCs w:val="22"/>
        </w:rPr>
        <w:t>organisations</w:t>
      </w:r>
      <w:proofErr w:type="spellEnd"/>
      <w:r w:rsidRPr="00AB6715">
        <w:rPr>
          <w:rFonts w:ascii="Arial" w:hAnsi="Arial" w:cs="Arial"/>
          <w:sz w:val="22"/>
          <w:szCs w:val="22"/>
        </w:rPr>
        <w:t xml:space="preserve"> should plan and provide care to the local population in a more aligned manner.</w:t>
      </w:r>
    </w:p>
    <w:p w14:paraId="7082AB4E"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The interprofessional approach brings about deeper assessment of patients, reduced duplication of efforts, and ease in transfer of patients between services. To the elderly in society, the presence of  GPs, community nurses, social workers, and voluntary </w:t>
      </w:r>
      <w:proofErr w:type="spellStart"/>
      <w:r w:rsidRPr="00AB6715">
        <w:rPr>
          <w:rFonts w:ascii="Arial" w:hAnsi="Arial" w:cs="Arial"/>
          <w:sz w:val="22"/>
          <w:szCs w:val="22"/>
        </w:rPr>
        <w:t>organisations</w:t>
      </w:r>
      <w:proofErr w:type="spellEnd"/>
      <w:r w:rsidRPr="00AB6715">
        <w:rPr>
          <w:rFonts w:ascii="Arial" w:hAnsi="Arial" w:cs="Arial"/>
          <w:sz w:val="22"/>
          <w:szCs w:val="22"/>
        </w:rPr>
        <w:t xml:space="preserve"> in the community working together can mean a lot, especially when the needs of a particular person are complex and can not be fulfilled by any particular service. The value of the multi-disciplinary approaches is also proven because the results of the interventions involving the participation of various professionals and different types of support are better in relation to older adults (Wong et al., 2018).</w:t>
      </w:r>
    </w:p>
    <w:p w14:paraId="7FD1A128" w14:textId="4A0CA27C" w:rsidR="00AB6715" w:rsidRPr="00AB6715" w:rsidRDefault="00AE31FE" w:rsidP="00AB6715">
      <w:pPr>
        <w:spacing w:line="360" w:lineRule="auto"/>
        <w:rPr>
          <w:rFonts w:ascii="Arial" w:hAnsi="Arial" w:cs="Arial"/>
          <w:sz w:val="22"/>
          <w:szCs w:val="22"/>
        </w:rPr>
      </w:pPr>
      <w:r w:rsidRPr="00AB6715">
        <w:rPr>
          <w:rFonts w:ascii="Arial" w:hAnsi="Arial" w:cs="Arial"/>
          <w:sz w:val="22"/>
          <w:szCs w:val="22"/>
        </w:rPr>
        <w:t>Also</w:t>
      </w:r>
      <w:r w:rsidR="00AB6715" w:rsidRPr="00AB6715">
        <w:rPr>
          <w:rFonts w:ascii="Arial" w:hAnsi="Arial" w:cs="Arial"/>
          <w:sz w:val="22"/>
          <w:szCs w:val="22"/>
        </w:rPr>
        <w:t>, Partnership working often faces challenges</w:t>
      </w:r>
      <w:r>
        <w:rPr>
          <w:rFonts w:ascii="Arial" w:hAnsi="Arial" w:cs="Arial"/>
          <w:sz w:val="22"/>
          <w:szCs w:val="22"/>
        </w:rPr>
        <w:t xml:space="preserve"> (</w:t>
      </w:r>
      <w:r w:rsidRPr="00AB6715">
        <w:rPr>
          <w:rFonts w:ascii="Arial" w:hAnsi="Arial" w:cs="Arial"/>
          <w:sz w:val="22"/>
          <w:szCs w:val="22"/>
        </w:rPr>
        <w:t>Thomson and Chatterjee</w:t>
      </w:r>
      <w:r>
        <w:rPr>
          <w:rFonts w:ascii="Arial" w:hAnsi="Arial" w:cs="Arial"/>
          <w:sz w:val="22"/>
          <w:szCs w:val="22"/>
        </w:rPr>
        <w:t>,</w:t>
      </w:r>
      <w:r w:rsidRPr="00AB6715">
        <w:rPr>
          <w:rFonts w:ascii="Arial" w:hAnsi="Arial" w:cs="Arial"/>
          <w:sz w:val="22"/>
          <w:szCs w:val="22"/>
        </w:rPr>
        <w:t>2024</w:t>
      </w:r>
      <w:r>
        <w:rPr>
          <w:rFonts w:ascii="Arial" w:hAnsi="Arial" w:cs="Arial"/>
          <w:sz w:val="22"/>
          <w:szCs w:val="22"/>
        </w:rPr>
        <w:t>)</w:t>
      </w:r>
      <w:r w:rsidR="00AB6715" w:rsidRPr="00AB6715">
        <w:rPr>
          <w:rFonts w:ascii="Arial" w:hAnsi="Arial" w:cs="Arial"/>
          <w:sz w:val="22"/>
          <w:szCs w:val="22"/>
        </w:rPr>
        <w:t>. Key barriers include differences in professional culture, ineffective communication, and fragmented IT systems. Additionally, competition for funding can undermine cooperation among services. These significant issues can jeopardize the potential benefits of partnership working if not addressed (NHS England, 2023).</w:t>
      </w:r>
    </w:p>
    <w:p w14:paraId="57B52515" w14:textId="77777777" w:rsidR="00AB6715" w:rsidRPr="00AB6715" w:rsidRDefault="00AB6715" w:rsidP="00AB6715">
      <w:pPr>
        <w:spacing w:line="360" w:lineRule="auto"/>
        <w:rPr>
          <w:rFonts w:ascii="Arial" w:hAnsi="Arial" w:cs="Arial"/>
          <w:sz w:val="22"/>
          <w:szCs w:val="22"/>
        </w:rPr>
      </w:pPr>
    </w:p>
    <w:p w14:paraId="2820785D" w14:textId="77777777" w:rsidR="00AB6715" w:rsidRPr="00AB6715" w:rsidRDefault="00AB6715" w:rsidP="00AB6715">
      <w:pPr>
        <w:pStyle w:val="Heading1"/>
        <w:rPr>
          <w:rFonts w:ascii="Arial" w:hAnsi="Arial" w:cs="Arial"/>
          <w:sz w:val="28"/>
          <w:szCs w:val="28"/>
        </w:rPr>
      </w:pPr>
      <w:bookmarkStart w:id="6" w:name="_Toc225629470"/>
      <w:r w:rsidRPr="00AB6715">
        <w:rPr>
          <w:rFonts w:ascii="Arial" w:hAnsi="Arial" w:cs="Arial"/>
          <w:sz w:val="28"/>
          <w:szCs w:val="28"/>
        </w:rPr>
        <w:t>6. Partnership Working in Practice: Community Care for Older Adults</w:t>
      </w:r>
      <w:bookmarkEnd w:id="6"/>
    </w:p>
    <w:p w14:paraId="00B652F1"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Partnership at work is a good example of community care for older adults. The working environment in this scenario involves collaboration among various professionals, including district nurses, GPs, social workers, occupational therapists, and community-sector volunteers, to ensure that people can continue to live independently in their respective homes. Such a multi-agency strategy is a direct reflection of both PCC and the Social Model of Health. It is essential to understand that the needs of older adults are multifaceted, and they cannot be fulfilled solely by healthcare.</w:t>
      </w:r>
    </w:p>
    <w:p w14:paraId="6D98A224" w14:textId="33A2C66D"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When complex interventions, which included individual assessment, </w:t>
      </w:r>
      <w:proofErr w:type="spellStart"/>
      <w:r w:rsidRPr="00AB6715">
        <w:rPr>
          <w:rFonts w:ascii="Arial" w:hAnsi="Arial" w:cs="Arial"/>
          <w:sz w:val="22"/>
          <w:szCs w:val="22"/>
        </w:rPr>
        <w:t>personalised</w:t>
      </w:r>
      <w:proofErr w:type="spellEnd"/>
      <w:r w:rsidRPr="00AB6715">
        <w:rPr>
          <w:rFonts w:ascii="Arial" w:hAnsi="Arial" w:cs="Arial"/>
          <w:sz w:val="22"/>
          <w:szCs w:val="22"/>
        </w:rPr>
        <w:t xml:space="preserve"> care plans, and informational and support </w:t>
      </w:r>
      <w:r w:rsidR="009363FC">
        <w:rPr>
          <w:rFonts w:ascii="Arial" w:hAnsi="Arial" w:cs="Arial"/>
          <w:sz w:val="22"/>
          <w:szCs w:val="22"/>
        </w:rPr>
        <w:t>from</w:t>
      </w:r>
      <w:r w:rsidRPr="00AB6715">
        <w:rPr>
          <w:rFonts w:ascii="Arial" w:hAnsi="Arial" w:cs="Arial"/>
          <w:sz w:val="22"/>
          <w:szCs w:val="22"/>
        </w:rPr>
        <w:t xml:space="preserve"> various professionals, were received by older adults in the community, they recorded significant changes in their health and quality of life, and fewer falls. This confirms the thesis that multi-disciplinary partnering-based care, when appropriately coordinated and </w:t>
      </w: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can really change the lives of people. The results are also in line with the aspirations of the NHS Long Term Plan of more integrated and </w:t>
      </w:r>
      <w:proofErr w:type="spellStart"/>
      <w:r w:rsidRPr="00AB6715">
        <w:rPr>
          <w:rFonts w:ascii="Arial" w:hAnsi="Arial" w:cs="Arial"/>
          <w:sz w:val="22"/>
          <w:szCs w:val="22"/>
        </w:rPr>
        <w:t>personalised</w:t>
      </w:r>
      <w:proofErr w:type="spellEnd"/>
      <w:r w:rsidRPr="00AB6715">
        <w:rPr>
          <w:rFonts w:ascii="Arial" w:hAnsi="Arial" w:cs="Arial"/>
          <w:sz w:val="22"/>
          <w:szCs w:val="22"/>
        </w:rPr>
        <w:t xml:space="preserve"> community care (NHS England, 2019).</w:t>
      </w:r>
    </w:p>
    <w:p w14:paraId="139140EF" w14:textId="77777777" w:rsidR="00AB6715" w:rsidRPr="00AB6715" w:rsidRDefault="00AB6715" w:rsidP="00AB6715">
      <w:pPr>
        <w:spacing w:line="360" w:lineRule="auto"/>
        <w:rPr>
          <w:rFonts w:ascii="Arial" w:hAnsi="Arial" w:cs="Arial"/>
          <w:sz w:val="22"/>
          <w:szCs w:val="22"/>
        </w:rPr>
      </w:pPr>
    </w:p>
    <w:p w14:paraId="4674C799" w14:textId="77777777" w:rsidR="00AB6715" w:rsidRPr="00AB6715" w:rsidRDefault="00AB6715" w:rsidP="00AB6715">
      <w:pPr>
        <w:pStyle w:val="Heading1"/>
        <w:rPr>
          <w:rFonts w:ascii="Arial" w:hAnsi="Arial" w:cs="Arial"/>
          <w:sz w:val="28"/>
          <w:szCs w:val="28"/>
        </w:rPr>
      </w:pPr>
      <w:bookmarkStart w:id="7" w:name="_Toc225629471"/>
      <w:r w:rsidRPr="00AB6715">
        <w:rPr>
          <w:rFonts w:ascii="Arial" w:hAnsi="Arial" w:cs="Arial"/>
          <w:sz w:val="28"/>
          <w:szCs w:val="28"/>
        </w:rPr>
        <w:t>7. Policy and Legislation in Relation to PCC and Partnership Working</w:t>
      </w:r>
      <w:bookmarkEnd w:id="7"/>
    </w:p>
    <w:p w14:paraId="46FCB985"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The Care Act 2014 is a key piece of UK legislation in adult social care that mandates local authorities to support individual well-being and involve people in their decision-making processes. It emphasizes the importance of care plans reflecting personal goals, aligning with person-centered care (PCC) principles, while also upholding ethical duties to safeguard vulnerable individuals without compromising their independence (Dixon, 2023).</w:t>
      </w:r>
    </w:p>
    <w:p w14:paraId="2C6890CC" w14:textId="501635BC"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The Health and Social Care Act 2012 brought some fundamental changes in the structure of the NHS, introducing new commissioning touches and, in theory, more possibilities of integration. Nevertheless, it has been </w:t>
      </w:r>
      <w:proofErr w:type="spellStart"/>
      <w:r w:rsidRPr="00AB6715">
        <w:rPr>
          <w:rFonts w:ascii="Arial" w:hAnsi="Arial" w:cs="Arial"/>
          <w:sz w:val="22"/>
          <w:szCs w:val="22"/>
        </w:rPr>
        <w:t>criticised</w:t>
      </w:r>
      <w:proofErr w:type="spellEnd"/>
      <w:r w:rsidRPr="00AB6715">
        <w:rPr>
          <w:rFonts w:ascii="Arial" w:hAnsi="Arial" w:cs="Arial"/>
          <w:sz w:val="22"/>
          <w:szCs w:val="22"/>
        </w:rPr>
        <w:t xml:space="preserve"> for also introducing a more market-based approach, which might in fact complicate collaboration in certain situations (Glasby, 2017). ICSs were officially established under a statutory obligation to cooperate in health and social care, partly in response to such concerns by the Health and Care Act 2022. This is a reasonable move towards </w:t>
      </w:r>
      <w:r w:rsidR="009363FC">
        <w:rPr>
          <w:rFonts w:ascii="Arial" w:hAnsi="Arial" w:cs="Arial"/>
          <w:sz w:val="22"/>
          <w:szCs w:val="22"/>
        </w:rPr>
        <w:t>structural-level</w:t>
      </w:r>
      <w:r w:rsidRPr="00AB6715">
        <w:rPr>
          <w:rFonts w:ascii="Arial" w:hAnsi="Arial" w:cs="Arial"/>
          <w:sz w:val="22"/>
          <w:szCs w:val="22"/>
        </w:rPr>
        <w:t xml:space="preserve"> partnership working.</w:t>
      </w:r>
    </w:p>
    <w:p w14:paraId="4287BC2C"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The NHS Long Term Plan (NHS England, 2019) states a firm obligation to </w:t>
      </w:r>
      <w:proofErr w:type="spellStart"/>
      <w:r w:rsidRPr="00AB6715">
        <w:rPr>
          <w:rFonts w:ascii="Arial" w:hAnsi="Arial" w:cs="Arial"/>
          <w:sz w:val="22"/>
          <w:szCs w:val="22"/>
        </w:rPr>
        <w:t>personalised</w:t>
      </w:r>
      <w:proofErr w:type="spellEnd"/>
      <w:r w:rsidRPr="00AB6715">
        <w:rPr>
          <w:rFonts w:ascii="Arial" w:hAnsi="Arial" w:cs="Arial"/>
          <w:sz w:val="22"/>
          <w:szCs w:val="22"/>
        </w:rPr>
        <w:t xml:space="preserve"> care, where 2.5 million individuals will receive </w:t>
      </w:r>
      <w:proofErr w:type="spellStart"/>
      <w:r w:rsidRPr="00AB6715">
        <w:rPr>
          <w:rFonts w:ascii="Arial" w:hAnsi="Arial" w:cs="Arial"/>
          <w:sz w:val="22"/>
          <w:szCs w:val="22"/>
        </w:rPr>
        <w:t>personalised</w:t>
      </w:r>
      <w:proofErr w:type="spellEnd"/>
      <w:r w:rsidRPr="00AB6715">
        <w:rPr>
          <w:rFonts w:ascii="Arial" w:hAnsi="Arial" w:cs="Arial"/>
          <w:sz w:val="22"/>
          <w:szCs w:val="22"/>
        </w:rPr>
        <w:t xml:space="preserve"> care methods by 2024. It encourages and supports self-management, shared decision-making, and health promotion as feasible mechanisms of PCC delivery at scale. In the case of partnership working, the Plan focuses on the importance of ICSs and community-based partnerships in handling health inequalities. Combined, these policies and legislations offer a powerful platform for building PCC and PW in the UK, although the policy-to-practice translation task is still among the largest to date.</w:t>
      </w:r>
    </w:p>
    <w:p w14:paraId="6C4ACA8F"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w:t>
      </w:r>
    </w:p>
    <w:p w14:paraId="0C49C358" w14:textId="16CB18FF" w:rsidR="00AB6715" w:rsidRPr="00AB6715" w:rsidRDefault="00AB6715" w:rsidP="00AB6715">
      <w:pPr>
        <w:pStyle w:val="Heading1"/>
        <w:rPr>
          <w:rFonts w:ascii="Arial" w:hAnsi="Arial" w:cs="Arial"/>
          <w:sz w:val="28"/>
          <w:szCs w:val="28"/>
        </w:rPr>
      </w:pPr>
      <w:bookmarkStart w:id="8" w:name="_Toc225629472"/>
      <w:r w:rsidRPr="00AB6715">
        <w:rPr>
          <w:rFonts w:ascii="Arial" w:hAnsi="Arial" w:cs="Arial"/>
          <w:sz w:val="28"/>
          <w:szCs w:val="28"/>
        </w:rPr>
        <w:t>8. Future Development Recommendation</w:t>
      </w:r>
      <w:bookmarkEnd w:id="8"/>
    </w:p>
    <w:p w14:paraId="04D7AFF5"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This report provides three recommendations on how PCC and partnership can be improved in the UK, based on the evidence presented.</w:t>
      </w:r>
    </w:p>
    <w:p w14:paraId="6E6831B0" w14:textId="3A66B21F"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The First recommendation is the necessity of increased investment in worker training to enable practitioners to deliver </w:t>
      </w: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effectively. Training must be grounded in the ethical principles and professional standards established by the NMC (2018) and HCPC (2016). </w:t>
      </w:r>
      <w:r w:rsidR="00AE31FE">
        <w:rPr>
          <w:rFonts w:ascii="Arial" w:hAnsi="Arial" w:cs="Arial"/>
          <w:sz w:val="22"/>
          <w:szCs w:val="22"/>
        </w:rPr>
        <w:t>T</w:t>
      </w:r>
      <w:r w:rsidRPr="00AB6715">
        <w:rPr>
          <w:rFonts w:ascii="Arial" w:hAnsi="Arial" w:cs="Arial"/>
          <w:sz w:val="22"/>
          <w:szCs w:val="22"/>
        </w:rPr>
        <w:t>he quality of training for staff involved in community-based interventions is directly linked to effectiveness, reinforcing that workforce investment is essential</w:t>
      </w:r>
      <w:r w:rsidR="00AE31FE" w:rsidRPr="00AE31FE">
        <w:rPr>
          <w:rFonts w:ascii="Arial" w:hAnsi="Arial" w:cs="Arial"/>
          <w:sz w:val="22"/>
          <w:szCs w:val="22"/>
        </w:rPr>
        <w:t xml:space="preserve"> </w:t>
      </w:r>
      <w:r w:rsidR="00AE31FE">
        <w:rPr>
          <w:rFonts w:ascii="Arial" w:hAnsi="Arial" w:cs="Arial"/>
          <w:sz w:val="22"/>
          <w:szCs w:val="22"/>
        </w:rPr>
        <w:t>(</w:t>
      </w:r>
      <w:r w:rsidR="00AE31FE" w:rsidRPr="00AB6715">
        <w:rPr>
          <w:rFonts w:ascii="Arial" w:hAnsi="Arial" w:cs="Arial"/>
          <w:sz w:val="22"/>
          <w:szCs w:val="22"/>
        </w:rPr>
        <w:t>Wong et al.</w:t>
      </w:r>
      <w:r w:rsidR="00AE31FE">
        <w:rPr>
          <w:rFonts w:ascii="Arial" w:hAnsi="Arial" w:cs="Arial"/>
          <w:sz w:val="22"/>
          <w:szCs w:val="22"/>
        </w:rPr>
        <w:t xml:space="preserve">, </w:t>
      </w:r>
      <w:r w:rsidR="00AE31FE" w:rsidRPr="00AB6715">
        <w:rPr>
          <w:rFonts w:ascii="Arial" w:hAnsi="Arial" w:cs="Arial"/>
          <w:sz w:val="22"/>
          <w:szCs w:val="22"/>
        </w:rPr>
        <w:t>2018)</w:t>
      </w:r>
      <w:r w:rsidRPr="00AB6715">
        <w:rPr>
          <w:rFonts w:ascii="Arial" w:hAnsi="Arial" w:cs="Arial"/>
          <w:sz w:val="22"/>
          <w:szCs w:val="22"/>
        </w:rPr>
        <w:t>.</w:t>
      </w:r>
    </w:p>
    <w:p w14:paraId="77C19C1B" w14:textId="40DBE221"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The second recommendation is </w:t>
      </w:r>
      <w:r w:rsidR="00AE31FE">
        <w:rPr>
          <w:rFonts w:ascii="Arial" w:hAnsi="Arial" w:cs="Arial"/>
          <w:sz w:val="22"/>
          <w:szCs w:val="22"/>
        </w:rPr>
        <w:t>to increase</w:t>
      </w:r>
      <w:r w:rsidRPr="00AB6715">
        <w:rPr>
          <w:rFonts w:ascii="Arial" w:hAnsi="Arial" w:cs="Arial"/>
          <w:sz w:val="22"/>
          <w:szCs w:val="22"/>
        </w:rPr>
        <w:t xml:space="preserve"> digital technology </w:t>
      </w:r>
      <w:r w:rsidR="00AE31FE" w:rsidRPr="00AB6715">
        <w:rPr>
          <w:rFonts w:ascii="Arial" w:hAnsi="Arial" w:cs="Arial"/>
          <w:sz w:val="22"/>
          <w:szCs w:val="22"/>
        </w:rPr>
        <w:t>usage</w:t>
      </w:r>
      <w:r w:rsidRPr="00AB6715">
        <w:rPr>
          <w:rFonts w:ascii="Arial" w:hAnsi="Arial" w:cs="Arial"/>
          <w:sz w:val="22"/>
          <w:szCs w:val="22"/>
        </w:rPr>
        <w:t xml:space="preserve"> in health and social care to </w:t>
      </w:r>
      <w:r w:rsidR="00AE31FE" w:rsidRPr="00AB6715">
        <w:rPr>
          <w:rFonts w:ascii="Arial" w:hAnsi="Arial" w:cs="Arial"/>
          <w:sz w:val="22"/>
          <w:szCs w:val="22"/>
        </w:rPr>
        <w:t>progress</w:t>
      </w:r>
      <w:r w:rsidRPr="00AB6715">
        <w:rPr>
          <w:rFonts w:ascii="Arial" w:hAnsi="Arial" w:cs="Arial"/>
          <w:sz w:val="22"/>
          <w:szCs w:val="22"/>
        </w:rPr>
        <w:t xml:space="preserve"> information sharing among organizations. Masoli et al. (2023) indicate that effective digital systems can </w:t>
      </w:r>
      <w:r w:rsidR="00AE31FE">
        <w:rPr>
          <w:rFonts w:ascii="Arial" w:hAnsi="Arial" w:cs="Arial"/>
          <w:sz w:val="22"/>
          <w:szCs w:val="22"/>
        </w:rPr>
        <w:t>help</w:t>
      </w:r>
      <w:r w:rsidRPr="00AB6715">
        <w:rPr>
          <w:rFonts w:ascii="Arial" w:hAnsi="Arial" w:cs="Arial"/>
          <w:sz w:val="22"/>
          <w:szCs w:val="22"/>
        </w:rPr>
        <w:t xml:space="preserve"> professionals better coordinate care for older adults, fostering personalization and integration. However, poor IT interoperability remains a barrier to integrated care in the UK</w:t>
      </w:r>
      <w:r w:rsidR="00AE31FE">
        <w:rPr>
          <w:rFonts w:ascii="Arial" w:hAnsi="Arial" w:cs="Arial"/>
          <w:sz w:val="22"/>
          <w:szCs w:val="22"/>
        </w:rPr>
        <w:t xml:space="preserve"> </w:t>
      </w:r>
      <w:r w:rsidR="00AE31FE" w:rsidRPr="00AB6715">
        <w:rPr>
          <w:rFonts w:ascii="Arial" w:hAnsi="Arial" w:cs="Arial"/>
          <w:sz w:val="22"/>
          <w:szCs w:val="22"/>
        </w:rPr>
        <w:t>(Thomson and Chatterjee, 2024)</w:t>
      </w:r>
      <w:r w:rsidR="00AE31FE">
        <w:rPr>
          <w:rFonts w:ascii="Arial" w:hAnsi="Arial" w:cs="Arial"/>
          <w:sz w:val="22"/>
          <w:szCs w:val="22"/>
        </w:rPr>
        <w:t>.</w:t>
      </w:r>
    </w:p>
    <w:p w14:paraId="5241C7E7"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The third recommendation is to actually incorporate co-production in the design and delivery of care, that is, authentic participation of service users. This is not merely a consulting affair; it is about involving people in the services as equals in decision-making (Boyle and Harris, 2009). This may imply the use of service users in the formulation of care paths in community care of older adults or staff training. This method not only results in services that are more attuned to the actual needs of people, but it also introduces the principle of autonomy as an important moral value to action.</w:t>
      </w:r>
    </w:p>
    <w:p w14:paraId="409ED544" w14:textId="77777777" w:rsidR="00AB6715" w:rsidRPr="00AB6715" w:rsidRDefault="00AB6715" w:rsidP="00AB6715">
      <w:pPr>
        <w:spacing w:line="360" w:lineRule="auto"/>
        <w:rPr>
          <w:rFonts w:ascii="Arial" w:hAnsi="Arial" w:cs="Arial"/>
          <w:sz w:val="22"/>
          <w:szCs w:val="22"/>
        </w:rPr>
      </w:pPr>
    </w:p>
    <w:p w14:paraId="28685E35" w14:textId="77777777" w:rsidR="00AB6715" w:rsidRPr="00AB6715" w:rsidRDefault="00AB6715" w:rsidP="00AB6715">
      <w:pPr>
        <w:pStyle w:val="Heading1"/>
        <w:rPr>
          <w:rFonts w:ascii="Arial" w:hAnsi="Arial" w:cs="Arial"/>
          <w:b/>
          <w:bCs/>
          <w:sz w:val="28"/>
          <w:szCs w:val="28"/>
        </w:rPr>
      </w:pPr>
      <w:bookmarkStart w:id="9" w:name="_Toc225629473"/>
      <w:r w:rsidRPr="00AB6715">
        <w:rPr>
          <w:rFonts w:ascii="Arial" w:hAnsi="Arial" w:cs="Arial"/>
          <w:sz w:val="28"/>
          <w:szCs w:val="28"/>
        </w:rPr>
        <w:t>9. Conclusion</w:t>
      </w:r>
      <w:bookmarkEnd w:id="9"/>
    </w:p>
    <w:p w14:paraId="46F2DC30"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This report has discussed the concept of </w:t>
      </w: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and partnership, similar approaches occurring in health and social care in the UK. With the help of the Social Model of Health, PCC places the person at the centre of all decisions related to care and the understanding of the fact that health is much more than physical symptoms. Partnership working, which has now been integrated into the architecture of Integrated Care Systems in the Health and Care Act 2022, allows the type of multi-professional reactions required to address the complex needs. Both strategies present practical and actual difficulties, such as pressures of resources, labour concerns, and cultural restrictions.PCC and partnership working can enhance the quality and equity of health and social care for all UK people through meaningful investment in training, digital systems, and co-production.</w:t>
      </w:r>
    </w:p>
    <w:p w14:paraId="06F6FEE1" w14:textId="77777777" w:rsidR="00AB6715" w:rsidRPr="00AB6715" w:rsidRDefault="00AB6715" w:rsidP="00AB6715">
      <w:pPr>
        <w:spacing w:line="360" w:lineRule="auto"/>
        <w:rPr>
          <w:rFonts w:ascii="Arial" w:hAnsi="Arial" w:cs="Arial"/>
          <w:sz w:val="22"/>
          <w:szCs w:val="22"/>
        </w:rPr>
      </w:pPr>
    </w:p>
    <w:p w14:paraId="30CECD98" w14:textId="77777777" w:rsidR="00AB6715" w:rsidRPr="00AB6715" w:rsidRDefault="00AB6715" w:rsidP="00AB6715">
      <w:pPr>
        <w:spacing w:line="360" w:lineRule="auto"/>
        <w:rPr>
          <w:rFonts w:ascii="Arial" w:hAnsi="Arial" w:cs="Arial"/>
          <w:sz w:val="22"/>
          <w:szCs w:val="22"/>
        </w:rPr>
      </w:pPr>
    </w:p>
    <w:p w14:paraId="33F79F1D" w14:textId="77777777" w:rsidR="00AB6715" w:rsidRPr="00AB6715" w:rsidRDefault="00AB6715" w:rsidP="00AB6715">
      <w:pPr>
        <w:spacing w:line="360" w:lineRule="auto"/>
        <w:rPr>
          <w:rFonts w:ascii="Arial" w:hAnsi="Arial" w:cs="Arial"/>
          <w:sz w:val="22"/>
          <w:szCs w:val="22"/>
        </w:rPr>
      </w:pPr>
    </w:p>
    <w:p w14:paraId="3A9E2C2E" w14:textId="77777777" w:rsidR="00AB6715" w:rsidRPr="00AB6715" w:rsidRDefault="00AB6715" w:rsidP="00AB6715">
      <w:pPr>
        <w:spacing w:line="360" w:lineRule="auto"/>
        <w:rPr>
          <w:rFonts w:ascii="Arial" w:hAnsi="Arial" w:cs="Arial"/>
          <w:sz w:val="22"/>
          <w:szCs w:val="22"/>
        </w:rPr>
      </w:pPr>
    </w:p>
    <w:p w14:paraId="7EF532FD" w14:textId="77777777" w:rsidR="00AB6715" w:rsidRPr="00AB6715" w:rsidRDefault="00AB6715" w:rsidP="00AB6715">
      <w:pPr>
        <w:spacing w:line="360" w:lineRule="auto"/>
        <w:rPr>
          <w:rFonts w:ascii="Arial" w:hAnsi="Arial" w:cs="Arial"/>
          <w:sz w:val="22"/>
          <w:szCs w:val="22"/>
        </w:rPr>
      </w:pPr>
    </w:p>
    <w:p w14:paraId="0BFCE242" w14:textId="77777777" w:rsidR="00AB6715" w:rsidRPr="00AB6715" w:rsidRDefault="00AB6715" w:rsidP="00AB6715">
      <w:pPr>
        <w:spacing w:line="360" w:lineRule="auto"/>
        <w:rPr>
          <w:rFonts w:ascii="Arial" w:hAnsi="Arial" w:cs="Arial"/>
          <w:sz w:val="22"/>
          <w:szCs w:val="22"/>
        </w:rPr>
      </w:pPr>
    </w:p>
    <w:p w14:paraId="0510B8BE" w14:textId="77777777" w:rsidR="00AB6715" w:rsidRPr="00AB6715" w:rsidRDefault="00AB6715" w:rsidP="00AB6715">
      <w:pPr>
        <w:spacing w:line="360" w:lineRule="auto"/>
        <w:rPr>
          <w:rFonts w:ascii="Arial" w:hAnsi="Arial" w:cs="Arial"/>
          <w:sz w:val="22"/>
          <w:szCs w:val="22"/>
        </w:rPr>
      </w:pPr>
    </w:p>
    <w:p w14:paraId="2ECC3D3A" w14:textId="77777777" w:rsidR="00AB6715" w:rsidRPr="00AB6715" w:rsidRDefault="00AB6715" w:rsidP="00AB6715">
      <w:pPr>
        <w:spacing w:line="360" w:lineRule="auto"/>
        <w:rPr>
          <w:rFonts w:ascii="Arial" w:hAnsi="Arial" w:cs="Arial"/>
          <w:sz w:val="22"/>
          <w:szCs w:val="22"/>
        </w:rPr>
      </w:pPr>
    </w:p>
    <w:p w14:paraId="2C0F63E8" w14:textId="77777777" w:rsidR="00AB6715" w:rsidRPr="00AB6715" w:rsidRDefault="00AB6715" w:rsidP="00AB6715">
      <w:pPr>
        <w:spacing w:line="360" w:lineRule="auto"/>
        <w:rPr>
          <w:rFonts w:ascii="Arial" w:hAnsi="Arial" w:cs="Arial"/>
          <w:sz w:val="22"/>
          <w:szCs w:val="22"/>
        </w:rPr>
      </w:pPr>
    </w:p>
    <w:p w14:paraId="5E5993CB" w14:textId="77777777" w:rsidR="00AB6715" w:rsidRPr="00AB6715" w:rsidRDefault="00AB6715" w:rsidP="00AB6715">
      <w:pPr>
        <w:spacing w:line="360" w:lineRule="auto"/>
        <w:rPr>
          <w:rFonts w:ascii="Arial" w:hAnsi="Arial" w:cs="Arial"/>
          <w:sz w:val="22"/>
          <w:szCs w:val="22"/>
        </w:rPr>
      </w:pPr>
    </w:p>
    <w:p w14:paraId="4C1F63B2" w14:textId="77777777" w:rsidR="00AB6715" w:rsidRPr="00AB6715" w:rsidRDefault="00AB6715" w:rsidP="00AB6715">
      <w:pPr>
        <w:spacing w:line="360" w:lineRule="auto"/>
        <w:rPr>
          <w:rFonts w:ascii="Arial" w:hAnsi="Arial" w:cs="Arial"/>
          <w:sz w:val="22"/>
          <w:szCs w:val="22"/>
        </w:rPr>
      </w:pPr>
    </w:p>
    <w:p w14:paraId="225B23B6" w14:textId="77777777" w:rsidR="00AB6715" w:rsidRPr="00AB6715" w:rsidRDefault="00AB6715" w:rsidP="00AB6715">
      <w:pPr>
        <w:spacing w:line="360" w:lineRule="auto"/>
        <w:rPr>
          <w:rFonts w:ascii="Arial" w:hAnsi="Arial" w:cs="Arial"/>
          <w:sz w:val="22"/>
          <w:szCs w:val="22"/>
        </w:rPr>
      </w:pPr>
    </w:p>
    <w:p w14:paraId="4B54573B" w14:textId="77777777" w:rsidR="00AB6715" w:rsidRPr="00AB6715" w:rsidRDefault="00AB6715" w:rsidP="00AB6715">
      <w:pPr>
        <w:spacing w:line="360" w:lineRule="auto"/>
        <w:rPr>
          <w:rFonts w:ascii="Arial" w:hAnsi="Arial" w:cs="Arial"/>
          <w:sz w:val="22"/>
          <w:szCs w:val="22"/>
        </w:rPr>
      </w:pPr>
    </w:p>
    <w:p w14:paraId="7B30BC6E" w14:textId="77777777" w:rsidR="00AB6715" w:rsidRPr="00AB6715" w:rsidRDefault="00AB6715" w:rsidP="00AB6715">
      <w:pPr>
        <w:spacing w:line="360" w:lineRule="auto"/>
        <w:rPr>
          <w:rFonts w:ascii="Arial" w:hAnsi="Arial" w:cs="Arial"/>
          <w:sz w:val="22"/>
          <w:szCs w:val="22"/>
        </w:rPr>
      </w:pPr>
    </w:p>
    <w:p w14:paraId="49B46DDF" w14:textId="77777777" w:rsidR="00AB6715" w:rsidRPr="00AB6715" w:rsidRDefault="00AB6715" w:rsidP="00AB6715">
      <w:pPr>
        <w:spacing w:line="360" w:lineRule="auto"/>
        <w:rPr>
          <w:rFonts w:ascii="Arial" w:hAnsi="Arial" w:cs="Arial"/>
          <w:sz w:val="22"/>
          <w:szCs w:val="22"/>
        </w:rPr>
      </w:pPr>
    </w:p>
    <w:p w14:paraId="3FE05E3D" w14:textId="77777777" w:rsidR="00AB6715" w:rsidRPr="00AB6715" w:rsidRDefault="00AB6715" w:rsidP="00AB6715">
      <w:pPr>
        <w:spacing w:line="360" w:lineRule="auto"/>
        <w:rPr>
          <w:rFonts w:ascii="Arial" w:hAnsi="Arial" w:cs="Arial"/>
          <w:sz w:val="22"/>
          <w:szCs w:val="22"/>
        </w:rPr>
      </w:pPr>
    </w:p>
    <w:p w14:paraId="224B5CD3" w14:textId="77777777" w:rsidR="00AB6715" w:rsidRPr="00AB6715" w:rsidRDefault="00AB6715" w:rsidP="00AB6715">
      <w:pPr>
        <w:spacing w:line="360" w:lineRule="auto"/>
        <w:rPr>
          <w:rFonts w:ascii="Arial" w:hAnsi="Arial" w:cs="Arial"/>
          <w:sz w:val="22"/>
          <w:szCs w:val="22"/>
        </w:rPr>
      </w:pPr>
    </w:p>
    <w:p w14:paraId="43ADDB4E" w14:textId="77777777" w:rsidR="00AB6715" w:rsidRPr="00AB6715" w:rsidRDefault="00AB6715" w:rsidP="00AB6715">
      <w:pPr>
        <w:spacing w:line="360" w:lineRule="auto"/>
        <w:rPr>
          <w:rFonts w:ascii="Arial" w:hAnsi="Arial" w:cs="Arial"/>
          <w:sz w:val="22"/>
          <w:szCs w:val="22"/>
        </w:rPr>
      </w:pPr>
    </w:p>
    <w:p w14:paraId="7B0880C0" w14:textId="77777777" w:rsidR="00AB6715" w:rsidRPr="00AB6715" w:rsidRDefault="00AB6715" w:rsidP="00AB6715">
      <w:pPr>
        <w:spacing w:line="360" w:lineRule="auto"/>
        <w:rPr>
          <w:rFonts w:ascii="Arial" w:hAnsi="Arial" w:cs="Arial"/>
          <w:sz w:val="22"/>
          <w:szCs w:val="22"/>
        </w:rPr>
      </w:pPr>
    </w:p>
    <w:p w14:paraId="6DF5FB78" w14:textId="7FC31BA5"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w:t>
      </w:r>
    </w:p>
    <w:p w14:paraId="05786D6F" w14:textId="77777777" w:rsidR="00AB6715" w:rsidRDefault="00AB6715" w:rsidP="00AB6715">
      <w:pPr>
        <w:spacing w:line="360" w:lineRule="auto"/>
        <w:rPr>
          <w:rFonts w:ascii="Arial" w:hAnsi="Arial" w:cs="Arial"/>
          <w:sz w:val="22"/>
          <w:szCs w:val="22"/>
        </w:rPr>
      </w:pPr>
    </w:p>
    <w:p w14:paraId="58CB055F" w14:textId="77777777" w:rsidR="00AB6715" w:rsidRDefault="00AB6715" w:rsidP="00AB6715">
      <w:pPr>
        <w:spacing w:line="360" w:lineRule="auto"/>
        <w:rPr>
          <w:rFonts w:ascii="Arial" w:hAnsi="Arial" w:cs="Arial"/>
          <w:sz w:val="22"/>
          <w:szCs w:val="22"/>
        </w:rPr>
      </w:pPr>
    </w:p>
    <w:p w14:paraId="66104623" w14:textId="77777777" w:rsidR="00CA42A0" w:rsidRDefault="00CA42A0" w:rsidP="00AB6715">
      <w:pPr>
        <w:pStyle w:val="Heading1"/>
        <w:rPr>
          <w:rFonts w:ascii="Arial" w:hAnsi="Arial" w:cs="Arial"/>
          <w:sz w:val="28"/>
          <w:szCs w:val="28"/>
        </w:rPr>
      </w:pPr>
    </w:p>
    <w:p w14:paraId="0D73C3A9" w14:textId="77777777" w:rsidR="00B52D3F" w:rsidRPr="00B52D3F" w:rsidRDefault="00B52D3F" w:rsidP="00B52D3F"/>
    <w:p w14:paraId="10BD293A" w14:textId="3CAD7939" w:rsidR="00AB6715" w:rsidRPr="00AB6715" w:rsidRDefault="00AB6715" w:rsidP="00AB6715">
      <w:pPr>
        <w:pStyle w:val="Heading1"/>
        <w:rPr>
          <w:rFonts w:ascii="Arial" w:hAnsi="Arial" w:cs="Arial"/>
          <w:b/>
          <w:bCs/>
          <w:sz w:val="28"/>
          <w:szCs w:val="28"/>
        </w:rPr>
      </w:pPr>
      <w:bookmarkStart w:id="10" w:name="_Toc225629474"/>
      <w:r w:rsidRPr="00AB6715">
        <w:rPr>
          <w:rFonts w:ascii="Arial" w:hAnsi="Arial" w:cs="Arial"/>
          <w:sz w:val="28"/>
          <w:szCs w:val="28"/>
        </w:rPr>
        <w:t>Reference List</w:t>
      </w:r>
      <w:bookmarkEnd w:id="10"/>
    </w:p>
    <w:p w14:paraId="43E348A6"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Ahmed, A., van den </w:t>
      </w:r>
      <w:proofErr w:type="spellStart"/>
      <w:r w:rsidRPr="00AB6715">
        <w:rPr>
          <w:rFonts w:ascii="Arial" w:hAnsi="Arial" w:cs="Arial"/>
          <w:sz w:val="22"/>
          <w:szCs w:val="22"/>
        </w:rPr>
        <w:t>Muijsenbergh</w:t>
      </w:r>
      <w:proofErr w:type="spellEnd"/>
      <w:r w:rsidRPr="00AB6715">
        <w:rPr>
          <w:rFonts w:ascii="Arial" w:hAnsi="Arial" w:cs="Arial"/>
          <w:sz w:val="22"/>
          <w:szCs w:val="22"/>
        </w:rPr>
        <w:t xml:space="preserve">, M.E.T.C. and </w:t>
      </w:r>
      <w:proofErr w:type="spellStart"/>
      <w:r w:rsidRPr="00AB6715">
        <w:rPr>
          <w:rFonts w:ascii="Arial" w:hAnsi="Arial" w:cs="Arial"/>
          <w:sz w:val="22"/>
          <w:szCs w:val="22"/>
        </w:rPr>
        <w:t>Vrijhoef</w:t>
      </w:r>
      <w:proofErr w:type="spellEnd"/>
      <w:r w:rsidRPr="00AB6715">
        <w:rPr>
          <w:rFonts w:ascii="Arial" w:hAnsi="Arial" w:cs="Arial"/>
          <w:sz w:val="22"/>
          <w:szCs w:val="22"/>
        </w:rPr>
        <w:t>, H.J.M. (2022) '</w:t>
      </w: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care in primary care: what works for whom, how and in what circumstances?', </w:t>
      </w:r>
      <w:r w:rsidRPr="00AB6715">
        <w:rPr>
          <w:rFonts w:ascii="Arial" w:hAnsi="Arial" w:cs="Arial"/>
          <w:i/>
          <w:iCs/>
          <w:sz w:val="22"/>
          <w:szCs w:val="22"/>
        </w:rPr>
        <w:t>Health and Social Care in the Community</w:t>
      </w:r>
      <w:r w:rsidRPr="00AB6715">
        <w:rPr>
          <w:rFonts w:ascii="Arial" w:hAnsi="Arial" w:cs="Arial"/>
          <w:sz w:val="22"/>
          <w:szCs w:val="22"/>
        </w:rPr>
        <w:t>, 30(6), pp. e3328–e3341. Available at:</w:t>
      </w:r>
      <w:hyperlink r:id="rId7" w:history="1">
        <w:r w:rsidRPr="00AB6715">
          <w:rPr>
            <w:rStyle w:val="Hyperlink"/>
            <w:rFonts w:ascii="Arial" w:hAnsi="Arial" w:cs="Arial"/>
            <w:sz w:val="22"/>
            <w:szCs w:val="22"/>
          </w:rPr>
          <w:t xml:space="preserve"> https://pmc.ncbi.nlm.nih.gov/articles/PMC10083933/</w:t>
        </w:r>
      </w:hyperlink>
      <w:r w:rsidRPr="00AB6715">
        <w:rPr>
          <w:rFonts w:ascii="Arial" w:hAnsi="Arial" w:cs="Arial"/>
          <w:sz w:val="22"/>
          <w:szCs w:val="22"/>
        </w:rPr>
        <w:t xml:space="preserve"> (Accessed: 29 March 2026).</w:t>
      </w:r>
    </w:p>
    <w:p w14:paraId="0166D316"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Boyle, D. and Harris, M. (2009) </w:t>
      </w:r>
      <w:r w:rsidRPr="00AB6715">
        <w:rPr>
          <w:rFonts w:ascii="Arial" w:hAnsi="Arial" w:cs="Arial"/>
          <w:i/>
          <w:iCs/>
          <w:sz w:val="22"/>
          <w:szCs w:val="22"/>
        </w:rPr>
        <w:t>The Challenge of Co-Production</w:t>
      </w:r>
      <w:r w:rsidRPr="00AB6715">
        <w:rPr>
          <w:rFonts w:ascii="Arial" w:hAnsi="Arial" w:cs="Arial"/>
          <w:sz w:val="22"/>
          <w:szCs w:val="22"/>
        </w:rPr>
        <w:t>. London: NESTA. Available at:</w:t>
      </w:r>
      <w:hyperlink r:id="rId8" w:history="1">
        <w:r w:rsidRPr="00AB6715">
          <w:rPr>
            <w:rStyle w:val="Hyperlink"/>
            <w:rFonts w:ascii="Arial" w:hAnsi="Arial" w:cs="Arial"/>
            <w:sz w:val="22"/>
            <w:szCs w:val="22"/>
          </w:rPr>
          <w:t xml:space="preserve"> https://neweconomics.org/uploads/files/312ac8ce93a00d5973_3im6i6t0e.pdf</w:t>
        </w:r>
      </w:hyperlink>
      <w:r w:rsidRPr="00AB6715">
        <w:rPr>
          <w:rFonts w:ascii="Arial" w:hAnsi="Arial" w:cs="Arial"/>
          <w:sz w:val="22"/>
          <w:szCs w:val="22"/>
        </w:rPr>
        <w:t xml:space="preserve"> (Accessed: 29 March 2026).</w:t>
      </w:r>
      <w:hyperlink r:id="rId9" w:history="1">
        <w:r w:rsidRPr="00AB6715">
          <w:rPr>
            <w:rStyle w:val="Hyperlink"/>
            <w:rFonts w:ascii="Arial" w:hAnsi="Arial" w:cs="Arial"/>
            <w:sz w:val="22"/>
            <w:szCs w:val="22"/>
          </w:rPr>
          <w:t> </w:t>
        </w:r>
      </w:hyperlink>
    </w:p>
    <w:p w14:paraId="60BCB11B"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Dahlgren, G. and Whitehead, M. (2007) </w:t>
      </w:r>
      <w:r w:rsidRPr="00AB6715">
        <w:rPr>
          <w:rFonts w:ascii="Arial" w:hAnsi="Arial" w:cs="Arial"/>
          <w:i/>
          <w:iCs/>
          <w:sz w:val="22"/>
          <w:szCs w:val="22"/>
        </w:rPr>
        <w:t>European Strategies for Tackling Social Inequities in Health</w:t>
      </w:r>
      <w:r w:rsidRPr="00AB6715">
        <w:rPr>
          <w:rFonts w:ascii="Arial" w:hAnsi="Arial" w:cs="Arial"/>
          <w:sz w:val="22"/>
          <w:szCs w:val="22"/>
        </w:rPr>
        <w:t>: Levelling Up Part 2. Copenhagen: WHO Regional Office for Europe. Available at:</w:t>
      </w:r>
      <w:hyperlink r:id="rId10" w:history="1">
        <w:r w:rsidRPr="00AB6715">
          <w:rPr>
            <w:rStyle w:val="Hyperlink"/>
            <w:rFonts w:ascii="Arial" w:hAnsi="Arial" w:cs="Arial"/>
            <w:sz w:val="22"/>
            <w:szCs w:val="22"/>
          </w:rPr>
          <w:t xml:space="preserve"> https://iris.who.int/handle/10665/107791</w:t>
        </w:r>
      </w:hyperlink>
      <w:r w:rsidRPr="00AB6715">
        <w:rPr>
          <w:rFonts w:ascii="Arial" w:hAnsi="Arial" w:cs="Arial"/>
          <w:sz w:val="22"/>
          <w:szCs w:val="22"/>
        </w:rPr>
        <w:t xml:space="preserve"> (Accessed: 29 March 2026).</w:t>
      </w:r>
    </w:p>
    <w:p w14:paraId="41E348E7"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Dixon, J., 2023. </w:t>
      </w:r>
      <w:proofErr w:type="spellStart"/>
      <w:r w:rsidRPr="00AB6715">
        <w:rPr>
          <w:rFonts w:ascii="Arial" w:hAnsi="Arial" w:cs="Arial"/>
          <w:sz w:val="22"/>
          <w:szCs w:val="22"/>
        </w:rPr>
        <w:t>Personalised</w:t>
      </w:r>
      <w:proofErr w:type="spellEnd"/>
      <w:r w:rsidRPr="00AB6715">
        <w:rPr>
          <w:rFonts w:ascii="Arial" w:hAnsi="Arial" w:cs="Arial"/>
          <w:sz w:val="22"/>
          <w:szCs w:val="22"/>
        </w:rPr>
        <w:t xml:space="preserve"> safeguarding: policy, principles and practice realities. </w:t>
      </w:r>
      <w:r w:rsidRPr="00AB6715">
        <w:rPr>
          <w:rFonts w:ascii="Arial" w:hAnsi="Arial" w:cs="Arial"/>
          <w:i/>
          <w:iCs/>
          <w:sz w:val="22"/>
          <w:szCs w:val="22"/>
        </w:rPr>
        <w:t>In Adult Safeguarding Observed</w:t>
      </w:r>
      <w:r w:rsidRPr="00AB6715">
        <w:rPr>
          <w:rFonts w:ascii="Arial" w:hAnsi="Arial" w:cs="Arial"/>
          <w:sz w:val="22"/>
          <w:szCs w:val="22"/>
        </w:rPr>
        <w:t xml:space="preserve"> (pp. 81-98). Policy Press.</w:t>
      </w:r>
      <w:hyperlink r:id="rId11" w:history="1">
        <w:r w:rsidRPr="00AB6715">
          <w:rPr>
            <w:rStyle w:val="Hyperlink"/>
            <w:rFonts w:ascii="Arial" w:hAnsi="Arial" w:cs="Arial"/>
            <w:sz w:val="22"/>
            <w:szCs w:val="22"/>
          </w:rPr>
          <w:t>https://bristoluniversitypressdigital.com/monochap/book/9781447357315/ch004.xml</w:t>
        </w:r>
      </w:hyperlink>
    </w:p>
    <w:p w14:paraId="4770A108"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Devaney, S. (2016) </w:t>
      </w:r>
      <w:r w:rsidRPr="00AB6715">
        <w:rPr>
          <w:rFonts w:ascii="Arial" w:hAnsi="Arial" w:cs="Arial"/>
          <w:i/>
          <w:iCs/>
          <w:sz w:val="22"/>
          <w:szCs w:val="22"/>
        </w:rPr>
        <w:t>Ethics for Healthcare Regulators</w:t>
      </w:r>
      <w:r w:rsidRPr="00AB6715">
        <w:rPr>
          <w:rFonts w:ascii="Arial" w:hAnsi="Arial" w:cs="Arial"/>
          <w:sz w:val="22"/>
          <w:szCs w:val="22"/>
        </w:rPr>
        <w:t xml:space="preserve">: Enhancing Compliance with the Seven Principles of Public Life. Available at: </w:t>
      </w:r>
      <w:hyperlink r:id="rId12" w:history="1">
        <w:r w:rsidRPr="00AB6715">
          <w:rPr>
            <w:rStyle w:val="Hyperlink"/>
            <w:rFonts w:ascii="Arial" w:hAnsi="Arial" w:cs="Arial"/>
            <w:sz w:val="22"/>
            <w:szCs w:val="22"/>
          </w:rPr>
          <w:t>https://assets.publishing.service.gov.uk/government/uploads/system/uploads/attachment_data/file/550543/Dr_Sarah_Devaney_-_Ethics_for_regulators.pdf</w:t>
        </w:r>
      </w:hyperlink>
      <w:r w:rsidRPr="00AB6715">
        <w:rPr>
          <w:rFonts w:ascii="Arial" w:hAnsi="Arial" w:cs="Arial"/>
          <w:sz w:val="22"/>
          <w:szCs w:val="22"/>
        </w:rPr>
        <w:t xml:space="preserve"> (Accessed: 29 March 2026). </w:t>
      </w:r>
      <w:hyperlink r:id="rId13" w:history="1">
        <w:r w:rsidRPr="00AB6715">
          <w:rPr>
            <w:rStyle w:val="Hyperlink"/>
            <w:rFonts w:ascii="Arial" w:hAnsi="Arial" w:cs="Arial"/>
            <w:sz w:val="22"/>
            <w:szCs w:val="22"/>
          </w:rPr>
          <w:t> </w:t>
        </w:r>
      </w:hyperlink>
    </w:p>
    <w:p w14:paraId="46DE84F3" w14:textId="77777777" w:rsidR="00AB6715" w:rsidRPr="00AB6715" w:rsidRDefault="00AB6715" w:rsidP="00AB6715">
      <w:pPr>
        <w:spacing w:line="360" w:lineRule="auto"/>
        <w:rPr>
          <w:rFonts w:ascii="Arial" w:hAnsi="Arial" w:cs="Arial"/>
          <w:sz w:val="22"/>
          <w:szCs w:val="22"/>
        </w:rPr>
      </w:pPr>
      <w:proofErr w:type="spellStart"/>
      <w:r w:rsidRPr="00AB6715">
        <w:rPr>
          <w:rFonts w:ascii="Arial" w:hAnsi="Arial" w:cs="Arial"/>
          <w:sz w:val="22"/>
          <w:szCs w:val="22"/>
        </w:rPr>
        <w:t>Elobaid</w:t>
      </w:r>
      <w:proofErr w:type="spellEnd"/>
      <w:r w:rsidRPr="00AB6715">
        <w:rPr>
          <w:rFonts w:ascii="Arial" w:hAnsi="Arial" w:cs="Arial"/>
          <w:sz w:val="22"/>
          <w:szCs w:val="22"/>
        </w:rPr>
        <w:t xml:space="preserve">, Y., </w:t>
      </w:r>
      <w:proofErr w:type="spellStart"/>
      <w:r w:rsidRPr="00AB6715">
        <w:rPr>
          <w:rFonts w:ascii="Arial" w:hAnsi="Arial" w:cs="Arial"/>
          <w:sz w:val="22"/>
          <w:szCs w:val="22"/>
        </w:rPr>
        <w:t>Abdallatif</w:t>
      </w:r>
      <w:proofErr w:type="spellEnd"/>
      <w:r w:rsidRPr="00AB6715">
        <w:rPr>
          <w:rFonts w:ascii="Arial" w:hAnsi="Arial" w:cs="Arial"/>
          <w:sz w:val="22"/>
          <w:szCs w:val="22"/>
        </w:rPr>
        <w:t xml:space="preserve">, R., </w:t>
      </w:r>
      <w:proofErr w:type="spellStart"/>
      <w:r w:rsidRPr="00AB6715">
        <w:rPr>
          <w:rFonts w:ascii="Arial" w:hAnsi="Arial" w:cs="Arial"/>
          <w:sz w:val="22"/>
          <w:szCs w:val="22"/>
        </w:rPr>
        <w:t>Ezirim</w:t>
      </w:r>
      <w:proofErr w:type="spellEnd"/>
      <w:r w:rsidRPr="00AB6715">
        <w:rPr>
          <w:rFonts w:ascii="Arial" w:hAnsi="Arial" w:cs="Arial"/>
          <w:sz w:val="22"/>
          <w:szCs w:val="22"/>
        </w:rPr>
        <w:t>, G. and Waller, V., 2025. Exploring the implementation of the Nursing and Midwifery Council (NMC) 2018 standards in nursing education: a mixed-methods study protocol.</w:t>
      </w:r>
      <w:hyperlink r:id="rId14" w:history="1">
        <w:r w:rsidRPr="00AB6715">
          <w:rPr>
            <w:rStyle w:val="Hyperlink"/>
            <w:rFonts w:ascii="Arial" w:hAnsi="Arial" w:cs="Arial"/>
            <w:sz w:val="22"/>
            <w:szCs w:val="22"/>
          </w:rPr>
          <w:t>https://aru.figshare.com/articles/journal_contribution/Exploring_the_implementation_of_the_Nursing_and_Midwifery_Council_NMC_2018_standards_in_nursing_education_a_mixed-methods_study_protocol/30999574/1/files/60787231.pdf</w:t>
        </w:r>
      </w:hyperlink>
    </w:p>
    <w:p w14:paraId="35273DD6"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Engel, G.L., 1977. The need for a new medical model: a challenge for biomedicine. </w:t>
      </w:r>
      <w:r w:rsidRPr="00AB6715">
        <w:rPr>
          <w:rFonts w:ascii="Arial" w:hAnsi="Arial" w:cs="Arial"/>
          <w:i/>
          <w:iCs/>
          <w:sz w:val="22"/>
          <w:szCs w:val="22"/>
        </w:rPr>
        <w:t>Science</w:t>
      </w:r>
      <w:r w:rsidRPr="00AB6715">
        <w:rPr>
          <w:rFonts w:ascii="Arial" w:hAnsi="Arial" w:cs="Arial"/>
          <w:sz w:val="22"/>
          <w:szCs w:val="22"/>
        </w:rPr>
        <w:t>, 196(4286), pp.129-136.</w:t>
      </w:r>
      <w:hyperlink r:id="rId15" w:history="1">
        <w:r w:rsidRPr="00AB6715">
          <w:rPr>
            <w:rStyle w:val="Hyperlink"/>
            <w:rFonts w:ascii="Arial" w:hAnsi="Arial" w:cs="Arial"/>
            <w:sz w:val="22"/>
            <w:szCs w:val="22"/>
          </w:rPr>
          <w:t>https://globalization.anthro-seminars.net/wp-content/uploads/2016/11/Need-for-a-New-Medical-Model-A-Challenge-for-Biomedicine.pdf</w:t>
        </w:r>
      </w:hyperlink>
    </w:p>
    <w:p w14:paraId="3D7C175B"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Equality Act (2010) </w:t>
      </w:r>
      <w:r w:rsidRPr="00AB6715">
        <w:rPr>
          <w:rFonts w:ascii="Arial" w:hAnsi="Arial" w:cs="Arial"/>
          <w:i/>
          <w:iCs/>
          <w:sz w:val="22"/>
          <w:szCs w:val="22"/>
        </w:rPr>
        <w:t>Legislation.gov.uk.</w:t>
      </w:r>
      <w:r w:rsidRPr="00AB6715">
        <w:rPr>
          <w:rFonts w:ascii="Arial" w:hAnsi="Arial" w:cs="Arial"/>
          <w:sz w:val="22"/>
          <w:szCs w:val="22"/>
        </w:rPr>
        <w:t xml:space="preserve"> Available at: </w:t>
      </w:r>
      <w:hyperlink r:id="rId16" w:history="1">
        <w:r w:rsidRPr="00AB6715">
          <w:rPr>
            <w:rStyle w:val="Hyperlink"/>
            <w:rFonts w:ascii="Arial" w:hAnsi="Arial" w:cs="Arial"/>
            <w:sz w:val="22"/>
            <w:szCs w:val="22"/>
          </w:rPr>
          <w:t>https://www.legislation.gov.uk/ukpga/2010/15/contents</w:t>
        </w:r>
      </w:hyperlink>
      <w:r w:rsidRPr="00AB6715">
        <w:rPr>
          <w:rFonts w:ascii="Arial" w:hAnsi="Arial" w:cs="Arial"/>
          <w:sz w:val="22"/>
          <w:szCs w:val="22"/>
        </w:rPr>
        <w:t xml:space="preserve"> (Accessed: 29 March 2026). </w:t>
      </w:r>
    </w:p>
    <w:p w14:paraId="5C98C504"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Furlan, E., 2024. Beauchamp and Childress' </w:t>
      </w:r>
      <w:proofErr w:type="spellStart"/>
      <w:r w:rsidRPr="00AB6715">
        <w:rPr>
          <w:rFonts w:ascii="Arial" w:hAnsi="Arial" w:cs="Arial"/>
          <w:sz w:val="22"/>
          <w:szCs w:val="22"/>
        </w:rPr>
        <w:t>principlism</w:t>
      </w:r>
      <w:proofErr w:type="spellEnd"/>
      <w:r w:rsidRPr="00AB6715">
        <w:rPr>
          <w:rFonts w:ascii="Arial" w:hAnsi="Arial" w:cs="Arial"/>
          <w:sz w:val="22"/>
          <w:szCs w:val="22"/>
        </w:rPr>
        <w:t xml:space="preserve">: theoretical reasons of some persistent conceptual issues. </w:t>
      </w:r>
      <w:r w:rsidRPr="00AB6715">
        <w:rPr>
          <w:rFonts w:ascii="Arial" w:hAnsi="Arial" w:cs="Arial"/>
          <w:i/>
          <w:iCs/>
          <w:sz w:val="22"/>
          <w:szCs w:val="22"/>
        </w:rPr>
        <w:t>Medicina e Morale</w:t>
      </w:r>
      <w:r w:rsidRPr="00AB6715">
        <w:rPr>
          <w:rFonts w:ascii="Arial" w:hAnsi="Arial" w:cs="Arial"/>
          <w:sz w:val="22"/>
          <w:szCs w:val="22"/>
        </w:rPr>
        <w:t>, 73(1), pp.65-78.</w:t>
      </w:r>
      <w:hyperlink r:id="rId17" w:history="1">
        <w:r w:rsidRPr="00AB6715">
          <w:rPr>
            <w:rStyle w:val="Hyperlink"/>
            <w:rFonts w:ascii="Arial" w:hAnsi="Arial" w:cs="Arial"/>
            <w:sz w:val="22"/>
            <w:szCs w:val="22"/>
          </w:rPr>
          <w:t>https://www.research.unipd.it/handle/11577/3526803</w:t>
        </w:r>
      </w:hyperlink>
    </w:p>
    <w:p w14:paraId="6BCB04D0"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Glasby, J., (2017). </w:t>
      </w:r>
      <w:r w:rsidRPr="00AB6715">
        <w:rPr>
          <w:rFonts w:ascii="Arial" w:hAnsi="Arial" w:cs="Arial"/>
          <w:i/>
          <w:iCs/>
          <w:sz w:val="22"/>
          <w:szCs w:val="22"/>
        </w:rPr>
        <w:t>Understanding health and social care</w:t>
      </w:r>
      <w:r w:rsidRPr="00AB6715">
        <w:rPr>
          <w:rFonts w:ascii="Arial" w:hAnsi="Arial" w:cs="Arial"/>
          <w:sz w:val="22"/>
          <w:szCs w:val="22"/>
        </w:rPr>
        <w:t xml:space="preserve">. Policy Press. </w:t>
      </w:r>
      <w:hyperlink r:id="rId18" w:history="1">
        <w:r w:rsidRPr="00AB6715">
          <w:rPr>
            <w:rStyle w:val="Hyperlink"/>
            <w:rFonts w:ascii="Arial" w:hAnsi="Arial" w:cs="Arial"/>
            <w:sz w:val="22"/>
            <w:szCs w:val="22"/>
          </w:rPr>
          <w:t>https://cmls.org.uk/online/wp-content/uploads/2019/07/Understanding-health-and-social-care.pdf</w:t>
        </w:r>
      </w:hyperlink>
    </w:p>
    <w:p w14:paraId="09483013"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Health and Care Act (2022) </w:t>
      </w:r>
      <w:r w:rsidRPr="00AB6715">
        <w:rPr>
          <w:rFonts w:ascii="Arial" w:hAnsi="Arial" w:cs="Arial"/>
          <w:i/>
          <w:iCs/>
          <w:sz w:val="22"/>
          <w:szCs w:val="22"/>
        </w:rPr>
        <w:t>Legislation.gov.uk.</w:t>
      </w:r>
      <w:r w:rsidRPr="00AB6715">
        <w:rPr>
          <w:rFonts w:ascii="Arial" w:hAnsi="Arial" w:cs="Arial"/>
          <w:sz w:val="22"/>
          <w:szCs w:val="22"/>
        </w:rPr>
        <w:t xml:space="preserve"> Available at: </w:t>
      </w:r>
      <w:hyperlink r:id="rId19" w:history="1">
        <w:r w:rsidRPr="00AB6715">
          <w:rPr>
            <w:rStyle w:val="Hyperlink"/>
            <w:rFonts w:ascii="Arial" w:hAnsi="Arial" w:cs="Arial"/>
            <w:sz w:val="22"/>
            <w:szCs w:val="22"/>
          </w:rPr>
          <w:t>https://www.legislation.gov.uk/ukpga/2022/31/contents</w:t>
        </w:r>
      </w:hyperlink>
      <w:r w:rsidRPr="00AB6715">
        <w:rPr>
          <w:rFonts w:ascii="Arial" w:hAnsi="Arial" w:cs="Arial"/>
          <w:sz w:val="22"/>
          <w:szCs w:val="22"/>
        </w:rPr>
        <w:t xml:space="preserve"> (Accessed: 29 March 2026). </w:t>
      </w:r>
    </w:p>
    <w:p w14:paraId="23594A67"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Health and Care Professions Council (HCPC) (2016) </w:t>
      </w:r>
      <w:r w:rsidRPr="00AB6715">
        <w:rPr>
          <w:rFonts w:ascii="Arial" w:hAnsi="Arial" w:cs="Arial"/>
          <w:i/>
          <w:iCs/>
          <w:sz w:val="22"/>
          <w:szCs w:val="22"/>
        </w:rPr>
        <w:t>Standards of Conduct, Performance and Ethics</w:t>
      </w:r>
      <w:r w:rsidRPr="00AB6715">
        <w:rPr>
          <w:rFonts w:ascii="Arial" w:hAnsi="Arial" w:cs="Arial"/>
          <w:sz w:val="22"/>
          <w:szCs w:val="22"/>
        </w:rPr>
        <w:t xml:space="preserve">. London: HCPC. Available at: </w:t>
      </w:r>
      <w:hyperlink r:id="rId20" w:history="1">
        <w:r w:rsidRPr="00AB6715">
          <w:rPr>
            <w:rStyle w:val="Hyperlink"/>
            <w:rFonts w:ascii="Arial" w:hAnsi="Arial" w:cs="Arial"/>
            <w:sz w:val="22"/>
            <w:szCs w:val="22"/>
          </w:rPr>
          <w:t>https://www.hcpc-uk.org/standards/standards-of-conduct-performance-and-ethics/</w:t>
        </w:r>
      </w:hyperlink>
      <w:r w:rsidRPr="00AB6715">
        <w:rPr>
          <w:rFonts w:ascii="Arial" w:hAnsi="Arial" w:cs="Arial"/>
          <w:sz w:val="22"/>
          <w:szCs w:val="22"/>
        </w:rPr>
        <w:t xml:space="preserve"> (Accessed: 29 March 2026). </w:t>
      </w:r>
    </w:p>
    <w:p w14:paraId="338826FD"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Health Foundation (2016) </w:t>
      </w:r>
      <w:proofErr w:type="spellStart"/>
      <w:r w:rsidRPr="00AB6715">
        <w:rPr>
          <w:rFonts w:ascii="Arial" w:hAnsi="Arial" w:cs="Arial"/>
          <w:i/>
          <w:iCs/>
          <w:sz w:val="22"/>
          <w:szCs w:val="22"/>
        </w:rPr>
        <w:t>Person-Centred</w:t>
      </w:r>
      <w:proofErr w:type="spellEnd"/>
      <w:r w:rsidRPr="00AB6715">
        <w:rPr>
          <w:rFonts w:ascii="Arial" w:hAnsi="Arial" w:cs="Arial"/>
          <w:i/>
          <w:iCs/>
          <w:sz w:val="22"/>
          <w:szCs w:val="22"/>
        </w:rPr>
        <w:t xml:space="preserve"> Care Made Simple</w:t>
      </w:r>
      <w:r w:rsidRPr="00AB6715">
        <w:rPr>
          <w:rFonts w:ascii="Arial" w:hAnsi="Arial" w:cs="Arial"/>
          <w:sz w:val="22"/>
          <w:szCs w:val="22"/>
        </w:rPr>
        <w:t xml:space="preserve">. London: The Health Foundation. Available at: </w:t>
      </w:r>
      <w:hyperlink r:id="rId21" w:history="1">
        <w:r w:rsidRPr="00AB6715">
          <w:rPr>
            <w:rStyle w:val="Hyperlink"/>
            <w:rFonts w:ascii="Arial" w:hAnsi="Arial" w:cs="Arial"/>
            <w:sz w:val="22"/>
            <w:szCs w:val="22"/>
          </w:rPr>
          <w:t>https://www.health.org.uk/sites/default/files/PersonCentredCareMadeSimple.pdf</w:t>
        </w:r>
      </w:hyperlink>
      <w:r w:rsidRPr="00AB6715">
        <w:rPr>
          <w:rFonts w:ascii="Arial" w:hAnsi="Arial" w:cs="Arial"/>
          <w:sz w:val="22"/>
          <w:szCs w:val="22"/>
        </w:rPr>
        <w:t xml:space="preserve"> (Accessed: 29 March 2026). </w:t>
      </w:r>
    </w:p>
    <w:p w14:paraId="094C7C06"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Health and Social Care Act (2012) </w:t>
      </w:r>
      <w:r w:rsidRPr="00AB6715">
        <w:rPr>
          <w:rFonts w:ascii="Arial" w:hAnsi="Arial" w:cs="Arial"/>
          <w:i/>
          <w:iCs/>
          <w:sz w:val="22"/>
          <w:szCs w:val="22"/>
        </w:rPr>
        <w:t>Legislation.gov.uk.</w:t>
      </w:r>
      <w:r w:rsidRPr="00AB6715">
        <w:rPr>
          <w:rFonts w:ascii="Arial" w:hAnsi="Arial" w:cs="Arial"/>
          <w:sz w:val="22"/>
          <w:szCs w:val="22"/>
        </w:rPr>
        <w:t xml:space="preserve"> Available at: </w:t>
      </w:r>
      <w:hyperlink r:id="rId22" w:history="1">
        <w:r w:rsidRPr="00AB6715">
          <w:rPr>
            <w:rStyle w:val="Hyperlink"/>
            <w:rFonts w:ascii="Arial" w:hAnsi="Arial" w:cs="Arial"/>
            <w:sz w:val="22"/>
            <w:szCs w:val="22"/>
          </w:rPr>
          <w:t xml:space="preserve">https://www.legislation.gov.uk/ukpga/2012/7/contents </w:t>
        </w:r>
      </w:hyperlink>
      <w:r w:rsidRPr="00AB6715">
        <w:rPr>
          <w:rFonts w:ascii="Arial" w:hAnsi="Arial" w:cs="Arial"/>
          <w:sz w:val="22"/>
          <w:szCs w:val="22"/>
        </w:rPr>
        <w:t>(Accessed: 29 March 2026). </w:t>
      </w:r>
    </w:p>
    <w:p w14:paraId="3D09C855"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Human Rights Act (1998</w:t>
      </w:r>
      <w:r w:rsidRPr="00AB6715">
        <w:rPr>
          <w:rFonts w:ascii="Arial" w:hAnsi="Arial" w:cs="Arial"/>
          <w:i/>
          <w:iCs/>
          <w:sz w:val="22"/>
          <w:szCs w:val="22"/>
        </w:rPr>
        <w:t>) Legislation.gov.uk</w:t>
      </w:r>
      <w:r w:rsidRPr="00AB6715">
        <w:rPr>
          <w:rFonts w:ascii="Arial" w:hAnsi="Arial" w:cs="Arial"/>
          <w:sz w:val="22"/>
          <w:szCs w:val="22"/>
        </w:rPr>
        <w:t xml:space="preserve">. Available at: </w:t>
      </w:r>
      <w:hyperlink r:id="rId23" w:history="1">
        <w:r w:rsidRPr="00AB6715">
          <w:rPr>
            <w:rStyle w:val="Hyperlink"/>
            <w:rFonts w:ascii="Arial" w:hAnsi="Arial" w:cs="Arial"/>
            <w:sz w:val="22"/>
            <w:szCs w:val="22"/>
          </w:rPr>
          <w:t>https://www.legislation.gov.uk/ukpga/1998/42/contents</w:t>
        </w:r>
      </w:hyperlink>
      <w:r w:rsidRPr="00AB6715">
        <w:rPr>
          <w:rFonts w:ascii="Arial" w:hAnsi="Arial" w:cs="Arial"/>
          <w:sz w:val="22"/>
          <w:szCs w:val="22"/>
        </w:rPr>
        <w:t xml:space="preserve"> (Accessed: 29 March 2026). </w:t>
      </w:r>
    </w:p>
    <w:p w14:paraId="3B57398C"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Marmot, M. (2025). Improving children's lives—the case for universality. </w:t>
      </w:r>
      <w:r w:rsidRPr="00AB6715">
        <w:rPr>
          <w:rFonts w:ascii="Arial" w:hAnsi="Arial" w:cs="Arial"/>
          <w:i/>
          <w:iCs/>
          <w:sz w:val="22"/>
          <w:szCs w:val="22"/>
        </w:rPr>
        <w:t>The Lancet</w:t>
      </w:r>
      <w:r w:rsidRPr="00AB6715">
        <w:rPr>
          <w:rFonts w:ascii="Arial" w:hAnsi="Arial" w:cs="Arial"/>
          <w:sz w:val="22"/>
          <w:szCs w:val="22"/>
        </w:rPr>
        <w:t>, 406(10499), pp.124-125.</w:t>
      </w:r>
      <w:hyperlink r:id="rId24" w:history="1">
        <w:r w:rsidRPr="00AB6715">
          <w:rPr>
            <w:rStyle w:val="Hyperlink"/>
            <w:rFonts w:ascii="Arial" w:hAnsi="Arial" w:cs="Arial"/>
            <w:sz w:val="22"/>
            <w:szCs w:val="22"/>
          </w:rPr>
          <w:t>https://www.thelancet.com/journals/lancet/article/PIIS0140-6736(25)01283-8/abstract</w:t>
        </w:r>
      </w:hyperlink>
    </w:p>
    <w:p w14:paraId="1C479371"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Masoli, J.A.H., Todd, O., Burton, J.K., Wolff, C., </w:t>
      </w:r>
      <w:proofErr w:type="spellStart"/>
      <w:r w:rsidRPr="00AB6715">
        <w:rPr>
          <w:rFonts w:ascii="Arial" w:hAnsi="Arial" w:cs="Arial"/>
          <w:sz w:val="22"/>
          <w:szCs w:val="22"/>
        </w:rPr>
        <w:t>Walesby</w:t>
      </w:r>
      <w:proofErr w:type="spellEnd"/>
      <w:r w:rsidRPr="00AB6715">
        <w:rPr>
          <w:rFonts w:ascii="Arial" w:hAnsi="Arial" w:cs="Arial"/>
          <w:sz w:val="22"/>
          <w:szCs w:val="22"/>
        </w:rPr>
        <w:t xml:space="preserve">, K.E., Hewitt, J., Conroy, S., van Oppen, J., Wilkinson, C., Evans, R., Anand, A., Hollinghurst, J., Bhanu, C., Keevil, V.L. and Vardy, E.R.L.C. (2023) 'New horizons in the role of digital data in the healthcare of older people', </w:t>
      </w:r>
      <w:r w:rsidRPr="00AB6715">
        <w:rPr>
          <w:rFonts w:ascii="Arial" w:hAnsi="Arial" w:cs="Arial"/>
          <w:i/>
          <w:iCs/>
          <w:sz w:val="22"/>
          <w:szCs w:val="22"/>
        </w:rPr>
        <w:t>Age and Ageing</w:t>
      </w:r>
      <w:r w:rsidRPr="00AB6715">
        <w:rPr>
          <w:rFonts w:ascii="Arial" w:hAnsi="Arial" w:cs="Arial"/>
          <w:sz w:val="22"/>
          <w:szCs w:val="22"/>
        </w:rPr>
        <w:t>, 52(8), afad134. Available at:</w:t>
      </w:r>
      <w:hyperlink r:id="rId25" w:history="1">
        <w:r w:rsidRPr="00AB6715">
          <w:rPr>
            <w:rStyle w:val="Hyperlink"/>
            <w:rFonts w:ascii="Arial" w:hAnsi="Arial" w:cs="Arial"/>
            <w:sz w:val="22"/>
            <w:szCs w:val="22"/>
          </w:rPr>
          <w:t xml:space="preserve"> https://academic.oup.com/ageing/article/52/8/afad134/7234595</w:t>
        </w:r>
      </w:hyperlink>
      <w:r w:rsidRPr="00AB6715">
        <w:rPr>
          <w:rFonts w:ascii="Arial" w:hAnsi="Arial" w:cs="Arial"/>
          <w:sz w:val="22"/>
          <w:szCs w:val="22"/>
        </w:rPr>
        <w:t xml:space="preserve"> (Accessed: 29 March 2026).</w:t>
      </w:r>
    </w:p>
    <w:p w14:paraId="00F018E4"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McCormack, B. and McCance, T. eds., 2016. </w:t>
      </w:r>
      <w:proofErr w:type="spellStart"/>
      <w:r w:rsidRPr="00AB6715">
        <w:rPr>
          <w:rFonts w:ascii="Arial" w:hAnsi="Arial" w:cs="Arial"/>
          <w:sz w:val="22"/>
          <w:szCs w:val="22"/>
        </w:rPr>
        <w:t>Person-centred</w:t>
      </w:r>
      <w:proofErr w:type="spellEnd"/>
      <w:r w:rsidRPr="00AB6715">
        <w:rPr>
          <w:rFonts w:ascii="Arial" w:hAnsi="Arial" w:cs="Arial"/>
          <w:sz w:val="22"/>
          <w:szCs w:val="22"/>
        </w:rPr>
        <w:t xml:space="preserve"> practice in nursing and health care: </w:t>
      </w:r>
      <w:r w:rsidRPr="00AB6715">
        <w:rPr>
          <w:rFonts w:ascii="Arial" w:hAnsi="Arial" w:cs="Arial"/>
          <w:i/>
          <w:iCs/>
          <w:sz w:val="22"/>
          <w:szCs w:val="22"/>
        </w:rPr>
        <w:t>theory and practice</w:t>
      </w:r>
      <w:r w:rsidRPr="00AB6715">
        <w:rPr>
          <w:rFonts w:ascii="Arial" w:hAnsi="Arial" w:cs="Arial"/>
          <w:sz w:val="22"/>
          <w:szCs w:val="22"/>
        </w:rPr>
        <w:t>. John Wiley &amp; Sons.</w:t>
      </w:r>
      <w:hyperlink r:id="rId26" w:history="1">
        <w:r w:rsidRPr="00AB6715">
          <w:rPr>
            <w:rStyle w:val="Hyperlink"/>
            <w:rFonts w:ascii="Arial" w:hAnsi="Arial" w:cs="Arial"/>
            <w:sz w:val="22"/>
            <w:szCs w:val="22"/>
          </w:rPr>
          <w:t>https://books.google.com/books?hl=en&amp;lr=&amp;id=o8pJDAAAQBAJ&amp;oi=fnd&amp;pg=PR9&amp;dq=McCormack,+B.+and+McCance,+T.+eds.,+2016.+Person-centred+practice+in+nursing+and+health+care:+theory+and+practice.+John+Wiley+%26+Sons.&amp;ots=PLbHS6uF3-&amp;sig=vVerfK-IjwK5oc7lHt6HdeUsaT0</w:t>
        </w:r>
      </w:hyperlink>
    </w:p>
    <w:p w14:paraId="15F79735" w14:textId="77777777" w:rsidR="00AB6715" w:rsidRPr="00AB6715" w:rsidRDefault="00AB6715" w:rsidP="00AB6715">
      <w:pPr>
        <w:spacing w:line="360" w:lineRule="auto"/>
        <w:rPr>
          <w:rFonts w:ascii="Arial" w:hAnsi="Arial" w:cs="Arial"/>
          <w:sz w:val="22"/>
          <w:szCs w:val="22"/>
        </w:rPr>
      </w:pPr>
    </w:p>
    <w:p w14:paraId="56707E75"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NHS England (2019) </w:t>
      </w:r>
      <w:r w:rsidRPr="00AB6715">
        <w:rPr>
          <w:rFonts w:ascii="Arial" w:hAnsi="Arial" w:cs="Arial"/>
          <w:i/>
          <w:iCs/>
          <w:sz w:val="22"/>
          <w:szCs w:val="22"/>
        </w:rPr>
        <w:t>NHS Long Term Plan</w:t>
      </w:r>
      <w:r w:rsidRPr="00AB6715">
        <w:rPr>
          <w:rFonts w:ascii="Arial" w:hAnsi="Arial" w:cs="Arial"/>
          <w:sz w:val="22"/>
          <w:szCs w:val="22"/>
        </w:rPr>
        <w:t xml:space="preserve">. London: NHS England. Available at: </w:t>
      </w:r>
      <w:hyperlink r:id="rId27" w:history="1">
        <w:r w:rsidRPr="00AB6715">
          <w:rPr>
            <w:rStyle w:val="Hyperlink"/>
            <w:rFonts w:ascii="Arial" w:hAnsi="Arial" w:cs="Arial"/>
            <w:sz w:val="22"/>
            <w:szCs w:val="22"/>
          </w:rPr>
          <w:t>https://webarchive.nationalarchives.gov.uk/ukgwa/20250707103655/https://www.longtermplan.nhs.uk/</w:t>
        </w:r>
      </w:hyperlink>
      <w:r w:rsidRPr="00AB6715">
        <w:rPr>
          <w:rFonts w:ascii="Arial" w:hAnsi="Arial" w:cs="Arial"/>
          <w:sz w:val="22"/>
          <w:szCs w:val="22"/>
        </w:rPr>
        <w:t xml:space="preserve"> (Accessed: 29 March 2026).</w:t>
      </w:r>
    </w:p>
    <w:p w14:paraId="34B0284E"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NHS England (2023) </w:t>
      </w:r>
      <w:r w:rsidRPr="00AB6715">
        <w:rPr>
          <w:rFonts w:ascii="Arial" w:hAnsi="Arial" w:cs="Arial"/>
          <w:i/>
          <w:iCs/>
          <w:sz w:val="22"/>
          <w:szCs w:val="22"/>
        </w:rPr>
        <w:t>Integrated Care Systems Explained</w:t>
      </w:r>
      <w:r w:rsidRPr="00AB6715">
        <w:rPr>
          <w:rFonts w:ascii="Arial" w:hAnsi="Arial" w:cs="Arial"/>
          <w:sz w:val="22"/>
          <w:szCs w:val="22"/>
        </w:rPr>
        <w:t>. London: NHS England. Available at:</w:t>
      </w:r>
      <w:hyperlink r:id="rId28" w:history="1">
        <w:r w:rsidRPr="00AB6715">
          <w:rPr>
            <w:rStyle w:val="Hyperlink"/>
            <w:rFonts w:ascii="Arial" w:hAnsi="Arial" w:cs="Arial"/>
            <w:sz w:val="22"/>
            <w:szCs w:val="22"/>
          </w:rPr>
          <w:t xml:space="preserve"> https://www.england.nhs.uk/integratedcare/what-is-integrated-care/</w:t>
        </w:r>
      </w:hyperlink>
    </w:p>
    <w:p w14:paraId="650719BE"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(Accessed: 29 March 2026).</w:t>
      </w:r>
    </w:p>
    <w:p w14:paraId="5327D229"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Thomson, L.J.M. and Chatterjee, H.J. (2024) 'Barriers and enablers of integrated care in the UK: a rapid evidence review of review articles and grey literature 2018–2022', </w:t>
      </w:r>
      <w:r w:rsidRPr="00AB6715">
        <w:rPr>
          <w:rFonts w:ascii="Arial" w:hAnsi="Arial" w:cs="Arial"/>
          <w:i/>
          <w:iCs/>
          <w:sz w:val="22"/>
          <w:szCs w:val="22"/>
        </w:rPr>
        <w:t>Frontiers in Public Health</w:t>
      </w:r>
      <w:r w:rsidRPr="00AB6715">
        <w:rPr>
          <w:rFonts w:ascii="Arial" w:hAnsi="Arial" w:cs="Arial"/>
          <w:sz w:val="22"/>
          <w:szCs w:val="22"/>
        </w:rPr>
        <w:t>, 11, p. 1286479.</w:t>
      </w:r>
      <w:hyperlink r:id="rId29" w:history="1">
        <w:r w:rsidRPr="00AB6715">
          <w:rPr>
            <w:rStyle w:val="Hyperlink"/>
            <w:rFonts w:ascii="Arial" w:hAnsi="Arial" w:cs="Arial"/>
            <w:sz w:val="22"/>
            <w:szCs w:val="22"/>
          </w:rPr>
          <w:t>https://www.frontiersin.org/journals/public-health/articles/10.3389/fpubh.2023.1286479/full</w:t>
        </w:r>
      </w:hyperlink>
    </w:p>
    <w:p w14:paraId="24FF38B5" w14:textId="77777777" w:rsidR="00AB6715" w:rsidRPr="00AB6715" w:rsidRDefault="00AB6715" w:rsidP="00AB6715">
      <w:pPr>
        <w:spacing w:line="360" w:lineRule="auto"/>
        <w:rPr>
          <w:rFonts w:ascii="Arial" w:hAnsi="Arial" w:cs="Arial"/>
          <w:sz w:val="22"/>
          <w:szCs w:val="22"/>
        </w:rPr>
      </w:pPr>
      <w:r w:rsidRPr="00AB6715">
        <w:rPr>
          <w:rFonts w:ascii="Arial" w:hAnsi="Arial" w:cs="Arial"/>
          <w:sz w:val="22"/>
          <w:szCs w:val="22"/>
        </w:rPr>
        <w:t xml:space="preserve">Wong, K.C., Wong, F.K.Y., Yeung, W.F. and Chang, K. (2018) 'The effect of complex interventions on supporting self-care among community-dwelling older adults: a systematic review and meta-analysis', </w:t>
      </w:r>
      <w:r w:rsidRPr="00AB6715">
        <w:rPr>
          <w:rFonts w:ascii="Arial" w:hAnsi="Arial" w:cs="Arial"/>
          <w:i/>
          <w:iCs/>
          <w:sz w:val="22"/>
          <w:szCs w:val="22"/>
        </w:rPr>
        <w:t>Age and Ageing</w:t>
      </w:r>
      <w:r w:rsidRPr="00AB6715">
        <w:rPr>
          <w:rFonts w:ascii="Arial" w:hAnsi="Arial" w:cs="Arial"/>
          <w:sz w:val="22"/>
          <w:szCs w:val="22"/>
        </w:rPr>
        <w:t>, 47(2), pp. 185–193.</w:t>
      </w:r>
      <w:hyperlink r:id="rId30" w:history="1">
        <w:r w:rsidRPr="00AB6715">
          <w:rPr>
            <w:rStyle w:val="Hyperlink"/>
            <w:rFonts w:ascii="Arial" w:hAnsi="Arial" w:cs="Arial"/>
            <w:sz w:val="22"/>
            <w:szCs w:val="22"/>
          </w:rPr>
          <w:t>https://academic.oup.com/ageing/article/47/2/185/4157314</w:t>
        </w:r>
      </w:hyperlink>
    </w:p>
    <w:p w14:paraId="6B640193" w14:textId="6E2F3A36" w:rsidR="002062F1" w:rsidRPr="00AB6715" w:rsidRDefault="00AB6715" w:rsidP="00AB6715">
      <w:pPr>
        <w:spacing w:line="360" w:lineRule="auto"/>
        <w:rPr>
          <w:rFonts w:ascii="Arial" w:hAnsi="Arial" w:cs="Arial"/>
          <w:sz w:val="22"/>
          <w:szCs w:val="22"/>
        </w:rPr>
      </w:pPr>
      <w:r w:rsidRPr="00AB6715">
        <w:rPr>
          <w:rFonts w:ascii="Arial" w:hAnsi="Arial" w:cs="Arial"/>
          <w:sz w:val="22"/>
          <w:szCs w:val="22"/>
        </w:rPr>
        <w:br/>
      </w:r>
      <w:r w:rsidRPr="00AB6715">
        <w:rPr>
          <w:rFonts w:ascii="Arial" w:hAnsi="Arial" w:cs="Arial"/>
          <w:sz w:val="22"/>
          <w:szCs w:val="22"/>
        </w:rPr>
        <w:br/>
      </w:r>
      <w:r w:rsidRPr="00AB6715">
        <w:rPr>
          <w:rFonts w:ascii="Arial" w:hAnsi="Arial" w:cs="Arial"/>
          <w:sz w:val="22"/>
          <w:szCs w:val="22"/>
        </w:rPr>
        <w:br/>
      </w:r>
      <w:r w:rsidRPr="00AB6715">
        <w:rPr>
          <w:rFonts w:ascii="Arial" w:hAnsi="Arial" w:cs="Arial"/>
          <w:sz w:val="22"/>
          <w:szCs w:val="22"/>
        </w:rPr>
        <w:br/>
      </w:r>
      <w:r w:rsidRPr="00AB6715">
        <w:rPr>
          <w:rFonts w:ascii="Arial" w:hAnsi="Arial" w:cs="Arial"/>
          <w:sz w:val="22"/>
          <w:szCs w:val="22"/>
        </w:rPr>
        <w:br/>
      </w:r>
      <w:r w:rsidRPr="00AB6715">
        <w:rPr>
          <w:rFonts w:ascii="Arial" w:hAnsi="Arial" w:cs="Arial"/>
          <w:sz w:val="22"/>
          <w:szCs w:val="22"/>
        </w:rPr>
        <w:br/>
      </w:r>
      <w:r w:rsidRPr="00AB6715">
        <w:rPr>
          <w:rFonts w:ascii="Arial" w:hAnsi="Arial" w:cs="Arial"/>
          <w:sz w:val="22"/>
          <w:szCs w:val="22"/>
        </w:rPr>
        <w:br/>
      </w:r>
      <w:r w:rsidRPr="00AB6715">
        <w:rPr>
          <w:rFonts w:ascii="Arial" w:hAnsi="Arial" w:cs="Arial"/>
          <w:sz w:val="22"/>
          <w:szCs w:val="22"/>
        </w:rPr>
        <w:br/>
      </w:r>
      <w:r w:rsidRPr="00AB6715">
        <w:rPr>
          <w:rFonts w:ascii="Arial" w:hAnsi="Arial" w:cs="Arial"/>
          <w:sz w:val="22"/>
          <w:szCs w:val="22"/>
        </w:rPr>
        <w:br/>
      </w:r>
      <w:r w:rsidRPr="00AB6715">
        <w:rPr>
          <w:rFonts w:ascii="Arial" w:hAnsi="Arial" w:cs="Arial"/>
          <w:sz w:val="22"/>
          <w:szCs w:val="22"/>
        </w:rPr>
        <w:br/>
      </w:r>
    </w:p>
    <w:sectPr w:rsidR="002062F1" w:rsidRPr="00AB6715">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CF87E" w14:textId="77777777" w:rsidR="00280937" w:rsidRDefault="00280937" w:rsidP="00BB27FC">
      <w:pPr>
        <w:spacing w:after="0" w:line="240" w:lineRule="auto"/>
      </w:pPr>
      <w:r>
        <w:separator/>
      </w:r>
    </w:p>
  </w:endnote>
  <w:endnote w:type="continuationSeparator" w:id="0">
    <w:p w14:paraId="15D9AEE6" w14:textId="77777777" w:rsidR="00280937" w:rsidRDefault="00280937" w:rsidP="00BB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58517"/>
      <w:docPartObj>
        <w:docPartGallery w:val="Page Numbers (Bottom of Page)"/>
        <w:docPartUnique/>
      </w:docPartObj>
    </w:sdtPr>
    <w:sdtEndPr>
      <w:rPr>
        <w:noProof/>
      </w:rPr>
    </w:sdtEndPr>
    <w:sdtContent>
      <w:p w14:paraId="0FA16F65" w14:textId="5BB587A5" w:rsidR="00BB27FC" w:rsidRDefault="00BB27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8E115B" w14:textId="77777777" w:rsidR="00BB27FC" w:rsidRDefault="00BB2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2454F" w14:textId="77777777" w:rsidR="00280937" w:rsidRDefault="00280937" w:rsidP="00BB27FC">
      <w:pPr>
        <w:spacing w:after="0" w:line="240" w:lineRule="auto"/>
      </w:pPr>
      <w:r>
        <w:separator/>
      </w:r>
    </w:p>
  </w:footnote>
  <w:footnote w:type="continuationSeparator" w:id="0">
    <w:p w14:paraId="03710250" w14:textId="77777777" w:rsidR="00280937" w:rsidRDefault="00280937" w:rsidP="00BB27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1"/>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715"/>
    <w:rsid w:val="000E72D2"/>
    <w:rsid w:val="002062F1"/>
    <w:rsid w:val="00280937"/>
    <w:rsid w:val="005C6E61"/>
    <w:rsid w:val="006B79A5"/>
    <w:rsid w:val="00793660"/>
    <w:rsid w:val="009363FC"/>
    <w:rsid w:val="00AB6715"/>
    <w:rsid w:val="00AE31FE"/>
    <w:rsid w:val="00B52D3F"/>
    <w:rsid w:val="00BB27FC"/>
    <w:rsid w:val="00BE617E"/>
    <w:rsid w:val="00C50470"/>
    <w:rsid w:val="00CA42A0"/>
    <w:rsid w:val="00E22A41"/>
    <w:rsid w:val="00E27372"/>
    <w:rsid w:val="00ED4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F29AB"/>
  <w15:chartTrackingRefBased/>
  <w15:docId w15:val="{92C1EC42-E057-4F38-859E-1BCFD93D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7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B67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67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67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67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6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7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67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67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67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67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6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715"/>
    <w:rPr>
      <w:rFonts w:eastAsiaTheme="majorEastAsia" w:cstheme="majorBidi"/>
      <w:color w:val="272727" w:themeColor="text1" w:themeTint="D8"/>
    </w:rPr>
  </w:style>
  <w:style w:type="paragraph" w:styleId="Title">
    <w:name w:val="Title"/>
    <w:basedOn w:val="Normal"/>
    <w:next w:val="Normal"/>
    <w:link w:val="TitleChar"/>
    <w:uiPriority w:val="10"/>
    <w:qFormat/>
    <w:rsid w:val="00AB6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715"/>
    <w:pPr>
      <w:spacing w:before="160"/>
      <w:jc w:val="center"/>
    </w:pPr>
    <w:rPr>
      <w:i/>
      <w:iCs/>
      <w:color w:val="404040" w:themeColor="text1" w:themeTint="BF"/>
    </w:rPr>
  </w:style>
  <w:style w:type="character" w:customStyle="1" w:styleId="QuoteChar">
    <w:name w:val="Quote Char"/>
    <w:basedOn w:val="DefaultParagraphFont"/>
    <w:link w:val="Quote"/>
    <w:uiPriority w:val="29"/>
    <w:rsid w:val="00AB6715"/>
    <w:rPr>
      <w:i/>
      <w:iCs/>
      <w:color w:val="404040" w:themeColor="text1" w:themeTint="BF"/>
    </w:rPr>
  </w:style>
  <w:style w:type="paragraph" w:styleId="ListParagraph">
    <w:name w:val="List Paragraph"/>
    <w:basedOn w:val="Normal"/>
    <w:uiPriority w:val="34"/>
    <w:qFormat/>
    <w:rsid w:val="00AB6715"/>
    <w:pPr>
      <w:ind w:left="720"/>
      <w:contextualSpacing/>
    </w:pPr>
  </w:style>
  <w:style w:type="character" w:styleId="IntenseEmphasis">
    <w:name w:val="Intense Emphasis"/>
    <w:basedOn w:val="DefaultParagraphFont"/>
    <w:uiPriority w:val="21"/>
    <w:qFormat/>
    <w:rsid w:val="00AB6715"/>
    <w:rPr>
      <w:i/>
      <w:iCs/>
      <w:color w:val="2F5496" w:themeColor="accent1" w:themeShade="BF"/>
    </w:rPr>
  </w:style>
  <w:style w:type="paragraph" w:styleId="IntenseQuote">
    <w:name w:val="Intense Quote"/>
    <w:basedOn w:val="Normal"/>
    <w:next w:val="Normal"/>
    <w:link w:val="IntenseQuoteChar"/>
    <w:uiPriority w:val="30"/>
    <w:qFormat/>
    <w:rsid w:val="00AB67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6715"/>
    <w:rPr>
      <w:i/>
      <w:iCs/>
      <w:color w:val="2F5496" w:themeColor="accent1" w:themeShade="BF"/>
    </w:rPr>
  </w:style>
  <w:style w:type="character" w:styleId="IntenseReference">
    <w:name w:val="Intense Reference"/>
    <w:basedOn w:val="DefaultParagraphFont"/>
    <w:uiPriority w:val="32"/>
    <w:qFormat/>
    <w:rsid w:val="00AB6715"/>
    <w:rPr>
      <w:b/>
      <w:bCs/>
      <w:smallCaps/>
      <w:color w:val="2F5496" w:themeColor="accent1" w:themeShade="BF"/>
      <w:spacing w:val="5"/>
    </w:rPr>
  </w:style>
  <w:style w:type="character" w:styleId="Hyperlink">
    <w:name w:val="Hyperlink"/>
    <w:basedOn w:val="DefaultParagraphFont"/>
    <w:uiPriority w:val="99"/>
    <w:unhideWhenUsed/>
    <w:rsid w:val="00AB6715"/>
    <w:rPr>
      <w:color w:val="0563C1" w:themeColor="hyperlink"/>
      <w:u w:val="single"/>
    </w:rPr>
  </w:style>
  <w:style w:type="character" w:styleId="UnresolvedMention">
    <w:name w:val="Unresolved Mention"/>
    <w:basedOn w:val="DefaultParagraphFont"/>
    <w:uiPriority w:val="99"/>
    <w:semiHidden/>
    <w:unhideWhenUsed/>
    <w:rsid w:val="00AB6715"/>
    <w:rPr>
      <w:color w:val="605E5C"/>
      <w:shd w:val="clear" w:color="auto" w:fill="E1DFDD"/>
    </w:rPr>
  </w:style>
  <w:style w:type="paragraph" w:styleId="Header">
    <w:name w:val="header"/>
    <w:basedOn w:val="Normal"/>
    <w:link w:val="HeaderChar"/>
    <w:uiPriority w:val="99"/>
    <w:unhideWhenUsed/>
    <w:rsid w:val="00BB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7FC"/>
  </w:style>
  <w:style w:type="paragraph" w:styleId="Footer">
    <w:name w:val="footer"/>
    <w:basedOn w:val="Normal"/>
    <w:link w:val="FooterChar"/>
    <w:uiPriority w:val="99"/>
    <w:unhideWhenUsed/>
    <w:rsid w:val="00BB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7FC"/>
  </w:style>
  <w:style w:type="paragraph" w:styleId="TOCHeading">
    <w:name w:val="TOC Heading"/>
    <w:basedOn w:val="Heading1"/>
    <w:next w:val="Normal"/>
    <w:uiPriority w:val="39"/>
    <w:unhideWhenUsed/>
    <w:qFormat/>
    <w:rsid w:val="00BB27F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B27F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550543/Dr_Sarah_Devaney_-_Ethics_for_regulators.pdf" TargetMode="External"/><Relationship Id="rId18" Type="http://schemas.openxmlformats.org/officeDocument/2006/relationships/hyperlink" Target="https://cmls.org.uk/online/wp-content/uploads/2019/07/Understanding-health-and-social-care.pdf" TargetMode="External"/><Relationship Id="rId26" Type="http://schemas.openxmlformats.org/officeDocument/2006/relationships/hyperlink" Target="https://books.google.com/books?hl=en&amp;lr=&amp;id=o8pJDAAAQBAJ&amp;oi=fnd&amp;pg=PR9&amp;dq=McCormack,+B.+and+McCance,+T.+eds.,+2016.+Person-centred+practice+in+nursing+and+health+care:+theory+and+practice.+John+Wiley+%26+Sons.&amp;ots=PLbHS6uF3-&amp;sig=vVerfK-IjwK5oc7lHt6HdeUsaT0" TargetMode="External"/><Relationship Id="rId3" Type="http://schemas.openxmlformats.org/officeDocument/2006/relationships/settings" Target="settings.xml"/><Relationship Id="rId21" Type="http://schemas.openxmlformats.org/officeDocument/2006/relationships/hyperlink" Target="https://www.health.org.uk/sites/default/files/PersonCentredCareMadeSimple.pdf" TargetMode="External"/><Relationship Id="rId7" Type="http://schemas.openxmlformats.org/officeDocument/2006/relationships/hyperlink" Target="https://pmc.ncbi.nlm.nih.gov/articles/PMC10083933/" TargetMode="External"/><Relationship Id="rId12" Type="http://schemas.openxmlformats.org/officeDocument/2006/relationships/hyperlink" Target="https://assets.publishing.service.gov.uk/government/uploads/system/uploads/attachment_data/file/550543/Dr_Sarah_Devaney_-_Ethics_for_regulators.pdf" TargetMode="External"/><Relationship Id="rId17" Type="http://schemas.openxmlformats.org/officeDocument/2006/relationships/hyperlink" Target="https://www.research.unipd.it/handle/11577/3526803" TargetMode="External"/><Relationship Id="rId25" Type="http://schemas.openxmlformats.org/officeDocument/2006/relationships/hyperlink" Target="https://academic.oup.com/ageing/article/52/8/afad134/7234595"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https://www.hcpc-uk.org/standards/standards-of-conduct-performance-and-ethics/" TargetMode="External"/><Relationship Id="rId29" Type="http://schemas.openxmlformats.org/officeDocument/2006/relationships/hyperlink" Target="https://www.frontiersin.org/journals/public-health/articles/10.3389/fpubh.2023.1286479/ful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ristoluniversitypressdigital.com/monochap/book/9781447357315/ch004.xml" TargetMode="External"/><Relationship Id="rId24" Type="http://schemas.openxmlformats.org/officeDocument/2006/relationships/hyperlink" Target="https://www.thelancet.com/journals/lancet/article/PIIS0140-6736(25)01283-8/abstract"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lobalization.anthro-seminars.net/wp-content/uploads/2016/11/Need-for-a-New-Medical-Model-A-Challenge-for-Biomedicine.pdf"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www.england.nhs.uk/integratedcare/what-is-integrated-care/" TargetMode="External"/><Relationship Id="rId10" Type="http://schemas.openxmlformats.org/officeDocument/2006/relationships/hyperlink" Target="https://iris.who.int/handle/10665/107791" TargetMode="External"/><Relationship Id="rId19" Type="http://schemas.openxmlformats.org/officeDocument/2006/relationships/hyperlink" Target="https://www.legislation.gov.uk/ukpga/2022/31/content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eweconomics.org/uploads/files/312ac8ce93a00d5973_3im6i6t0e.pdf" TargetMode="External"/><Relationship Id="rId14" Type="http://schemas.openxmlformats.org/officeDocument/2006/relationships/hyperlink" Target="https://aru.figshare.com/articles/journal_contribution/Exploring_the_implementation_of_the_Nursing_and_Midwifery_Council_NMC_2018_standards_in_nursing_education_a_mixed-methods_study_protocol/30999574/1/files/60787231.pdf" TargetMode="External"/><Relationship Id="rId22" Type="http://schemas.openxmlformats.org/officeDocument/2006/relationships/hyperlink" Target="https://www.legislation.gov.uk/ukpga/2012/7/contents" TargetMode="External"/><Relationship Id="rId27" Type="http://schemas.openxmlformats.org/officeDocument/2006/relationships/hyperlink" Target="https://webarchive.nationalarchives.gov.uk/ukgwa/20250707103655/https:/www.longtermplan.nhs.uk/" TargetMode="External"/><Relationship Id="rId30" Type="http://schemas.openxmlformats.org/officeDocument/2006/relationships/hyperlink" Target="https://academic.oup.com/ageing/article/47/2/185/4157314" TargetMode="External"/><Relationship Id="rId8" Type="http://schemas.openxmlformats.org/officeDocument/2006/relationships/hyperlink" Target="https://neweconomics.org/uploads/files/312ac8ce93a00d5973_3im6i6t0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5E2AF-FBC5-41A2-96EC-71EA815DC5A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3515</Words>
  <Characters>20040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dina</dc:creator>
  <cp:keywords/>
  <dc:description/>
  <cp:lastModifiedBy>varisha Altash</cp:lastModifiedBy>
  <cp:revision>4</cp:revision>
  <dcterms:created xsi:type="dcterms:W3CDTF">2026-03-28T18:14:00Z</dcterms:created>
  <dcterms:modified xsi:type="dcterms:W3CDTF">2026-03-29T00:10:00Z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82b8b5bb-4228-47fc-a2f4-d66c48c298c5</vt:lpwstr>
  </property>
</Properties>
</file>