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F34E8" w:rsidRDefault="005F34E8" w:rsidP="005F34E8">
      <w:pPr>
        <w:jc w:val="center"/>
        <w:rPr>
          <w:b/>
          <w:bCs/>
        </w:rPr>
      </w:pPr>
    </w:p>
    <w:p w:rsidR="005F34E8" w:rsidRDefault="005F34E8" w:rsidP="005F34E8">
      <w:pPr>
        <w:jc w:val="center"/>
        <w:rPr>
          <w:b/>
          <w:bCs/>
        </w:rPr>
      </w:pPr>
    </w:p>
    <w:p w:rsidR="005F34E8" w:rsidRDefault="005F34E8" w:rsidP="005F34E8">
      <w:pPr>
        <w:jc w:val="center"/>
        <w:rPr>
          <w:b/>
          <w:bCs/>
        </w:rPr>
      </w:pPr>
    </w:p>
    <w:p w:rsidR="005F34E8" w:rsidRDefault="005F34E8" w:rsidP="005F34E8">
      <w:pPr>
        <w:jc w:val="center"/>
        <w:rPr>
          <w:b/>
          <w:bCs/>
        </w:rPr>
      </w:pPr>
      <w:r w:rsidRPr="005F34E8">
        <w:rPr>
          <w:b/>
          <w:bCs/>
        </w:rPr>
        <w:t>Integrated Human Capital Blueprint</w:t>
      </w:r>
    </w:p>
    <w:p w:rsidR="005F34E8" w:rsidRPr="005F34E8" w:rsidRDefault="005F34E8" w:rsidP="005F34E8">
      <w:pPr>
        <w:jc w:val="center"/>
        <w:rPr>
          <w:b/>
          <w:bCs/>
        </w:rPr>
      </w:pPr>
      <w:r>
        <w:rPr>
          <w:b/>
          <w:bCs/>
          <w:noProof/>
          <w:lang w:val="en-GB" w:eastAsia="en-GB" w:bidi="hi-IN"/>
        </w:rPr>
        <w:drawing>
          <wp:inline distT="0" distB="0" distL="0" distR="0">
            <wp:extent cx="1810385" cy="725170"/>
            <wp:effectExtent l="0" t="0" r="0" b="0"/>
            <wp:docPr id="704394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10385" cy="725170"/>
                    </a:xfrm>
                    <a:prstGeom prst="rect">
                      <a:avLst/>
                    </a:prstGeom>
                    <a:noFill/>
                  </pic:spPr>
                </pic:pic>
              </a:graphicData>
            </a:graphic>
          </wp:inline>
        </w:drawing>
      </w:r>
    </w:p>
    <w:p w:rsidR="005F34E8" w:rsidRDefault="005F34E8" w:rsidP="005F34E8">
      <w:pPr>
        <w:jc w:val="center"/>
      </w:pPr>
      <w:r w:rsidRPr="005F34E8">
        <w:rPr>
          <w:b/>
          <w:bCs/>
        </w:rPr>
        <w:t>Programme:</w:t>
      </w:r>
      <w:r w:rsidRPr="005F34E8">
        <w:t xml:space="preserve"> Master of Business Administration</w:t>
      </w:r>
    </w:p>
    <w:p w:rsidR="005F34E8" w:rsidRDefault="005F34E8" w:rsidP="005F34E8">
      <w:pPr>
        <w:jc w:val="center"/>
      </w:pPr>
      <w:r w:rsidRPr="005F34E8">
        <w:rPr>
          <w:b/>
          <w:bCs/>
        </w:rPr>
        <w:t>Module:</w:t>
      </w:r>
      <w:r w:rsidRPr="005F34E8">
        <w:t xml:space="preserve"> Human Capital Management</w:t>
      </w:r>
    </w:p>
    <w:p w:rsidR="005F34E8" w:rsidRDefault="005F34E8" w:rsidP="005F34E8">
      <w:pPr>
        <w:jc w:val="center"/>
      </w:pPr>
      <w:r w:rsidRPr="005F34E8">
        <w:rPr>
          <w:b/>
          <w:bCs/>
        </w:rPr>
        <w:t>Module Code:</w:t>
      </w:r>
      <w:r w:rsidRPr="005F34E8">
        <w:t xml:space="preserve"> LCMB7023</w:t>
      </w:r>
    </w:p>
    <w:p w:rsidR="005F34E8" w:rsidRDefault="005F34E8" w:rsidP="005F34E8">
      <w:pPr>
        <w:jc w:val="center"/>
      </w:pPr>
      <w:r w:rsidRPr="005F34E8">
        <w:rPr>
          <w:b/>
          <w:bCs/>
        </w:rPr>
        <w:t>Assignment Title:</w:t>
      </w:r>
      <w:r w:rsidRPr="005F34E8">
        <w:t xml:space="preserve"> Assessment Component 1: Individual Report – HR Strategy</w:t>
      </w:r>
    </w:p>
    <w:p w:rsidR="005F34E8" w:rsidRDefault="005F34E8" w:rsidP="005F34E8">
      <w:pPr>
        <w:jc w:val="center"/>
      </w:pPr>
      <w:r w:rsidRPr="005F34E8">
        <w:rPr>
          <w:b/>
          <w:bCs/>
        </w:rPr>
        <w:t>Lecturer:</w:t>
      </w:r>
      <w:r w:rsidRPr="005F34E8">
        <w:t xml:space="preserve"> Gladius Kulothungan / Ejike Udeogu</w:t>
      </w:r>
    </w:p>
    <w:p w:rsidR="005F34E8" w:rsidRDefault="005F34E8" w:rsidP="005F34E8">
      <w:pPr>
        <w:jc w:val="center"/>
      </w:pPr>
      <w:r w:rsidRPr="005F34E8">
        <w:rPr>
          <w:b/>
          <w:bCs/>
        </w:rPr>
        <w:t>Student Name:</w:t>
      </w:r>
      <w:r w:rsidR="00F746A6">
        <w:rPr>
          <w:b/>
          <w:bCs/>
        </w:rPr>
        <w:t xml:space="preserve"> Rozar Robertbhai Macwan</w:t>
      </w:r>
    </w:p>
    <w:p w:rsidR="005F34E8" w:rsidRDefault="005F34E8" w:rsidP="005F34E8">
      <w:pPr>
        <w:jc w:val="center"/>
      </w:pPr>
      <w:r w:rsidRPr="005F34E8">
        <w:rPr>
          <w:b/>
          <w:bCs/>
        </w:rPr>
        <w:t>Student ID:</w:t>
      </w:r>
      <w:r w:rsidR="00F746A6">
        <w:rPr>
          <w:b/>
          <w:bCs/>
        </w:rPr>
        <w:t xml:space="preserve"> 2509179</w:t>
      </w:r>
    </w:p>
    <w:p w:rsidR="005F34E8" w:rsidRDefault="005F34E8" w:rsidP="005F34E8">
      <w:pPr>
        <w:jc w:val="center"/>
      </w:pPr>
      <w:r w:rsidRPr="005F34E8">
        <w:rPr>
          <w:b/>
          <w:bCs/>
        </w:rPr>
        <w:t>Word Count:</w:t>
      </w:r>
      <w:r w:rsidR="00F746A6">
        <w:rPr>
          <w:b/>
          <w:bCs/>
        </w:rPr>
        <w:t xml:space="preserve"> 2603</w:t>
      </w:r>
    </w:p>
    <w:p w:rsidR="005F34E8" w:rsidRPr="005F34E8" w:rsidRDefault="005F34E8" w:rsidP="005F34E8">
      <w:pPr>
        <w:jc w:val="center"/>
      </w:pPr>
      <w:r w:rsidRPr="005F34E8">
        <w:rPr>
          <w:b/>
          <w:bCs/>
        </w:rPr>
        <w:t>Submission Date:</w:t>
      </w:r>
      <w:r w:rsidR="00F746A6">
        <w:rPr>
          <w:b/>
          <w:bCs/>
        </w:rPr>
        <w:t xml:space="preserve"> 19/02/2026</w:t>
      </w:r>
    </w:p>
    <w:p w:rsidR="00397F25" w:rsidRDefault="005F34E8" w:rsidP="005F34E8">
      <w:pPr>
        <w:spacing w:line="278" w:lineRule="auto"/>
        <w:jc w:val="left"/>
      </w:pPr>
      <w:r>
        <w:br w:type="page"/>
      </w:r>
    </w:p>
    <w:sdt>
      <w:sdtPr>
        <w:rPr>
          <w:rFonts w:ascii="Times New Roman" w:eastAsiaTheme="minorHAnsi" w:hAnsi="Times New Roman" w:cstheme="minorBidi"/>
          <w:color w:val="auto"/>
          <w:kern w:val="2"/>
          <w:sz w:val="24"/>
          <w:szCs w:val="24"/>
          <w:lang w:val="en-IN"/>
        </w:rPr>
        <w:id w:val="1980579194"/>
        <w:docPartObj>
          <w:docPartGallery w:val="Table of Contents"/>
          <w:docPartUnique/>
        </w:docPartObj>
      </w:sdtPr>
      <w:sdtEndPr>
        <w:rPr>
          <w:b/>
          <w:bCs/>
          <w:noProof/>
        </w:rPr>
      </w:sdtEndPr>
      <w:sdtContent>
        <w:p w:rsidR="00191084" w:rsidRDefault="00191084">
          <w:pPr>
            <w:pStyle w:val="TOCHeading"/>
          </w:pPr>
          <w:r>
            <w:t>Table of Contents</w:t>
          </w:r>
        </w:p>
        <w:p w:rsidR="00191084" w:rsidRDefault="00255C50">
          <w:pPr>
            <w:pStyle w:val="TOC1"/>
            <w:tabs>
              <w:tab w:val="right" w:leader="dot" w:pos="9016"/>
            </w:tabs>
            <w:rPr>
              <w:noProof/>
            </w:rPr>
          </w:pPr>
          <w:r w:rsidRPr="00255C50">
            <w:fldChar w:fldCharType="begin"/>
          </w:r>
          <w:r w:rsidR="00191084">
            <w:instrText xml:space="preserve"> TOC \o "1-3" \h \z \u </w:instrText>
          </w:r>
          <w:r w:rsidRPr="00255C50">
            <w:fldChar w:fldCharType="separate"/>
          </w:r>
          <w:hyperlink w:anchor="_Toc222233986" w:history="1">
            <w:r w:rsidR="00191084" w:rsidRPr="00BC3220">
              <w:rPr>
                <w:rStyle w:val="Hyperlink"/>
                <w:noProof/>
              </w:rPr>
              <w:t>1. Introduction</w:t>
            </w:r>
            <w:r w:rsidR="00191084">
              <w:rPr>
                <w:noProof/>
                <w:webHidden/>
              </w:rPr>
              <w:tab/>
            </w:r>
            <w:r>
              <w:rPr>
                <w:noProof/>
                <w:webHidden/>
              </w:rPr>
              <w:fldChar w:fldCharType="begin"/>
            </w:r>
            <w:r w:rsidR="00191084">
              <w:rPr>
                <w:noProof/>
                <w:webHidden/>
              </w:rPr>
              <w:instrText xml:space="preserve"> PAGEREF _Toc222233986 \h </w:instrText>
            </w:r>
            <w:r>
              <w:rPr>
                <w:noProof/>
                <w:webHidden/>
              </w:rPr>
            </w:r>
            <w:r>
              <w:rPr>
                <w:noProof/>
                <w:webHidden/>
              </w:rPr>
              <w:fldChar w:fldCharType="separate"/>
            </w:r>
            <w:r w:rsidR="00FB364C">
              <w:rPr>
                <w:noProof/>
                <w:webHidden/>
              </w:rPr>
              <w:t>3</w:t>
            </w:r>
            <w:r>
              <w:rPr>
                <w:noProof/>
                <w:webHidden/>
              </w:rPr>
              <w:fldChar w:fldCharType="end"/>
            </w:r>
          </w:hyperlink>
        </w:p>
        <w:p w:rsidR="00191084" w:rsidRDefault="00255C50">
          <w:pPr>
            <w:pStyle w:val="TOC1"/>
            <w:tabs>
              <w:tab w:val="right" w:leader="dot" w:pos="9016"/>
            </w:tabs>
            <w:rPr>
              <w:noProof/>
            </w:rPr>
          </w:pPr>
          <w:hyperlink w:anchor="_Toc222233987" w:history="1">
            <w:r w:rsidR="00191084" w:rsidRPr="00BC3220">
              <w:rPr>
                <w:rStyle w:val="Hyperlink"/>
                <w:noProof/>
              </w:rPr>
              <w:t>2. Part 1: Building a Culture of Innovation &amp; Future Work Practices</w:t>
            </w:r>
            <w:r w:rsidR="00191084">
              <w:rPr>
                <w:noProof/>
                <w:webHidden/>
              </w:rPr>
              <w:tab/>
            </w:r>
            <w:r>
              <w:rPr>
                <w:noProof/>
                <w:webHidden/>
              </w:rPr>
              <w:fldChar w:fldCharType="begin"/>
            </w:r>
            <w:r w:rsidR="00191084">
              <w:rPr>
                <w:noProof/>
                <w:webHidden/>
              </w:rPr>
              <w:instrText xml:space="preserve"> PAGEREF _Toc222233987 \h </w:instrText>
            </w:r>
            <w:r>
              <w:rPr>
                <w:noProof/>
                <w:webHidden/>
              </w:rPr>
            </w:r>
            <w:r>
              <w:rPr>
                <w:noProof/>
                <w:webHidden/>
              </w:rPr>
              <w:fldChar w:fldCharType="separate"/>
            </w:r>
            <w:r w:rsidR="00FB364C">
              <w:rPr>
                <w:noProof/>
                <w:webHidden/>
              </w:rPr>
              <w:t>3</w:t>
            </w:r>
            <w:r>
              <w:rPr>
                <w:noProof/>
                <w:webHidden/>
              </w:rPr>
              <w:fldChar w:fldCharType="end"/>
            </w:r>
          </w:hyperlink>
        </w:p>
        <w:p w:rsidR="00191084" w:rsidRDefault="00255C50">
          <w:pPr>
            <w:pStyle w:val="TOC2"/>
            <w:tabs>
              <w:tab w:val="right" w:leader="dot" w:pos="9016"/>
            </w:tabs>
            <w:rPr>
              <w:noProof/>
            </w:rPr>
          </w:pPr>
          <w:hyperlink w:anchor="_Toc222233988" w:history="1">
            <w:r w:rsidR="00191084" w:rsidRPr="00BC3220">
              <w:rPr>
                <w:rStyle w:val="Hyperlink"/>
                <w:noProof/>
              </w:rPr>
              <w:t>2.1 Current Practices in Culture and Work Among Tech Companies</w:t>
            </w:r>
            <w:r w:rsidR="00191084">
              <w:rPr>
                <w:noProof/>
                <w:webHidden/>
              </w:rPr>
              <w:tab/>
            </w:r>
            <w:r>
              <w:rPr>
                <w:noProof/>
                <w:webHidden/>
              </w:rPr>
              <w:fldChar w:fldCharType="begin"/>
            </w:r>
            <w:r w:rsidR="00191084">
              <w:rPr>
                <w:noProof/>
                <w:webHidden/>
              </w:rPr>
              <w:instrText xml:space="preserve"> PAGEREF _Toc222233988 \h </w:instrText>
            </w:r>
            <w:r>
              <w:rPr>
                <w:noProof/>
                <w:webHidden/>
              </w:rPr>
            </w:r>
            <w:r>
              <w:rPr>
                <w:noProof/>
                <w:webHidden/>
              </w:rPr>
              <w:fldChar w:fldCharType="separate"/>
            </w:r>
            <w:r w:rsidR="00FB364C">
              <w:rPr>
                <w:noProof/>
                <w:webHidden/>
              </w:rPr>
              <w:t>3</w:t>
            </w:r>
            <w:r>
              <w:rPr>
                <w:noProof/>
                <w:webHidden/>
              </w:rPr>
              <w:fldChar w:fldCharType="end"/>
            </w:r>
          </w:hyperlink>
        </w:p>
        <w:p w:rsidR="00191084" w:rsidRDefault="00255C50">
          <w:pPr>
            <w:pStyle w:val="TOC2"/>
            <w:tabs>
              <w:tab w:val="right" w:leader="dot" w:pos="9016"/>
            </w:tabs>
            <w:rPr>
              <w:noProof/>
            </w:rPr>
          </w:pPr>
          <w:hyperlink w:anchor="_Toc222233989" w:history="1">
            <w:r w:rsidR="00191084" w:rsidRPr="00BC3220">
              <w:rPr>
                <w:rStyle w:val="Hyperlink"/>
                <w:noProof/>
              </w:rPr>
              <w:t>2.2 Recommended Cultural and Structural Initiatives</w:t>
            </w:r>
            <w:r w:rsidR="00191084">
              <w:rPr>
                <w:noProof/>
                <w:webHidden/>
              </w:rPr>
              <w:tab/>
            </w:r>
            <w:r>
              <w:rPr>
                <w:noProof/>
                <w:webHidden/>
              </w:rPr>
              <w:fldChar w:fldCharType="begin"/>
            </w:r>
            <w:r w:rsidR="00191084">
              <w:rPr>
                <w:noProof/>
                <w:webHidden/>
              </w:rPr>
              <w:instrText xml:space="preserve"> PAGEREF _Toc222233989 \h </w:instrText>
            </w:r>
            <w:r>
              <w:rPr>
                <w:noProof/>
                <w:webHidden/>
              </w:rPr>
            </w:r>
            <w:r>
              <w:rPr>
                <w:noProof/>
                <w:webHidden/>
              </w:rPr>
              <w:fldChar w:fldCharType="separate"/>
            </w:r>
            <w:r w:rsidR="00FB364C">
              <w:rPr>
                <w:noProof/>
                <w:webHidden/>
              </w:rPr>
              <w:t>5</w:t>
            </w:r>
            <w:r>
              <w:rPr>
                <w:noProof/>
                <w:webHidden/>
              </w:rPr>
              <w:fldChar w:fldCharType="end"/>
            </w:r>
          </w:hyperlink>
        </w:p>
        <w:p w:rsidR="00191084" w:rsidRDefault="00255C50">
          <w:pPr>
            <w:pStyle w:val="TOC2"/>
            <w:tabs>
              <w:tab w:val="right" w:leader="dot" w:pos="9016"/>
            </w:tabs>
            <w:rPr>
              <w:noProof/>
            </w:rPr>
          </w:pPr>
          <w:hyperlink w:anchor="_Toc222233990" w:history="1">
            <w:r w:rsidR="00191084" w:rsidRPr="00BC3220">
              <w:rPr>
                <w:rStyle w:val="Hyperlink"/>
                <w:noProof/>
              </w:rPr>
              <w:t>2.3 Proposed Future of Work Model</w:t>
            </w:r>
            <w:r w:rsidR="00191084">
              <w:rPr>
                <w:noProof/>
                <w:webHidden/>
              </w:rPr>
              <w:tab/>
            </w:r>
            <w:r>
              <w:rPr>
                <w:noProof/>
                <w:webHidden/>
              </w:rPr>
              <w:fldChar w:fldCharType="begin"/>
            </w:r>
            <w:r w:rsidR="00191084">
              <w:rPr>
                <w:noProof/>
                <w:webHidden/>
              </w:rPr>
              <w:instrText xml:space="preserve"> PAGEREF _Toc222233990 \h </w:instrText>
            </w:r>
            <w:r>
              <w:rPr>
                <w:noProof/>
                <w:webHidden/>
              </w:rPr>
            </w:r>
            <w:r>
              <w:rPr>
                <w:noProof/>
                <w:webHidden/>
              </w:rPr>
              <w:fldChar w:fldCharType="separate"/>
            </w:r>
            <w:r w:rsidR="00FB364C">
              <w:rPr>
                <w:noProof/>
                <w:webHidden/>
              </w:rPr>
              <w:t>6</w:t>
            </w:r>
            <w:r>
              <w:rPr>
                <w:noProof/>
                <w:webHidden/>
              </w:rPr>
              <w:fldChar w:fldCharType="end"/>
            </w:r>
          </w:hyperlink>
        </w:p>
        <w:p w:rsidR="00191084" w:rsidRDefault="00255C50">
          <w:pPr>
            <w:pStyle w:val="TOC2"/>
            <w:tabs>
              <w:tab w:val="right" w:leader="dot" w:pos="9016"/>
            </w:tabs>
            <w:rPr>
              <w:noProof/>
            </w:rPr>
          </w:pPr>
          <w:hyperlink w:anchor="_Toc222233991" w:history="1">
            <w:r w:rsidR="00191084" w:rsidRPr="00BC3220">
              <w:rPr>
                <w:rStyle w:val="Hyperlink"/>
                <w:noProof/>
              </w:rPr>
              <w:t>2.4 How the New Approach Motivates and Enables Optimal Performance</w:t>
            </w:r>
            <w:r w:rsidR="00191084">
              <w:rPr>
                <w:noProof/>
                <w:webHidden/>
              </w:rPr>
              <w:tab/>
            </w:r>
            <w:r>
              <w:rPr>
                <w:noProof/>
                <w:webHidden/>
              </w:rPr>
              <w:fldChar w:fldCharType="begin"/>
            </w:r>
            <w:r w:rsidR="00191084">
              <w:rPr>
                <w:noProof/>
                <w:webHidden/>
              </w:rPr>
              <w:instrText xml:space="preserve"> PAGEREF _Toc222233991 \h </w:instrText>
            </w:r>
            <w:r>
              <w:rPr>
                <w:noProof/>
                <w:webHidden/>
              </w:rPr>
            </w:r>
            <w:r>
              <w:rPr>
                <w:noProof/>
                <w:webHidden/>
              </w:rPr>
              <w:fldChar w:fldCharType="separate"/>
            </w:r>
            <w:r w:rsidR="00FB364C">
              <w:rPr>
                <w:noProof/>
                <w:webHidden/>
              </w:rPr>
              <w:t>7</w:t>
            </w:r>
            <w:r>
              <w:rPr>
                <w:noProof/>
                <w:webHidden/>
              </w:rPr>
              <w:fldChar w:fldCharType="end"/>
            </w:r>
          </w:hyperlink>
        </w:p>
        <w:p w:rsidR="00191084" w:rsidRDefault="00255C50">
          <w:pPr>
            <w:pStyle w:val="TOC1"/>
            <w:tabs>
              <w:tab w:val="right" w:leader="dot" w:pos="9016"/>
            </w:tabs>
            <w:rPr>
              <w:noProof/>
            </w:rPr>
          </w:pPr>
          <w:hyperlink w:anchor="_Toc222233992" w:history="1">
            <w:r w:rsidR="00191084" w:rsidRPr="00BC3220">
              <w:rPr>
                <w:rStyle w:val="Hyperlink"/>
                <w:noProof/>
              </w:rPr>
              <w:t>3. Part 2: Reflection</w:t>
            </w:r>
            <w:r w:rsidR="00191084">
              <w:rPr>
                <w:noProof/>
                <w:webHidden/>
              </w:rPr>
              <w:tab/>
            </w:r>
            <w:r>
              <w:rPr>
                <w:noProof/>
                <w:webHidden/>
              </w:rPr>
              <w:fldChar w:fldCharType="begin"/>
            </w:r>
            <w:r w:rsidR="00191084">
              <w:rPr>
                <w:noProof/>
                <w:webHidden/>
              </w:rPr>
              <w:instrText xml:space="preserve"> PAGEREF _Toc222233992 \h </w:instrText>
            </w:r>
            <w:r>
              <w:rPr>
                <w:noProof/>
                <w:webHidden/>
              </w:rPr>
            </w:r>
            <w:r>
              <w:rPr>
                <w:noProof/>
                <w:webHidden/>
              </w:rPr>
              <w:fldChar w:fldCharType="separate"/>
            </w:r>
            <w:r w:rsidR="00FB364C">
              <w:rPr>
                <w:noProof/>
                <w:webHidden/>
              </w:rPr>
              <w:t>8</w:t>
            </w:r>
            <w:r>
              <w:rPr>
                <w:noProof/>
                <w:webHidden/>
              </w:rPr>
              <w:fldChar w:fldCharType="end"/>
            </w:r>
          </w:hyperlink>
        </w:p>
        <w:p w:rsidR="00191084" w:rsidRDefault="00255C50">
          <w:pPr>
            <w:pStyle w:val="TOC2"/>
            <w:tabs>
              <w:tab w:val="right" w:leader="dot" w:pos="9016"/>
            </w:tabs>
            <w:rPr>
              <w:noProof/>
            </w:rPr>
          </w:pPr>
          <w:hyperlink w:anchor="_Toc222233993" w:history="1">
            <w:r w:rsidR="00191084" w:rsidRPr="00BC3220">
              <w:rPr>
                <w:rStyle w:val="Hyperlink"/>
                <w:noProof/>
              </w:rPr>
              <w:t>3.1 Learning Journey Using Gibbs Reflective Cycle</w:t>
            </w:r>
            <w:r w:rsidR="00191084">
              <w:rPr>
                <w:noProof/>
                <w:webHidden/>
              </w:rPr>
              <w:tab/>
            </w:r>
            <w:r>
              <w:rPr>
                <w:noProof/>
                <w:webHidden/>
              </w:rPr>
              <w:fldChar w:fldCharType="begin"/>
            </w:r>
            <w:r w:rsidR="00191084">
              <w:rPr>
                <w:noProof/>
                <w:webHidden/>
              </w:rPr>
              <w:instrText xml:space="preserve"> PAGEREF _Toc222233993 \h </w:instrText>
            </w:r>
            <w:r>
              <w:rPr>
                <w:noProof/>
                <w:webHidden/>
              </w:rPr>
            </w:r>
            <w:r>
              <w:rPr>
                <w:noProof/>
                <w:webHidden/>
              </w:rPr>
              <w:fldChar w:fldCharType="separate"/>
            </w:r>
            <w:r w:rsidR="00FB364C">
              <w:rPr>
                <w:noProof/>
                <w:webHidden/>
              </w:rPr>
              <w:t>8</w:t>
            </w:r>
            <w:r>
              <w:rPr>
                <w:noProof/>
                <w:webHidden/>
              </w:rPr>
              <w:fldChar w:fldCharType="end"/>
            </w:r>
          </w:hyperlink>
        </w:p>
        <w:p w:rsidR="00191084" w:rsidRDefault="00255C50">
          <w:pPr>
            <w:pStyle w:val="TOC2"/>
            <w:tabs>
              <w:tab w:val="right" w:leader="dot" w:pos="9016"/>
            </w:tabs>
            <w:rPr>
              <w:noProof/>
            </w:rPr>
          </w:pPr>
          <w:hyperlink w:anchor="_Toc222233994" w:history="1">
            <w:r w:rsidR="00191084" w:rsidRPr="00BC3220">
              <w:rPr>
                <w:rStyle w:val="Hyperlink"/>
                <w:noProof/>
              </w:rPr>
              <w:t>3.2 Staying Relevant in the Age of AI</w:t>
            </w:r>
            <w:r w:rsidR="00191084">
              <w:rPr>
                <w:noProof/>
                <w:webHidden/>
              </w:rPr>
              <w:tab/>
            </w:r>
            <w:r>
              <w:rPr>
                <w:noProof/>
                <w:webHidden/>
              </w:rPr>
              <w:fldChar w:fldCharType="begin"/>
            </w:r>
            <w:r w:rsidR="00191084">
              <w:rPr>
                <w:noProof/>
                <w:webHidden/>
              </w:rPr>
              <w:instrText xml:space="preserve"> PAGEREF _Toc222233994 \h </w:instrText>
            </w:r>
            <w:r>
              <w:rPr>
                <w:noProof/>
                <w:webHidden/>
              </w:rPr>
            </w:r>
            <w:r>
              <w:rPr>
                <w:noProof/>
                <w:webHidden/>
              </w:rPr>
              <w:fldChar w:fldCharType="separate"/>
            </w:r>
            <w:r w:rsidR="00FB364C">
              <w:rPr>
                <w:noProof/>
                <w:webHidden/>
              </w:rPr>
              <w:t>10</w:t>
            </w:r>
            <w:r>
              <w:rPr>
                <w:noProof/>
                <w:webHidden/>
              </w:rPr>
              <w:fldChar w:fldCharType="end"/>
            </w:r>
          </w:hyperlink>
        </w:p>
        <w:p w:rsidR="00191084" w:rsidRDefault="00255C50">
          <w:pPr>
            <w:pStyle w:val="TOC1"/>
            <w:tabs>
              <w:tab w:val="right" w:leader="dot" w:pos="9016"/>
            </w:tabs>
            <w:rPr>
              <w:noProof/>
            </w:rPr>
          </w:pPr>
          <w:hyperlink w:anchor="_Toc222233995" w:history="1">
            <w:r w:rsidR="00191084" w:rsidRPr="00BC3220">
              <w:rPr>
                <w:rStyle w:val="Hyperlink"/>
                <w:noProof/>
              </w:rPr>
              <w:t>4. Conclusion</w:t>
            </w:r>
            <w:r w:rsidR="00191084">
              <w:rPr>
                <w:noProof/>
                <w:webHidden/>
              </w:rPr>
              <w:tab/>
            </w:r>
            <w:r>
              <w:rPr>
                <w:noProof/>
                <w:webHidden/>
              </w:rPr>
              <w:fldChar w:fldCharType="begin"/>
            </w:r>
            <w:r w:rsidR="00191084">
              <w:rPr>
                <w:noProof/>
                <w:webHidden/>
              </w:rPr>
              <w:instrText xml:space="preserve"> PAGEREF _Toc222233995 \h </w:instrText>
            </w:r>
            <w:r>
              <w:rPr>
                <w:noProof/>
                <w:webHidden/>
              </w:rPr>
            </w:r>
            <w:r>
              <w:rPr>
                <w:noProof/>
                <w:webHidden/>
              </w:rPr>
              <w:fldChar w:fldCharType="separate"/>
            </w:r>
            <w:r w:rsidR="00FB364C">
              <w:rPr>
                <w:noProof/>
                <w:webHidden/>
              </w:rPr>
              <w:t>11</w:t>
            </w:r>
            <w:r>
              <w:rPr>
                <w:noProof/>
                <w:webHidden/>
              </w:rPr>
              <w:fldChar w:fldCharType="end"/>
            </w:r>
          </w:hyperlink>
        </w:p>
        <w:p w:rsidR="00191084" w:rsidRDefault="00255C50">
          <w:pPr>
            <w:pStyle w:val="TOC1"/>
            <w:tabs>
              <w:tab w:val="right" w:leader="dot" w:pos="9016"/>
            </w:tabs>
            <w:rPr>
              <w:noProof/>
            </w:rPr>
          </w:pPr>
          <w:hyperlink w:anchor="_Toc222233996" w:history="1">
            <w:r w:rsidR="00191084" w:rsidRPr="00BC3220">
              <w:rPr>
                <w:rStyle w:val="Hyperlink"/>
                <w:noProof/>
              </w:rPr>
              <w:t>5. References</w:t>
            </w:r>
            <w:r w:rsidR="00191084">
              <w:rPr>
                <w:noProof/>
                <w:webHidden/>
              </w:rPr>
              <w:tab/>
            </w:r>
            <w:r>
              <w:rPr>
                <w:noProof/>
                <w:webHidden/>
              </w:rPr>
              <w:fldChar w:fldCharType="begin"/>
            </w:r>
            <w:r w:rsidR="00191084">
              <w:rPr>
                <w:noProof/>
                <w:webHidden/>
              </w:rPr>
              <w:instrText xml:space="preserve"> PAGEREF _Toc222233996 \h </w:instrText>
            </w:r>
            <w:r>
              <w:rPr>
                <w:noProof/>
                <w:webHidden/>
              </w:rPr>
            </w:r>
            <w:r>
              <w:rPr>
                <w:noProof/>
                <w:webHidden/>
              </w:rPr>
              <w:fldChar w:fldCharType="separate"/>
            </w:r>
            <w:r w:rsidR="00FB364C">
              <w:rPr>
                <w:noProof/>
                <w:webHidden/>
              </w:rPr>
              <w:t>12</w:t>
            </w:r>
            <w:r>
              <w:rPr>
                <w:noProof/>
                <w:webHidden/>
              </w:rPr>
              <w:fldChar w:fldCharType="end"/>
            </w:r>
          </w:hyperlink>
        </w:p>
        <w:p w:rsidR="00191084" w:rsidRDefault="00255C50">
          <w:r>
            <w:rPr>
              <w:b/>
              <w:bCs/>
              <w:noProof/>
            </w:rPr>
            <w:fldChar w:fldCharType="end"/>
          </w:r>
        </w:p>
      </w:sdtContent>
    </w:sdt>
    <w:p w:rsidR="00397F25" w:rsidRDefault="00397F25">
      <w:pPr>
        <w:spacing w:line="278" w:lineRule="auto"/>
        <w:jc w:val="left"/>
      </w:pPr>
      <w:r>
        <w:br w:type="page"/>
      </w:r>
    </w:p>
    <w:p w:rsidR="00397F25" w:rsidRPr="00397F25" w:rsidRDefault="00397F25" w:rsidP="00397F25">
      <w:pPr>
        <w:pStyle w:val="Heading1"/>
      </w:pPr>
      <w:bookmarkStart w:id="0" w:name="_Toc222233986"/>
      <w:r w:rsidRPr="00397F25">
        <w:lastRenderedPageBreak/>
        <w:t>1. Introduction</w:t>
      </w:r>
      <w:bookmarkEnd w:id="0"/>
    </w:p>
    <w:p w:rsidR="00650B42" w:rsidRDefault="00650B42" w:rsidP="00650B42">
      <w:r>
        <w:t>Aether Innovations, a rapidly expanding technology firm, employs 300 people, is struggling with a lack of growth and increasing turnover rates, as well as decreasing customer satisfaction rates. These concerns indicate disparity in alignment of the organisational culture, work practices, and strategic goals. This report offers a combined HR plan that includes the development of a culture of innovation and future-oriented work practices that would assist in regaining the ability to innovate, enhance employee engagement, and boost the organisational performance.</w:t>
      </w:r>
    </w:p>
    <w:p w:rsidR="00650B42" w:rsidRDefault="00650B42" w:rsidP="00650B42">
      <w:r>
        <w:t>According to the recent study, technology companies work under fast moving environment influenced by AI, shifting work pattern, and the changing expectations of their staffs (Deloitte, 2025). The lack of trust and cultural disconnection is common in organisations that allocate productivity, flexibility, and wellbeing (Aykens et al., 2026). Gartner (2025a) notes that there is an increased HR problem of realizing the value of AI and maintaining performance despite uncertainty.</w:t>
      </w:r>
    </w:p>
    <w:p w:rsidR="00397F25" w:rsidRPr="00397F25" w:rsidRDefault="00650B42" w:rsidP="00650B42">
      <w:r>
        <w:t>The report has two sections - Part 1 critically assesses the existing practices and presents the strategies in the areas of innovation and future of work focusing on the culture proposal and the future of the business in the AI-driven future; Part 2 reflects on the professional learning experience based on the reflective cycle created by Gibbs and addresses the sustainability in the future of work</w:t>
      </w:r>
      <w:r w:rsidR="00397F25" w:rsidRPr="00397F25">
        <w:t>.</w:t>
      </w:r>
    </w:p>
    <w:p w:rsidR="00397F25" w:rsidRPr="00397F25" w:rsidRDefault="00397F25" w:rsidP="00397F25">
      <w:pPr>
        <w:pStyle w:val="Heading1"/>
      </w:pPr>
      <w:bookmarkStart w:id="1" w:name="_Toc222233987"/>
      <w:r w:rsidRPr="00397F25">
        <w:t>2. Part 1: Building a Culture of Innovation &amp; Future Work Practices</w:t>
      </w:r>
      <w:bookmarkEnd w:id="1"/>
    </w:p>
    <w:p w:rsidR="00397F25" w:rsidRPr="00397F25" w:rsidRDefault="00397F25" w:rsidP="00397F25">
      <w:pPr>
        <w:pStyle w:val="Heading2"/>
      </w:pPr>
      <w:bookmarkStart w:id="2" w:name="_Toc222233988"/>
      <w:r w:rsidRPr="00397F25">
        <w:t>2.1 Current Practices in Culture and Work Among Tech Companies</w:t>
      </w:r>
      <w:bookmarkEnd w:id="2"/>
    </w:p>
    <w:p w:rsidR="00E15791" w:rsidRDefault="00E15791" w:rsidP="00E15791">
      <w:r>
        <w:t>The trends of culture and work among tech companies are studied and evaluated at present.</w:t>
      </w:r>
    </w:p>
    <w:p w:rsidR="00E15791" w:rsidRDefault="00E15791" w:rsidP="00E15791">
      <w:r>
        <w:t>The future of the technology industry in 2026 is marked by integration of AI at high speed, new flexible work models and new expectations of the employees. Although most companies encourage innovation and flexibility, organisational culture is not very consistent with the realities of its operation. According to Akkan et al. (2026), organisations are becoming more susceptible to cultural dissonance which is a notion, whereby there is an avowed emphasis on flexibility and empowerment that clashes with the ongoing performance demands and restructuring of choices. Such a mismatch is a source of employee disengagement as well as trust in the organisation dwindling.</w:t>
      </w:r>
    </w:p>
    <w:p w:rsidR="00E15791" w:rsidRDefault="00E15791" w:rsidP="00E15791">
      <w:r>
        <w:lastRenderedPageBreak/>
        <w:t>According to Deloitte (2025), AI is one of the transformative elements that determine the design of an organisation, job performance, and the organisation structure. Nevertheless, a good number of organisations implement AI without fully integrating AI into a strategy of the human capital that creates confusion among employees. Gartner (2025a) also states that firms are trending towards the adoption of AI even when these organisations are not ready enough, creating gaps in capabilities and value realisation. As a result, the level of trust employees have in leadership decisions may suffer, and it will destroy the process of innovation.</w:t>
      </w:r>
    </w:p>
    <w:p w:rsidR="00E15791" w:rsidRDefault="00E15791" w:rsidP="00E15791">
      <w:r>
        <w:t>The hybrid working has proved to be the most prevalent in technology companies. Existing studies posit that hybrid work is a flexible and more autonomous workplace, but there is still a significant managerial resistance. Kasperska et al. (2024) discovered that even in the post-pandemic period, managerial beliefs about the office environment are still persistent, which adds to the prejudices towards remote workers. Chang and Chiu (2022) note that even though remote work can contribute to the increased productivity of individuals, it can lead to decreased spontaneous collaboration and creativity exchange when managed inadequately. These strains demonstrate the difficulty in creating effective work systems, which strike a balance between flexibility and innovation.</w:t>
      </w:r>
    </w:p>
    <w:p w:rsidR="00397F25" w:rsidRPr="00397F25" w:rsidRDefault="00E15791" w:rsidP="00E15791">
      <w:r>
        <w:t>Besides, the organisational culture models a critical role in the outcomes of innovation. Tripathi and Kalia (2022) stress that supportive learning cultures have a great positive impact on organisational performance at IT companies by means of learning agility and innovation capability. Likewise, Lam et al. (2021) show knowledge management and collaborative cultures have a direct impact on the results of innovation implying that technology does not directly drive innovation, but the cultural conditions do</w:t>
      </w:r>
      <w:r w:rsidR="00397F25" w:rsidRPr="00397F25">
        <w:t>.</w:t>
      </w:r>
    </w:p>
    <w:p w:rsidR="00DC3D7C" w:rsidRDefault="00DC3D7C" w:rsidP="00DC3D7C">
      <w:pPr>
        <w:pStyle w:val="Caption"/>
        <w:keepNext/>
        <w:jc w:val="center"/>
      </w:pPr>
      <w:r>
        <w:t xml:space="preserve">Table </w:t>
      </w:r>
      <w:fldSimple w:instr=" SEQ Table \* ARABIC ">
        <w:r w:rsidR="00FB364C">
          <w:rPr>
            <w:noProof/>
          </w:rPr>
          <w:t>1</w:t>
        </w:r>
      </w:fldSimple>
      <w:r w:rsidRPr="00B46708">
        <w:t>Current Practices and Challenges in Tech Companies</w:t>
      </w:r>
    </w:p>
    <w:tbl>
      <w:tblPr>
        <w:tblStyle w:val="TableGrid"/>
        <w:tblW w:w="0" w:type="auto"/>
        <w:tblLook w:val="04A0"/>
      </w:tblPr>
      <w:tblGrid>
        <w:gridCol w:w="1717"/>
        <w:gridCol w:w="3486"/>
        <w:gridCol w:w="4039"/>
      </w:tblGrid>
      <w:tr w:rsidR="00397F25" w:rsidRPr="00397F25" w:rsidTr="00397F25">
        <w:tc>
          <w:tcPr>
            <w:tcW w:w="0" w:type="auto"/>
            <w:hideMark/>
          </w:tcPr>
          <w:p w:rsidR="00397F25" w:rsidRPr="00397F25" w:rsidRDefault="00397F25" w:rsidP="00397F25">
            <w:pPr>
              <w:spacing w:after="160"/>
              <w:rPr>
                <w:b/>
                <w:bCs/>
              </w:rPr>
            </w:pPr>
            <w:r w:rsidRPr="00397F25">
              <w:rPr>
                <w:b/>
                <w:bCs/>
              </w:rPr>
              <w:t>Aspect</w:t>
            </w:r>
          </w:p>
        </w:tc>
        <w:tc>
          <w:tcPr>
            <w:tcW w:w="0" w:type="auto"/>
            <w:hideMark/>
          </w:tcPr>
          <w:p w:rsidR="00397F25" w:rsidRPr="00397F25" w:rsidRDefault="00397F25" w:rsidP="00397F25">
            <w:pPr>
              <w:spacing w:after="160"/>
              <w:rPr>
                <w:b/>
                <w:bCs/>
              </w:rPr>
            </w:pPr>
            <w:r w:rsidRPr="00397F25">
              <w:rPr>
                <w:b/>
                <w:bCs/>
              </w:rPr>
              <w:t>Current Practices in Tech</w:t>
            </w:r>
          </w:p>
        </w:tc>
        <w:tc>
          <w:tcPr>
            <w:tcW w:w="0" w:type="auto"/>
            <w:hideMark/>
          </w:tcPr>
          <w:p w:rsidR="00397F25" w:rsidRPr="00397F25" w:rsidRDefault="00397F25" w:rsidP="00397F25">
            <w:pPr>
              <w:spacing w:after="160"/>
              <w:rPr>
                <w:b/>
                <w:bCs/>
              </w:rPr>
            </w:pPr>
            <w:r w:rsidRPr="00397F25">
              <w:rPr>
                <w:b/>
                <w:bCs/>
              </w:rPr>
              <w:t>Key Challenges</w:t>
            </w:r>
          </w:p>
        </w:tc>
      </w:tr>
      <w:tr w:rsidR="00397F25" w:rsidRPr="00397F25" w:rsidTr="00397F25">
        <w:tc>
          <w:tcPr>
            <w:tcW w:w="0" w:type="auto"/>
            <w:hideMark/>
          </w:tcPr>
          <w:p w:rsidR="00397F25" w:rsidRPr="00397F25" w:rsidRDefault="00397F25" w:rsidP="00397F25">
            <w:pPr>
              <w:spacing w:after="160"/>
            </w:pPr>
            <w:r w:rsidRPr="00397F25">
              <w:t>Culture</w:t>
            </w:r>
          </w:p>
        </w:tc>
        <w:tc>
          <w:tcPr>
            <w:tcW w:w="0" w:type="auto"/>
            <w:hideMark/>
          </w:tcPr>
          <w:p w:rsidR="00397F25" w:rsidRPr="00397F25" w:rsidRDefault="00397F25" w:rsidP="00397F25">
            <w:pPr>
              <w:spacing w:after="160"/>
            </w:pPr>
            <w:r w:rsidRPr="00397F25">
              <w:t>AI-driven performance focus with empathy rhetoric</w:t>
            </w:r>
          </w:p>
        </w:tc>
        <w:tc>
          <w:tcPr>
            <w:tcW w:w="0" w:type="auto"/>
            <w:hideMark/>
          </w:tcPr>
          <w:p w:rsidR="00397F25" w:rsidRPr="00397F25" w:rsidRDefault="00397F25" w:rsidP="00397F25">
            <w:pPr>
              <w:spacing w:after="160"/>
            </w:pPr>
            <w:r w:rsidRPr="00397F25">
              <w:t>Misalignment and declining trust (Forbes, 2026)</w:t>
            </w:r>
          </w:p>
        </w:tc>
      </w:tr>
      <w:tr w:rsidR="00397F25" w:rsidRPr="00397F25" w:rsidTr="00397F25">
        <w:tc>
          <w:tcPr>
            <w:tcW w:w="0" w:type="auto"/>
            <w:hideMark/>
          </w:tcPr>
          <w:p w:rsidR="00397F25" w:rsidRPr="00397F25" w:rsidRDefault="00397F25" w:rsidP="00397F25">
            <w:pPr>
              <w:spacing w:after="160"/>
            </w:pPr>
            <w:r w:rsidRPr="00397F25">
              <w:t>Work Models</w:t>
            </w:r>
          </w:p>
        </w:tc>
        <w:tc>
          <w:tcPr>
            <w:tcW w:w="0" w:type="auto"/>
            <w:hideMark/>
          </w:tcPr>
          <w:p w:rsidR="00397F25" w:rsidRPr="00397F25" w:rsidRDefault="00397F25" w:rsidP="00397F25">
            <w:pPr>
              <w:spacing w:after="160"/>
            </w:pPr>
            <w:r w:rsidRPr="00397F25">
              <w:t>Hybrid work dominant</w:t>
            </w:r>
          </w:p>
        </w:tc>
        <w:tc>
          <w:tcPr>
            <w:tcW w:w="0" w:type="auto"/>
            <w:hideMark/>
          </w:tcPr>
          <w:p w:rsidR="00397F25" w:rsidRPr="00397F25" w:rsidRDefault="00397F25" w:rsidP="00397F25">
            <w:pPr>
              <w:spacing w:after="160"/>
            </w:pPr>
            <w:r w:rsidRPr="00397F25">
              <w:t>Collaboration gaps and manager bias (Kasperska et al., 2024)</w:t>
            </w:r>
          </w:p>
        </w:tc>
      </w:tr>
      <w:tr w:rsidR="00397F25" w:rsidRPr="00397F25" w:rsidTr="00397F25">
        <w:tc>
          <w:tcPr>
            <w:tcW w:w="0" w:type="auto"/>
            <w:hideMark/>
          </w:tcPr>
          <w:p w:rsidR="00397F25" w:rsidRPr="00397F25" w:rsidRDefault="00397F25" w:rsidP="00397F25">
            <w:pPr>
              <w:spacing w:after="160"/>
            </w:pPr>
            <w:r w:rsidRPr="00397F25">
              <w:t>Employee Influence</w:t>
            </w:r>
          </w:p>
        </w:tc>
        <w:tc>
          <w:tcPr>
            <w:tcW w:w="0" w:type="auto"/>
            <w:hideMark/>
          </w:tcPr>
          <w:p w:rsidR="00397F25" w:rsidRPr="00397F25" w:rsidRDefault="00397F25" w:rsidP="00397F25">
            <w:pPr>
              <w:spacing w:after="160"/>
            </w:pPr>
            <w:r w:rsidRPr="00397F25">
              <w:t>AI investment and restructuring</w:t>
            </w:r>
          </w:p>
        </w:tc>
        <w:tc>
          <w:tcPr>
            <w:tcW w:w="0" w:type="auto"/>
            <w:hideMark/>
          </w:tcPr>
          <w:p w:rsidR="00397F25" w:rsidRPr="00397F25" w:rsidRDefault="00397F25" w:rsidP="00397F25">
            <w:pPr>
              <w:spacing w:after="160"/>
            </w:pPr>
            <w:r w:rsidRPr="00397F25">
              <w:t>Engagement and retention risks (Gartner, 2025a)</w:t>
            </w:r>
          </w:p>
        </w:tc>
      </w:tr>
    </w:tbl>
    <w:p w:rsidR="00397F25" w:rsidRPr="00397F25" w:rsidRDefault="00E15791" w:rsidP="00397F25">
      <w:r w:rsidRPr="00E15791">
        <w:lastRenderedPageBreak/>
        <w:t>All in all, practices and reality points to the fact that innovation is being highly stressed, but many organisations still do not have clear-cut structures that can support innovation cultures. The case of Aether Innovations implies that the company will require integrated HR interventions to align the culture, structure, and work design</w:t>
      </w:r>
      <w:r w:rsidR="00397F25" w:rsidRPr="00397F25">
        <w:t>.</w:t>
      </w:r>
    </w:p>
    <w:p w:rsidR="00397F25" w:rsidRPr="00397F25" w:rsidRDefault="00397F25" w:rsidP="00397F25">
      <w:pPr>
        <w:pStyle w:val="Heading2"/>
      </w:pPr>
      <w:bookmarkStart w:id="3" w:name="_Toc222233989"/>
      <w:r w:rsidRPr="00397F25">
        <w:t>2.2 Recommended Cultural and Structural Initiatives</w:t>
      </w:r>
      <w:bookmarkEnd w:id="3"/>
    </w:p>
    <w:p w:rsidR="00E15791" w:rsidRDefault="00E15791" w:rsidP="00E15791">
      <w:r>
        <w:t>Three initiatives are suggested to restore the innovative power at Aether Innovations, and it is innovation sprints, intrapreneurship programmes, and cross-functional teams. Combined, these efforts generate structural environments that promote experiment and collaboration.</w:t>
      </w:r>
    </w:p>
    <w:p w:rsidR="00E15791" w:rsidRDefault="00E15791" w:rsidP="00E15791">
      <w:r>
        <w:t>Innovation sprint entails brief, narrow engagements that are focused on ideation and quick prototyping. According to Chang and Chiu (2022), agile practices make organisations more adaptive, especially in digital transformation stages of technology applications. Through the introduction of quarterly innovation sprouts, Aether will go through the product experimentation faster and react to the customer demands in a more efficient way. Some data indicates that these efforts boost the performance of innovation with the helped of learning-oriented cultures (Tripathi and Kalia, 2022).</w:t>
      </w:r>
    </w:p>
    <w:p w:rsidR="00E15791" w:rsidRDefault="00E15791" w:rsidP="00E15791">
      <w:r>
        <w:t>Intrapreneurship promotes internal entrepreneurship among the employees. According to Bouchard (2026), effective entrepreneurship in corporates is based on transparent rule making, distribution of resources and rewarding systems. Through provided employees with systematic time to develop innovative solutions, Aether will gain access to internal creativity as well as enhancing engagement. Lam et al. (2021) emphasize that the innovation capacity of organisations that encourage sharing of knowledge is stronger, which underlines the importance of intrapreneurial efforts.</w:t>
      </w:r>
    </w:p>
    <w:p w:rsidR="00E15791" w:rsidRDefault="00E15791" w:rsidP="00E15791">
      <w:r>
        <w:t>The other vital aspect of innovation culture is cross-functional teams (CFTs). As Uchenna et al. (2024) show, the diversification of expertise increases the efficiency of the innovation and the effectiveness of minimising organisational silos in a team. At Aether, it will be possible to have an overlap between R&amp;D, product design, and customer-facing units that can enhance coordination and align the efforts of the innovation with the market requirements. Nevertheless, cross-functional cooperation presupposes effective leadership and goal definition to avoid the inefficiencies, which explains the value of HR facilitation.</w:t>
      </w:r>
    </w:p>
    <w:p w:rsidR="00397F25" w:rsidRPr="00397F25" w:rsidRDefault="00E15791" w:rsidP="00E15791">
      <w:r>
        <w:t xml:space="preserve">All these initiatives advance independence, augment skill variety, and suggest group counseling. Zhang et al. (2023) claim that organisational culture plays an important role as a </w:t>
      </w:r>
      <w:r>
        <w:lastRenderedPageBreak/>
        <w:t>mediator in the performance of innovations in organisations implying that, any structural initiatives should be corroborated by cultural values to realise long-term results. Hence, these recommendations do not stand by themselves but form part of a harmonized innovation ecosystem that is likely to rebrand Aether into a high-performing innovative company</w:t>
      </w:r>
      <w:r w:rsidR="00397F25" w:rsidRPr="00397F25">
        <w:t>.</w:t>
      </w:r>
    </w:p>
    <w:p w:rsidR="00397F25" w:rsidRPr="00397F25" w:rsidRDefault="00397F25" w:rsidP="00397F25">
      <w:pPr>
        <w:pStyle w:val="Heading2"/>
      </w:pPr>
      <w:bookmarkStart w:id="4" w:name="_Toc222233990"/>
      <w:r w:rsidRPr="00397F25">
        <w:t>2.3 Proposed Future of Work Model</w:t>
      </w:r>
      <w:bookmarkEnd w:id="4"/>
    </w:p>
    <w:p w:rsidR="0000573D" w:rsidRDefault="00E15791" w:rsidP="0000573D">
      <w:r>
        <w:t>Aether should use an orchestrated hybrid model known as the FlexCore Model in order to facilitate innovation and teamwork. This model allows balancing rigidity and deliberate cooperation providing three days of office work dedicated to collective innovation and two distant days dedicated to focused work.</w:t>
      </w:r>
    </w:p>
    <w:p w:rsidR="0000573D" w:rsidRDefault="0000573D" w:rsidP="0000573D">
      <w:pPr>
        <w:keepNext/>
        <w:jc w:val="center"/>
      </w:pPr>
      <w:r>
        <w:rPr>
          <w:noProof/>
          <w:lang w:val="en-GB" w:eastAsia="en-GB" w:bidi="hi-IN"/>
        </w:rPr>
        <w:drawing>
          <wp:inline distT="0" distB="0" distL="0" distR="0">
            <wp:extent cx="4037862" cy="5692140"/>
            <wp:effectExtent l="19050" t="19050" r="20320" b="22860"/>
            <wp:docPr id="20402615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4387" t="4520" r="5075" b="10393"/>
                    <a:stretch>
                      <a:fillRect/>
                    </a:stretch>
                  </pic:blipFill>
                  <pic:spPr bwMode="auto">
                    <a:xfrm>
                      <a:off x="0" y="0"/>
                      <a:ext cx="4040289" cy="5695562"/>
                    </a:xfrm>
                    <a:prstGeom prst="rect">
                      <a:avLst/>
                    </a:prstGeom>
                    <a:noFill/>
                    <a:ln>
                      <a:solidFill>
                        <a:schemeClr val="tx1"/>
                      </a:solid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00573D" w:rsidRDefault="0000573D" w:rsidP="0000573D">
      <w:pPr>
        <w:pStyle w:val="Caption"/>
        <w:jc w:val="center"/>
      </w:pPr>
      <w:r>
        <w:t xml:space="preserve">Figure </w:t>
      </w:r>
      <w:fldSimple w:instr=" SEQ Figure \* ARABIC ">
        <w:r w:rsidR="00FB364C">
          <w:rPr>
            <w:noProof/>
          </w:rPr>
          <w:t>1</w:t>
        </w:r>
      </w:fldSimple>
      <w:r>
        <w:t xml:space="preserve"> FlexCore</w:t>
      </w:r>
      <w:r w:rsidR="0066606F">
        <w:t xml:space="preserve"> Future of Work</w:t>
      </w:r>
      <w:r>
        <w:t xml:space="preserve"> Model</w:t>
      </w:r>
    </w:p>
    <w:p w:rsidR="00E15791" w:rsidRDefault="00E15791" w:rsidP="00E15791">
      <w:r>
        <w:lastRenderedPageBreak/>
        <w:t>Research has shown that hybrid models have the capacity to be effective in enhancing productivity as well as employee satisfaction when the models are implemented correctly. According to Hassan et al. (2022), hybrid arrangements promote work-life balance and at the same time organisations remain connected. On a similar note, Choudhury et al. (2022) show that hybrid working arrangements have the ability to maximize creativity, which is achievable by integrating remote focus with direct cooperation. The perspectives of employers also prove that hybrid work is the model of organisational sustainability that will be used in the post-pandemic world (Tahlyan et al., 2024).</w:t>
      </w:r>
    </w:p>
    <w:p w:rsidR="00E15791" w:rsidRDefault="00E15791" w:rsidP="00E15791">
      <w:r>
        <w:t>The FlexCore model explains the integration of AI. According to Mayer et al. (2025), superagency, or in other words, empowerment of employees allows using AI tools that will not displace humans but will supplement their abilities. It is possible to assist innovation using AI-based collaboration platforms, analytics, and workflow automation and retain the autonomy of employees. Gartner (2025a) continues to affirm that successful adoption of AI has to be aligned with well-defined HR policies based on the principles of capability building and trust establishment.</w:t>
      </w:r>
    </w:p>
    <w:p w:rsidR="00E15791" w:rsidRDefault="00E15791" w:rsidP="00E15791">
      <w:r>
        <w:t>Nevertheless, there are also issues with hybrid work, such as the lack of communication and a threat of the unequal visibility of the remote and office-based employees. Aether management needs to reduce these problems by adopting transparent working guidelines and performance appraisal systems that focus on the outcomes and not the physical presence.</w:t>
      </w:r>
    </w:p>
    <w:p w:rsidR="00397F25" w:rsidRPr="00397F25" w:rsidRDefault="00E15791" w:rsidP="00E15791">
      <w:r>
        <w:t>The FlexCore model thus integrates flexibility, technology and organized team work in order to build an environment that supports innovation and long view participation</w:t>
      </w:r>
      <w:r w:rsidR="00397F25" w:rsidRPr="00397F25">
        <w:t>.</w:t>
      </w:r>
    </w:p>
    <w:p w:rsidR="00397F25" w:rsidRPr="00397F25" w:rsidRDefault="00397F25" w:rsidP="00397F25">
      <w:pPr>
        <w:pStyle w:val="Heading2"/>
      </w:pPr>
      <w:bookmarkStart w:id="5" w:name="_Toc222233991"/>
      <w:r w:rsidRPr="00397F25">
        <w:t>2.4 How the New Approach Motivates and Enables Optimal Performance</w:t>
      </w:r>
      <w:bookmarkEnd w:id="5"/>
    </w:p>
    <w:p w:rsidR="00E15791" w:rsidRDefault="00E15791" w:rsidP="00E15791">
      <w:r>
        <w:t>The suggested plan boosts motivation based on the concepts of the Self-Determination Theory (SDT), where autonomy, competence, and relatedness are the key factors that cause intrinsic motivation. Innovation sprints and intrapreneurship contribute to greater autonomy by providing workers with the ownership of different innovative endeavors, whereas learning based practices contribute to competence (Deloitte, 2025). Relatedness is enhanced by cross-functional teams, which provide creative interaction and enhances socialness (Uchenna et al., 2024).</w:t>
      </w:r>
    </w:p>
    <w:p w:rsidR="00E15791" w:rsidRDefault="00E15791" w:rsidP="00E15791">
      <w:r>
        <w:t xml:space="preserve">Hybrid work setups also play a role in promoting wellbeing by mitigating burnout and helping to maintain a balanced work and life-related to a higher engagement in research </w:t>
      </w:r>
      <w:r>
        <w:lastRenderedPageBreak/>
        <w:t>(Hassan et al., 2022). Moreover, the organisational learning cultures promote continuous growth, and employees can adjust to the technological change and become part of the innovation results (Tripathi and Kalia, 2022).</w:t>
      </w:r>
    </w:p>
    <w:p w:rsidR="00397F25" w:rsidRPr="00397F25" w:rsidRDefault="00E15791" w:rsidP="00E15791">
      <w:r>
        <w:t>Finally, performance-driven environment is achieved through innovations culture, flexibility in working practices and motivation alignment. Tackling the structural needs as well as the psychological ones, Aether will be able to decrease the turnover, increase customer satisfaction, and recover growth curves</w:t>
      </w:r>
      <w:r w:rsidR="00397F25" w:rsidRPr="00397F25">
        <w:t>.</w:t>
      </w:r>
    </w:p>
    <w:p w:rsidR="00397F25" w:rsidRPr="00397F25" w:rsidRDefault="00397F25" w:rsidP="00397F25">
      <w:pPr>
        <w:pStyle w:val="Heading1"/>
      </w:pPr>
      <w:bookmarkStart w:id="6" w:name="_Toc222233992"/>
      <w:r w:rsidRPr="00397F25">
        <w:t>3. Part 2: Reflection</w:t>
      </w:r>
      <w:bookmarkEnd w:id="6"/>
    </w:p>
    <w:p w:rsidR="00397F25" w:rsidRPr="00397F25" w:rsidRDefault="00397F25" w:rsidP="00397F25">
      <w:pPr>
        <w:pStyle w:val="Heading2"/>
      </w:pPr>
      <w:bookmarkStart w:id="7" w:name="_Toc222233993"/>
      <w:r w:rsidRPr="00397F25">
        <w:t>3.1 Learning Journey Using Gibbs Reflective Cycle</w:t>
      </w:r>
      <w:bookmarkEnd w:id="7"/>
    </w:p>
    <w:p w:rsidR="00E15791" w:rsidRDefault="00E15791" w:rsidP="00E15791">
      <w:r>
        <w:t>This module has had a considerable influence on my perception of Human Capital Management and offered a course to build a design of my own Learning and Development (L&amp;D) strategy. In this part, I will apply the reflective cycle to evaluate the learning process that has seen me develop an innovation-oriented mind and personal growth orientation.</w:t>
      </w:r>
    </w:p>
    <w:p w:rsidR="009414FD" w:rsidRDefault="009414FD" w:rsidP="009414FD">
      <w:pPr>
        <w:keepNext/>
        <w:jc w:val="center"/>
      </w:pPr>
      <w:r>
        <w:rPr>
          <w:noProof/>
          <w:lang w:val="en-GB" w:eastAsia="en-GB" w:bidi="hi-IN"/>
        </w:rPr>
        <w:drawing>
          <wp:inline distT="0" distB="0" distL="0" distR="0">
            <wp:extent cx="2462530" cy="2462530"/>
            <wp:effectExtent l="19050" t="19050" r="13970" b="13970"/>
            <wp:docPr id="1212704051" name="Picture 1"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 Free Template Download &amp; Guide"/>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462530" cy="2462530"/>
                    </a:xfrm>
                    <a:prstGeom prst="rect">
                      <a:avLst/>
                    </a:prstGeom>
                    <a:noFill/>
                    <a:ln>
                      <a:solidFill>
                        <a:schemeClr val="tx1"/>
                      </a:solidFill>
                    </a:ln>
                  </pic:spPr>
                </pic:pic>
              </a:graphicData>
            </a:graphic>
          </wp:inline>
        </w:drawing>
      </w:r>
    </w:p>
    <w:p w:rsidR="009414FD" w:rsidRDefault="009414FD" w:rsidP="009414FD">
      <w:pPr>
        <w:pStyle w:val="Caption"/>
        <w:jc w:val="center"/>
      </w:pPr>
      <w:r>
        <w:t xml:space="preserve">Figure </w:t>
      </w:r>
      <w:fldSimple w:instr=" SEQ Figure \* ARABIC ">
        <w:r w:rsidR="00FB364C">
          <w:rPr>
            <w:noProof/>
          </w:rPr>
          <w:t>2</w:t>
        </w:r>
      </w:fldSimple>
      <w:r>
        <w:t xml:space="preserve"> Gibbs Reflective Cycle</w:t>
      </w:r>
    </w:p>
    <w:p w:rsidR="00E15791" w:rsidRPr="009414FD" w:rsidRDefault="00E15791" w:rsidP="00E15791">
      <w:pPr>
        <w:rPr>
          <w:b/>
          <w:bCs/>
        </w:rPr>
      </w:pPr>
      <w:r w:rsidRPr="009414FD">
        <w:rPr>
          <w:b/>
          <w:bCs/>
        </w:rPr>
        <w:t>Description</w:t>
      </w:r>
    </w:p>
    <w:p w:rsidR="00E15791" w:rsidRDefault="00E15791" w:rsidP="00E15791">
      <w:r>
        <w:t xml:space="preserve">Another important aspect that I studied in the module was strategic HRM, innovation culture, organisational learning, and future work practices. One of the repeated issues was the role played by HR in harmonising people strategies and organisational performance more so in technology-driven environments. The topics of the hybrid work, implementing AI, and cultures of innovation emphasize the way organisations need to constantly change in response </w:t>
      </w:r>
      <w:r>
        <w:lastRenderedPageBreak/>
        <w:t>to evolving external conditions (Deloitte, 2025). This study enabled me to appreciate HRM as strategic and not an operational role.</w:t>
      </w:r>
    </w:p>
    <w:p w:rsidR="00E15791" w:rsidRPr="009414FD" w:rsidRDefault="00E15791" w:rsidP="00E15791">
      <w:pPr>
        <w:rPr>
          <w:b/>
          <w:bCs/>
        </w:rPr>
      </w:pPr>
      <w:r w:rsidRPr="009414FD">
        <w:rPr>
          <w:b/>
          <w:bCs/>
        </w:rPr>
        <w:t>Feelings</w:t>
      </w:r>
    </w:p>
    <w:p w:rsidR="00E15791" w:rsidRDefault="00E15791" w:rsidP="00E15791">
      <w:r>
        <w:t>In the onset of the module, I was confused on how I could see the normal HR practices being relevant in a fast-evolving technological world. The rising inclination towards AI and automation raised the first question of the future of HR professionals at first. Nevertheless, throughout the course of the module, I grew more assured and inspired since I began to understand that the work of HR in developing culture, engagement, and innovation cannot be ignored (Gartner, 2025a). Learning that human-centred leadership assists in performance made me more optimistic regarding implementation of these ideas on practice.</w:t>
      </w:r>
    </w:p>
    <w:p w:rsidR="00E15791" w:rsidRPr="009414FD" w:rsidRDefault="00E15791" w:rsidP="00E15791">
      <w:pPr>
        <w:rPr>
          <w:b/>
          <w:bCs/>
        </w:rPr>
      </w:pPr>
      <w:r w:rsidRPr="009414FD">
        <w:rPr>
          <w:b/>
          <w:bCs/>
        </w:rPr>
        <w:t>Evaluation</w:t>
      </w:r>
    </w:p>
    <w:p w:rsidR="00E15791" w:rsidRDefault="00E15791" w:rsidP="00E15791">
      <w:r>
        <w:t>The good relationship between the theory and real organisational problems as seen in the module was one of the positive sides of the module. The research on the topic of organisational learning and culture of innovation has helped me to critically investigate how the supportive condition affects performance outcomes (Tripathi and Kalia, 2022). Nevertheless, one of the problems I experienced was in translating abstract models into real strategies. Coursework and reflection helped me realize that theory application involves critical thinking as opposed to mere description. The experience made me more analytical and provided an impulse to be more involved in academic research.</w:t>
      </w:r>
    </w:p>
    <w:p w:rsidR="00E15791" w:rsidRPr="009414FD" w:rsidRDefault="00E15791" w:rsidP="00E15791">
      <w:pPr>
        <w:rPr>
          <w:b/>
          <w:bCs/>
        </w:rPr>
      </w:pPr>
      <w:r w:rsidRPr="009414FD">
        <w:rPr>
          <w:b/>
          <w:bCs/>
        </w:rPr>
        <w:t>Analysis</w:t>
      </w:r>
    </w:p>
    <w:p w:rsidR="00E15791" w:rsidRDefault="00E15791" w:rsidP="00E15791">
      <w:r>
        <w:t>Reviewing the learning experience, I understand that the culture of innovation requires strong encouragement of continuous learning, teamwork, and readiness to experiment. Studies have found that organisational culture has a very strong impact on the capability to innovate and performance (Lam et al., 2021; Zhang et al., 2023). Using this knowledge in my personal growth, I came to learn the necessity of developing learning agility and growth mindset. The module made me look at the challenges as learning opportunities and not as obstacles. I too realised that cross-functional understanding and communication skills should be developed in innovation-oriented work settings.</w:t>
      </w:r>
    </w:p>
    <w:p w:rsidR="00E15791" w:rsidRPr="009414FD" w:rsidRDefault="00E15791" w:rsidP="00E15791">
      <w:pPr>
        <w:rPr>
          <w:b/>
          <w:bCs/>
        </w:rPr>
      </w:pPr>
      <w:r w:rsidRPr="009414FD">
        <w:rPr>
          <w:b/>
          <w:bCs/>
        </w:rPr>
        <w:t>Conclusion</w:t>
      </w:r>
    </w:p>
    <w:p w:rsidR="00E15791" w:rsidRDefault="00E15791" w:rsidP="00E15791">
      <w:r>
        <w:lastRenderedPageBreak/>
        <w:t>In general, the module has enhanced my knowledge on the role of HR strategies in organisational innovation and employee performance. I came to understand that a best practice in HR should give a balance between performance expectations and the wellbeing of the employee, as well as to provide a persistent development. This has been a learning that has enhanced my skills of bridging the gap between theory and practice and my self-confidence to use the HR frameworks in solving intricate organisational issues.</w:t>
      </w:r>
    </w:p>
    <w:p w:rsidR="00E15791" w:rsidRDefault="00E15791" w:rsidP="00E15791">
      <w:r>
        <w:t>Action Plan</w:t>
      </w:r>
    </w:p>
    <w:p w:rsidR="00397F25" w:rsidRPr="00397F25" w:rsidRDefault="00E15791" w:rsidP="00E15791">
      <w:r>
        <w:t>In the future, I will develop an individual L&amp;D strategy, which will be based on ongoing professional development. These involve seeking certifications in AI-driven HR practices and innovation in management, enhancing analytical and digital skills, as well as sustaining regular reflective practice. Through the principle of continuous learning, I am striving to develop a personal innovation and flexibility culture, which will fit the demands of the future place of work (Aykens et al., 2026)</w:t>
      </w:r>
      <w:r w:rsidR="00397F25" w:rsidRPr="00397F25">
        <w:t>.</w:t>
      </w:r>
    </w:p>
    <w:p w:rsidR="00397F25" w:rsidRPr="00397F25" w:rsidRDefault="00397F25" w:rsidP="00397F25">
      <w:pPr>
        <w:pStyle w:val="Heading2"/>
      </w:pPr>
      <w:bookmarkStart w:id="8" w:name="_Toc222233994"/>
      <w:r w:rsidRPr="00397F25">
        <w:t>3.2 Staying Relevant in the Age of AI</w:t>
      </w:r>
      <w:bookmarkEnd w:id="8"/>
    </w:p>
    <w:p w:rsidR="00E15791" w:rsidRDefault="00E15791" w:rsidP="00E15791">
      <w:r>
        <w:t>The future professional depends not only on the growth in the artificial intelligence to ever more automate mundane tasks but also offers gains and challenges to the future. In order to be relevant, I have realised that it is necessary to acquire skills that are complementary to AI instead of competitive to it. The current studies propose that organisations are placing greater importance on human skills like creativity, judgement and teamwork as well as the use of technology (Mayer et al., 2025).</w:t>
      </w:r>
    </w:p>
    <w:p w:rsidR="00E15791" w:rsidRDefault="00E15791" w:rsidP="00E15791">
      <w:r>
        <w:t>I intend to apply AI as an aiding tool, which will complement productivity but will not deprive employees of the chance to make key decisions independently. AI could be useful in my work as it will help me to deal with research more efficiently, to analyse vast amounts of data, and to generate ideas. Nevertheless, I consider that strategic thinking, ethical judgement, and emotional intelligence is also one of the key human capabilities that cannot be substituted by AI. Gartner (2025a) emphasises that the upcoming HR agenda is based on ensuring the AI value through people empowerment as opposed to labour substitution, which substantiates the urgent need to apply both technical and interpersonal skills.</w:t>
      </w:r>
    </w:p>
    <w:p w:rsidR="00E15791" w:rsidRDefault="00E15791" w:rsidP="00E15791">
      <w:r>
        <w:t xml:space="preserve">I plan to make an investment in life-long learning and skills development in order to become long-term employable. It involves enhancing digital fluency and knowledge of AI systems and leadership and communication skills. Having these abilities will enable me to perform </w:t>
      </w:r>
      <w:r>
        <w:lastRenderedPageBreak/>
        <w:t>tasks in collaboration with AI without having to eliminate special human contributions. Also flexible and resilient in my career will further be assisted by adapting to the work environments that are hybrid and technology-enabled (Deloitte, 2025).</w:t>
      </w:r>
    </w:p>
    <w:p w:rsidR="00397F25" w:rsidRPr="00397F25" w:rsidRDefault="00397F25" w:rsidP="00397F25">
      <w:pPr>
        <w:pStyle w:val="Heading1"/>
      </w:pPr>
      <w:bookmarkStart w:id="9" w:name="_Toc222233995"/>
      <w:r w:rsidRPr="00397F25">
        <w:t>4. Conclusion</w:t>
      </w:r>
      <w:bookmarkEnd w:id="9"/>
    </w:p>
    <w:p w:rsidR="00397F25" w:rsidRPr="00397F25" w:rsidRDefault="00413CAB" w:rsidP="00397F25">
      <w:r>
        <w:t>Overall, this report outlined</w:t>
      </w:r>
      <w:r w:rsidR="00E15791" w:rsidRPr="00E15791">
        <w:t xml:space="preserve"> an integrated HR plan of Aether Innovations that was based on creating an innovation-oriented culture and introducing work practices with a focus on the future. The report identifies how aligned people practices can enhance engagement, innovation, and organisational performance by exploring the existing industry practices, proposed cultural initiatives, and the FlexCore hybrid work model. The reflection part also emphasizes the necessity of life-long learning and flexibility in an AI driven future. Finally, combining culture, structure and technology helps organisations such as Aether innovations to reinstate growth and provide a long-term employee and customer excellence</w:t>
      </w:r>
      <w:r w:rsidR="00397F25" w:rsidRPr="00397F25">
        <w:t>.</w:t>
      </w:r>
    </w:p>
    <w:p w:rsidR="00397F25" w:rsidRDefault="00397F25">
      <w:pPr>
        <w:spacing w:line="278" w:lineRule="auto"/>
        <w:jc w:val="left"/>
        <w:rPr>
          <w:b/>
          <w:bCs/>
        </w:rPr>
      </w:pPr>
      <w:r>
        <w:rPr>
          <w:b/>
          <w:bCs/>
        </w:rPr>
        <w:br w:type="page"/>
      </w:r>
    </w:p>
    <w:p w:rsidR="00397F25" w:rsidRDefault="00397F25" w:rsidP="00397F25">
      <w:pPr>
        <w:pStyle w:val="Heading1"/>
      </w:pPr>
      <w:bookmarkStart w:id="10" w:name="_Toc222233996"/>
      <w:r w:rsidRPr="00397F25">
        <w:lastRenderedPageBreak/>
        <w:t>5. References</w:t>
      </w:r>
      <w:bookmarkEnd w:id="10"/>
    </w:p>
    <w:p w:rsidR="00397F25" w:rsidRPr="00397F25" w:rsidRDefault="00397F25" w:rsidP="001A60C2">
      <w:pPr>
        <w:spacing w:line="240" w:lineRule="auto"/>
        <w:ind w:left="720" w:hanging="720"/>
      </w:pPr>
      <w:r w:rsidRPr="00397F25">
        <w:t xml:space="preserve">Albrecht, M.H. (2022). </w:t>
      </w:r>
      <w:r w:rsidRPr="00397F25">
        <w:rPr>
          <w:i/>
          <w:iCs/>
        </w:rPr>
        <w:t>International HRM: Managing diversity in the workplace</w:t>
      </w:r>
      <w:r w:rsidRPr="00397F25">
        <w:t>. Oxford: Blackwell.</w:t>
      </w:r>
    </w:p>
    <w:p w:rsidR="00397F25" w:rsidRPr="00397F25" w:rsidRDefault="00397F25" w:rsidP="001A60C2">
      <w:pPr>
        <w:spacing w:line="240" w:lineRule="auto"/>
        <w:ind w:left="720" w:hanging="720"/>
      </w:pPr>
      <w:r w:rsidRPr="00397F25">
        <w:t xml:space="preserve">Aykens, P., Lowmaster, K., McRae, E.R. and Shepp, J. (2026). 9 Trends Shaping Work in 2026 and Beyond. </w:t>
      </w:r>
      <w:r w:rsidRPr="00397F25">
        <w:rPr>
          <w:i/>
          <w:iCs/>
        </w:rPr>
        <w:t>Harvard Business Review</w:t>
      </w:r>
      <w:r w:rsidRPr="00397F25">
        <w:t xml:space="preserve"> [online]. Available at: </w:t>
      </w:r>
      <w:hyperlink r:id="rId10" w:tgtFrame="_new" w:history="1">
        <w:r w:rsidRPr="00397F25">
          <w:rPr>
            <w:rStyle w:val="Hyperlink"/>
          </w:rPr>
          <w:t>https://hbr.org/2026/02/9-trends-shaping-work-in-2026-and-beyond</w:t>
        </w:r>
      </w:hyperlink>
      <w:r w:rsidRPr="00397F25">
        <w:t>.</w:t>
      </w:r>
    </w:p>
    <w:p w:rsidR="00397F25" w:rsidRPr="00397F25" w:rsidRDefault="00397F25" w:rsidP="001A60C2">
      <w:pPr>
        <w:spacing w:line="240" w:lineRule="auto"/>
        <w:ind w:left="720" w:hanging="720"/>
      </w:pPr>
      <w:r w:rsidRPr="00397F25">
        <w:t xml:space="preserve">Bouchard, V. (2026). </w:t>
      </w:r>
      <w:r w:rsidRPr="00397F25">
        <w:rPr>
          <w:i/>
          <w:iCs/>
        </w:rPr>
        <w:t>Elgar Encyclopedia of Corporate Entrepreneurship and Intrapreneurship</w:t>
      </w:r>
      <w:r w:rsidRPr="00397F25">
        <w:t>. Edward Elgar Publishing.</w:t>
      </w:r>
    </w:p>
    <w:p w:rsidR="00397F25" w:rsidRPr="00397F25" w:rsidRDefault="00397F25" w:rsidP="001A60C2">
      <w:pPr>
        <w:spacing w:line="240" w:lineRule="auto"/>
        <w:ind w:left="720" w:hanging="720"/>
      </w:pPr>
      <w:r w:rsidRPr="00397F25">
        <w:t xml:space="preserve">Chang, Y.-N. and Chiu, C.-Y. (2022). The Future of Work after COVID-19 from the Office to the Edge: Using the IT Industry as an Example. </w:t>
      </w:r>
      <w:r w:rsidRPr="00397F25">
        <w:rPr>
          <w:i/>
          <w:iCs/>
        </w:rPr>
        <w:t>Journal of Engineering Research and Sciences</w:t>
      </w:r>
      <w:r w:rsidRPr="00397F25">
        <w:t xml:space="preserve">, 1(9), pp.15–32. Available at: </w:t>
      </w:r>
      <w:hyperlink r:id="rId11" w:tgtFrame="_new" w:history="1">
        <w:r w:rsidRPr="00397F25">
          <w:rPr>
            <w:rStyle w:val="Hyperlink"/>
          </w:rPr>
          <w:t>https://doi.org/10.55708/js0109003</w:t>
        </w:r>
      </w:hyperlink>
      <w:r w:rsidRPr="00397F25">
        <w:t>.</w:t>
      </w:r>
    </w:p>
    <w:p w:rsidR="00397F25" w:rsidRPr="00397F25" w:rsidRDefault="00397F25" w:rsidP="001A60C2">
      <w:pPr>
        <w:spacing w:line="240" w:lineRule="auto"/>
        <w:ind w:left="720" w:hanging="720"/>
      </w:pPr>
      <w:r w:rsidRPr="00397F25">
        <w:t xml:space="preserve">Choudhury, P., Khanna, T., Makridis, C. and Schirmann, K. (2022). Is Hybrid Work the Best of Both Worlds? Evidence from a Field Experiment. </w:t>
      </w:r>
      <w:r w:rsidRPr="00397F25">
        <w:rPr>
          <w:i/>
          <w:iCs/>
        </w:rPr>
        <w:t>SSRN Electronic Journal</w:t>
      </w:r>
      <w:r w:rsidRPr="00397F25">
        <w:t xml:space="preserve">, 22(063). Available at: </w:t>
      </w:r>
      <w:hyperlink r:id="rId12" w:tgtFrame="_new" w:history="1">
        <w:r w:rsidRPr="00397F25">
          <w:rPr>
            <w:rStyle w:val="Hyperlink"/>
          </w:rPr>
          <w:t>https://doi.org/10.2139/ssrn.4068741</w:t>
        </w:r>
      </w:hyperlink>
      <w:r w:rsidRPr="00397F25">
        <w:t>.</w:t>
      </w:r>
    </w:p>
    <w:p w:rsidR="00397F25" w:rsidRPr="00397F25" w:rsidRDefault="00397F25" w:rsidP="001A60C2">
      <w:pPr>
        <w:spacing w:line="240" w:lineRule="auto"/>
        <w:ind w:left="720" w:hanging="720"/>
      </w:pPr>
      <w:r w:rsidRPr="00397F25">
        <w:t xml:space="preserve">Deloitte (2025). </w:t>
      </w:r>
      <w:r w:rsidRPr="00397F25">
        <w:rPr>
          <w:i/>
          <w:iCs/>
        </w:rPr>
        <w:t>2025 Global Human Capital Trends</w:t>
      </w:r>
      <w:r w:rsidRPr="00397F25">
        <w:t xml:space="preserve">. [online] Deloitte. Available at: </w:t>
      </w:r>
      <w:hyperlink r:id="rId13" w:tgtFrame="_new" w:history="1">
        <w:r w:rsidRPr="00397F25">
          <w:rPr>
            <w:rStyle w:val="Hyperlink"/>
          </w:rPr>
          <w:t>https://www.deloitte.com/ch/en/services/consulting/perspectives/global-human-capital-trends.html</w:t>
        </w:r>
      </w:hyperlink>
      <w:r w:rsidRPr="00397F25">
        <w:t xml:space="preserve"> [Accessed 17 Feb. 2026].</w:t>
      </w:r>
    </w:p>
    <w:p w:rsidR="00397F25" w:rsidRPr="00397F25" w:rsidRDefault="00397F25" w:rsidP="001A60C2">
      <w:pPr>
        <w:spacing w:line="240" w:lineRule="auto"/>
        <w:ind w:left="720" w:hanging="720"/>
      </w:pPr>
      <w:r w:rsidRPr="00397F25">
        <w:t xml:space="preserve">Forbes (2026). How To Navigate Trends Impacting Company Culture In 2026. </w:t>
      </w:r>
      <w:r w:rsidRPr="00397F25">
        <w:rPr>
          <w:i/>
          <w:iCs/>
        </w:rPr>
        <w:t>Forbes</w:t>
      </w:r>
      <w:r w:rsidRPr="00397F25">
        <w:t xml:space="preserve"> [online]. Available at: </w:t>
      </w:r>
      <w:hyperlink r:id="rId14" w:tgtFrame="_new" w:history="1">
        <w:r w:rsidRPr="00397F25">
          <w:rPr>
            <w:rStyle w:val="Hyperlink"/>
          </w:rPr>
          <w:t>https://www.forbes.com/councils/forbescoachescouncil/2026/02/11/how-to-navigate-trends-impacting-company-culture-in-2026</w:t>
        </w:r>
      </w:hyperlink>
      <w:r w:rsidRPr="00397F25">
        <w:t>.</w:t>
      </w:r>
    </w:p>
    <w:p w:rsidR="00397F25" w:rsidRPr="00397F25" w:rsidRDefault="00397F25" w:rsidP="001A60C2">
      <w:pPr>
        <w:spacing w:line="240" w:lineRule="auto"/>
        <w:ind w:left="720" w:hanging="720"/>
      </w:pPr>
      <w:r w:rsidRPr="00397F25">
        <w:t xml:space="preserve">Gartner (2025a). Gartner Says CHROs’ Top Priorities for 2026 Center Around Realizing AI Value and Driving Performance Amid Uncertainty. [online] Gartner. Available at: </w:t>
      </w:r>
      <w:hyperlink r:id="rId15" w:tgtFrame="_new" w:history="1">
        <w:r w:rsidRPr="00397F25">
          <w:rPr>
            <w:rStyle w:val="Hyperlink"/>
          </w:rPr>
          <w:t>https://www.gartner.com/en/newsroom/press-releases/2025-10-02-gartner-says-chros-top-priorities-for-2026-center-around-realizing-ai-value-and-driving-performance-amid-uncertainty</w:t>
        </w:r>
      </w:hyperlink>
      <w:r w:rsidRPr="00397F25">
        <w:t>.</w:t>
      </w:r>
    </w:p>
    <w:p w:rsidR="00397F25" w:rsidRPr="00397F25" w:rsidRDefault="00397F25" w:rsidP="001A60C2">
      <w:pPr>
        <w:spacing w:line="240" w:lineRule="auto"/>
        <w:ind w:left="720" w:hanging="720"/>
      </w:pPr>
      <w:r w:rsidRPr="00397F25">
        <w:t xml:space="preserve">Gartner (2025b). </w:t>
      </w:r>
      <w:r w:rsidRPr="00397F25">
        <w:rPr>
          <w:i/>
          <w:iCs/>
        </w:rPr>
        <w:t>Top 5 HR Trends and Priorities for HR Leaders in 2022</w:t>
      </w:r>
      <w:r w:rsidRPr="00397F25">
        <w:t xml:space="preserve">. [online] Gartner. Available at: </w:t>
      </w:r>
      <w:hyperlink r:id="rId16" w:tgtFrame="_new" w:history="1">
        <w:r w:rsidRPr="00397F25">
          <w:rPr>
            <w:rStyle w:val="Hyperlink"/>
          </w:rPr>
          <w:t>https://www.gartner.com/en/human-resources/trends/top-priorities-for-hr-leaders</w:t>
        </w:r>
      </w:hyperlink>
      <w:r w:rsidRPr="00397F25">
        <w:t>.</w:t>
      </w:r>
    </w:p>
    <w:p w:rsidR="00397F25" w:rsidRPr="00397F25" w:rsidRDefault="00397F25" w:rsidP="001A60C2">
      <w:pPr>
        <w:spacing w:line="240" w:lineRule="auto"/>
        <w:ind w:left="720" w:hanging="720"/>
      </w:pPr>
      <w:r w:rsidRPr="00397F25">
        <w:t xml:space="preserve">Hassan, A.F., Karim, A.M. and Hameed, J. (2022). Hybrid Model for Remote Work Practice in the Post Pandemic Era: Prospects and Challenges. </w:t>
      </w:r>
      <w:r w:rsidRPr="00397F25">
        <w:rPr>
          <w:i/>
          <w:iCs/>
        </w:rPr>
        <w:t>International Journal of Academic Research in Business and Social Sciences</w:t>
      </w:r>
      <w:r w:rsidRPr="00397F25">
        <w:t xml:space="preserve">, 12(12), pp.1920–1926. Available at: </w:t>
      </w:r>
      <w:hyperlink r:id="rId17" w:tgtFrame="_new" w:history="1">
        <w:r w:rsidRPr="00397F25">
          <w:rPr>
            <w:rStyle w:val="Hyperlink"/>
          </w:rPr>
          <w:t>https://doi.org/10.6007/ijarbss/v12-i12/15988</w:t>
        </w:r>
      </w:hyperlink>
      <w:r w:rsidRPr="00397F25">
        <w:t>.</w:t>
      </w:r>
    </w:p>
    <w:p w:rsidR="00397F25" w:rsidRPr="00397F25" w:rsidRDefault="00397F25" w:rsidP="001A60C2">
      <w:pPr>
        <w:spacing w:line="240" w:lineRule="auto"/>
        <w:ind w:left="720" w:hanging="720"/>
      </w:pPr>
      <w:r w:rsidRPr="00397F25">
        <w:t xml:space="preserve">Kasperska, A., Matysiak, A. and Cukrowska-Torzewska, E. (2024). Managerial (dis)preferences towards employees working from home: Post-pandemic experimental evidence. </w:t>
      </w:r>
      <w:r w:rsidRPr="00397F25">
        <w:rPr>
          <w:i/>
          <w:iCs/>
        </w:rPr>
        <w:t>PLOS ONE</w:t>
      </w:r>
      <w:r w:rsidRPr="00397F25">
        <w:t xml:space="preserve">, 19(5), pp.e0303307–e0303307. Available at: </w:t>
      </w:r>
      <w:hyperlink r:id="rId18" w:tgtFrame="_new" w:history="1">
        <w:r w:rsidRPr="00397F25">
          <w:rPr>
            <w:rStyle w:val="Hyperlink"/>
          </w:rPr>
          <w:t>https://doi.org/10.1371/journal.pone.0303307</w:t>
        </w:r>
      </w:hyperlink>
      <w:r w:rsidRPr="00397F25">
        <w:t>.</w:t>
      </w:r>
    </w:p>
    <w:p w:rsidR="00397F25" w:rsidRPr="00397F25" w:rsidRDefault="00397F25" w:rsidP="001A60C2">
      <w:pPr>
        <w:spacing w:line="240" w:lineRule="auto"/>
        <w:ind w:left="720" w:hanging="720"/>
      </w:pPr>
      <w:r w:rsidRPr="00397F25">
        <w:t xml:space="preserve">Kwiek, M. and Roszka, W. (2023). Once highly productive, forever highly productive? Full professors’ research productivity from a longitudinal perspective. </w:t>
      </w:r>
      <w:r w:rsidRPr="00397F25">
        <w:rPr>
          <w:i/>
          <w:iCs/>
        </w:rPr>
        <w:t>Higher Education</w:t>
      </w:r>
      <w:r w:rsidRPr="00397F25">
        <w:t xml:space="preserve">. Available at: </w:t>
      </w:r>
      <w:hyperlink r:id="rId19" w:tgtFrame="_new" w:history="1">
        <w:r w:rsidRPr="00397F25">
          <w:rPr>
            <w:rStyle w:val="Hyperlink"/>
          </w:rPr>
          <w:t>https://doi.org/10.1007/s10734-023-01022-y</w:t>
        </w:r>
      </w:hyperlink>
      <w:r w:rsidRPr="00397F25">
        <w:t>.</w:t>
      </w:r>
    </w:p>
    <w:p w:rsidR="00397F25" w:rsidRPr="00397F25" w:rsidRDefault="00397F25" w:rsidP="001A60C2">
      <w:pPr>
        <w:spacing w:line="240" w:lineRule="auto"/>
        <w:ind w:left="720" w:hanging="720"/>
      </w:pPr>
      <w:r w:rsidRPr="00397F25">
        <w:t xml:space="preserve">Lam, L., Nguyen, P., Le, N. and Tran, K. (2021). The relation among organizational culture, knowledge management, and innovation capability: Its implication for open </w:t>
      </w:r>
      <w:r w:rsidRPr="00397F25">
        <w:lastRenderedPageBreak/>
        <w:t xml:space="preserve">innovation. </w:t>
      </w:r>
      <w:r w:rsidRPr="00397F25">
        <w:rPr>
          <w:i/>
          <w:iCs/>
        </w:rPr>
        <w:t>Journal of Open Innovation: Technology, Market, and Complexity</w:t>
      </w:r>
      <w:r w:rsidRPr="00397F25">
        <w:t xml:space="preserve">, 7(1), p.66. Available at: </w:t>
      </w:r>
      <w:hyperlink r:id="rId20" w:tgtFrame="_new" w:history="1">
        <w:r w:rsidRPr="00397F25">
          <w:rPr>
            <w:rStyle w:val="Hyperlink"/>
          </w:rPr>
          <w:t>https://doi.org/10.3390/joitmc7010066</w:t>
        </w:r>
      </w:hyperlink>
      <w:r w:rsidRPr="00397F25">
        <w:t>.</w:t>
      </w:r>
    </w:p>
    <w:p w:rsidR="00397F25" w:rsidRPr="00397F25" w:rsidRDefault="00397F25" w:rsidP="001A60C2">
      <w:pPr>
        <w:spacing w:line="240" w:lineRule="auto"/>
        <w:ind w:left="720" w:hanging="720"/>
      </w:pPr>
      <w:r w:rsidRPr="00397F25">
        <w:t xml:space="preserve">Manzoor, M., Dhand, S. and Pandey, A. (2025). Exploring the Link Between Innovation Culture and Organizational Performance: A Study of Select IT Companies. </w:t>
      </w:r>
      <w:r w:rsidRPr="00397F25">
        <w:rPr>
          <w:i/>
          <w:iCs/>
        </w:rPr>
        <w:t>Journal of Neonatal Surgery</w:t>
      </w:r>
      <w:r w:rsidRPr="00397F25">
        <w:t xml:space="preserve">, 14(5S), pp.702–709. Available at: </w:t>
      </w:r>
      <w:hyperlink r:id="rId21" w:tgtFrame="_new" w:history="1">
        <w:r w:rsidRPr="00397F25">
          <w:rPr>
            <w:rStyle w:val="Hyperlink"/>
          </w:rPr>
          <w:t>https://doi.org/10.52783/jns.v14.2120</w:t>
        </w:r>
      </w:hyperlink>
      <w:r w:rsidRPr="00397F25">
        <w:t>.</w:t>
      </w:r>
    </w:p>
    <w:p w:rsidR="00397F25" w:rsidRPr="00397F25" w:rsidRDefault="00397F25" w:rsidP="001A60C2">
      <w:pPr>
        <w:spacing w:line="240" w:lineRule="auto"/>
        <w:ind w:left="720" w:hanging="720"/>
      </w:pPr>
      <w:r w:rsidRPr="00397F25">
        <w:t xml:space="preserve">Mayer, H., Yee, L., Chui, M. and Roberts, R. (2025). Superagency in the workplace: Empowering people to unlock AI’s full potential. [online] McKinsey &amp; Company. Available at: </w:t>
      </w:r>
      <w:hyperlink r:id="rId22" w:tgtFrame="_new" w:history="1">
        <w:r w:rsidRPr="00397F25">
          <w:rPr>
            <w:rStyle w:val="Hyperlink"/>
          </w:rPr>
          <w:t>https://www.mckinsey.com/capabilities/tech-and-ai/our-insights/superagency-in-the-workplace-empowering-people-to-unlock-ais-full-potential-at-work</w:t>
        </w:r>
      </w:hyperlink>
      <w:r w:rsidRPr="00397F25">
        <w:t>.</w:t>
      </w:r>
    </w:p>
    <w:p w:rsidR="00397F25" w:rsidRPr="00397F25" w:rsidRDefault="00397F25" w:rsidP="001A60C2">
      <w:pPr>
        <w:spacing w:line="240" w:lineRule="auto"/>
        <w:ind w:left="720" w:hanging="720"/>
      </w:pPr>
      <w:r w:rsidRPr="00397F25">
        <w:t xml:space="preserve">McRae, E.R. (2025). Future of Work Trends 2025: Strategic Insights for CHROs. [online] Gartner. Available at: </w:t>
      </w:r>
      <w:hyperlink r:id="rId23" w:tgtFrame="_new" w:history="1">
        <w:r w:rsidRPr="00397F25">
          <w:rPr>
            <w:rStyle w:val="Hyperlink"/>
          </w:rPr>
          <w:t>https://www.gartner.com/en/articles/future-of-work-trends</w:t>
        </w:r>
      </w:hyperlink>
      <w:r w:rsidRPr="00397F25">
        <w:t>.</w:t>
      </w:r>
    </w:p>
    <w:p w:rsidR="00397F25" w:rsidRPr="00397F25" w:rsidRDefault="00397F25" w:rsidP="001A60C2">
      <w:pPr>
        <w:spacing w:line="240" w:lineRule="auto"/>
        <w:ind w:left="720" w:hanging="720"/>
      </w:pPr>
      <w:r w:rsidRPr="00397F25">
        <w:t xml:space="preserve">Tahlyan, D., Mahmassani, H., Stathopoulos, A., Said, M., Shaheen, S., Walker, J. and Johnson, B. (2024). In-person, hybrid or remote? Employers’ perspectives on the future of work post-pandemic. </w:t>
      </w:r>
      <w:r w:rsidRPr="00397F25">
        <w:rPr>
          <w:i/>
          <w:iCs/>
        </w:rPr>
        <w:t>Transportation Research Part A: Policy and Practice</w:t>
      </w:r>
      <w:r w:rsidRPr="00397F25">
        <w:t xml:space="preserve">, 190, p.104273. Available at: </w:t>
      </w:r>
      <w:hyperlink r:id="rId24" w:tgtFrame="_new" w:history="1">
        <w:r w:rsidRPr="00397F25">
          <w:rPr>
            <w:rStyle w:val="Hyperlink"/>
          </w:rPr>
          <w:t>https://doi.org/10.1016/j.tra.2024.104273</w:t>
        </w:r>
      </w:hyperlink>
      <w:r w:rsidRPr="00397F25">
        <w:t>.</w:t>
      </w:r>
    </w:p>
    <w:p w:rsidR="00397F25" w:rsidRPr="00397F25" w:rsidRDefault="00397F25" w:rsidP="001A60C2">
      <w:pPr>
        <w:spacing w:line="240" w:lineRule="auto"/>
        <w:ind w:left="720" w:hanging="720"/>
      </w:pPr>
      <w:r w:rsidRPr="00397F25">
        <w:t xml:space="preserve">Tripathi, A. and Kalia, P. (2022). Examining the effects of supportive work environment and organisational learning culture on organisational performance in information technology companies. </w:t>
      </w:r>
      <w:r w:rsidRPr="00397F25">
        <w:rPr>
          <w:i/>
          <w:iCs/>
        </w:rPr>
        <w:t>Innovation</w:t>
      </w:r>
      <w:r w:rsidRPr="00397F25">
        <w:t xml:space="preserve">, 26(2), pp.1–21. Available at: </w:t>
      </w:r>
      <w:hyperlink r:id="rId25" w:tgtFrame="_new" w:history="1">
        <w:r w:rsidRPr="00397F25">
          <w:rPr>
            <w:rStyle w:val="Hyperlink"/>
          </w:rPr>
          <w:t>https://doi.org/10.1080/14479338.2022.2116640</w:t>
        </w:r>
      </w:hyperlink>
      <w:r w:rsidRPr="00397F25">
        <w:t>.</w:t>
      </w:r>
    </w:p>
    <w:p w:rsidR="00397F25" w:rsidRPr="00397F25" w:rsidRDefault="00397F25" w:rsidP="001A60C2">
      <w:pPr>
        <w:spacing w:line="240" w:lineRule="auto"/>
        <w:ind w:left="720" w:hanging="720"/>
      </w:pPr>
      <w:r w:rsidRPr="00397F25">
        <w:t xml:space="preserve">Uchenna, R., Patrick, M., Gil-Ozoudeh, N.I. and Iwuanyanwu, N.O. (2024). Cross-functional team dynamics in technology management: a comprehensive review of efficiency and innovation enhancement. </w:t>
      </w:r>
      <w:r w:rsidRPr="00397F25">
        <w:rPr>
          <w:i/>
          <w:iCs/>
        </w:rPr>
        <w:t>Engineering Science &amp; Technology Journal</w:t>
      </w:r>
      <w:r w:rsidRPr="00397F25">
        <w:t xml:space="preserve">, 5(12), pp.3248–3265. Available at: </w:t>
      </w:r>
      <w:hyperlink r:id="rId26" w:tgtFrame="_new" w:history="1">
        <w:r w:rsidRPr="00397F25">
          <w:rPr>
            <w:rStyle w:val="Hyperlink"/>
          </w:rPr>
          <w:t>https://doi.org/10.51594/estj.v5i12.1756</w:t>
        </w:r>
      </w:hyperlink>
      <w:r w:rsidRPr="00397F25">
        <w:t>.</w:t>
      </w:r>
    </w:p>
    <w:p w:rsidR="00397F25" w:rsidRPr="00397F25" w:rsidRDefault="00397F25" w:rsidP="001A60C2">
      <w:pPr>
        <w:spacing w:line="240" w:lineRule="auto"/>
        <w:ind w:left="720" w:hanging="720"/>
      </w:pPr>
      <w:r w:rsidRPr="00397F25">
        <w:t xml:space="preserve">Zhang, W., Zeng, X., Liang, H., Xue, Y. and Cao, X. (2023). Understanding how organizational culture affects innovation performance: A management context perspective. </w:t>
      </w:r>
      <w:r w:rsidRPr="00397F25">
        <w:rPr>
          <w:i/>
          <w:iCs/>
        </w:rPr>
        <w:t>Sustainability</w:t>
      </w:r>
      <w:r w:rsidRPr="00397F25">
        <w:t xml:space="preserve">, 15(8), pp.1–18. Available at: </w:t>
      </w:r>
      <w:hyperlink r:id="rId27" w:tgtFrame="_new" w:history="1">
        <w:r w:rsidRPr="00397F25">
          <w:rPr>
            <w:rStyle w:val="Hyperlink"/>
          </w:rPr>
          <w:t>https://doi.org/10.3390/su15086644</w:t>
        </w:r>
      </w:hyperlink>
      <w:r w:rsidRPr="00397F25">
        <w:t>.</w:t>
      </w:r>
    </w:p>
    <w:p w:rsidR="00397F25" w:rsidRPr="00397F25" w:rsidRDefault="00397F25" w:rsidP="00397F25"/>
    <w:p w:rsidR="00397F25" w:rsidRPr="00397F25" w:rsidRDefault="00397F25" w:rsidP="00397F25"/>
    <w:p w:rsidR="00E73F8A" w:rsidRDefault="00E73F8A"/>
    <w:sectPr w:rsidR="00E73F8A" w:rsidSect="00255C50">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93BA0" w:rsidRDefault="00A93BA0" w:rsidP="00904BBF">
      <w:pPr>
        <w:spacing w:after="0" w:line="240" w:lineRule="auto"/>
      </w:pPr>
      <w:r>
        <w:separator/>
      </w:r>
    </w:p>
  </w:endnote>
  <w:endnote w:type="continuationSeparator" w:id="1">
    <w:p w:rsidR="00A93BA0" w:rsidRDefault="00A93BA0" w:rsidP="00904BB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ptos">
    <w:altName w:val="Arial"/>
    <w:charset w:val="00"/>
    <w:family w:val="swiss"/>
    <w:pitch w:val="variable"/>
    <w:sig w:usb0="00000001" w:usb1="00000003" w:usb2="00000000" w:usb3="00000000" w:csb0="0000019F" w:csb1="00000000"/>
  </w:font>
  <w:font w:name="Mangal">
    <w:panose1 w:val="02040503050203030202"/>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31D4B" w:rsidRDefault="00831D4B">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9043875"/>
      <w:docPartObj>
        <w:docPartGallery w:val="Page Numbers (Bottom of Page)"/>
        <w:docPartUnique/>
      </w:docPartObj>
    </w:sdtPr>
    <w:sdtEndPr>
      <w:rPr>
        <w:noProof/>
      </w:rPr>
    </w:sdtEndPr>
    <w:sdtContent>
      <w:p w:rsidR="00904BBF" w:rsidRDefault="00255C50">
        <w:pPr>
          <w:pStyle w:val="Footer"/>
          <w:jc w:val="center"/>
        </w:pPr>
        <w:r>
          <w:fldChar w:fldCharType="begin"/>
        </w:r>
        <w:r w:rsidR="00904BBF">
          <w:instrText xml:space="preserve"> PAGE   \* MERGEFORMAT </w:instrText>
        </w:r>
        <w:r>
          <w:fldChar w:fldCharType="separate"/>
        </w:r>
        <w:r w:rsidR="00FB364C">
          <w:rPr>
            <w:noProof/>
          </w:rPr>
          <w:t>2</w:t>
        </w:r>
        <w:r>
          <w:rPr>
            <w:noProof/>
          </w:rPr>
          <w:fldChar w:fldCharType="end"/>
        </w:r>
      </w:p>
    </w:sdtContent>
  </w:sdt>
  <w:p w:rsidR="00904BBF" w:rsidRDefault="00904BBF">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31D4B" w:rsidRDefault="00831D4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93BA0" w:rsidRDefault="00A93BA0" w:rsidP="00904BBF">
      <w:pPr>
        <w:spacing w:after="0" w:line="240" w:lineRule="auto"/>
      </w:pPr>
      <w:r>
        <w:separator/>
      </w:r>
    </w:p>
  </w:footnote>
  <w:footnote w:type="continuationSeparator" w:id="1">
    <w:p w:rsidR="00A93BA0" w:rsidRDefault="00A93BA0" w:rsidP="00904BB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31D4B" w:rsidRDefault="00831D4B">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31D4B" w:rsidRDefault="00831D4B">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31D4B" w:rsidRDefault="00831D4B">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3074"/>
  </w:hdrShapeDefaults>
  <w:footnotePr>
    <w:footnote w:id="0"/>
    <w:footnote w:id="1"/>
  </w:footnotePr>
  <w:endnotePr>
    <w:endnote w:id="0"/>
    <w:endnote w:id="1"/>
  </w:endnotePr>
  <w:compat/>
  <w:rsids>
    <w:rsidRoot w:val="00397F25"/>
    <w:rsid w:val="0000573D"/>
    <w:rsid w:val="00044848"/>
    <w:rsid w:val="000A19F8"/>
    <w:rsid w:val="00191084"/>
    <w:rsid w:val="001A60C2"/>
    <w:rsid w:val="001E6BF2"/>
    <w:rsid w:val="00255C50"/>
    <w:rsid w:val="002F5F7D"/>
    <w:rsid w:val="00306252"/>
    <w:rsid w:val="00320982"/>
    <w:rsid w:val="00397F25"/>
    <w:rsid w:val="003C0584"/>
    <w:rsid w:val="00413CAB"/>
    <w:rsid w:val="004D34B2"/>
    <w:rsid w:val="005F34E8"/>
    <w:rsid w:val="00650B42"/>
    <w:rsid w:val="0066606F"/>
    <w:rsid w:val="00812A27"/>
    <w:rsid w:val="00831D4B"/>
    <w:rsid w:val="00904BBF"/>
    <w:rsid w:val="009414FD"/>
    <w:rsid w:val="00A93BA0"/>
    <w:rsid w:val="00C62027"/>
    <w:rsid w:val="00C676B5"/>
    <w:rsid w:val="00DC3D7C"/>
    <w:rsid w:val="00DE057E"/>
    <w:rsid w:val="00E15791"/>
    <w:rsid w:val="00E73F8A"/>
    <w:rsid w:val="00F746A6"/>
    <w:rsid w:val="00FB364C"/>
  </w:rsids>
  <m:mathPr>
    <m:mathFont m:val="Cambria Math"/>
    <m:brkBin m:val="before"/>
    <m:brkBinSub m:val="--"/>
    <m:smallFrac/>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IN" w:eastAsia="en-US"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20982"/>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320982"/>
    <w:pPr>
      <w:keepNext/>
      <w:keepLines/>
      <w:spacing w:before="360" w:after="80"/>
      <w:outlineLvl w:val="0"/>
    </w:pPr>
    <w:rPr>
      <w:rFonts w:eastAsiaTheme="majorEastAsia" w:cstheme="majorBidi"/>
      <w:b/>
      <w:color w:val="0070C0"/>
      <w:sz w:val="28"/>
      <w:szCs w:val="40"/>
    </w:rPr>
  </w:style>
  <w:style w:type="paragraph" w:styleId="Heading2">
    <w:name w:val="heading 2"/>
    <w:basedOn w:val="Normal"/>
    <w:next w:val="Normal"/>
    <w:link w:val="Heading2Char"/>
    <w:uiPriority w:val="9"/>
    <w:unhideWhenUsed/>
    <w:qFormat/>
    <w:rsid w:val="00320982"/>
    <w:pPr>
      <w:keepNext/>
      <w:keepLines/>
      <w:spacing w:before="160" w:after="80"/>
      <w:outlineLvl w:val="1"/>
    </w:pPr>
    <w:rPr>
      <w:rFonts w:eastAsiaTheme="majorEastAsia" w:cstheme="majorBidi"/>
      <w:b/>
      <w:color w:val="0070C0"/>
      <w:szCs w:val="32"/>
    </w:rPr>
  </w:style>
  <w:style w:type="paragraph" w:styleId="Heading3">
    <w:name w:val="heading 3"/>
    <w:basedOn w:val="Normal"/>
    <w:next w:val="Normal"/>
    <w:link w:val="Heading3Char"/>
    <w:uiPriority w:val="9"/>
    <w:semiHidden/>
    <w:unhideWhenUsed/>
    <w:qFormat/>
    <w:rsid w:val="00397F25"/>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7F2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97F2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97F2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97F2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97F2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97F2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982"/>
    <w:rPr>
      <w:rFonts w:ascii="Times New Roman" w:eastAsiaTheme="majorEastAsia" w:hAnsi="Times New Roman" w:cstheme="majorBidi"/>
      <w:b/>
      <w:color w:val="0070C0"/>
      <w:sz w:val="28"/>
      <w:szCs w:val="40"/>
    </w:rPr>
  </w:style>
  <w:style w:type="character" w:customStyle="1" w:styleId="Heading2Char">
    <w:name w:val="Heading 2 Char"/>
    <w:basedOn w:val="DefaultParagraphFont"/>
    <w:link w:val="Heading2"/>
    <w:uiPriority w:val="9"/>
    <w:rsid w:val="00320982"/>
    <w:rPr>
      <w:rFonts w:ascii="Times New Roman" w:eastAsiaTheme="majorEastAsia" w:hAnsi="Times New Roman" w:cstheme="majorBidi"/>
      <w:b/>
      <w:color w:val="0070C0"/>
      <w:szCs w:val="32"/>
    </w:rPr>
  </w:style>
  <w:style w:type="character" w:customStyle="1" w:styleId="Heading3Char">
    <w:name w:val="Heading 3 Char"/>
    <w:basedOn w:val="DefaultParagraphFont"/>
    <w:link w:val="Heading3"/>
    <w:uiPriority w:val="9"/>
    <w:semiHidden/>
    <w:rsid w:val="00397F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7F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7F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7F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7F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7F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7F25"/>
    <w:rPr>
      <w:rFonts w:eastAsiaTheme="majorEastAsia" w:cstheme="majorBidi"/>
      <w:color w:val="272727" w:themeColor="text1" w:themeTint="D8"/>
    </w:rPr>
  </w:style>
  <w:style w:type="paragraph" w:styleId="Title">
    <w:name w:val="Title"/>
    <w:basedOn w:val="Normal"/>
    <w:next w:val="Normal"/>
    <w:link w:val="TitleChar"/>
    <w:uiPriority w:val="10"/>
    <w:qFormat/>
    <w:rsid w:val="00397F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7F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7F2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7F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7F25"/>
    <w:pPr>
      <w:spacing w:before="160"/>
      <w:jc w:val="center"/>
    </w:pPr>
    <w:rPr>
      <w:i/>
      <w:iCs/>
      <w:color w:val="404040" w:themeColor="text1" w:themeTint="BF"/>
    </w:rPr>
  </w:style>
  <w:style w:type="character" w:customStyle="1" w:styleId="QuoteChar">
    <w:name w:val="Quote Char"/>
    <w:basedOn w:val="DefaultParagraphFont"/>
    <w:link w:val="Quote"/>
    <w:uiPriority w:val="29"/>
    <w:rsid w:val="00397F25"/>
    <w:rPr>
      <w:rFonts w:ascii="Times New Roman" w:hAnsi="Times New Roman"/>
      <w:i/>
      <w:iCs/>
      <w:color w:val="404040" w:themeColor="text1" w:themeTint="BF"/>
    </w:rPr>
  </w:style>
  <w:style w:type="paragraph" w:styleId="ListParagraph">
    <w:name w:val="List Paragraph"/>
    <w:basedOn w:val="Normal"/>
    <w:uiPriority w:val="34"/>
    <w:qFormat/>
    <w:rsid w:val="00397F25"/>
    <w:pPr>
      <w:ind w:left="720"/>
      <w:contextualSpacing/>
    </w:pPr>
  </w:style>
  <w:style w:type="character" w:styleId="IntenseEmphasis">
    <w:name w:val="Intense Emphasis"/>
    <w:basedOn w:val="DefaultParagraphFont"/>
    <w:uiPriority w:val="21"/>
    <w:qFormat/>
    <w:rsid w:val="00397F25"/>
    <w:rPr>
      <w:i/>
      <w:iCs/>
      <w:color w:val="0F4761" w:themeColor="accent1" w:themeShade="BF"/>
    </w:rPr>
  </w:style>
  <w:style w:type="paragraph" w:styleId="IntenseQuote">
    <w:name w:val="Intense Quote"/>
    <w:basedOn w:val="Normal"/>
    <w:next w:val="Normal"/>
    <w:link w:val="IntenseQuoteChar"/>
    <w:uiPriority w:val="30"/>
    <w:qFormat/>
    <w:rsid w:val="00397F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7F25"/>
    <w:rPr>
      <w:rFonts w:ascii="Times New Roman" w:hAnsi="Times New Roman"/>
      <w:i/>
      <w:iCs/>
      <w:color w:val="0F4761" w:themeColor="accent1" w:themeShade="BF"/>
    </w:rPr>
  </w:style>
  <w:style w:type="character" w:styleId="IntenseReference">
    <w:name w:val="Intense Reference"/>
    <w:basedOn w:val="DefaultParagraphFont"/>
    <w:uiPriority w:val="32"/>
    <w:qFormat/>
    <w:rsid w:val="00397F25"/>
    <w:rPr>
      <w:b/>
      <w:bCs/>
      <w:smallCaps/>
      <w:color w:val="0F4761" w:themeColor="accent1" w:themeShade="BF"/>
      <w:spacing w:val="5"/>
    </w:rPr>
  </w:style>
  <w:style w:type="table" w:styleId="TableGrid">
    <w:name w:val="Table Grid"/>
    <w:basedOn w:val="TableNormal"/>
    <w:uiPriority w:val="39"/>
    <w:rsid w:val="00397F2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397F25"/>
    <w:rPr>
      <w:color w:val="467886" w:themeColor="hyperlink"/>
      <w:u w:val="single"/>
    </w:rPr>
  </w:style>
  <w:style w:type="character" w:customStyle="1" w:styleId="UnresolvedMention">
    <w:name w:val="Unresolved Mention"/>
    <w:basedOn w:val="DefaultParagraphFont"/>
    <w:uiPriority w:val="99"/>
    <w:semiHidden/>
    <w:unhideWhenUsed/>
    <w:rsid w:val="00397F25"/>
    <w:rPr>
      <w:color w:val="605E5C"/>
      <w:shd w:val="clear" w:color="auto" w:fill="E1DFDD"/>
    </w:rPr>
  </w:style>
  <w:style w:type="paragraph" w:styleId="TOCHeading">
    <w:name w:val="TOC Heading"/>
    <w:basedOn w:val="Heading1"/>
    <w:next w:val="Normal"/>
    <w:uiPriority w:val="39"/>
    <w:unhideWhenUsed/>
    <w:qFormat/>
    <w:rsid w:val="00191084"/>
    <w:pPr>
      <w:spacing w:before="240" w:after="0" w:line="259" w:lineRule="auto"/>
      <w:jc w:val="left"/>
      <w:outlineLvl w:val="9"/>
    </w:pPr>
    <w:rPr>
      <w:rFonts w:asciiTheme="majorHAnsi" w:hAnsiTheme="majorHAnsi"/>
      <w:b w:val="0"/>
      <w:color w:val="0F4761" w:themeColor="accent1" w:themeShade="BF"/>
      <w:kern w:val="0"/>
      <w:sz w:val="32"/>
      <w:szCs w:val="32"/>
      <w:lang w:val="en-US"/>
    </w:rPr>
  </w:style>
  <w:style w:type="paragraph" w:styleId="TOC1">
    <w:name w:val="toc 1"/>
    <w:basedOn w:val="Normal"/>
    <w:next w:val="Normal"/>
    <w:autoRedefine/>
    <w:uiPriority w:val="39"/>
    <w:unhideWhenUsed/>
    <w:rsid w:val="00191084"/>
    <w:pPr>
      <w:spacing w:after="100"/>
    </w:pPr>
  </w:style>
  <w:style w:type="paragraph" w:styleId="TOC2">
    <w:name w:val="toc 2"/>
    <w:basedOn w:val="Normal"/>
    <w:next w:val="Normal"/>
    <w:autoRedefine/>
    <w:uiPriority w:val="39"/>
    <w:unhideWhenUsed/>
    <w:rsid w:val="00191084"/>
    <w:pPr>
      <w:spacing w:after="100"/>
      <w:ind w:left="240"/>
    </w:pPr>
  </w:style>
  <w:style w:type="paragraph" w:styleId="Header">
    <w:name w:val="header"/>
    <w:basedOn w:val="Normal"/>
    <w:link w:val="HeaderChar"/>
    <w:uiPriority w:val="99"/>
    <w:unhideWhenUsed/>
    <w:rsid w:val="00904B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BBF"/>
    <w:rPr>
      <w:rFonts w:ascii="Times New Roman" w:hAnsi="Times New Roman"/>
    </w:rPr>
  </w:style>
  <w:style w:type="paragraph" w:styleId="Footer">
    <w:name w:val="footer"/>
    <w:basedOn w:val="Normal"/>
    <w:link w:val="FooterChar"/>
    <w:uiPriority w:val="99"/>
    <w:unhideWhenUsed/>
    <w:rsid w:val="00904B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BBF"/>
    <w:rPr>
      <w:rFonts w:ascii="Times New Roman" w:hAnsi="Times New Roman"/>
    </w:rPr>
  </w:style>
  <w:style w:type="paragraph" w:styleId="Caption">
    <w:name w:val="caption"/>
    <w:basedOn w:val="Normal"/>
    <w:next w:val="Normal"/>
    <w:uiPriority w:val="35"/>
    <w:unhideWhenUsed/>
    <w:qFormat/>
    <w:rsid w:val="009414FD"/>
    <w:pPr>
      <w:spacing w:after="200" w:line="240" w:lineRule="auto"/>
    </w:pPr>
    <w:rPr>
      <w:i/>
      <w:iCs/>
      <w:color w:val="0E2841" w:themeColor="text2"/>
      <w:sz w:val="18"/>
      <w:szCs w:val="18"/>
    </w:rPr>
  </w:style>
  <w:style w:type="paragraph" w:styleId="BalloonText">
    <w:name w:val="Balloon Text"/>
    <w:basedOn w:val="Normal"/>
    <w:link w:val="BalloonTextChar"/>
    <w:uiPriority w:val="99"/>
    <w:semiHidden/>
    <w:unhideWhenUsed/>
    <w:rsid w:val="00F746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46A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deloitte.com/ch/en/services/consulting/perspectives/global-human-capital-trends.html" TargetMode="External"/><Relationship Id="rId18" Type="http://schemas.openxmlformats.org/officeDocument/2006/relationships/hyperlink" Target="https://doi.org/10.1371/journal.pone.0303307" TargetMode="External"/><Relationship Id="rId26" Type="http://schemas.openxmlformats.org/officeDocument/2006/relationships/hyperlink" Target="https://doi.org/10.51594/estj.v5i12.1756" TargetMode="External"/><Relationship Id="rId3" Type="http://schemas.openxmlformats.org/officeDocument/2006/relationships/settings" Target="settings.xml"/><Relationship Id="rId21" Type="http://schemas.openxmlformats.org/officeDocument/2006/relationships/hyperlink" Target="https://doi.org/10.52783/jns.v14.2120"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oi.org/10.2139/ssrn.4068741" TargetMode="External"/><Relationship Id="rId17" Type="http://schemas.openxmlformats.org/officeDocument/2006/relationships/hyperlink" Target="https://doi.org/10.6007/ijarbss/v12-i12/15988" TargetMode="External"/><Relationship Id="rId25" Type="http://schemas.openxmlformats.org/officeDocument/2006/relationships/hyperlink" Target="https://doi.org/10.1080/14479338.2022.2116640" TargetMode="External"/><Relationship Id="rId33"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www.gartner.com/en/human-resources/trends/top-priorities-for-hr-leaders" TargetMode="External"/><Relationship Id="rId20" Type="http://schemas.openxmlformats.org/officeDocument/2006/relationships/hyperlink" Target="https://doi.org/10.3390/joitmc7010066"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55708/js0109003" TargetMode="External"/><Relationship Id="rId24" Type="http://schemas.openxmlformats.org/officeDocument/2006/relationships/hyperlink" Target="https://doi.org/10.1016/j.tra.2024.104273" TargetMode="External"/><Relationship Id="rId32"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www.gartner.com/en/newsroom/press-releases/2025-10-02-gartner-says-chros-top-priorities-for-2026-center-around-realizing-ai-value-and-driving-performance-amid-uncertainty" TargetMode="External"/><Relationship Id="rId23" Type="http://schemas.openxmlformats.org/officeDocument/2006/relationships/hyperlink" Target="https://www.gartner.com/en/articles/future-of-work-trends" TargetMode="External"/><Relationship Id="rId28" Type="http://schemas.openxmlformats.org/officeDocument/2006/relationships/header" Target="header1.xml"/><Relationship Id="rId10" Type="http://schemas.openxmlformats.org/officeDocument/2006/relationships/hyperlink" Target="https://hbr.org/2026/02/9-trends-shaping-work-in-2026-and-beyond" TargetMode="External"/><Relationship Id="rId19" Type="http://schemas.openxmlformats.org/officeDocument/2006/relationships/hyperlink" Target="https://doi.org/10.1007/s10734-023-01022-y"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NULL"/><Relationship Id="rId14" Type="http://schemas.openxmlformats.org/officeDocument/2006/relationships/hyperlink" Target="https://www.forbes.com/councils/forbescoachescouncil/2026/02/11/how-to-navigate-trends-impacting-company-culture-in-2026" TargetMode="External"/><Relationship Id="rId22" Type="http://schemas.openxmlformats.org/officeDocument/2006/relationships/hyperlink" Target="https://www.mckinsey.com/capabilities/tech-and-ai/our-insights/superagency-in-the-workplace-empowering-people-to-unlock-ais-full-potential-at-work" TargetMode="External"/><Relationship Id="rId27" Type="http://schemas.openxmlformats.org/officeDocument/2006/relationships/hyperlink" Target="https://doi.org/10.3390/su15086644" TargetMode="External"/><Relationship Id="rId30" Type="http://schemas.openxmlformats.org/officeDocument/2006/relationships/footer" Target="footer1.xm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6F0DF0-1DAB-447B-8F59-2E3929EE9F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3864</Words>
  <Characters>22027</Characters>
  <Application>Microsoft Office Word</Application>
  <DocSecurity>0</DocSecurity>
  <Lines>183</Lines>
  <Paragraphs>51</Paragraphs>
  <ScaleCrop>false</ScaleCrop>
  <LinksUpToDate>false</LinksUpToDate>
  <CharactersWithSpaces>25840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2026-02-19T06:33:00Z</dcterms:created>
  <dcterms:modified xsi:type="dcterms:W3CDTF">2026-02-19T06:33:00Z</dcterms:modified>
</cp:coreProperties>
</file>