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8DB89" w14:textId="77777777" w:rsidR="00D07D29" w:rsidRDefault="00D07D29" w:rsidP="000D0E68">
      <w:pPr>
        <w:spacing w:line="360" w:lineRule="auto"/>
        <w:jc w:val="both"/>
        <w:rPr>
          <w:rFonts w:ascii="Times New Roman" w:hAnsi="Times New Roman" w:cs="Times New Roman"/>
          <w:sz w:val="24"/>
          <w:szCs w:val="24"/>
        </w:rPr>
      </w:pPr>
    </w:p>
    <w:p w14:paraId="54851AB4" w14:textId="77777777" w:rsidR="00D07D29" w:rsidRDefault="00D07D29" w:rsidP="005470D1">
      <w:pPr>
        <w:spacing w:line="360" w:lineRule="auto"/>
        <w:ind w:left="720" w:hanging="360"/>
        <w:jc w:val="both"/>
        <w:rPr>
          <w:rFonts w:ascii="Times New Roman" w:hAnsi="Times New Roman" w:cs="Times New Roman"/>
          <w:sz w:val="24"/>
          <w:szCs w:val="24"/>
        </w:rPr>
      </w:pPr>
    </w:p>
    <w:p w14:paraId="6792E59D" w14:textId="77777777" w:rsidR="00D07D29" w:rsidRDefault="00D07D29" w:rsidP="005470D1">
      <w:pPr>
        <w:spacing w:line="360" w:lineRule="auto"/>
        <w:ind w:left="720" w:hanging="360"/>
        <w:jc w:val="both"/>
        <w:rPr>
          <w:rFonts w:ascii="Times New Roman" w:hAnsi="Times New Roman" w:cs="Times New Roman"/>
          <w:sz w:val="24"/>
          <w:szCs w:val="24"/>
        </w:rPr>
      </w:pPr>
    </w:p>
    <w:p w14:paraId="0133CBB6" w14:textId="77777777" w:rsidR="00D07D29" w:rsidRDefault="00D07D29" w:rsidP="005470D1">
      <w:pPr>
        <w:spacing w:line="360" w:lineRule="auto"/>
        <w:ind w:left="720" w:hanging="360"/>
        <w:jc w:val="both"/>
        <w:rPr>
          <w:rFonts w:ascii="Times New Roman" w:hAnsi="Times New Roman" w:cs="Times New Roman"/>
          <w:sz w:val="24"/>
          <w:szCs w:val="24"/>
        </w:rPr>
      </w:pPr>
    </w:p>
    <w:p w14:paraId="0A061DF5" w14:textId="77777777" w:rsidR="00D07D29" w:rsidRPr="000D0E68" w:rsidRDefault="00D07D29" w:rsidP="005470D1">
      <w:pPr>
        <w:spacing w:line="360" w:lineRule="auto"/>
        <w:ind w:left="720" w:hanging="360"/>
        <w:jc w:val="both"/>
        <w:rPr>
          <w:rFonts w:ascii="Times New Roman" w:hAnsi="Times New Roman" w:cs="Times New Roman"/>
          <w:sz w:val="56"/>
          <w:szCs w:val="56"/>
        </w:rPr>
      </w:pPr>
    </w:p>
    <w:p w14:paraId="57CDBE4D" w14:textId="67919130" w:rsidR="00D07D29" w:rsidRPr="000D0E68" w:rsidRDefault="000D0E68" w:rsidP="005470D1">
      <w:pPr>
        <w:spacing w:line="360" w:lineRule="auto"/>
        <w:ind w:left="720" w:hanging="360"/>
        <w:jc w:val="both"/>
        <w:rPr>
          <w:rFonts w:ascii="Times New Roman" w:hAnsi="Times New Roman" w:cs="Times New Roman"/>
          <w:sz w:val="56"/>
          <w:szCs w:val="56"/>
        </w:rPr>
      </w:pPr>
      <w:r w:rsidRPr="000D0E68">
        <w:rPr>
          <w:rFonts w:ascii="Times New Roman" w:hAnsi="Times New Roman" w:cs="Times New Roman"/>
          <w:sz w:val="56"/>
          <w:szCs w:val="56"/>
        </w:rPr>
        <w:t>Accounting Fundamentals (LCBB4001)</w:t>
      </w:r>
    </w:p>
    <w:p w14:paraId="2C3C0333" w14:textId="77777777" w:rsidR="00D07D29" w:rsidRDefault="00D07D29" w:rsidP="005470D1">
      <w:pPr>
        <w:spacing w:line="360" w:lineRule="auto"/>
        <w:ind w:left="720" w:hanging="360"/>
        <w:jc w:val="both"/>
        <w:rPr>
          <w:rFonts w:ascii="Times New Roman" w:hAnsi="Times New Roman" w:cs="Times New Roman"/>
          <w:sz w:val="24"/>
          <w:szCs w:val="24"/>
        </w:rPr>
      </w:pPr>
    </w:p>
    <w:p w14:paraId="3E06FD54" w14:textId="77777777" w:rsidR="00D07D29" w:rsidRDefault="00D07D29" w:rsidP="005470D1">
      <w:pPr>
        <w:spacing w:line="360" w:lineRule="auto"/>
        <w:ind w:left="720" w:hanging="360"/>
        <w:jc w:val="both"/>
        <w:rPr>
          <w:rFonts w:ascii="Times New Roman" w:hAnsi="Times New Roman" w:cs="Times New Roman"/>
          <w:sz w:val="24"/>
          <w:szCs w:val="24"/>
        </w:rPr>
      </w:pPr>
    </w:p>
    <w:p w14:paraId="56F3641D" w14:textId="77777777" w:rsidR="00D07D29" w:rsidRDefault="00D07D29" w:rsidP="005470D1">
      <w:pPr>
        <w:spacing w:line="360" w:lineRule="auto"/>
        <w:ind w:left="720" w:hanging="360"/>
        <w:jc w:val="both"/>
        <w:rPr>
          <w:rFonts w:ascii="Times New Roman" w:hAnsi="Times New Roman" w:cs="Times New Roman"/>
          <w:sz w:val="24"/>
          <w:szCs w:val="24"/>
        </w:rPr>
      </w:pPr>
    </w:p>
    <w:p w14:paraId="0F242904" w14:textId="77777777" w:rsidR="00D07D29" w:rsidRDefault="00D07D29" w:rsidP="005470D1">
      <w:pPr>
        <w:spacing w:line="360" w:lineRule="auto"/>
        <w:ind w:left="720" w:hanging="360"/>
        <w:jc w:val="both"/>
        <w:rPr>
          <w:rFonts w:ascii="Times New Roman" w:hAnsi="Times New Roman" w:cs="Times New Roman"/>
          <w:sz w:val="24"/>
          <w:szCs w:val="24"/>
        </w:rPr>
      </w:pPr>
    </w:p>
    <w:p w14:paraId="433A2968" w14:textId="77777777" w:rsidR="000D0E68" w:rsidRDefault="000D0E68" w:rsidP="000D0E68">
      <w:pPr>
        <w:pStyle w:val="paragraph"/>
        <w:spacing w:before="0" w:beforeAutospacing="0" w:after="0" w:afterAutospacing="0"/>
        <w:ind w:firstLine="720"/>
        <w:jc w:val="center"/>
        <w:textAlignment w:val="baseline"/>
        <w:rPr>
          <w:rStyle w:val="normaltextrun"/>
          <w:b/>
          <w:bCs/>
          <w:sz w:val="32"/>
          <w:szCs w:val="32"/>
        </w:rPr>
      </w:pPr>
    </w:p>
    <w:p w14:paraId="29534A48" w14:textId="77777777" w:rsidR="000D0E68" w:rsidRPr="00173697" w:rsidRDefault="000D0E68" w:rsidP="000D0E68">
      <w:pPr>
        <w:spacing w:line="360" w:lineRule="auto"/>
        <w:jc w:val="center"/>
        <w:rPr>
          <w:rFonts w:ascii="Times New Roman" w:hAnsi="Times New Roman" w:cs="Times New Roman"/>
          <w:b/>
          <w:bCs/>
          <w:sz w:val="24"/>
          <w:szCs w:val="24"/>
        </w:rPr>
      </w:pPr>
      <w:r w:rsidRPr="00173697">
        <w:rPr>
          <w:rFonts w:ascii="Times New Roman" w:hAnsi="Times New Roman" w:cs="Times New Roman"/>
          <w:b/>
          <w:bCs/>
          <w:sz w:val="24"/>
          <w:szCs w:val="24"/>
        </w:rPr>
        <w:t xml:space="preserve">Student name: </w:t>
      </w:r>
      <w:proofErr w:type="spellStart"/>
      <w:r w:rsidRPr="00173697">
        <w:rPr>
          <w:rFonts w:ascii="Times New Roman" w:hAnsi="Times New Roman" w:cs="Times New Roman"/>
          <w:b/>
          <w:bCs/>
          <w:sz w:val="24"/>
          <w:szCs w:val="24"/>
        </w:rPr>
        <w:t>Vasile</w:t>
      </w:r>
      <w:proofErr w:type="spellEnd"/>
      <w:r w:rsidRPr="00173697">
        <w:rPr>
          <w:rFonts w:ascii="Times New Roman" w:hAnsi="Times New Roman" w:cs="Times New Roman"/>
          <w:b/>
          <w:bCs/>
          <w:sz w:val="24"/>
          <w:szCs w:val="24"/>
        </w:rPr>
        <w:t xml:space="preserve"> </w:t>
      </w:r>
      <w:proofErr w:type="spellStart"/>
      <w:r w:rsidRPr="00173697">
        <w:rPr>
          <w:rFonts w:ascii="Times New Roman" w:hAnsi="Times New Roman" w:cs="Times New Roman"/>
          <w:b/>
          <w:bCs/>
          <w:sz w:val="24"/>
          <w:szCs w:val="24"/>
        </w:rPr>
        <w:t>Brates</w:t>
      </w:r>
      <w:proofErr w:type="spellEnd"/>
    </w:p>
    <w:p w14:paraId="7B557B47" w14:textId="77777777" w:rsidR="000D0E68" w:rsidRPr="00173697" w:rsidRDefault="000D0E68" w:rsidP="000D0E68">
      <w:pPr>
        <w:spacing w:line="360" w:lineRule="auto"/>
        <w:jc w:val="center"/>
        <w:rPr>
          <w:rFonts w:ascii="Times New Roman" w:hAnsi="Times New Roman" w:cs="Times New Roman"/>
          <w:b/>
          <w:bCs/>
          <w:sz w:val="24"/>
          <w:szCs w:val="24"/>
        </w:rPr>
      </w:pPr>
      <w:r w:rsidRPr="00173697">
        <w:rPr>
          <w:rFonts w:ascii="Times New Roman" w:hAnsi="Times New Roman" w:cs="Times New Roman"/>
          <w:b/>
          <w:bCs/>
          <w:sz w:val="24"/>
          <w:szCs w:val="24"/>
        </w:rPr>
        <w:t>ID: 2122719</w:t>
      </w:r>
    </w:p>
    <w:p w14:paraId="19674BCE" w14:textId="72F5678E" w:rsidR="000D0E68" w:rsidRPr="00173697" w:rsidRDefault="000D0E68" w:rsidP="000D0E68">
      <w:pPr>
        <w:spacing w:line="360" w:lineRule="auto"/>
        <w:jc w:val="center"/>
        <w:rPr>
          <w:rFonts w:ascii="Times New Roman" w:hAnsi="Times New Roman" w:cs="Times New Roman"/>
          <w:b/>
          <w:bCs/>
          <w:sz w:val="24"/>
          <w:szCs w:val="24"/>
        </w:rPr>
      </w:pPr>
      <w:r w:rsidRPr="00173697">
        <w:rPr>
          <w:rFonts w:ascii="Times New Roman" w:hAnsi="Times New Roman" w:cs="Times New Roman"/>
          <w:b/>
          <w:bCs/>
          <w:sz w:val="24"/>
          <w:szCs w:val="24"/>
        </w:rPr>
        <w:t xml:space="preserve">Date: </w:t>
      </w:r>
      <w:r>
        <w:rPr>
          <w:rFonts w:ascii="Times New Roman" w:hAnsi="Times New Roman" w:cs="Times New Roman"/>
          <w:b/>
          <w:bCs/>
          <w:sz w:val="24"/>
          <w:szCs w:val="24"/>
        </w:rPr>
        <w:t>13.01.2023</w:t>
      </w:r>
    </w:p>
    <w:p w14:paraId="17073157" w14:textId="3B89095A" w:rsidR="00D07D29" w:rsidRDefault="00D07D29" w:rsidP="005470D1">
      <w:pPr>
        <w:spacing w:line="360" w:lineRule="auto"/>
        <w:ind w:left="720" w:hanging="360"/>
        <w:jc w:val="both"/>
        <w:rPr>
          <w:rFonts w:ascii="Times New Roman" w:hAnsi="Times New Roman" w:cs="Times New Roman"/>
          <w:sz w:val="24"/>
          <w:szCs w:val="24"/>
        </w:rPr>
      </w:pPr>
    </w:p>
    <w:p w14:paraId="1338A880" w14:textId="7FA4F210" w:rsidR="000D0E68" w:rsidRDefault="000D0E68" w:rsidP="005470D1">
      <w:pPr>
        <w:spacing w:line="360" w:lineRule="auto"/>
        <w:ind w:left="720" w:hanging="360"/>
        <w:jc w:val="both"/>
        <w:rPr>
          <w:rFonts w:ascii="Times New Roman" w:hAnsi="Times New Roman" w:cs="Times New Roman"/>
          <w:sz w:val="24"/>
          <w:szCs w:val="24"/>
        </w:rPr>
      </w:pPr>
    </w:p>
    <w:p w14:paraId="75E75F86" w14:textId="48488081" w:rsidR="000D0E68" w:rsidRDefault="000D0E68" w:rsidP="005470D1">
      <w:pPr>
        <w:spacing w:line="360" w:lineRule="auto"/>
        <w:ind w:left="720" w:hanging="360"/>
        <w:jc w:val="both"/>
        <w:rPr>
          <w:rFonts w:ascii="Times New Roman" w:hAnsi="Times New Roman" w:cs="Times New Roman"/>
          <w:sz w:val="24"/>
          <w:szCs w:val="24"/>
        </w:rPr>
      </w:pPr>
    </w:p>
    <w:p w14:paraId="2076B333" w14:textId="77777777" w:rsidR="000D0E68" w:rsidRDefault="000D0E68" w:rsidP="005470D1">
      <w:pPr>
        <w:spacing w:line="360" w:lineRule="auto"/>
        <w:ind w:left="720" w:hanging="360"/>
        <w:jc w:val="both"/>
        <w:rPr>
          <w:rFonts w:ascii="Times New Roman" w:hAnsi="Times New Roman" w:cs="Times New Roman"/>
          <w:sz w:val="24"/>
          <w:szCs w:val="24"/>
        </w:rPr>
      </w:pPr>
    </w:p>
    <w:p w14:paraId="39978A4D" w14:textId="77777777" w:rsidR="00D07D29" w:rsidRDefault="00D07D29" w:rsidP="005470D1">
      <w:pPr>
        <w:spacing w:line="360" w:lineRule="auto"/>
        <w:ind w:left="720" w:hanging="360"/>
        <w:jc w:val="both"/>
        <w:rPr>
          <w:rFonts w:ascii="Times New Roman" w:hAnsi="Times New Roman" w:cs="Times New Roman"/>
          <w:sz w:val="24"/>
          <w:szCs w:val="24"/>
        </w:rPr>
      </w:pPr>
    </w:p>
    <w:p w14:paraId="1DDFAD89" w14:textId="77777777" w:rsidR="00D07D29" w:rsidRDefault="00D07D29" w:rsidP="005470D1">
      <w:pPr>
        <w:spacing w:line="360" w:lineRule="auto"/>
        <w:ind w:left="720" w:hanging="360"/>
        <w:jc w:val="both"/>
        <w:rPr>
          <w:rFonts w:ascii="Times New Roman" w:hAnsi="Times New Roman" w:cs="Times New Roman"/>
          <w:sz w:val="24"/>
          <w:szCs w:val="24"/>
        </w:rPr>
      </w:pPr>
    </w:p>
    <w:p w14:paraId="0F2B8799" w14:textId="77777777" w:rsidR="00D07D29" w:rsidRDefault="00D07D29" w:rsidP="005470D1">
      <w:pPr>
        <w:spacing w:line="360" w:lineRule="auto"/>
        <w:ind w:left="720" w:hanging="360"/>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235665535"/>
        <w:docPartObj>
          <w:docPartGallery w:val="Table of Contents"/>
          <w:docPartUnique/>
        </w:docPartObj>
      </w:sdtPr>
      <w:sdtEndPr>
        <w:rPr>
          <w:b/>
          <w:bCs/>
          <w:noProof/>
        </w:rPr>
      </w:sdtEndPr>
      <w:sdtContent>
        <w:p w14:paraId="0DEABA21" w14:textId="524B8CDA" w:rsidR="000A0E66" w:rsidRDefault="000A0E66" w:rsidP="005470D1">
          <w:pPr>
            <w:pStyle w:val="TOCHeading"/>
            <w:spacing w:line="360" w:lineRule="auto"/>
            <w:jc w:val="both"/>
          </w:pPr>
          <w:r>
            <w:t>Contents</w:t>
          </w:r>
        </w:p>
        <w:p w14:paraId="37A71EF9" w14:textId="26CB6DA5" w:rsidR="001100BE" w:rsidRDefault="000A0E66" w:rsidP="005470D1">
          <w:pPr>
            <w:pStyle w:val="TOC1"/>
            <w:tabs>
              <w:tab w:val="right" w:leader="dot" w:pos="9350"/>
            </w:tabs>
            <w:spacing w:line="360" w:lineRule="auto"/>
            <w:jc w:val="both"/>
            <w:rPr>
              <w:rFonts w:eastAsiaTheme="minorEastAsia"/>
              <w:noProof/>
              <w:lang w:val="en-US"/>
            </w:rPr>
          </w:pPr>
          <w:r>
            <w:fldChar w:fldCharType="begin"/>
          </w:r>
          <w:r>
            <w:instrText xml:space="preserve"> TOC \o "1-3" \h \z \u </w:instrText>
          </w:r>
          <w:r>
            <w:fldChar w:fldCharType="separate"/>
          </w:r>
          <w:hyperlink w:anchor="_Toc118575974" w:history="1">
            <w:r w:rsidR="001100BE" w:rsidRPr="0079590F">
              <w:rPr>
                <w:rStyle w:val="Hyperlink"/>
                <w:b/>
                <w:bCs/>
                <w:noProof/>
              </w:rPr>
              <w:t>Introduction</w:t>
            </w:r>
            <w:r w:rsidR="001100BE">
              <w:rPr>
                <w:noProof/>
                <w:webHidden/>
              </w:rPr>
              <w:tab/>
            </w:r>
            <w:r w:rsidR="001100BE">
              <w:rPr>
                <w:noProof/>
                <w:webHidden/>
              </w:rPr>
              <w:fldChar w:fldCharType="begin"/>
            </w:r>
            <w:r w:rsidR="001100BE">
              <w:rPr>
                <w:noProof/>
                <w:webHidden/>
              </w:rPr>
              <w:instrText xml:space="preserve"> PAGEREF _Toc118575974 \h </w:instrText>
            </w:r>
            <w:r w:rsidR="001100BE">
              <w:rPr>
                <w:noProof/>
                <w:webHidden/>
              </w:rPr>
            </w:r>
            <w:r w:rsidR="001100BE">
              <w:rPr>
                <w:noProof/>
                <w:webHidden/>
              </w:rPr>
              <w:fldChar w:fldCharType="separate"/>
            </w:r>
            <w:r w:rsidR="000D0E68">
              <w:rPr>
                <w:noProof/>
                <w:webHidden/>
              </w:rPr>
              <w:t>3</w:t>
            </w:r>
            <w:r w:rsidR="001100BE">
              <w:rPr>
                <w:noProof/>
                <w:webHidden/>
              </w:rPr>
              <w:fldChar w:fldCharType="end"/>
            </w:r>
          </w:hyperlink>
        </w:p>
        <w:p w14:paraId="215BFF37" w14:textId="7FB5D5CA" w:rsidR="001100BE" w:rsidRDefault="00000000" w:rsidP="005470D1">
          <w:pPr>
            <w:pStyle w:val="TOC1"/>
            <w:tabs>
              <w:tab w:val="right" w:leader="dot" w:pos="9350"/>
            </w:tabs>
            <w:spacing w:line="360" w:lineRule="auto"/>
            <w:jc w:val="both"/>
            <w:rPr>
              <w:rFonts w:eastAsiaTheme="minorEastAsia"/>
              <w:noProof/>
              <w:lang w:val="en-US"/>
            </w:rPr>
          </w:pPr>
          <w:hyperlink w:anchor="_Toc118575975" w:history="1">
            <w:r w:rsidR="001100BE" w:rsidRPr="0079590F">
              <w:rPr>
                <w:rStyle w:val="Hyperlink"/>
                <w:b/>
                <w:bCs/>
                <w:noProof/>
              </w:rPr>
              <w:t>Question-01</w:t>
            </w:r>
            <w:r w:rsidR="001100BE">
              <w:rPr>
                <w:noProof/>
                <w:webHidden/>
              </w:rPr>
              <w:tab/>
            </w:r>
            <w:r w:rsidR="001100BE">
              <w:rPr>
                <w:noProof/>
                <w:webHidden/>
              </w:rPr>
              <w:fldChar w:fldCharType="begin"/>
            </w:r>
            <w:r w:rsidR="001100BE">
              <w:rPr>
                <w:noProof/>
                <w:webHidden/>
              </w:rPr>
              <w:instrText xml:space="preserve"> PAGEREF _Toc118575975 \h </w:instrText>
            </w:r>
            <w:r w:rsidR="001100BE">
              <w:rPr>
                <w:noProof/>
                <w:webHidden/>
              </w:rPr>
            </w:r>
            <w:r w:rsidR="001100BE">
              <w:rPr>
                <w:noProof/>
                <w:webHidden/>
              </w:rPr>
              <w:fldChar w:fldCharType="separate"/>
            </w:r>
            <w:r w:rsidR="000D0E68">
              <w:rPr>
                <w:noProof/>
                <w:webHidden/>
              </w:rPr>
              <w:t>4</w:t>
            </w:r>
            <w:r w:rsidR="001100BE">
              <w:rPr>
                <w:noProof/>
                <w:webHidden/>
              </w:rPr>
              <w:fldChar w:fldCharType="end"/>
            </w:r>
          </w:hyperlink>
        </w:p>
        <w:p w14:paraId="615AA2C4" w14:textId="51BD613D" w:rsidR="001100BE" w:rsidRDefault="00000000" w:rsidP="005470D1">
          <w:pPr>
            <w:pStyle w:val="TOC2"/>
            <w:tabs>
              <w:tab w:val="right" w:leader="dot" w:pos="9350"/>
            </w:tabs>
            <w:spacing w:line="360" w:lineRule="auto"/>
            <w:jc w:val="both"/>
            <w:rPr>
              <w:rFonts w:eastAsiaTheme="minorEastAsia"/>
              <w:noProof/>
              <w:lang w:val="en-US"/>
            </w:rPr>
          </w:pPr>
          <w:hyperlink w:anchor="_Toc118575976" w:history="1">
            <w:r w:rsidR="001100BE" w:rsidRPr="0079590F">
              <w:rPr>
                <w:rStyle w:val="Hyperlink"/>
                <w:b/>
                <w:bCs/>
                <w:noProof/>
              </w:rPr>
              <w:t>Task-A</w:t>
            </w:r>
            <w:r w:rsidR="001100BE">
              <w:rPr>
                <w:noProof/>
                <w:webHidden/>
              </w:rPr>
              <w:tab/>
            </w:r>
            <w:r w:rsidR="001100BE">
              <w:rPr>
                <w:noProof/>
                <w:webHidden/>
              </w:rPr>
              <w:fldChar w:fldCharType="begin"/>
            </w:r>
            <w:r w:rsidR="001100BE">
              <w:rPr>
                <w:noProof/>
                <w:webHidden/>
              </w:rPr>
              <w:instrText xml:space="preserve"> PAGEREF _Toc118575976 \h </w:instrText>
            </w:r>
            <w:r w:rsidR="001100BE">
              <w:rPr>
                <w:noProof/>
                <w:webHidden/>
              </w:rPr>
            </w:r>
            <w:r w:rsidR="001100BE">
              <w:rPr>
                <w:noProof/>
                <w:webHidden/>
              </w:rPr>
              <w:fldChar w:fldCharType="separate"/>
            </w:r>
            <w:r w:rsidR="000D0E68">
              <w:rPr>
                <w:noProof/>
                <w:webHidden/>
              </w:rPr>
              <w:t>4</w:t>
            </w:r>
            <w:r w:rsidR="001100BE">
              <w:rPr>
                <w:noProof/>
                <w:webHidden/>
              </w:rPr>
              <w:fldChar w:fldCharType="end"/>
            </w:r>
          </w:hyperlink>
        </w:p>
        <w:p w14:paraId="6D232579" w14:textId="17001327" w:rsidR="001100BE" w:rsidRDefault="00000000" w:rsidP="005470D1">
          <w:pPr>
            <w:pStyle w:val="TOC2"/>
            <w:tabs>
              <w:tab w:val="right" w:leader="dot" w:pos="9350"/>
            </w:tabs>
            <w:spacing w:line="360" w:lineRule="auto"/>
            <w:jc w:val="both"/>
            <w:rPr>
              <w:rFonts w:eastAsiaTheme="minorEastAsia"/>
              <w:noProof/>
              <w:lang w:val="en-US"/>
            </w:rPr>
          </w:pPr>
          <w:hyperlink w:anchor="_Toc118575977" w:history="1">
            <w:r w:rsidR="001100BE" w:rsidRPr="0079590F">
              <w:rPr>
                <w:rStyle w:val="Hyperlink"/>
                <w:b/>
                <w:bCs/>
                <w:noProof/>
              </w:rPr>
              <w:t>Task- B</w:t>
            </w:r>
            <w:r w:rsidR="001100BE">
              <w:rPr>
                <w:noProof/>
                <w:webHidden/>
              </w:rPr>
              <w:tab/>
            </w:r>
            <w:r w:rsidR="001100BE">
              <w:rPr>
                <w:noProof/>
                <w:webHidden/>
              </w:rPr>
              <w:fldChar w:fldCharType="begin"/>
            </w:r>
            <w:r w:rsidR="001100BE">
              <w:rPr>
                <w:noProof/>
                <w:webHidden/>
              </w:rPr>
              <w:instrText xml:space="preserve"> PAGEREF _Toc118575977 \h </w:instrText>
            </w:r>
            <w:r w:rsidR="001100BE">
              <w:rPr>
                <w:noProof/>
                <w:webHidden/>
              </w:rPr>
            </w:r>
            <w:r w:rsidR="001100BE">
              <w:rPr>
                <w:noProof/>
                <w:webHidden/>
              </w:rPr>
              <w:fldChar w:fldCharType="separate"/>
            </w:r>
            <w:r w:rsidR="000D0E68">
              <w:rPr>
                <w:noProof/>
                <w:webHidden/>
              </w:rPr>
              <w:t>6</w:t>
            </w:r>
            <w:r w:rsidR="001100BE">
              <w:rPr>
                <w:noProof/>
                <w:webHidden/>
              </w:rPr>
              <w:fldChar w:fldCharType="end"/>
            </w:r>
          </w:hyperlink>
        </w:p>
        <w:p w14:paraId="78617EDA" w14:textId="7C9CA9F8" w:rsidR="001100BE" w:rsidRDefault="00000000" w:rsidP="005470D1">
          <w:pPr>
            <w:pStyle w:val="TOC1"/>
            <w:tabs>
              <w:tab w:val="right" w:leader="dot" w:pos="9350"/>
            </w:tabs>
            <w:spacing w:line="360" w:lineRule="auto"/>
            <w:jc w:val="both"/>
            <w:rPr>
              <w:rFonts w:eastAsiaTheme="minorEastAsia"/>
              <w:noProof/>
              <w:lang w:val="en-US"/>
            </w:rPr>
          </w:pPr>
          <w:hyperlink w:anchor="_Toc118575978" w:history="1">
            <w:r w:rsidR="001100BE" w:rsidRPr="0079590F">
              <w:rPr>
                <w:rStyle w:val="Hyperlink"/>
                <w:b/>
                <w:bCs/>
                <w:noProof/>
              </w:rPr>
              <w:t>Question 02</w:t>
            </w:r>
            <w:r w:rsidR="001100BE">
              <w:rPr>
                <w:noProof/>
                <w:webHidden/>
              </w:rPr>
              <w:tab/>
            </w:r>
            <w:r w:rsidR="001100BE">
              <w:rPr>
                <w:noProof/>
                <w:webHidden/>
              </w:rPr>
              <w:fldChar w:fldCharType="begin"/>
            </w:r>
            <w:r w:rsidR="001100BE">
              <w:rPr>
                <w:noProof/>
                <w:webHidden/>
              </w:rPr>
              <w:instrText xml:space="preserve"> PAGEREF _Toc118575978 \h </w:instrText>
            </w:r>
            <w:r w:rsidR="001100BE">
              <w:rPr>
                <w:noProof/>
                <w:webHidden/>
              </w:rPr>
            </w:r>
            <w:r w:rsidR="001100BE">
              <w:rPr>
                <w:noProof/>
                <w:webHidden/>
              </w:rPr>
              <w:fldChar w:fldCharType="separate"/>
            </w:r>
            <w:r w:rsidR="000D0E68">
              <w:rPr>
                <w:noProof/>
                <w:webHidden/>
              </w:rPr>
              <w:t>8</w:t>
            </w:r>
            <w:r w:rsidR="001100BE">
              <w:rPr>
                <w:noProof/>
                <w:webHidden/>
              </w:rPr>
              <w:fldChar w:fldCharType="end"/>
            </w:r>
          </w:hyperlink>
        </w:p>
        <w:p w14:paraId="4F4C609D" w14:textId="072A9327" w:rsidR="001100BE" w:rsidRDefault="00000000" w:rsidP="005470D1">
          <w:pPr>
            <w:pStyle w:val="TOC2"/>
            <w:tabs>
              <w:tab w:val="right" w:leader="dot" w:pos="9350"/>
            </w:tabs>
            <w:spacing w:line="360" w:lineRule="auto"/>
            <w:jc w:val="both"/>
            <w:rPr>
              <w:rFonts w:eastAsiaTheme="minorEastAsia"/>
              <w:noProof/>
              <w:lang w:val="en-US"/>
            </w:rPr>
          </w:pPr>
          <w:hyperlink w:anchor="_Toc118575979" w:history="1">
            <w:r w:rsidR="001100BE" w:rsidRPr="0079590F">
              <w:rPr>
                <w:rStyle w:val="Hyperlink"/>
                <w:b/>
                <w:bCs/>
                <w:noProof/>
              </w:rPr>
              <w:t>Task- A</w:t>
            </w:r>
            <w:r w:rsidR="001100BE">
              <w:rPr>
                <w:noProof/>
                <w:webHidden/>
              </w:rPr>
              <w:tab/>
            </w:r>
            <w:r w:rsidR="001100BE">
              <w:rPr>
                <w:noProof/>
                <w:webHidden/>
              </w:rPr>
              <w:fldChar w:fldCharType="begin"/>
            </w:r>
            <w:r w:rsidR="001100BE">
              <w:rPr>
                <w:noProof/>
                <w:webHidden/>
              </w:rPr>
              <w:instrText xml:space="preserve"> PAGEREF _Toc118575979 \h </w:instrText>
            </w:r>
            <w:r w:rsidR="001100BE">
              <w:rPr>
                <w:noProof/>
                <w:webHidden/>
              </w:rPr>
            </w:r>
            <w:r w:rsidR="001100BE">
              <w:rPr>
                <w:noProof/>
                <w:webHidden/>
              </w:rPr>
              <w:fldChar w:fldCharType="separate"/>
            </w:r>
            <w:r w:rsidR="000D0E68">
              <w:rPr>
                <w:noProof/>
                <w:webHidden/>
              </w:rPr>
              <w:t>8</w:t>
            </w:r>
            <w:r w:rsidR="001100BE">
              <w:rPr>
                <w:noProof/>
                <w:webHidden/>
              </w:rPr>
              <w:fldChar w:fldCharType="end"/>
            </w:r>
          </w:hyperlink>
        </w:p>
        <w:p w14:paraId="402344C5" w14:textId="6AE6333A" w:rsidR="001100BE" w:rsidRDefault="00000000" w:rsidP="005470D1">
          <w:pPr>
            <w:pStyle w:val="TOC2"/>
            <w:tabs>
              <w:tab w:val="right" w:leader="dot" w:pos="9350"/>
            </w:tabs>
            <w:spacing w:line="360" w:lineRule="auto"/>
            <w:jc w:val="both"/>
            <w:rPr>
              <w:rFonts w:eastAsiaTheme="minorEastAsia"/>
              <w:noProof/>
              <w:lang w:val="en-US"/>
            </w:rPr>
          </w:pPr>
          <w:hyperlink w:anchor="_Toc118575980" w:history="1">
            <w:r w:rsidR="001100BE" w:rsidRPr="0079590F">
              <w:rPr>
                <w:rStyle w:val="Hyperlink"/>
                <w:b/>
                <w:bCs/>
                <w:noProof/>
              </w:rPr>
              <w:t>Task-B</w:t>
            </w:r>
            <w:r w:rsidR="001100BE">
              <w:rPr>
                <w:noProof/>
                <w:webHidden/>
              </w:rPr>
              <w:tab/>
            </w:r>
            <w:r w:rsidR="001100BE">
              <w:rPr>
                <w:noProof/>
                <w:webHidden/>
              </w:rPr>
              <w:fldChar w:fldCharType="begin"/>
            </w:r>
            <w:r w:rsidR="001100BE">
              <w:rPr>
                <w:noProof/>
                <w:webHidden/>
              </w:rPr>
              <w:instrText xml:space="preserve"> PAGEREF _Toc118575980 \h </w:instrText>
            </w:r>
            <w:r w:rsidR="001100BE">
              <w:rPr>
                <w:noProof/>
                <w:webHidden/>
              </w:rPr>
            </w:r>
            <w:r w:rsidR="001100BE">
              <w:rPr>
                <w:noProof/>
                <w:webHidden/>
              </w:rPr>
              <w:fldChar w:fldCharType="separate"/>
            </w:r>
            <w:r w:rsidR="000D0E68">
              <w:rPr>
                <w:noProof/>
                <w:webHidden/>
              </w:rPr>
              <w:t>18</w:t>
            </w:r>
            <w:r w:rsidR="001100BE">
              <w:rPr>
                <w:noProof/>
                <w:webHidden/>
              </w:rPr>
              <w:fldChar w:fldCharType="end"/>
            </w:r>
          </w:hyperlink>
        </w:p>
        <w:p w14:paraId="24121C53" w14:textId="17452264" w:rsidR="001100BE" w:rsidRDefault="00000000" w:rsidP="005470D1">
          <w:pPr>
            <w:pStyle w:val="TOC1"/>
            <w:tabs>
              <w:tab w:val="right" w:leader="dot" w:pos="9350"/>
            </w:tabs>
            <w:spacing w:line="360" w:lineRule="auto"/>
            <w:jc w:val="both"/>
            <w:rPr>
              <w:rFonts w:eastAsiaTheme="minorEastAsia"/>
              <w:noProof/>
              <w:lang w:val="en-US"/>
            </w:rPr>
          </w:pPr>
          <w:hyperlink w:anchor="_Toc118575981" w:history="1">
            <w:r w:rsidR="001100BE" w:rsidRPr="0079590F">
              <w:rPr>
                <w:rStyle w:val="Hyperlink"/>
                <w:b/>
                <w:bCs/>
                <w:noProof/>
              </w:rPr>
              <w:t>Conclusion</w:t>
            </w:r>
            <w:r w:rsidR="001100BE">
              <w:rPr>
                <w:noProof/>
                <w:webHidden/>
              </w:rPr>
              <w:tab/>
            </w:r>
            <w:r w:rsidR="001100BE">
              <w:rPr>
                <w:noProof/>
                <w:webHidden/>
              </w:rPr>
              <w:fldChar w:fldCharType="begin"/>
            </w:r>
            <w:r w:rsidR="001100BE">
              <w:rPr>
                <w:noProof/>
                <w:webHidden/>
              </w:rPr>
              <w:instrText xml:space="preserve"> PAGEREF _Toc118575981 \h </w:instrText>
            </w:r>
            <w:r w:rsidR="001100BE">
              <w:rPr>
                <w:noProof/>
                <w:webHidden/>
              </w:rPr>
            </w:r>
            <w:r w:rsidR="001100BE">
              <w:rPr>
                <w:noProof/>
                <w:webHidden/>
              </w:rPr>
              <w:fldChar w:fldCharType="separate"/>
            </w:r>
            <w:r w:rsidR="000D0E68">
              <w:rPr>
                <w:noProof/>
                <w:webHidden/>
              </w:rPr>
              <w:t>26</w:t>
            </w:r>
            <w:r w:rsidR="001100BE">
              <w:rPr>
                <w:noProof/>
                <w:webHidden/>
              </w:rPr>
              <w:fldChar w:fldCharType="end"/>
            </w:r>
          </w:hyperlink>
        </w:p>
        <w:p w14:paraId="00F344E1" w14:textId="65D55F10" w:rsidR="000A0E66" w:rsidRDefault="000A0E66" w:rsidP="005470D1">
          <w:pPr>
            <w:spacing w:line="360" w:lineRule="auto"/>
            <w:jc w:val="both"/>
          </w:pPr>
          <w:r>
            <w:rPr>
              <w:b/>
              <w:bCs/>
              <w:noProof/>
            </w:rPr>
            <w:fldChar w:fldCharType="end"/>
          </w:r>
        </w:p>
      </w:sdtContent>
    </w:sdt>
    <w:p w14:paraId="04DE5736" w14:textId="77777777" w:rsidR="00D07D29" w:rsidRDefault="00D07D29" w:rsidP="005470D1">
      <w:pPr>
        <w:spacing w:line="360" w:lineRule="auto"/>
        <w:ind w:left="720" w:hanging="360"/>
        <w:jc w:val="both"/>
        <w:rPr>
          <w:rFonts w:ascii="Times New Roman" w:hAnsi="Times New Roman" w:cs="Times New Roman"/>
          <w:sz w:val="24"/>
          <w:szCs w:val="24"/>
        </w:rPr>
      </w:pPr>
    </w:p>
    <w:p w14:paraId="6BA9E013" w14:textId="77777777" w:rsidR="00D07D29" w:rsidRDefault="00D07D29" w:rsidP="005470D1">
      <w:pPr>
        <w:spacing w:line="360" w:lineRule="auto"/>
        <w:ind w:left="720" w:hanging="360"/>
        <w:jc w:val="both"/>
        <w:rPr>
          <w:rFonts w:ascii="Times New Roman" w:hAnsi="Times New Roman" w:cs="Times New Roman"/>
          <w:sz w:val="24"/>
          <w:szCs w:val="24"/>
        </w:rPr>
      </w:pPr>
    </w:p>
    <w:p w14:paraId="5B98E043" w14:textId="77777777" w:rsidR="00D07D29" w:rsidRDefault="00D07D29" w:rsidP="005470D1">
      <w:pPr>
        <w:spacing w:line="360" w:lineRule="auto"/>
        <w:ind w:left="720" w:hanging="360"/>
        <w:jc w:val="both"/>
        <w:rPr>
          <w:rFonts w:ascii="Times New Roman" w:hAnsi="Times New Roman" w:cs="Times New Roman"/>
          <w:sz w:val="24"/>
          <w:szCs w:val="24"/>
        </w:rPr>
      </w:pPr>
    </w:p>
    <w:p w14:paraId="43DA8565" w14:textId="77777777" w:rsidR="00D07D29" w:rsidRDefault="00D07D29" w:rsidP="005470D1">
      <w:pPr>
        <w:spacing w:line="360" w:lineRule="auto"/>
        <w:ind w:left="720" w:hanging="360"/>
        <w:jc w:val="both"/>
        <w:rPr>
          <w:rFonts w:ascii="Times New Roman" w:hAnsi="Times New Roman" w:cs="Times New Roman"/>
          <w:sz w:val="24"/>
          <w:szCs w:val="24"/>
        </w:rPr>
      </w:pPr>
    </w:p>
    <w:p w14:paraId="72FE1A7D" w14:textId="77777777" w:rsidR="00D07D29" w:rsidRDefault="00D07D29" w:rsidP="005470D1">
      <w:pPr>
        <w:spacing w:line="360" w:lineRule="auto"/>
        <w:ind w:left="720" w:hanging="360"/>
        <w:jc w:val="both"/>
        <w:rPr>
          <w:rFonts w:ascii="Times New Roman" w:hAnsi="Times New Roman" w:cs="Times New Roman"/>
          <w:sz w:val="24"/>
          <w:szCs w:val="24"/>
        </w:rPr>
      </w:pPr>
    </w:p>
    <w:p w14:paraId="708F9AE8" w14:textId="77777777" w:rsidR="00D07D29" w:rsidRDefault="00D07D29" w:rsidP="005470D1">
      <w:pPr>
        <w:spacing w:line="360" w:lineRule="auto"/>
        <w:ind w:left="720" w:hanging="360"/>
        <w:jc w:val="both"/>
        <w:rPr>
          <w:rFonts w:ascii="Times New Roman" w:hAnsi="Times New Roman" w:cs="Times New Roman"/>
          <w:sz w:val="24"/>
          <w:szCs w:val="24"/>
        </w:rPr>
      </w:pPr>
    </w:p>
    <w:p w14:paraId="5A299114" w14:textId="77777777" w:rsidR="00D07D29" w:rsidRDefault="00D07D29" w:rsidP="005470D1">
      <w:pPr>
        <w:spacing w:line="360" w:lineRule="auto"/>
        <w:ind w:left="720" w:hanging="360"/>
        <w:jc w:val="both"/>
        <w:rPr>
          <w:rFonts w:ascii="Times New Roman" w:hAnsi="Times New Roman" w:cs="Times New Roman"/>
          <w:sz w:val="24"/>
          <w:szCs w:val="24"/>
        </w:rPr>
      </w:pPr>
    </w:p>
    <w:p w14:paraId="72C43678" w14:textId="77777777" w:rsidR="00D07D29" w:rsidRDefault="00D07D29" w:rsidP="005470D1">
      <w:pPr>
        <w:spacing w:line="360" w:lineRule="auto"/>
        <w:ind w:left="720" w:hanging="360"/>
        <w:jc w:val="both"/>
        <w:rPr>
          <w:rFonts w:ascii="Times New Roman" w:hAnsi="Times New Roman" w:cs="Times New Roman"/>
          <w:sz w:val="24"/>
          <w:szCs w:val="24"/>
        </w:rPr>
      </w:pPr>
    </w:p>
    <w:p w14:paraId="514A50E4" w14:textId="77777777" w:rsidR="00D07D29" w:rsidRDefault="00D07D29" w:rsidP="005470D1">
      <w:pPr>
        <w:spacing w:line="360" w:lineRule="auto"/>
        <w:ind w:left="720" w:hanging="360"/>
        <w:jc w:val="both"/>
        <w:rPr>
          <w:rFonts w:ascii="Times New Roman" w:hAnsi="Times New Roman" w:cs="Times New Roman"/>
          <w:sz w:val="24"/>
          <w:szCs w:val="24"/>
        </w:rPr>
      </w:pPr>
    </w:p>
    <w:p w14:paraId="58BF98D3" w14:textId="77777777" w:rsidR="00D07D29" w:rsidRDefault="00D07D29" w:rsidP="005470D1">
      <w:pPr>
        <w:spacing w:line="360" w:lineRule="auto"/>
        <w:ind w:left="720" w:hanging="360"/>
        <w:jc w:val="both"/>
        <w:rPr>
          <w:rFonts w:ascii="Times New Roman" w:hAnsi="Times New Roman" w:cs="Times New Roman"/>
          <w:sz w:val="24"/>
          <w:szCs w:val="24"/>
        </w:rPr>
      </w:pPr>
    </w:p>
    <w:p w14:paraId="1D50685D" w14:textId="77777777" w:rsidR="00D07D29" w:rsidRDefault="00D07D29" w:rsidP="005470D1">
      <w:pPr>
        <w:spacing w:line="360" w:lineRule="auto"/>
        <w:ind w:left="720" w:hanging="360"/>
        <w:jc w:val="both"/>
        <w:rPr>
          <w:rFonts w:ascii="Times New Roman" w:hAnsi="Times New Roman" w:cs="Times New Roman"/>
          <w:sz w:val="24"/>
          <w:szCs w:val="24"/>
        </w:rPr>
      </w:pPr>
    </w:p>
    <w:p w14:paraId="6147365B" w14:textId="77777777" w:rsidR="00D07D29" w:rsidRDefault="00D07D29" w:rsidP="005470D1">
      <w:pPr>
        <w:spacing w:line="360" w:lineRule="auto"/>
        <w:ind w:left="720" w:hanging="360"/>
        <w:jc w:val="both"/>
        <w:rPr>
          <w:rFonts w:ascii="Times New Roman" w:hAnsi="Times New Roman" w:cs="Times New Roman"/>
          <w:sz w:val="24"/>
          <w:szCs w:val="24"/>
        </w:rPr>
      </w:pPr>
    </w:p>
    <w:p w14:paraId="20AFF336" w14:textId="77777777" w:rsidR="00D07D29" w:rsidRDefault="00D07D29" w:rsidP="005470D1">
      <w:pPr>
        <w:spacing w:line="360" w:lineRule="auto"/>
        <w:ind w:left="720" w:hanging="360"/>
        <w:jc w:val="both"/>
        <w:rPr>
          <w:rFonts w:ascii="Times New Roman" w:hAnsi="Times New Roman" w:cs="Times New Roman"/>
          <w:sz w:val="24"/>
          <w:szCs w:val="24"/>
        </w:rPr>
      </w:pPr>
    </w:p>
    <w:p w14:paraId="672FDEA9" w14:textId="77777777" w:rsidR="00D07D29" w:rsidRDefault="00D07D29" w:rsidP="005470D1">
      <w:pPr>
        <w:spacing w:line="360" w:lineRule="auto"/>
        <w:ind w:left="720" w:hanging="360"/>
        <w:jc w:val="both"/>
        <w:rPr>
          <w:rFonts w:ascii="Times New Roman" w:hAnsi="Times New Roman" w:cs="Times New Roman"/>
          <w:sz w:val="24"/>
          <w:szCs w:val="24"/>
        </w:rPr>
      </w:pPr>
    </w:p>
    <w:p w14:paraId="2586F823" w14:textId="77777777" w:rsidR="00D07D29" w:rsidRDefault="00D07D29" w:rsidP="005470D1">
      <w:pPr>
        <w:spacing w:line="360" w:lineRule="auto"/>
        <w:ind w:left="720" w:hanging="360"/>
        <w:jc w:val="both"/>
        <w:rPr>
          <w:rFonts w:ascii="Times New Roman" w:hAnsi="Times New Roman" w:cs="Times New Roman"/>
          <w:sz w:val="24"/>
          <w:szCs w:val="24"/>
        </w:rPr>
      </w:pPr>
    </w:p>
    <w:p w14:paraId="60330C09" w14:textId="77777777" w:rsidR="00D07D29" w:rsidRDefault="00D07D29" w:rsidP="005470D1">
      <w:pPr>
        <w:spacing w:line="360" w:lineRule="auto"/>
        <w:jc w:val="both"/>
        <w:rPr>
          <w:rFonts w:ascii="Times New Roman" w:hAnsi="Times New Roman" w:cs="Times New Roman"/>
          <w:sz w:val="24"/>
          <w:szCs w:val="24"/>
        </w:rPr>
      </w:pPr>
    </w:p>
    <w:p w14:paraId="3A8A6B01" w14:textId="603CDBC5" w:rsidR="00D07D29" w:rsidRPr="004B72E1" w:rsidRDefault="00D07D29" w:rsidP="005470D1">
      <w:pPr>
        <w:pStyle w:val="Heading1"/>
        <w:spacing w:line="360" w:lineRule="auto"/>
        <w:jc w:val="both"/>
        <w:rPr>
          <w:b/>
          <w:bCs/>
        </w:rPr>
      </w:pPr>
      <w:bookmarkStart w:id="0" w:name="_Toc118575974"/>
      <w:r w:rsidRPr="004B72E1">
        <w:rPr>
          <w:b/>
          <w:bCs/>
        </w:rPr>
        <w:t>Introduction</w:t>
      </w:r>
      <w:bookmarkEnd w:id="0"/>
    </w:p>
    <w:p w14:paraId="19C805C9" w14:textId="0CD186BA" w:rsidR="00D07D29" w:rsidRDefault="004B72E1" w:rsidP="005470D1">
      <w:pPr>
        <w:spacing w:line="360" w:lineRule="auto"/>
        <w:jc w:val="both"/>
        <w:rPr>
          <w:rFonts w:ascii="Times New Roman" w:hAnsi="Times New Roman" w:cs="Times New Roman"/>
          <w:sz w:val="24"/>
          <w:szCs w:val="24"/>
        </w:rPr>
      </w:pPr>
      <w:r w:rsidRPr="004B72E1">
        <w:rPr>
          <w:rFonts w:ascii="Times New Roman" w:hAnsi="Times New Roman" w:cs="Times New Roman"/>
          <w:sz w:val="24"/>
          <w:szCs w:val="24"/>
        </w:rPr>
        <w:t xml:space="preserve">Every business organization needs accounting because it enables the identification of business transactions or economic events and how these events are significantly changing the economic entity of the business </w:t>
      </w:r>
      <w:r w:rsidR="00D66F3D" w:rsidRPr="004B72E1">
        <w:rPr>
          <w:rFonts w:ascii="Times New Roman" w:hAnsi="Times New Roman" w:cs="Times New Roman"/>
          <w:sz w:val="24"/>
          <w:szCs w:val="24"/>
        </w:rPr>
        <w:t>organi</w:t>
      </w:r>
      <w:r w:rsidR="00D66F3D">
        <w:rPr>
          <w:rFonts w:ascii="Times New Roman" w:hAnsi="Times New Roman" w:cs="Times New Roman"/>
          <w:sz w:val="24"/>
          <w:szCs w:val="24"/>
        </w:rPr>
        <w:t>s</w:t>
      </w:r>
      <w:r w:rsidR="00D66F3D" w:rsidRPr="004B72E1">
        <w:rPr>
          <w:rFonts w:ascii="Times New Roman" w:hAnsi="Times New Roman" w:cs="Times New Roman"/>
          <w:sz w:val="24"/>
          <w:szCs w:val="24"/>
        </w:rPr>
        <w:t>ation</w:t>
      </w:r>
      <w:r w:rsidR="00D66F3D" w:rsidRPr="00E83AF2">
        <w:rPr>
          <w:rFonts w:asciiTheme="majorBidi" w:hAnsiTheme="majorBidi" w:cstheme="majorBidi"/>
          <w:sz w:val="24"/>
          <w:szCs w:val="24"/>
        </w:rPr>
        <w:t xml:space="preserve"> (</w:t>
      </w:r>
      <w:proofErr w:type="spellStart"/>
      <w:r w:rsidR="00E83AF2" w:rsidRPr="00E83AF2">
        <w:rPr>
          <w:rFonts w:asciiTheme="majorBidi" w:hAnsiTheme="majorBidi" w:cstheme="majorBidi"/>
          <w:sz w:val="24"/>
          <w:szCs w:val="24"/>
        </w:rPr>
        <w:t>Reitenga</w:t>
      </w:r>
      <w:proofErr w:type="spellEnd"/>
      <w:r w:rsidR="00E83AF2" w:rsidRPr="00E83AF2">
        <w:rPr>
          <w:rFonts w:asciiTheme="majorBidi" w:hAnsiTheme="majorBidi" w:cstheme="majorBidi"/>
          <w:sz w:val="24"/>
          <w:szCs w:val="24"/>
        </w:rPr>
        <w:t>, 2008)</w:t>
      </w:r>
      <w:r w:rsidRPr="004B72E1">
        <w:rPr>
          <w:rFonts w:ascii="Times New Roman" w:hAnsi="Times New Roman" w:cs="Times New Roman"/>
          <w:sz w:val="24"/>
          <w:szCs w:val="24"/>
        </w:rPr>
        <w:t xml:space="preserve">. Accounting also makes it easier to prepare financial statements for businesses so that all users of accounting information can receive the necessary financial information. The </w:t>
      </w:r>
      <w:r>
        <w:rPr>
          <w:rFonts w:ascii="Times New Roman" w:hAnsi="Times New Roman" w:cs="Times New Roman"/>
          <w:sz w:val="24"/>
          <w:szCs w:val="24"/>
        </w:rPr>
        <w:t>preparation</w:t>
      </w:r>
      <w:r w:rsidRPr="004B72E1">
        <w:rPr>
          <w:rFonts w:ascii="Times New Roman" w:hAnsi="Times New Roman" w:cs="Times New Roman"/>
          <w:sz w:val="24"/>
          <w:szCs w:val="24"/>
        </w:rPr>
        <w:t xml:space="preserve"> of financial statements for a </w:t>
      </w:r>
      <w:r>
        <w:rPr>
          <w:rFonts w:ascii="Times New Roman" w:hAnsi="Times New Roman" w:cs="Times New Roman"/>
          <w:sz w:val="24"/>
          <w:szCs w:val="24"/>
        </w:rPr>
        <w:t>business</w:t>
      </w:r>
      <w:r w:rsidRPr="004B72E1">
        <w:rPr>
          <w:rFonts w:ascii="Times New Roman" w:hAnsi="Times New Roman" w:cs="Times New Roman"/>
          <w:sz w:val="24"/>
          <w:szCs w:val="24"/>
        </w:rPr>
        <w:t xml:space="preserve"> organization </w:t>
      </w:r>
      <w:r>
        <w:rPr>
          <w:rFonts w:ascii="Times New Roman" w:hAnsi="Times New Roman" w:cs="Times New Roman"/>
          <w:sz w:val="24"/>
          <w:szCs w:val="24"/>
        </w:rPr>
        <w:t xml:space="preserve">as well </w:t>
      </w:r>
      <w:r w:rsidR="00D66F3D">
        <w:rPr>
          <w:rFonts w:ascii="Times New Roman" w:hAnsi="Times New Roman" w:cs="Times New Roman"/>
          <w:sz w:val="24"/>
          <w:szCs w:val="24"/>
        </w:rPr>
        <w:t xml:space="preserve">as </w:t>
      </w:r>
      <w:r w:rsidR="00D66F3D" w:rsidRPr="004B72E1">
        <w:rPr>
          <w:rFonts w:ascii="Times New Roman" w:hAnsi="Times New Roman" w:cs="Times New Roman"/>
          <w:sz w:val="24"/>
          <w:szCs w:val="24"/>
        </w:rPr>
        <w:t>the</w:t>
      </w:r>
      <w:r w:rsidRPr="004B72E1">
        <w:rPr>
          <w:rFonts w:ascii="Times New Roman" w:hAnsi="Times New Roman" w:cs="Times New Roman"/>
          <w:sz w:val="24"/>
          <w:szCs w:val="24"/>
        </w:rPr>
        <w:t xml:space="preserve"> use of various financial ratios to evaluate the financial performance and position of the </w:t>
      </w:r>
      <w:r>
        <w:rPr>
          <w:rFonts w:ascii="Times New Roman" w:hAnsi="Times New Roman" w:cs="Times New Roman"/>
          <w:sz w:val="24"/>
          <w:szCs w:val="24"/>
        </w:rPr>
        <w:t>business firms</w:t>
      </w:r>
      <w:r w:rsidRPr="004B72E1">
        <w:rPr>
          <w:rFonts w:ascii="Times New Roman" w:hAnsi="Times New Roman" w:cs="Times New Roman"/>
          <w:sz w:val="24"/>
          <w:szCs w:val="24"/>
        </w:rPr>
        <w:t xml:space="preserve"> are both </w:t>
      </w:r>
      <w:r>
        <w:rPr>
          <w:rFonts w:ascii="Times New Roman" w:hAnsi="Times New Roman" w:cs="Times New Roman"/>
          <w:sz w:val="24"/>
          <w:szCs w:val="24"/>
        </w:rPr>
        <w:t>discussed</w:t>
      </w:r>
      <w:r w:rsidRPr="004B72E1">
        <w:rPr>
          <w:rFonts w:ascii="Times New Roman" w:hAnsi="Times New Roman" w:cs="Times New Roman"/>
          <w:sz w:val="24"/>
          <w:szCs w:val="24"/>
        </w:rPr>
        <w:t xml:space="preserve"> in this </w:t>
      </w:r>
      <w:r>
        <w:rPr>
          <w:rFonts w:ascii="Times New Roman" w:hAnsi="Times New Roman" w:cs="Times New Roman"/>
          <w:sz w:val="24"/>
          <w:szCs w:val="24"/>
        </w:rPr>
        <w:t>study</w:t>
      </w:r>
      <w:r w:rsidRPr="004B72E1">
        <w:rPr>
          <w:rFonts w:ascii="Times New Roman" w:hAnsi="Times New Roman" w:cs="Times New Roman"/>
          <w:sz w:val="24"/>
          <w:szCs w:val="24"/>
        </w:rPr>
        <w:t>.</w:t>
      </w:r>
    </w:p>
    <w:p w14:paraId="035BAF93" w14:textId="6F6B5CA3" w:rsidR="004B72E1" w:rsidRDefault="004B72E1" w:rsidP="005470D1">
      <w:pPr>
        <w:spacing w:line="360" w:lineRule="auto"/>
        <w:jc w:val="both"/>
        <w:rPr>
          <w:rFonts w:ascii="Times New Roman" w:hAnsi="Times New Roman" w:cs="Times New Roman"/>
          <w:sz w:val="24"/>
          <w:szCs w:val="24"/>
        </w:rPr>
      </w:pPr>
    </w:p>
    <w:p w14:paraId="04CDC8F0" w14:textId="65A24C11" w:rsidR="004B72E1" w:rsidRDefault="004B72E1" w:rsidP="005470D1">
      <w:pPr>
        <w:spacing w:line="360" w:lineRule="auto"/>
        <w:jc w:val="both"/>
        <w:rPr>
          <w:rFonts w:ascii="Times New Roman" w:hAnsi="Times New Roman" w:cs="Times New Roman"/>
          <w:sz w:val="24"/>
          <w:szCs w:val="24"/>
        </w:rPr>
      </w:pPr>
    </w:p>
    <w:p w14:paraId="1E4D20D0" w14:textId="75F38405" w:rsidR="004B72E1" w:rsidRDefault="004B72E1" w:rsidP="005470D1">
      <w:pPr>
        <w:spacing w:line="360" w:lineRule="auto"/>
        <w:jc w:val="both"/>
        <w:rPr>
          <w:rFonts w:ascii="Times New Roman" w:hAnsi="Times New Roman" w:cs="Times New Roman"/>
          <w:sz w:val="24"/>
          <w:szCs w:val="24"/>
        </w:rPr>
      </w:pPr>
    </w:p>
    <w:p w14:paraId="1A1CADF4" w14:textId="594A201D" w:rsidR="004B72E1" w:rsidRDefault="004B72E1" w:rsidP="005470D1">
      <w:pPr>
        <w:spacing w:line="360" w:lineRule="auto"/>
        <w:jc w:val="both"/>
        <w:rPr>
          <w:rFonts w:ascii="Times New Roman" w:hAnsi="Times New Roman" w:cs="Times New Roman"/>
          <w:sz w:val="24"/>
          <w:szCs w:val="24"/>
        </w:rPr>
      </w:pPr>
    </w:p>
    <w:p w14:paraId="0BBED467" w14:textId="32E71B0E" w:rsidR="004B72E1" w:rsidRDefault="004B72E1" w:rsidP="005470D1">
      <w:pPr>
        <w:spacing w:line="360" w:lineRule="auto"/>
        <w:jc w:val="both"/>
        <w:rPr>
          <w:rFonts w:ascii="Times New Roman" w:hAnsi="Times New Roman" w:cs="Times New Roman"/>
          <w:sz w:val="24"/>
          <w:szCs w:val="24"/>
        </w:rPr>
      </w:pPr>
    </w:p>
    <w:p w14:paraId="6705C54B" w14:textId="636ECCF3" w:rsidR="004B72E1" w:rsidRDefault="004B72E1" w:rsidP="005470D1">
      <w:pPr>
        <w:spacing w:line="360" w:lineRule="auto"/>
        <w:jc w:val="both"/>
        <w:rPr>
          <w:rFonts w:ascii="Times New Roman" w:hAnsi="Times New Roman" w:cs="Times New Roman"/>
          <w:sz w:val="24"/>
          <w:szCs w:val="24"/>
        </w:rPr>
      </w:pPr>
    </w:p>
    <w:p w14:paraId="2CB9660A" w14:textId="5F8C465A" w:rsidR="004B72E1" w:rsidRDefault="004B72E1" w:rsidP="005470D1">
      <w:pPr>
        <w:spacing w:line="360" w:lineRule="auto"/>
        <w:jc w:val="both"/>
        <w:rPr>
          <w:rFonts w:ascii="Times New Roman" w:hAnsi="Times New Roman" w:cs="Times New Roman"/>
          <w:sz w:val="24"/>
          <w:szCs w:val="24"/>
        </w:rPr>
      </w:pPr>
    </w:p>
    <w:p w14:paraId="2373D7CB" w14:textId="2E2A4C35" w:rsidR="004B72E1" w:rsidRDefault="004B72E1" w:rsidP="005470D1">
      <w:pPr>
        <w:spacing w:line="360" w:lineRule="auto"/>
        <w:jc w:val="both"/>
        <w:rPr>
          <w:rFonts w:ascii="Times New Roman" w:hAnsi="Times New Roman" w:cs="Times New Roman"/>
          <w:sz w:val="24"/>
          <w:szCs w:val="24"/>
        </w:rPr>
      </w:pPr>
    </w:p>
    <w:p w14:paraId="27BA4F58" w14:textId="31829E63" w:rsidR="004B72E1" w:rsidRDefault="004B72E1" w:rsidP="005470D1">
      <w:pPr>
        <w:spacing w:line="360" w:lineRule="auto"/>
        <w:jc w:val="both"/>
        <w:rPr>
          <w:rFonts w:ascii="Times New Roman" w:hAnsi="Times New Roman" w:cs="Times New Roman"/>
          <w:sz w:val="24"/>
          <w:szCs w:val="24"/>
        </w:rPr>
      </w:pPr>
    </w:p>
    <w:p w14:paraId="7B031760" w14:textId="40A4AECB" w:rsidR="004B72E1" w:rsidRDefault="004B72E1" w:rsidP="005470D1">
      <w:pPr>
        <w:spacing w:line="360" w:lineRule="auto"/>
        <w:jc w:val="both"/>
        <w:rPr>
          <w:rFonts w:ascii="Times New Roman" w:hAnsi="Times New Roman" w:cs="Times New Roman"/>
          <w:sz w:val="24"/>
          <w:szCs w:val="24"/>
        </w:rPr>
      </w:pPr>
    </w:p>
    <w:p w14:paraId="08D27166" w14:textId="0C550CC1" w:rsidR="004B72E1" w:rsidRDefault="004B72E1" w:rsidP="005470D1">
      <w:pPr>
        <w:spacing w:line="360" w:lineRule="auto"/>
        <w:jc w:val="both"/>
        <w:rPr>
          <w:rFonts w:ascii="Times New Roman" w:hAnsi="Times New Roman" w:cs="Times New Roman"/>
          <w:sz w:val="24"/>
          <w:szCs w:val="24"/>
        </w:rPr>
      </w:pPr>
    </w:p>
    <w:p w14:paraId="35D71285" w14:textId="16EE39F5" w:rsidR="004B72E1" w:rsidRDefault="004B72E1" w:rsidP="005470D1">
      <w:pPr>
        <w:spacing w:line="360" w:lineRule="auto"/>
        <w:jc w:val="both"/>
        <w:rPr>
          <w:rFonts w:ascii="Times New Roman" w:hAnsi="Times New Roman" w:cs="Times New Roman"/>
          <w:sz w:val="24"/>
          <w:szCs w:val="24"/>
        </w:rPr>
      </w:pPr>
    </w:p>
    <w:p w14:paraId="4C3223FA" w14:textId="3A9AFB99" w:rsidR="004B72E1" w:rsidRDefault="004B72E1" w:rsidP="005470D1">
      <w:pPr>
        <w:spacing w:line="360" w:lineRule="auto"/>
        <w:jc w:val="both"/>
        <w:rPr>
          <w:rFonts w:ascii="Times New Roman" w:hAnsi="Times New Roman" w:cs="Times New Roman"/>
          <w:sz w:val="24"/>
          <w:szCs w:val="24"/>
        </w:rPr>
      </w:pPr>
    </w:p>
    <w:p w14:paraId="66B2E4E3" w14:textId="7803BD2A" w:rsidR="004B72E1" w:rsidRDefault="004B72E1" w:rsidP="005470D1">
      <w:pPr>
        <w:spacing w:line="360" w:lineRule="auto"/>
        <w:jc w:val="both"/>
        <w:rPr>
          <w:rFonts w:ascii="Times New Roman" w:hAnsi="Times New Roman" w:cs="Times New Roman"/>
          <w:sz w:val="24"/>
          <w:szCs w:val="24"/>
        </w:rPr>
      </w:pPr>
    </w:p>
    <w:p w14:paraId="427CF941" w14:textId="4F731C56" w:rsidR="004B72E1" w:rsidRDefault="004B72E1" w:rsidP="005470D1">
      <w:pPr>
        <w:spacing w:line="360" w:lineRule="auto"/>
        <w:jc w:val="both"/>
        <w:rPr>
          <w:rFonts w:ascii="Times New Roman" w:hAnsi="Times New Roman" w:cs="Times New Roman"/>
          <w:sz w:val="24"/>
          <w:szCs w:val="24"/>
        </w:rPr>
      </w:pPr>
    </w:p>
    <w:p w14:paraId="0E12F466" w14:textId="0836A8C7" w:rsidR="004B72E1" w:rsidRDefault="004B72E1" w:rsidP="005470D1">
      <w:pPr>
        <w:spacing w:line="360" w:lineRule="auto"/>
        <w:jc w:val="both"/>
        <w:rPr>
          <w:rFonts w:ascii="Times New Roman" w:hAnsi="Times New Roman" w:cs="Times New Roman"/>
          <w:sz w:val="24"/>
          <w:szCs w:val="24"/>
        </w:rPr>
      </w:pPr>
    </w:p>
    <w:p w14:paraId="33F584DA" w14:textId="6CF67FA0" w:rsidR="004B72E1" w:rsidRDefault="004B72E1" w:rsidP="005470D1">
      <w:pPr>
        <w:spacing w:line="360" w:lineRule="auto"/>
        <w:jc w:val="both"/>
        <w:rPr>
          <w:rFonts w:ascii="Times New Roman" w:hAnsi="Times New Roman" w:cs="Times New Roman"/>
          <w:sz w:val="24"/>
          <w:szCs w:val="24"/>
        </w:rPr>
      </w:pPr>
    </w:p>
    <w:p w14:paraId="478B1490" w14:textId="3DA0A078" w:rsidR="004B72E1" w:rsidRDefault="004B72E1" w:rsidP="005470D1">
      <w:pPr>
        <w:spacing w:line="360" w:lineRule="auto"/>
        <w:jc w:val="both"/>
        <w:rPr>
          <w:rFonts w:ascii="Times New Roman" w:hAnsi="Times New Roman" w:cs="Times New Roman"/>
          <w:sz w:val="24"/>
          <w:szCs w:val="24"/>
        </w:rPr>
      </w:pPr>
    </w:p>
    <w:p w14:paraId="5638F25C" w14:textId="77777777" w:rsidR="004B72E1" w:rsidRDefault="004B72E1" w:rsidP="005470D1">
      <w:pPr>
        <w:spacing w:line="360" w:lineRule="auto"/>
        <w:jc w:val="both"/>
        <w:rPr>
          <w:rFonts w:ascii="Times New Roman" w:hAnsi="Times New Roman" w:cs="Times New Roman"/>
          <w:sz w:val="24"/>
          <w:szCs w:val="24"/>
        </w:rPr>
      </w:pPr>
    </w:p>
    <w:p w14:paraId="1AD01714" w14:textId="3C122904" w:rsidR="004B72E1" w:rsidRDefault="004B72E1" w:rsidP="005470D1">
      <w:pPr>
        <w:spacing w:line="360" w:lineRule="auto"/>
        <w:jc w:val="both"/>
        <w:rPr>
          <w:rFonts w:ascii="Times New Roman" w:hAnsi="Times New Roman" w:cs="Times New Roman"/>
          <w:sz w:val="24"/>
          <w:szCs w:val="24"/>
        </w:rPr>
      </w:pPr>
    </w:p>
    <w:p w14:paraId="42B557D9" w14:textId="77777777" w:rsidR="004B72E1" w:rsidRPr="004B72E1" w:rsidRDefault="004B72E1" w:rsidP="005470D1">
      <w:pPr>
        <w:spacing w:line="360" w:lineRule="auto"/>
        <w:jc w:val="both"/>
        <w:rPr>
          <w:rFonts w:ascii="Times New Roman" w:hAnsi="Times New Roman" w:cs="Times New Roman"/>
          <w:sz w:val="24"/>
          <w:szCs w:val="24"/>
        </w:rPr>
      </w:pPr>
    </w:p>
    <w:p w14:paraId="62C3440D" w14:textId="0030F4F1" w:rsidR="002C6F0D" w:rsidRDefault="002C6F0D" w:rsidP="005470D1">
      <w:pPr>
        <w:pStyle w:val="Heading1"/>
        <w:spacing w:line="360" w:lineRule="auto"/>
        <w:jc w:val="both"/>
        <w:rPr>
          <w:b/>
          <w:bCs/>
        </w:rPr>
      </w:pPr>
      <w:bookmarkStart w:id="1" w:name="_Toc118575975"/>
      <w:r w:rsidRPr="004B72E1">
        <w:rPr>
          <w:b/>
          <w:bCs/>
        </w:rPr>
        <w:t>Question-01</w:t>
      </w:r>
      <w:bookmarkEnd w:id="1"/>
    </w:p>
    <w:p w14:paraId="713184D5" w14:textId="13C1E3EE" w:rsidR="004B72E1" w:rsidRDefault="004B72E1" w:rsidP="005470D1">
      <w:pPr>
        <w:spacing w:line="360" w:lineRule="auto"/>
        <w:jc w:val="both"/>
      </w:pPr>
    </w:p>
    <w:p w14:paraId="1051EFC4" w14:textId="65ED384B" w:rsidR="004B72E1" w:rsidRPr="004B72E1" w:rsidRDefault="004B72E1" w:rsidP="005470D1">
      <w:pPr>
        <w:pStyle w:val="Heading2"/>
        <w:spacing w:line="360" w:lineRule="auto"/>
        <w:jc w:val="both"/>
        <w:rPr>
          <w:b/>
          <w:bCs/>
        </w:rPr>
      </w:pPr>
      <w:bookmarkStart w:id="2" w:name="_Toc118575976"/>
      <w:r w:rsidRPr="004B72E1">
        <w:rPr>
          <w:b/>
          <w:bCs/>
        </w:rPr>
        <w:t>Task-</w:t>
      </w:r>
      <w:r>
        <w:rPr>
          <w:b/>
          <w:bCs/>
        </w:rPr>
        <w:t>A</w:t>
      </w:r>
      <w:bookmarkEnd w:id="2"/>
    </w:p>
    <w:p w14:paraId="7A6A4516" w14:textId="4BCBBC37" w:rsidR="002C6F0D" w:rsidRPr="004B72E1" w:rsidRDefault="002C6F0D" w:rsidP="005470D1">
      <w:pPr>
        <w:spacing w:line="360" w:lineRule="auto"/>
        <w:ind w:left="720" w:hanging="360"/>
        <w:jc w:val="both"/>
        <w:rPr>
          <w:rFonts w:ascii="Times New Roman" w:hAnsi="Times New Roman" w:cs="Times New Roman"/>
          <w:b/>
          <w:bCs/>
          <w:sz w:val="24"/>
          <w:szCs w:val="24"/>
        </w:rPr>
      </w:pPr>
      <w:r w:rsidRPr="004B72E1">
        <w:rPr>
          <w:rFonts w:ascii="Times New Roman" w:hAnsi="Times New Roman" w:cs="Times New Roman"/>
          <w:b/>
          <w:bCs/>
          <w:sz w:val="24"/>
          <w:szCs w:val="24"/>
        </w:rPr>
        <w:t>Wales Plc</w:t>
      </w:r>
    </w:p>
    <w:p w14:paraId="62006B3C" w14:textId="4D23FA1A" w:rsidR="002C6F0D" w:rsidRPr="004B72E1" w:rsidRDefault="002C6F0D" w:rsidP="005470D1">
      <w:pPr>
        <w:spacing w:line="360" w:lineRule="auto"/>
        <w:ind w:left="720" w:hanging="360"/>
        <w:jc w:val="both"/>
        <w:rPr>
          <w:rFonts w:ascii="Times New Roman" w:hAnsi="Times New Roman" w:cs="Times New Roman"/>
          <w:b/>
          <w:bCs/>
          <w:sz w:val="24"/>
          <w:szCs w:val="24"/>
        </w:rPr>
      </w:pPr>
      <w:r w:rsidRPr="004B72E1">
        <w:rPr>
          <w:rFonts w:ascii="Times New Roman" w:hAnsi="Times New Roman" w:cs="Times New Roman"/>
          <w:b/>
          <w:bCs/>
          <w:sz w:val="24"/>
          <w:szCs w:val="24"/>
        </w:rPr>
        <w:t>Income statement</w:t>
      </w:r>
    </w:p>
    <w:p w14:paraId="783E855E" w14:textId="0B90122A" w:rsidR="002C6F0D" w:rsidRPr="004B72E1" w:rsidRDefault="002C6F0D" w:rsidP="005470D1">
      <w:pPr>
        <w:spacing w:line="360" w:lineRule="auto"/>
        <w:ind w:left="720" w:hanging="360"/>
        <w:jc w:val="both"/>
        <w:rPr>
          <w:rFonts w:ascii="Times New Roman" w:hAnsi="Times New Roman" w:cs="Times New Roman"/>
          <w:b/>
          <w:bCs/>
          <w:sz w:val="24"/>
          <w:szCs w:val="24"/>
        </w:rPr>
      </w:pPr>
      <w:r w:rsidRPr="004B72E1">
        <w:rPr>
          <w:rFonts w:ascii="Times New Roman" w:hAnsi="Times New Roman" w:cs="Times New Roman"/>
          <w:b/>
          <w:bCs/>
          <w:sz w:val="24"/>
          <w:szCs w:val="24"/>
        </w:rPr>
        <w:t>Prepared for the year ended 31</w:t>
      </w:r>
      <w:r w:rsidRPr="004B72E1">
        <w:rPr>
          <w:rFonts w:ascii="Times New Roman" w:hAnsi="Times New Roman" w:cs="Times New Roman"/>
          <w:b/>
          <w:bCs/>
          <w:sz w:val="24"/>
          <w:szCs w:val="24"/>
          <w:vertAlign w:val="superscript"/>
        </w:rPr>
        <w:t>st</w:t>
      </w:r>
      <w:r w:rsidRPr="004B72E1">
        <w:rPr>
          <w:rFonts w:ascii="Times New Roman" w:hAnsi="Times New Roman" w:cs="Times New Roman"/>
          <w:b/>
          <w:bCs/>
          <w:sz w:val="24"/>
          <w:szCs w:val="24"/>
        </w:rPr>
        <w:t xml:space="preserve"> December 2021</w:t>
      </w:r>
    </w:p>
    <w:tbl>
      <w:tblPr>
        <w:tblW w:w="5000" w:type="pct"/>
        <w:tblLook w:val="04A0" w:firstRow="1" w:lastRow="0" w:firstColumn="1" w:lastColumn="0" w:noHBand="0" w:noVBand="1"/>
      </w:tblPr>
      <w:tblGrid>
        <w:gridCol w:w="4982"/>
        <w:gridCol w:w="1472"/>
        <w:gridCol w:w="1449"/>
        <w:gridCol w:w="1447"/>
      </w:tblGrid>
      <w:tr w:rsidR="002C6F0D" w:rsidRPr="00E22F29" w14:paraId="416A9A84" w14:textId="77777777" w:rsidTr="00D62DED">
        <w:trPr>
          <w:trHeight w:val="315"/>
        </w:trPr>
        <w:tc>
          <w:tcPr>
            <w:tcW w:w="2664" w:type="pct"/>
            <w:tcBorders>
              <w:top w:val="single" w:sz="4" w:space="0" w:color="auto"/>
              <w:left w:val="single" w:sz="4" w:space="0" w:color="auto"/>
              <w:bottom w:val="single" w:sz="4" w:space="0" w:color="auto"/>
              <w:right w:val="nil"/>
            </w:tcBorders>
            <w:shd w:val="clear" w:color="auto" w:fill="auto"/>
            <w:noWrap/>
            <w:vAlign w:val="center"/>
            <w:hideMark/>
          </w:tcPr>
          <w:p w14:paraId="3A281E29"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Particulars</w:t>
            </w:r>
          </w:p>
        </w:tc>
        <w:tc>
          <w:tcPr>
            <w:tcW w:w="787" w:type="pct"/>
            <w:tcBorders>
              <w:top w:val="single" w:sz="4" w:space="0" w:color="auto"/>
              <w:left w:val="nil"/>
              <w:bottom w:val="single" w:sz="4" w:space="0" w:color="auto"/>
              <w:right w:val="nil"/>
            </w:tcBorders>
            <w:shd w:val="clear" w:color="auto" w:fill="auto"/>
            <w:noWrap/>
            <w:vAlign w:val="center"/>
            <w:hideMark/>
          </w:tcPr>
          <w:p w14:paraId="3019D5AD" w14:textId="5E5827AD"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Amount</w:t>
            </w:r>
          </w:p>
        </w:tc>
        <w:tc>
          <w:tcPr>
            <w:tcW w:w="775" w:type="pct"/>
            <w:tcBorders>
              <w:top w:val="single" w:sz="4" w:space="0" w:color="auto"/>
              <w:left w:val="nil"/>
              <w:bottom w:val="single" w:sz="4" w:space="0" w:color="auto"/>
              <w:right w:val="nil"/>
            </w:tcBorders>
            <w:shd w:val="clear" w:color="auto" w:fill="auto"/>
            <w:noWrap/>
            <w:vAlign w:val="center"/>
            <w:hideMark/>
          </w:tcPr>
          <w:p w14:paraId="6A270BF6" w14:textId="76F703BE"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Amount</w:t>
            </w:r>
          </w:p>
        </w:tc>
        <w:tc>
          <w:tcPr>
            <w:tcW w:w="774" w:type="pct"/>
            <w:tcBorders>
              <w:top w:val="single" w:sz="4" w:space="0" w:color="auto"/>
              <w:left w:val="nil"/>
              <w:bottom w:val="single" w:sz="4" w:space="0" w:color="auto"/>
              <w:right w:val="single" w:sz="4" w:space="0" w:color="auto"/>
            </w:tcBorders>
            <w:shd w:val="clear" w:color="auto" w:fill="auto"/>
            <w:noWrap/>
            <w:vAlign w:val="center"/>
            <w:hideMark/>
          </w:tcPr>
          <w:p w14:paraId="7702CC75" w14:textId="7D577F70"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Amount</w:t>
            </w:r>
          </w:p>
        </w:tc>
      </w:tr>
      <w:tr w:rsidR="002C6F0D" w:rsidRPr="00E22F29" w14:paraId="365EA8AA" w14:textId="77777777" w:rsidTr="00D62DED">
        <w:trPr>
          <w:trHeight w:val="315"/>
        </w:trPr>
        <w:tc>
          <w:tcPr>
            <w:tcW w:w="2664" w:type="pct"/>
            <w:tcBorders>
              <w:top w:val="single" w:sz="4" w:space="0" w:color="auto"/>
              <w:left w:val="single" w:sz="4" w:space="0" w:color="auto"/>
              <w:bottom w:val="nil"/>
              <w:right w:val="nil"/>
            </w:tcBorders>
            <w:shd w:val="clear" w:color="auto" w:fill="auto"/>
            <w:noWrap/>
            <w:vAlign w:val="center"/>
            <w:hideMark/>
          </w:tcPr>
          <w:p w14:paraId="31B69717" w14:textId="18020DBA"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Sales </w:t>
            </w:r>
          </w:p>
        </w:tc>
        <w:tc>
          <w:tcPr>
            <w:tcW w:w="787" w:type="pct"/>
            <w:tcBorders>
              <w:top w:val="single" w:sz="4" w:space="0" w:color="auto"/>
              <w:left w:val="nil"/>
              <w:bottom w:val="nil"/>
              <w:right w:val="nil"/>
            </w:tcBorders>
            <w:shd w:val="clear" w:color="auto" w:fill="auto"/>
            <w:noWrap/>
            <w:vAlign w:val="center"/>
            <w:hideMark/>
          </w:tcPr>
          <w:p w14:paraId="44CF1EBA"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£800,000</w:t>
            </w:r>
          </w:p>
        </w:tc>
        <w:tc>
          <w:tcPr>
            <w:tcW w:w="775" w:type="pct"/>
            <w:tcBorders>
              <w:top w:val="single" w:sz="4" w:space="0" w:color="auto"/>
              <w:left w:val="nil"/>
              <w:bottom w:val="nil"/>
              <w:right w:val="nil"/>
            </w:tcBorders>
            <w:shd w:val="clear" w:color="auto" w:fill="auto"/>
            <w:noWrap/>
            <w:vAlign w:val="bottom"/>
            <w:hideMark/>
          </w:tcPr>
          <w:p w14:paraId="58DAA973"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774" w:type="pct"/>
            <w:tcBorders>
              <w:top w:val="single" w:sz="4" w:space="0" w:color="auto"/>
              <w:left w:val="nil"/>
              <w:bottom w:val="nil"/>
              <w:right w:val="single" w:sz="4" w:space="0" w:color="auto"/>
            </w:tcBorders>
            <w:shd w:val="clear" w:color="auto" w:fill="auto"/>
            <w:noWrap/>
            <w:vAlign w:val="bottom"/>
            <w:hideMark/>
          </w:tcPr>
          <w:p w14:paraId="57A37F7C"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r>
      <w:tr w:rsidR="002C6F0D" w:rsidRPr="00E22F29" w14:paraId="6AC52BB6" w14:textId="77777777" w:rsidTr="00D62DED">
        <w:trPr>
          <w:trHeight w:val="330"/>
        </w:trPr>
        <w:tc>
          <w:tcPr>
            <w:tcW w:w="2664" w:type="pct"/>
            <w:tcBorders>
              <w:top w:val="nil"/>
              <w:left w:val="single" w:sz="4" w:space="0" w:color="auto"/>
              <w:bottom w:val="nil"/>
              <w:right w:val="nil"/>
            </w:tcBorders>
            <w:shd w:val="clear" w:color="auto" w:fill="auto"/>
            <w:noWrap/>
            <w:vAlign w:val="center"/>
            <w:hideMark/>
          </w:tcPr>
          <w:p w14:paraId="68795BD2" w14:textId="6265070A"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Add: </w:t>
            </w:r>
            <w:r w:rsidR="00D62DED" w:rsidRPr="00E22F29">
              <w:rPr>
                <w:rFonts w:ascii="Times New Roman" w:eastAsia="Times New Roman" w:hAnsi="Times New Roman" w:cs="Times New Roman"/>
                <w:color w:val="000000"/>
                <w:sz w:val="24"/>
                <w:szCs w:val="24"/>
              </w:rPr>
              <w:t>C</w:t>
            </w:r>
            <w:r w:rsidRPr="00E22F29">
              <w:rPr>
                <w:rFonts w:ascii="Times New Roman" w:eastAsia="Times New Roman" w:hAnsi="Times New Roman" w:cs="Times New Roman"/>
                <w:color w:val="000000"/>
                <w:sz w:val="24"/>
                <w:szCs w:val="24"/>
              </w:rPr>
              <w:t>redit sales</w:t>
            </w:r>
          </w:p>
        </w:tc>
        <w:tc>
          <w:tcPr>
            <w:tcW w:w="787" w:type="pct"/>
            <w:tcBorders>
              <w:top w:val="nil"/>
              <w:left w:val="nil"/>
              <w:bottom w:val="single" w:sz="8" w:space="0" w:color="auto"/>
              <w:right w:val="nil"/>
            </w:tcBorders>
            <w:shd w:val="clear" w:color="auto" w:fill="auto"/>
            <w:noWrap/>
            <w:vAlign w:val="center"/>
            <w:hideMark/>
          </w:tcPr>
          <w:p w14:paraId="12C46DDE"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£980</w:t>
            </w:r>
          </w:p>
        </w:tc>
        <w:tc>
          <w:tcPr>
            <w:tcW w:w="775" w:type="pct"/>
            <w:tcBorders>
              <w:top w:val="nil"/>
              <w:left w:val="nil"/>
              <w:bottom w:val="single" w:sz="8" w:space="0" w:color="auto"/>
              <w:right w:val="nil"/>
            </w:tcBorders>
            <w:shd w:val="clear" w:color="auto" w:fill="auto"/>
            <w:noWrap/>
            <w:vAlign w:val="bottom"/>
            <w:hideMark/>
          </w:tcPr>
          <w:p w14:paraId="14B7AAAD" w14:textId="20C0EFCA"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774" w:type="pct"/>
            <w:tcBorders>
              <w:top w:val="nil"/>
              <w:left w:val="nil"/>
              <w:bottom w:val="nil"/>
              <w:right w:val="single" w:sz="4" w:space="0" w:color="auto"/>
            </w:tcBorders>
            <w:shd w:val="clear" w:color="auto" w:fill="auto"/>
            <w:noWrap/>
            <w:vAlign w:val="bottom"/>
            <w:hideMark/>
          </w:tcPr>
          <w:p w14:paraId="651B7E32"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61F59C03" w14:textId="77777777" w:rsidTr="00D62DED">
        <w:trPr>
          <w:trHeight w:val="315"/>
        </w:trPr>
        <w:tc>
          <w:tcPr>
            <w:tcW w:w="2664" w:type="pct"/>
            <w:tcBorders>
              <w:top w:val="nil"/>
              <w:left w:val="single" w:sz="4" w:space="0" w:color="auto"/>
              <w:right w:val="nil"/>
            </w:tcBorders>
            <w:shd w:val="clear" w:color="auto" w:fill="auto"/>
            <w:noWrap/>
            <w:vAlign w:val="center"/>
            <w:hideMark/>
          </w:tcPr>
          <w:p w14:paraId="292AE65F" w14:textId="3CE63256"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Net Sales Revenue</w:t>
            </w:r>
          </w:p>
        </w:tc>
        <w:tc>
          <w:tcPr>
            <w:tcW w:w="787" w:type="pct"/>
            <w:tcBorders>
              <w:top w:val="nil"/>
              <w:left w:val="nil"/>
              <w:right w:val="nil"/>
            </w:tcBorders>
            <w:shd w:val="clear" w:color="auto" w:fill="auto"/>
            <w:noWrap/>
            <w:vAlign w:val="center"/>
            <w:hideMark/>
          </w:tcPr>
          <w:p w14:paraId="6DD48AB9"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tc>
        <w:tc>
          <w:tcPr>
            <w:tcW w:w="775" w:type="pct"/>
            <w:tcBorders>
              <w:top w:val="nil"/>
              <w:left w:val="nil"/>
              <w:right w:val="nil"/>
            </w:tcBorders>
            <w:shd w:val="clear" w:color="auto" w:fill="auto"/>
            <w:noWrap/>
            <w:vAlign w:val="center"/>
            <w:hideMark/>
          </w:tcPr>
          <w:p w14:paraId="0DDACE9A"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£800,980</w:t>
            </w:r>
          </w:p>
        </w:tc>
        <w:tc>
          <w:tcPr>
            <w:tcW w:w="774" w:type="pct"/>
            <w:tcBorders>
              <w:top w:val="nil"/>
              <w:left w:val="nil"/>
              <w:bottom w:val="nil"/>
              <w:right w:val="single" w:sz="4" w:space="0" w:color="auto"/>
            </w:tcBorders>
            <w:shd w:val="clear" w:color="auto" w:fill="auto"/>
            <w:noWrap/>
            <w:vAlign w:val="center"/>
            <w:hideMark/>
          </w:tcPr>
          <w:p w14:paraId="1E3492EF"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tc>
      </w:tr>
      <w:tr w:rsidR="002C6F0D" w:rsidRPr="00E22F29" w14:paraId="68A1122B" w14:textId="77777777" w:rsidTr="00D62DED">
        <w:trPr>
          <w:trHeight w:val="330"/>
        </w:trPr>
        <w:tc>
          <w:tcPr>
            <w:tcW w:w="2664" w:type="pct"/>
            <w:tcBorders>
              <w:top w:val="nil"/>
              <w:left w:val="single" w:sz="4" w:space="0" w:color="auto"/>
              <w:bottom w:val="single" w:sz="4" w:space="0" w:color="auto"/>
              <w:right w:val="nil"/>
            </w:tcBorders>
            <w:shd w:val="clear" w:color="auto" w:fill="auto"/>
            <w:noWrap/>
            <w:vAlign w:val="center"/>
            <w:hideMark/>
          </w:tcPr>
          <w:p w14:paraId="266EF9FB"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Less: Cost of sales</w:t>
            </w:r>
          </w:p>
        </w:tc>
        <w:tc>
          <w:tcPr>
            <w:tcW w:w="787" w:type="pct"/>
            <w:tcBorders>
              <w:top w:val="nil"/>
              <w:left w:val="nil"/>
              <w:bottom w:val="single" w:sz="4" w:space="0" w:color="auto"/>
              <w:right w:val="nil"/>
            </w:tcBorders>
            <w:shd w:val="clear" w:color="auto" w:fill="auto"/>
            <w:noWrap/>
            <w:vAlign w:val="bottom"/>
            <w:hideMark/>
          </w:tcPr>
          <w:p w14:paraId="0A78D253"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775" w:type="pct"/>
            <w:tcBorders>
              <w:top w:val="nil"/>
              <w:left w:val="nil"/>
              <w:bottom w:val="single" w:sz="4" w:space="0" w:color="auto"/>
              <w:right w:val="nil"/>
            </w:tcBorders>
            <w:shd w:val="clear" w:color="auto" w:fill="auto"/>
            <w:noWrap/>
            <w:vAlign w:val="center"/>
            <w:hideMark/>
          </w:tcPr>
          <w:p w14:paraId="58298036"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£578,650</w:t>
            </w:r>
          </w:p>
        </w:tc>
        <w:tc>
          <w:tcPr>
            <w:tcW w:w="774" w:type="pct"/>
            <w:tcBorders>
              <w:top w:val="nil"/>
              <w:left w:val="nil"/>
              <w:bottom w:val="single" w:sz="8" w:space="0" w:color="auto"/>
              <w:right w:val="single" w:sz="4" w:space="0" w:color="auto"/>
            </w:tcBorders>
            <w:shd w:val="clear" w:color="auto" w:fill="auto"/>
            <w:noWrap/>
            <w:vAlign w:val="bottom"/>
            <w:hideMark/>
          </w:tcPr>
          <w:p w14:paraId="4B286B16" w14:textId="24BBD4DA"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2EDA5F9E" w14:textId="77777777" w:rsidTr="00D62DED">
        <w:trPr>
          <w:trHeight w:val="315"/>
        </w:trPr>
        <w:tc>
          <w:tcPr>
            <w:tcW w:w="2664" w:type="pct"/>
            <w:tcBorders>
              <w:top w:val="single" w:sz="4" w:space="0" w:color="auto"/>
              <w:left w:val="single" w:sz="4" w:space="0" w:color="auto"/>
              <w:bottom w:val="nil"/>
              <w:right w:val="nil"/>
            </w:tcBorders>
            <w:shd w:val="clear" w:color="auto" w:fill="auto"/>
            <w:noWrap/>
            <w:vAlign w:val="center"/>
            <w:hideMark/>
          </w:tcPr>
          <w:p w14:paraId="0642DA09"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Gross Profit</w:t>
            </w:r>
          </w:p>
        </w:tc>
        <w:tc>
          <w:tcPr>
            <w:tcW w:w="787" w:type="pct"/>
            <w:tcBorders>
              <w:top w:val="single" w:sz="4" w:space="0" w:color="auto"/>
              <w:left w:val="nil"/>
              <w:bottom w:val="nil"/>
              <w:right w:val="nil"/>
            </w:tcBorders>
            <w:shd w:val="clear" w:color="auto" w:fill="auto"/>
            <w:noWrap/>
            <w:vAlign w:val="bottom"/>
            <w:hideMark/>
          </w:tcPr>
          <w:p w14:paraId="4DB339A6"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tc>
        <w:tc>
          <w:tcPr>
            <w:tcW w:w="775" w:type="pct"/>
            <w:tcBorders>
              <w:top w:val="single" w:sz="4" w:space="0" w:color="auto"/>
              <w:left w:val="nil"/>
              <w:bottom w:val="nil"/>
              <w:right w:val="nil"/>
            </w:tcBorders>
            <w:shd w:val="clear" w:color="auto" w:fill="auto"/>
            <w:noWrap/>
            <w:vAlign w:val="bottom"/>
            <w:hideMark/>
          </w:tcPr>
          <w:p w14:paraId="6FB77FDA"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774" w:type="pct"/>
            <w:tcBorders>
              <w:top w:val="nil"/>
              <w:left w:val="nil"/>
              <w:bottom w:val="nil"/>
              <w:right w:val="single" w:sz="4" w:space="0" w:color="auto"/>
            </w:tcBorders>
            <w:shd w:val="clear" w:color="auto" w:fill="auto"/>
            <w:noWrap/>
            <w:vAlign w:val="center"/>
            <w:hideMark/>
          </w:tcPr>
          <w:p w14:paraId="6DB0B345"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u w:val="single"/>
                <w:lang w:val="en-US"/>
              </w:rPr>
            </w:pPr>
            <w:r w:rsidRPr="00E22F29">
              <w:rPr>
                <w:rFonts w:ascii="Times New Roman" w:eastAsia="Times New Roman" w:hAnsi="Times New Roman" w:cs="Times New Roman"/>
                <w:b/>
                <w:bCs/>
                <w:color w:val="000000"/>
                <w:sz w:val="24"/>
                <w:szCs w:val="24"/>
                <w:u w:val="single"/>
              </w:rPr>
              <w:t>£222,330</w:t>
            </w:r>
          </w:p>
        </w:tc>
      </w:tr>
      <w:tr w:rsidR="002C6F0D" w:rsidRPr="00E22F29" w14:paraId="507772B8" w14:textId="77777777" w:rsidTr="00D62DED">
        <w:trPr>
          <w:trHeight w:val="315"/>
        </w:trPr>
        <w:tc>
          <w:tcPr>
            <w:tcW w:w="2664" w:type="pct"/>
            <w:tcBorders>
              <w:top w:val="nil"/>
              <w:left w:val="single" w:sz="4" w:space="0" w:color="auto"/>
              <w:bottom w:val="nil"/>
              <w:right w:val="nil"/>
            </w:tcBorders>
            <w:shd w:val="clear" w:color="auto" w:fill="auto"/>
            <w:noWrap/>
            <w:vAlign w:val="center"/>
            <w:hideMark/>
          </w:tcPr>
          <w:p w14:paraId="0A930C7D"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Less: Operating Expenses</w:t>
            </w:r>
          </w:p>
        </w:tc>
        <w:tc>
          <w:tcPr>
            <w:tcW w:w="787" w:type="pct"/>
            <w:tcBorders>
              <w:top w:val="nil"/>
              <w:left w:val="nil"/>
              <w:bottom w:val="nil"/>
              <w:right w:val="nil"/>
            </w:tcBorders>
            <w:shd w:val="clear" w:color="auto" w:fill="auto"/>
            <w:noWrap/>
            <w:vAlign w:val="bottom"/>
            <w:hideMark/>
          </w:tcPr>
          <w:p w14:paraId="4652D3F4"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775" w:type="pct"/>
            <w:tcBorders>
              <w:top w:val="nil"/>
              <w:left w:val="nil"/>
              <w:bottom w:val="nil"/>
              <w:right w:val="nil"/>
            </w:tcBorders>
            <w:shd w:val="clear" w:color="auto" w:fill="auto"/>
            <w:noWrap/>
            <w:vAlign w:val="bottom"/>
            <w:hideMark/>
          </w:tcPr>
          <w:p w14:paraId="729A087C"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774" w:type="pct"/>
            <w:tcBorders>
              <w:top w:val="nil"/>
              <w:left w:val="nil"/>
              <w:bottom w:val="nil"/>
              <w:right w:val="single" w:sz="4" w:space="0" w:color="auto"/>
            </w:tcBorders>
            <w:shd w:val="clear" w:color="auto" w:fill="auto"/>
            <w:noWrap/>
            <w:vAlign w:val="bottom"/>
            <w:hideMark/>
          </w:tcPr>
          <w:p w14:paraId="1A447CE1"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r>
      <w:tr w:rsidR="002C6F0D" w:rsidRPr="00E22F29" w14:paraId="1DEC088A" w14:textId="77777777" w:rsidTr="00D62DED">
        <w:trPr>
          <w:trHeight w:val="315"/>
        </w:trPr>
        <w:tc>
          <w:tcPr>
            <w:tcW w:w="2664" w:type="pct"/>
            <w:tcBorders>
              <w:top w:val="nil"/>
              <w:left w:val="single" w:sz="4" w:space="0" w:color="auto"/>
              <w:bottom w:val="nil"/>
              <w:right w:val="nil"/>
            </w:tcBorders>
            <w:shd w:val="clear" w:color="auto" w:fill="auto"/>
            <w:noWrap/>
            <w:vAlign w:val="center"/>
            <w:hideMark/>
          </w:tcPr>
          <w:p w14:paraId="1178D26A"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Administrative expenses</w:t>
            </w:r>
          </w:p>
        </w:tc>
        <w:tc>
          <w:tcPr>
            <w:tcW w:w="787" w:type="pct"/>
            <w:tcBorders>
              <w:top w:val="nil"/>
              <w:left w:val="nil"/>
              <w:bottom w:val="nil"/>
              <w:right w:val="nil"/>
            </w:tcBorders>
            <w:shd w:val="clear" w:color="auto" w:fill="auto"/>
            <w:noWrap/>
            <w:vAlign w:val="bottom"/>
            <w:hideMark/>
          </w:tcPr>
          <w:p w14:paraId="632CF09E"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775" w:type="pct"/>
            <w:tcBorders>
              <w:top w:val="nil"/>
              <w:left w:val="nil"/>
              <w:bottom w:val="nil"/>
              <w:right w:val="nil"/>
            </w:tcBorders>
            <w:shd w:val="clear" w:color="auto" w:fill="auto"/>
            <w:noWrap/>
            <w:vAlign w:val="center"/>
            <w:hideMark/>
          </w:tcPr>
          <w:p w14:paraId="4E17BB82"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£30,000</w:t>
            </w:r>
          </w:p>
        </w:tc>
        <w:tc>
          <w:tcPr>
            <w:tcW w:w="774" w:type="pct"/>
            <w:tcBorders>
              <w:top w:val="nil"/>
              <w:left w:val="nil"/>
              <w:bottom w:val="nil"/>
              <w:right w:val="single" w:sz="4" w:space="0" w:color="auto"/>
            </w:tcBorders>
            <w:shd w:val="clear" w:color="auto" w:fill="auto"/>
            <w:noWrap/>
            <w:vAlign w:val="bottom"/>
            <w:hideMark/>
          </w:tcPr>
          <w:p w14:paraId="7F814975"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3E1FB010" w14:textId="77777777" w:rsidTr="00D62DED">
        <w:trPr>
          <w:trHeight w:val="315"/>
        </w:trPr>
        <w:tc>
          <w:tcPr>
            <w:tcW w:w="2664" w:type="pct"/>
            <w:tcBorders>
              <w:top w:val="nil"/>
              <w:left w:val="single" w:sz="4" w:space="0" w:color="auto"/>
              <w:bottom w:val="nil"/>
              <w:right w:val="nil"/>
            </w:tcBorders>
            <w:shd w:val="clear" w:color="auto" w:fill="auto"/>
            <w:noWrap/>
            <w:vAlign w:val="center"/>
            <w:hideMark/>
          </w:tcPr>
          <w:p w14:paraId="03105381" w14:textId="532DD25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Directors’ remuneration</w:t>
            </w:r>
          </w:p>
        </w:tc>
        <w:tc>
          <w:tcPr>
            <w:tcW w:w="787" w:type="pct"/>
            <w:tcBorders>
              <w:top w:val="nil"/>
              <w:left w:val="nil"/>
              <w:bottom w:val="nil"/>
              <w:right w:val="nil"/>
            </w:tcBorders>
            <w:shd w:val="clear" w:color="auto" w:fill="auto"/>
            <w:noWrap/>
            <w:vAlign w:val="bottom"/>
            <w:hideMark/>
          </w:tcPr>
          <w:p w14:paraId="24602646"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775" w:type="pct"/>
            <w:tcBorders>
              <w:top w:val="nil"/>
              <w:left w:val="nil"/>
              <w:bottom w:val="nil"/>
              <w:right w:val="nil"/>
            </w:tcBorders>
            <w:shd w:val="clear" w:color="auto" w:fill="auto"/>
            <w:noWrap/>
            <w:vAlign w:val="center"/>
            <w:hideMark/>
          </w:tcPr>
          <w:p w14:paraId="17A91DEE"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£5,000</w:t>
            </w:r>
          </w:p>
        </w:tc>
        <w:tc>
          <w:tcPr>
            <w:tcW w:w="774" w:type="pct"/>
            <w:tcBorders>
              <w:top w:val="nil"/>
              <w:left w:val="nil"/>
              <w:bottom w:val="nil"/>
              <w:right w:val="single" w:sz="4" w:space="0" w:color="auto"/>
            </w:tcBorders>
            <w:shd w:val="clear" w:color="auto" w:fill="auto"/>
            <w:noWrap/>
            <w:vAlign w:val="bottom"/>
            <w:hideMark/>
          </w:tcPr>
          <w:p w14:paraId="4DEDFD6A"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0AB2C406" w14:textId="77777777" w:rsidTr="00D62DED">
        <w:trPr>
          <w:trHeight w:val="315"/>
        </w:trPr>
        <w:tc>
          <w:tcPr>
            <w:tcW w:w="2664" w:type="pct"/>
            <w:tcBorders>
              <w:top w:val="nil"/>
              <w:left w:val="single" w:sz="4" w:space="0" w:color="auto"/>
              <w:bottom w:val="nil"/>
              <w:right w:val="nil"/>
            </w:tcBorders>
            <w:shd w:val="clear" w:color="auto" w:fill="auto"/>
            <w:noWrap/>
            <w:vAlign w:val="center"/>
            <w:hideMark/>
          </w:tcPr>
          <w:p w14:paraId="60B22682"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Distribution costs</w:t>
            </w:r>
          </w:p>
        </w:tc>
        <w:tc>
          <w:tcPr>
            <w:tcW w:w="787" w:type="pct"/>
            <w:tcBorders>
              <w:top w:val="nil"/>
              <w:left w:val="nil"/>
              <w:bottom w:val="nil"/>
              <w:right w:val="nil"/>
            </w:tcBorders>
            <w:shd w:val="clear" w:color="auto" w:fill="auto"/>
            <w:noWrap/>
            <w:vAlign w:val="bottom"/>
            <w:hideMark/>
          </w:tcPr>
          <w:p w14:paraId="2D7C3B1E"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775" w:type="pct"/>
            <w:tcBorders>
              <w:top w:val="nil"/>
              <w:left w:val="nil"/>
              <w:bottom w:val="nil"/>
              <w:right w:val="nil"/>
            </w:tcBorders>
            <w:shd w:val="clear" w:color="auto" w:fill="auto"/>
            <w:noWrap/>
            <w:vAlign w:val="center"/>
            <w:hideMark/>
          </w:tcPr>
          <w:p w14:paraId="11F4CB56"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£28,000</w:t>
            </w:r>
          </w:p>
        </w:tc>
        <w:tc>
          <w:tcPr>
            <w:tcW w:w="774" w:type="pct"/>
            <w:tcBorders>
              <w:top w:val="nil"/>
              <w:left w:val="nil"/>
              <w:bottom w:val="nil"/>
              <w:right w:val="single" w:sz="4" w:space="0" w:color="auto"/>
            </w:tcBorders>
            <w:shd w:val="clear" w:color="auto" w:fill="auto"/>
            <w:noWrap/>
            <w:vAlign w:val="bottom"/>
            <w:hideMark/>
          </w:tcPr>
          <w:p w14:paraId="7729691F"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19B92697" w14:textId="77777777" w:rsidTr="00D62DED">
        <w:trPr>
          <w:trHeight w:val="330"/>
        </w:trPr>
        <w:tc>
          <w:tcPr>
            <w:tcW w:w="2664" w:type="pct"/>
            <w:tcBorders>
              <w:top w:val="nil"/>
              <w:left w:val="single" w:sz="4" w:space="0" w:color="auto"/>
              <w:bottom w:val="nil"/>
              <w:right w:val="nil"/>
            </w:tcBorders>
            <w:shd w:val="clear" w:color="auto" w:fill="auto"/>
            <w:noWrap/>
            <w:vAlign w:val="center"/>
            <w:hideMark/>
          </w:tcPr>
          <w:p w14:paraId="0716D41A" w14:textId="5A206DED"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Commission expense </w:t>
            </w:r>
          </w:p>
        </w:tc>
        <w:tc>
          <w:tcPr>
            <w:tcW w:w="787" w:type="pct"/>
            <w:tcBorders>
              <w:top w:val="nil"/>
              <w:left w:val="nil"/>
              <w:bottom w:val="nil"/>
              <w:right w:val="nil"/>
            </w:tcBorders>
            <w:shd w:val="clear" w:color="auto" w:fill="auto"/>
            <w:noWrap/>
            <w:vAlign w:val="bottom"/>
            <w:hideMark/>
          </w:tcPr>
          <w:p w14:paraId="11D3AC96"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775" w:type="pct"/>
            <w:tcBorders>
              <w:top w:val="nil"/>
              <w:left w:val="nil"/>
              <w:bottom w:val="single" w:sz="8" w:space="0" w:color="auto"/>
              <w:right w:val="nil"/>
            </w:tcBorders>
            <w:shd w:val="clear" w:color="auto" w:fill="auto"/>
            <w:noWrap/>
            <w:vAlign w:val="center"/>
            <w:hideMark/>
          </w:tcPr>
          <w:p w14:paraId="0090A062"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£3,000</w:t>
            </w:r>
          </w:p>
        </w:tc>
        <w:tc>
          <w:tcPr>
            <w:tcW w:w="774" w:type="pct"/>
            <w:tcBorders>
              <w:top w:val="nil"/>
              <w:left w:val="nil"/>
              <w:bottom w:val="nil"/>
              <w:right w:val="single" w:sz="4" w:space="0" w:color="auto"/>
            </w:tcBorders>
            <w:shd w:val="clear" w:color="auto" w:fill="auto"/>
            <w:noWrap/>
            <w:vAlign w:val="bottom"/>
            <w:hideMark/>
          </w:tcPr>
          <w:p w14:paraId="47657152"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2C8EC7EC" w14:textId="77777777" w:rsidTr="00D62DED">
        <w:trPr>
          <w:trHeight w:val="330"/>
        </w:trPr>
        <w:tc>
          <w:tcPr>
            <w:tcW w:w="2664" w:type="pct"/>
            <w:tcBorders>
              <w:top w:val="nil"/>
              <w:left w:val="single" w:sz="4" w:space="0" w:color="auto"/>
              <w:bottom w:val="single" w:sz="4" w:space="0" w:color="auto"/>
              <w:right w:val="nil"/>
            </w:tcBorders>
            <w:shd w:val="clear" w:color="auto" w:fill="auto"/>
            <w:noWrap/>
            <w:vAlign w:val="center"/>
            <w:hideMark/>
          </w:tcPr>
          <w:p w14:paraId="6F0A3EF4" w14:textId="50C20DFC"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Total Operating Expenses</w:t>
            </w:r>
          </w:p>
        </w:tc>
        <w:tc>
          <w:tcPr>
            <w:tcW w:w="787" w:type="pct"/>
            <w:tcBorders>
              <w:top w:val="nil"/>
              <w:left w:val="nil"/>
              <w:bottom w:val="single" w:sz="4" w:space="0" w:color="auto"/>
              <w:right w:val="nil"/>
            </w:tcBorders>
            <w:shd w:val="clear" w:color="auto" w:fill="auto"/>
            <w:noWrap/>
            <w:vAlign w:val="bottom"/>
            <w:hideMark/>
          </w:tcPr>
          <w:p w14:paraId="771DF725"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775" w:type="pct"/>
            <w:tcBorders>
              <w:top w:val="nil"/>
              <w:left w:val="nil"/>
              <w:bottom w:val="single" w:sz="4" w:space="0" w:color="auto"/>
              <w:right w:val="nil"/>
            </w:tcBorders>
            <w:shd w:val="clear" w:color="auto" w:fill="auto"/>
            <w:noWrap/>
            <w:vAlign w:val="bottom"/>
            <w:hideMark/>
          </w:tcPr>
          <w:p w14:paraId="539F44D8"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774" w:type="pct"/>
            <w:tcBorders>
              <w:top w:val="nil"/>
              <w:left w:val="nil"/>
              <w:bottom w:val="single" w:sz="4" w:space="0" w:color="auto"/>
              <w:right w:val="single" w:sz="4" w:space="0" w:color="auto"/>
            </w:tcBorders>
            <w:shd w:val="clear" w:color="auto" w:fill="auto"/>
            <w:noWrap/>
            <w:vAlign w:val="center"/>
            <w:hideMark/>
          </w:tcPr>
          <w:p w14:paraId="2020FCCB"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£66,000</w:t>
            </w:r>
          </w:p>
        </w:tc>
      </w:tr>
      <w:tr w:rsidR="002C6F0D" w:rsidRPr="00E22F29" w14:paraId="0DED4DD1" w14:textId="77777777" w:rsidTr="00D62DED">
        <w:trPr>
          <w:trHeight w:val="315"/>
        </w:trPr>
        <w:tc>
          <w:tcPr>
            <w:tcW w:w="2664" w:type="pct"/>
            <w:tcBorders>
              <w:top w:val="single" w:sz="4" w:space="0" w:color="auto"/>
              <w:left w:val="single" w:sz="4" w:space="0" w:color="auto"/>
              <w:bottom w:val="nil"/>
              <w:right w:val="nil"/>
            </w:tcBorders>
            <w:shd w:val="clear" w:color="auto" w:fill="auto"/>
            <w:noWrap/>
            <w:vAlign w:val="center"/>
            <w:hideMark/>
          </w:tcPr>
          <w:p w14:paraId="7C9869D8"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Operating Profit</w:t>
            </w:r>
          </w:p>
        </w:tc>
        <w:tc>
          <w:tcPr>
            <w:tcW w:w="787" w:type="pct"/>
            <w:tcBorders>
              <w:top w:val="single" w:sz="4" w:space="0" w:color="auto"/>
              <w:left w:val="nil"/>
              <w:bottom w:val="nil"/>
              <w:right w:val="nil"/>
            </w:tcBorders>
            <w:shd w:val="clear" w:color="auto" w:fill="auto"/>
            <w:noWrap/>
            <w:vAlign w:val="bottom"/>
            <w:hideMark/>
          </w:tcPr>
          <w:p w14:paraId="7E217DC0"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tc>
        <w:tc>
          <w:tcPr>
            <w:tcW w:w="775" w:type="pct"/>
            <w:tcBorders>
              <w:top w:val="single" w:sz="4" w:space="0" w:color="auto"/>
              <w:left w:val="nil"/>
              <w:bottom w:val="nil"/>
              <w:right w:val="nil"/>
            </w:tcBorders>
            <w:shd w:val="clear" w:color="auto" w:fill="auto"/>
            <w:noWrap/>
            <w:vAlign w:val="bottom"/>
            <w:hideMark/>
          </w:tcPr>
          <w:p w14:paraId="65E2195F"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774" w:type="pct"/>
            <w:tcBorders>
              <w:top w:val="single" w:sz="4" w:space="0" w:color="auto"/>
              <w:left w:val="nil"/>
              <w:bottom w:val="nil"/>
              <w:right w:val="single" w:sz="4" w:space="0" w:color="auto"/>
            </w:tcBorders>
            <w:shd w:val="clear" w:color="auto" w:fill="auto"/>
            <w:noWrap/>
            <w:vAlign w:val="center"/>
            <w:hideMark/>
          </w:tcPr>
          <w:p w14:paraId="2DF43DA2"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u w:val="single"/>
                <w:lang w:val="en-US"/>
              </w:rPr>
            </w:pPr>
            <w:r w:rsidRPr="00E22F29">
              <w:rPr>
                <w:rFonts w:ascii="Times New Roman" w:eastAsia="Times New Roman" w:hAnsi="Times New Roman" w:cs="Times New Roman"/>
                <w:b/>
                <w:bCs/>
                <w:color w:val="000000"/>
                <w:sz w:val="24"/>
                <w:szCs w:val="24"/>
                <w:u w:val="single"/>
              </w:rPr>
              <w:t>£156,330</w:t>
            </w:r>
          </w:p>
        </w:tc>
      </w:tr>
      <w:tr w:rsidR="002C6F0D" w:rsidRPr="00E22F29" w14:paraId="196D89BA" w14:textId="77777777" w:rsidTr="00D62DED">
        <w:trPr>
          <w:trHeight w:val="315"/>
        </w:trPr>
        <w:tc>
          <w:tcPr>
            <w:tcW w:w="2664" w:type="pct"/>
            <w:tcBorders>
              <w:top w:val="nil"/>
              <w:left w:val="single" w:sz="4" w:space="0" w:color="auto"/>
              <w:right w:val="nil"/>
            </w:tcBorders>
            <w:shd w:val="clear" w:color="auto" w:fill="auto"/>
            <w:noWrap/>
            <w:vAlign w:val="center"/>
            <w:hideMark/>
          </w:tcPr>
          <w:p w14:paraId="63CEF5DC"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Less: Non-operating expenses</w:t>
            </w:r>
          </w:p>
        </w:tc>
        <w:tc>
          <w:tcPr>
            <w:tcW w:w="787" w:type="pct"/>
            <w:tcBorders>
              <w:top w:val="nil"/>
              <w:left w:val="nil"/>
              <w:right w:val="nil"/>
            </w:tcBorders>
            <w:shd w:val="clear" w:color="auto" w:fill="auto"/>
            <w:noWrap/>
            <w:vAlign w:val="bottom"/>
            <w:hideMark/>
          </w:tcPr>
          <w:p w14:paraId="15BAD5D6"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775" w:type="pct"/>
            <w:tcBorders>
              <w:top w:val="nil"/>
              <w:left w:val="nil"/>
              <w:right w:val="nil"/>
            </w:tcBorders>
            <w:shd w:val="clear" w:color="auto" w:fill="auto"/>
            <w:noWrap/>
            <w:vAlign w:val="bottom"/>
            <w:hideMark/>
          </w:tcPr>
          <w:p w14:paraId="3BAA2F36"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774" w:type="pct"/>
            <w:tcBorders>
              <w:top w:val="nil"/>
              <w:left w:val="nil"/>
              <w:right w:val="single" w:sz="4" w:space="0" w:color="auto"/>
            </w:tcBorders>
            <w:shd w:val="clear" w:color="auto" w:fill="auto"/>
            <w:noWrap/>
            <w:vAlign w:val="bottom"/>
            <w:hideMark/>
          </w:tcPr>
          <w:p w14:paraId="0AE1F480"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r>
      <w:tr w:rsidR="00D62DED" w:rsidRPr="00E22F29" w14:paraId="314397A3" w14:textId="77777777" w:rsidTr="00D62DED">
        <w:trPr>
          <w:trHeight w:val="330"/>
        </w:trPr>
        <w:tc>
          <w:tcPr>
            <w:tcW w:w="2664" w:type="pct"/>
            <w:tcBorders>
              <w:top w:val="nil"/>
              <w:left w:val="single" w:sz="4" w:space="0" w:color="auto"/>
              <w:right w:val="nil"/>
            </w:tcBorders>
            <w:shd w:val="clear" w:color="auto" w:fill="auto"/>
            <w:noWrap/>
            <w:vAlign w:val="center"/>
          </w:tcPr>
          <w:p w14:paraId="5E97DD8E" w14:textId="209EEAC8" w:rsidR="00D62DED" w:rsidRPr="00E22F29" w:rsidRDefault="00D62DED" w:rsidP="005470D1">
            <w:pPr>
              <w:spacing w:after="0" w:line="360" w:lineRule="auto"/>
              <w:jc w:val="both"/>
              <w:rPr>
                <w:rFonts w:ascii="Times New Roman" w:eastAsia="Times New Roman" w:hAnsi="Times New Roman" w:cs="Times New Roman"/>
                <w:color w:val="000000"/>
                <w:sz w:val="24"/>
                <w:szCs w:val="24"/>
              </w:rPr>
            </w:pPr>
            <w:r w:rsidRPr="00E22F29">
              <w:rPr>
                <w:rFonts w:ascii="Times New Roman" w:eastAsia="Times New Roman" w:hAnsi="Times New Roman" w:cs="Times New Roman"/>
                <w:color w:val="000000"/>
                <w:sz w:val="24"/>
                <w:szCs w:val="24"/>
              </w:rPr>
              <w:t xml:space="preserve">    Interest Expense</w:t>
            </w:r>
          </w:p>
        </w:tc>
        <w:tc>
          <w:tcPr>
            <w:tcW w:w="787" w:type="pct"/>
            <w:tcBorders>
              <w:top w:val="nil"/>
              <w:left w:val="nil"/>
              <w:right w:val="nil"/>
            </w:tcBorders>
            <w:shd w:val="clear" w:color="auto" w:fill="auto"/>
            <w:noWrap/>
            <w:vAlign w:val="bottom"/>
          </w:tcPr>
          <w:p w14:paraId="031B67CE" w14:textId="77777777" w:rsidR="00D62DED" w:rsidRPr="00E22F29" w:rsidRDefault="00D62DED" w:rsidP="005470D1">
            <w:pPr>
              <w:spacing w:after="0" w:line="360" w:lineRule="auto"/>
              <w:jc w:val="both"/>
              <w:rPr>
                <w:rFonts w:ascii="Times New Roman" w:eastAsia="Times New Roman" w:hAnsi="Times New Roman" w:cs="Times New Roman"/>
                <w:color w:val="000000"/>
                <w:sz w:val="24"/>
                <w:szCs w:val="24"/>
                <w:lang w:val="en-US"/>
              </w:rPr>
            </w:pPr>
          </w:p>
        </w:tc>
        <w:tc>
          <w:tcPr>
            <w:tcW w:w="775" w:type="pct"/>
            <w:tcBorders>
              <w:top w:val="nil"/>
              <w:left w:val="nil"/>
              <w:right w:val="nil"/>
            </w:tcBorders>
            <w:shd w:val="clear" w:color="auto" w:fill="auto"/>
            <w:noWrap/>
            <w:vAlign w:val="bottom"/>
          </w:tcPr>
          <w:p w14:paraId="4D6A0DCC" w14:textId="2B497A48" w:rsidR="00D62DED" w:rsidRPr="00E22F29" w:rsidRDefault="00D62DED" w:rsidP="005470D1">
            <w:pPr>
              <w:spacing w:after="0" w:line="360" w:lineRule="auto"/>
              <w:jc w:val="both"/>
              <w:rPr>
                <w:rFonts w:ascii="Times New Roman" w:eastAsia="Times New Roman" w:hAnsi="Times New Roman" w:cs="Times New Roman"/>
                <w:color w:val="000000"/>
                <w:sz w:val="24"/>
                <w:szCs w:val="24"/>
              </w:rPr>
            </w:pPr>
            <w:r w:rsidRPr="00E22F29">
              <w:rPr>
                <w:rFonts w:ascii="Times New Roman" w:eastAsia="Times New Roman" w:hAnsi="Times New Roman" w:cs="Times New Roman"/>
                <w:color w:val="000000"/>
                <w:sz w:val="24"/>
                <w:szCs w:val="24"/>
              </w:rPr>
              <w:t>£2,000</w:t>
            </w:r>
          </w:p>
        </w:tc>
        <w:tc>
          <w:tcPr>
            <w:tcW w:w="774" w:type="pct"/>
            <w:tcBorders>
              <w:top w:val="nil"/>
              <w:left w:val="nil"/>
              <w:right w:val="single" w:sz="4" w:space="0" w:color="auto"/>
            </w:tcBorders>
            <w:shd w:val="clear" w:color="auto" w:fill="auto"/>
            <w:noWrap/>
            <w:vAlign w:val="center"/>
          </w:tcPr>
          <w:p w14:paraId="78A01B48" w14:textId="77777777" w:rsidR="00D62DED" w:rsidRPr="00E22F29" w:rsidRDefault="00D62DED" w:rsidP="005470D1">
            <w:pPr>
              <w:spacing w:after="0" w:line="360" w:lineRule="auto"/>
              <w:jc w:val="both"/>
              <w:rPr>
                <w:rFonts w:ascii="Times New Roman" w:eastAsia="Times New Roman" w:hAnsi="Times New Roman" w:cs="Times New Roman"/>
                <w:color w:val="000000"/>
                <w:sz w:val="24"/>
                <w:szCs w:val="24"/>
              </w:rPr>
            </w:pPr>
          </w:p>
        </w:tc>
      </w:tr>
      <w:tr w:rsidR="00D62DED" w:rsidRPr="00E22F29" w14:paraId="0409A6C7" w14:textId="77777777" w:rsidTr="00D62DED">
        <w:trPr>
          <w:trHeight w:val="330"/>
        </w:trPr>
        <w:tc>
          <w:tcPr>
            <w:tcW w:w="2664" w:type="pct"/>
            <w:tcBorders>
              <w:left w:val="single" w:sz="4" w:space="0" w:color="auto"/>
              <w:bottom w:val="single" w:sz="4" w:space="0" w:color="auto"/>
              <w:right w:val="nil"/>
            </w:tcBorders>
            <w:shd w:val="clear" w:color="auto" w:fill="auto"/>
            <w:noWrap/>
            <w:vAlign w:val="center"/>
          </w:tcPr>
          <w:p w14:paraId="1A495307" w14:textId="25F516D6" w:rsidR="00D62DED" w:rsidRPr="00E22F29" w:rsidRDefault="00D62DE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lang w:val="en-US"/>
              </w:rPr>
              <w:t xml:space="preserve">    Add: accrued [(</w:t>
            </w:r>
            <w:r w:rsidRPr="00E22F29">
              <w:rPr>
                <w:rFonts w:ascii="Times New Roman" w:eastAsia="Times New Roman" w:hAnsi="Times New Roman" w:cs="Times New Roman"/>
                <w:color w:val="000000"/>
                <w:sz w:val="24"/>
                <w:szCs w:val="24"/>
              </w:rPr>
              <w:t>£200,000*4%)-£2,000]</w:t>
            </w:r>
            <w:r w:rsidRPr="00E22F29">
              <w:rPr>
                <w:rFonts w:ascii="Times New Roman" w:eastAsia="Times New Roman" w:hAnsi="Times New Roman" w:cs="Times New Roman"/>
                <w:color w:val="000000"/>
                <w:sz w:val="24"/>
                <w:szCs w:val="24"/>
                <w:lang w:val="en-US"/>
              </w:rPr>
              <w:t xml:space="preserve"> </w:t>
            </w:r>
          </w:p>
        </w:tc>
        <w:tc>
          <w:tcPr>
            <w:tcW w:w="787" w:type="pct"/>
            <w:tcBorders>
              <w:left w:val="nil"/>
              <w:bottom w:val="single" w:sz="4" w:space="0" w:color="auto"/>
              <w:right w:val="nil"/>
            </w:tcBorders>
            <w:shd w:val="clear" w:color="auto" w:fill="auto"/>
            <w:noWrap/>
            <w:vAlign w:val="bottom"/>
          </w:tcPr>
          <w:p w14:paraId="0A02FEB3" w14:textId="77777777" w:rsidR="00D62DED" w:rsidRPr="00E22F29" w:rsidRDefault="00D62DED" w:rsidP="005470D1">
            <w:pPr>
              <w:spacing w:after="0" w:line="360" w:lineRule="auto"/>
              <w:jc w:val="both"/>
              <w:rPr>
                <w:rFonts w:ascii="Times New Roman" w:eastAsia="Times New Roman" w:hAnsi="Times New Roman" w:cs="Times New Roman"/>
                <w:color w:val="000000"/>
                <w:sz w:val="24"/>
                <w:szCs w:val="24"/>
                <w:lang w:val="en-US"/>
              </w:rPr>
            </w:pPr>
          </w:p>
        </w:tc>
        <w:tc>
          <w:tcPr>
            <w:tcW w:w="775" w:type="pct"/>
            <w:tcBorders>
              <w:left w:val="nil"/>
              <w:bottom w:val="single" w:sz="4" w:space="0" w:color="auto"/>
              <w:right w:val="nil"/>
            </w:tcBorders>
            <w:shd w:val="clear" w:color="auto" w:fill="auto"/>
            <w:noWrap/>
            <w:vAlign w:val="bottom"/>
          </w:tcPr>
          <w:p w14:paraId="2FF1D39F" w14:textId="23210EAD" w:rsidR="00D62DED" w:rsidRPr="00E22F29" w:rsidRDefault="00D62DED" w:rsidP="005470D1">
            <w:pPr>
              <w:spacing w:after="0" w:line="360" w:lineRule="auto"/>
              <w:jc w:val="both"/>
              <w:rPr>
                <w:rFonts w:ascii="Times New Roman" w:eastAsia="Times New Roman" w:hAnsi="Times New Roman" w:cs="Times New Roman"/>
                <w:sz w:val="24"/>
                <w:szCs w:val="24"/>
                <w:lang w:val="en-US"/>
              </w:rPr>
            </w:pPr>
            <w:r w:rsidRPr="00E22F29">
              <w:rPr>
                <w:rFonts w:ascii="Times New Roman" w:eastAsia="Times New Roman" w:hAnsi="Times New Roman" w:cs="Times New Roman"/>
                <w:color w:val="000000"/>
                <w:sz w:val="24"/>
                <w:szCs w:val="24"/>
              </w:rPr>
              <w:t>£6,000</w:t>
            </w:r>
          </w:p>
        </w:tc>
        <w:tc>
          <w:tcPr>
            <w:tcW w:w="774" w:type="pct"/>
            <w:tcBorders>
              <w:left w:val="nil"/>
              <w:bottom w:val="single" w:sz="4" w:space="0" w:color="auto"/>
              <w:right w:val="single" w:sz="4" w:space="0" w:color="auto"/>
            </w:tcBorders>
            <w:shd w:val="clear" w:color="auto" w:fill="auto"/>
            <w:noWrap/>
            <w:vAlign w:val="center"/>
            <w:hideMark/>
          </w:tcPr>
          <w:p w14:paraId="6B50563F" w14:textId="77777777" w:rsidR="00D62DED" w:rsidRPr="00E22F29" w:rsidRDefault="00D62DE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£8,000</w:t>
            </w:r>
          </w:p>
        </w:tc>
      </w:tr>
      <w:tr w:rsidR="00D62DED" w:rsidRPr="00E22F29" w14:paraId="2CF07AB7" w14:textId="77777777" w:rsidTr="00D62DED">
        <w:trPr>
          <w:trHeight w:val="315"/>
        </w:trPr>
        <w:tc>
          <w:tcPr>
            <w:tcW w:w="2664" w:type="pct"/>
            <w:tcBorders>
              <w:top w:val="single" w:sz="4" w:space="0" w:color="auto"/>
              <w:left w:val="single" w:sz="4" w:space="0" w:color="auto"/>
              <w:right w:val="nil"/>
            </w:tcBorders>
            <w:shd w:val="clear" w:color="auto" w:fill="auto"/>
            <w:noWrap/>
            <w:vAlign w:val="center"/>
            <w:hideMark/>
          </w:tcPr>
          <w:p w14:paraId="014FC563" w14:textId="77777777" w:rsidR="00D62DED" w:rsidRPr="00E22F29" w:rsidRDefault="00D62DE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Profit Before Taxation</w:t>
            </w:r>
          </w:p>
        </w:tc>
        <w:tc>
          <w:tcPr>
            <w:tcW w:w="787" w:type="pct"/>
            <w:tcBorders>
              <w:top w:val="single" w:sz="4" w:space="0" w:color="auto"/>
              <w:left w:val="nil"/>
              <w:right w:val="nil"/>
            </w:tcBorders>
            <w:shd w:val="clear" w:color="auto" w:fill="auto"/>
            <w:noWrap/>
            <w:vAlign w:val="bottom"/>
            <w:hideMark/>
          </w:tcPr>
          <w:p w14:paraId="6C541711" w14:textId="77777777" w:rsidR="00D62DED" w:rsidRPr="00E22F29" w:rsidRDefault="00D62DED" w:rsidP="005470D1">
            <w:pPr>
              <w:spacing w:after="0" w:line="360" w:lineRule="auto"/>
              <w:jc w:val="both"/>
              <w:rPr>
                <w:rFonts w:ascii="Times New Roman" w:eastAsia="Times New Roman" w:hAnsi="Times New Roman" w:cs="Times New Roman"/>
                <w:b/>
                <w:bCs/>
                <w:color w:val="000000"/>
                <w:sz w:val="24"/>
                <w:szCs w:val="24"/>
                <w:lang w:val="en-US"/>
              </w:rPr>
            </w:pPr>
          </w:p>
        </w:tc>
        <w:tc>
          <w:tcPr>
            <w:tcW w:w="775" w:type="pct"/>
            <w:tcBorders>
              <w:top w:val="single" w:sz="4" w:space="0" w:color="auto"/>
              <w:left w:val="nil"/>
              <w:right w:val="nil"/>
            </w:tcBorders>
            <w:shd w:val="clear" w:color="auto" w:fill="auto"/>
            <w:noWrap/>
            <w:vAlign w:val="bottom"/>
            <w:hideMark/>
          </w:tcPr>
          <w:p w14:paraId="7105D88A" w14:textId="77777777" w:rsidR="00D62DED" w:rsidRPr="00E22F29" w:rsidRDefault="00D62DED" w:rsidP="005470D1">
            <w:pPr>
              <w:spacing w:after="0" w:line="360" w:lineRule="auto"/>
              <w:jc w:val="both"/>
              <w:rPr>
                <w:rFonts w:ascii="Times New Roman" w:eastAsia="Times New Roman" w:hAnsi="Times New Roman" w:cs="Times New Roman"/>
                <w:sz w:val="24"/>
                <w:szCs w:val="24"/>
                <w:lang w:val="en-US"/>
              </w:rPr>
            </w:pPr>
          </w:p>
        </w:tc>
        <w:tc>
          <w:tcPr>
            <w:tcW w:w="774" w:type="pct"/>
            <w:tcBorders>
              <w:top w:val="single" w:sz="4" w:space="0" w:color="auto"/>
              <w:left w:val="nil"/>
              <w:right w:val="single" w:sz="4" w:space="0" w:color="auto"/>
            </w:tcBorders>
            <w:shd w:val="clear" w:color="auto" w:fill="auto"/>
            <w:noWrap/>
            <w:vAlign w:val="center"/>
            <w:hideMark/>
          </w:tcPr>
          <w:p w14:paraId="08512B22" w14:textId="77777777" w:rsidR="00D62DED" w:rsidRPr="00E22F29" w:rsidRDefault="00D62DED" w:rsidP="005470D1">
            <w:pPr>
              <w:spacing w:after="0" w:line="360" w:lineRule="auto"/>
              <w:jc w:val="both"/>
              <w:rPr>
                <w:rFonts w:ascii="Times New Roman" w:eastAsia="Times New Roman" w:hAnsi="Times New Roman" w:cs="Times New Roman"/>
                <w:b/>
                <w:bCs/>
                <w:color w:val="000000"/>
                <w:sz w:val="24"/>
                <w:szCs w:val="24"/>
                <w:u w:val="single"/>
                <w:lang w:val="en-US"/>
              </w:rPr>
            </w:pPr>
            <w:r w:rsidRPr="00E22F29">
              <w:rPr>
                <w:rFonts w:ascii="Times New Roman" w:eastAsia="Times New Roman" w:hAnsi="Times New Roman" w:cs="Times New Roman"/>
                <w:b/>
                <w:bCs/>
                <w:color w:val="000000"/>
                <w:sz w:val="24"/>
                <w:szCs w:val="24"/>
                <w:u w:val="single"/>
              </w:rPr>
              <w:t>£148,330</w:t>
            </w:r>
          </w:p>
        </w:tc>
      </w:tr>
      <w:tr w:rsidR="00D62DED" w:rsidRPr="00E22F29" w14:paraId="6B29F36F" w14:textId="77777777" w:rsidTr="00D62DED">
        <w:trPr>
          <w:trHeight w:val="330"/>
        </w:trPr>
        <w:tc>
          <w:tcPr>
            <w:tcW w:w="2664" w:type="pct"/>
            <w:tcBorders>
              <w:top w:val="nil"/>
              <w:left w:val="single" w:sz="4" w:space="0" w:color="auto"/>
              <w:bottom w:val="single" w:sz="4" w:space="0" w:color="auto"/>
              <w:right w:val="nil"/>
            </w:tcBorders>
            <w:shd w:val="clear" w:color="auto" w:fill="auto"/>
            <w:noWrap/>
            <w:vAlign w:val="center"/>
            <w:hideMark/>
          </w:tcPr>
          <w:p w14:paraId="20A07D46" w14:textId="61BE257E" w:rsidR="00D62DED" w:rsidRPr="00E22F29" w:rsidRDefault="00D62DE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Less: Tax expense for the year</w:t>
            </w:r>
          </w:p>
        </w:tc>
        <w:tc>
          <w:tcPr>
            <w:tcW w:w="787" w:type="pct"/>
            <w:tcBorders>
              <w:top w:val="nil"/>
              <w:left w:val="nil"/>
              <w:bottom w:val="single" w:sz="4" w:space="0" w:color="auto"/>
              <w:right w:val="nil"/>
            </w:tcBorders>
            <w:shd w:val="clear" w:color="auto" w:fill="auto"/>
            <w:noWrap/>
            <w:vAlign w:val="bottom"/>
            <w:hideMark/>
          </w:tcPr>
          <w:p w14:paraId="47F2A226" w14:textId="77777777" w:rsidR="00D62DED" w:rsidRPr="00E22F29" w:rsidRDefault="00D62DED" w:rsidP="005470D1">
            <w:pPr>
              <w:spacing w:after="0" w:line="360" w:lineRule="auto"/>
              <w:jc w:val="both"/>
              <w:rPr>
                <w:rFonts w:ascii="Times New Roman" w:eastAsia="Times New Roman" w:hAnsi="Times New Roman" w:cs="Times New Roman"/>
                <w:color w:val="000000"/>
                <w:sz w:val="24"/>
                <w:szCs w:val="24"/>
                <w:lang w:val="en-US"/>
              </w:rPr>
            </w:pPr>
          </w:p>
        </w:tc>
        <w:tc>
          <w:tcPr>
            <w:tcW w:w="775" w:type="pct"/>
            <w:tcBorders>
              <w:top w:val="nil"/>
              <w:left w:val="nil"/>
              <w:bottom w:val="single" w:sz="4" w:space="0" w:color="auto"/>
              <w:right w:val="nil"/>
            </w:tcBorders>
            <w:shd w:val="clear" w:color="auto" w:fill="auto"/>
            <w:noWrap/>
            <w:vAlign w:val="bottom"/>
            <w:hideMark/>
          </w:tcPr>
          <w:p w14:paraId="42435CBA" w14:textId="77777777" w:rsidR="00D62DED" w:rsidRPr="00E22F29" w:rsidRDefault="00D62DED" w:rsidP="005470D1">
            <w:pPr>
              <w:spacing w:after="0" w:line="360" w:lineRule="auto"/>
              <w:jc w:val="both"/>
              <w:rPr>
                <w:rFonts w:ascii="Times New Roman" w:eastAsia="Times New Roman" w:hAnsi="Times New Roman" w:cs="Times New Roman"/>
                <w:sz w:val="24"/>
                <w:szCs w:val="24"/>
                <w:lang w:val="en-US"/>
              </w:rPr>
            </w:pPr>
          </w:p>
        </w:tc>
        <w:tc>
          <w:tcPr>
            <w:tcW w:w="774" w:type="pct"/>
            <w:tcBorders>
              <w:top w:val="nil"/>
              <w:left w:val="nil"/>
              <w:bottom w:val="single" w:sz="4" w:space="0" w:color="auto"/>
              <w:right w:val="single" w:sz="4" w:space="0" w:color="auto"/>
            </w:tcBorders>
            <w:shd w:val="clear" w:color="auto" w:fill="auto"/>
            <w:noWrap/>
            <w:vAlign w:val="center"/>
            <w:hideMark/>
          </w:tcPr>
          <w:p w14:paraId="2D492C01" w14:textId="77777777" w:rsidR="00D62DED" w:rsidRPr="00E22F29" w:rsidRDefault="00D62DE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£100,000</w:t>
            </w:r>
          </w:p>
        </w:tc>
      </w:tr>
      <w:tr w:rsidR="00D62DED" w:rsidRPr="00E22F29" w14:paraId="74585D4B" w14:textId="77777777" w:rsidTr="00D62DED">
        <w:trPr>
          <w:trHeight w:val="315"/>
        </w:trPr>
        <w:tc>
          <w:tcPr>
            <w:tcW w:w="2664" w:type="pct"/>
            <w:tcBorders>
              <w:top w:val="single" w:sz="4" w:space="0" w:color="auto"/>
              <w:left w:val="single" w:sz="4" w:space="0" w:color="auto"/>
              <w:bottom w:val="nil"/>
              <w:right w:val="nil"/>
            </w:tcBorders>
            <w:shd w:val="clear" w:color="auto" w:fill="auto"/>
            <w:noWrap/>
            <w:vAlign w:val="center"/>
            <w:hideMark/>
          </w:tcPr>
          <w:p w14:paraId="436CD7B2" w14:textId="56B14244" w:rsidR="00D62DED" w:rsidRPr="00E22F29" w:rsidRDefault="00D62DE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 xml:space="preserve"> Net Profit </w:t>
            </w:r>
          </w:p>
        </w:tc>
        <w:tc>
          <w:tcPr>
            <w:tcW w:w="787" w:type="pct"/>
            <w:tcBorders>
              <w:top w:val="single" w:sz="4" w:space="0" w:color="auto"/>
              <w:left w:val="nil"/>
              <w:bottom w:val="nil"/>
              <w:right w:val="nil"/>
            </w:tcBorders>
            <w:shd w:val="clear" w:color="auto" w:fill="auto"/>
            <w:noWrap/>
            <w:vAlign w:val="bottom"/>
            <w:hideMark/>
          </w:tcPr>
          <w:p w14:paraId="419B9092" w14:textId="77777777" w:rsidR="00D62DED" w:rsidRPr="00E22F29" w:rsidRDefault="00D62DED" w:rsidP="005470D1">
            <w:pPr>
              <w:spacing w:after="0" w:line="360" w:lineRule="auto"/>
              <w:jc w:val="both"/>
              <w:rPr>
                <w:rFonts w:ascii="Times New Roman" w:eastAsia="Times New Roman" w:hAnsi="Times New Roman" w:cs="Times New Roman"/>
                <w:b/>
                <w:bCs/>
                <w:color w:val="000000"/>
                <w:sz w:val="24"/>
                <w:szCs w:val="24"/>
                <w:lang w:val="en-US"/>
              </w:rPr>
            </w:pPr>
          </w:p>
        </w:tc>
        <w:tc>
          <w:tcPr>
            <w:tcW w:w="775" w:type="pct"/>
            <w:tcBorders>
              <w:top w:val="single" w:sz="4" w:space="0" w:color="auto"/>
              <w:left w:val="nil"/>
              <w:bottom w:val="nil"/>
              <w:right w:val="nil"/>
            </w:tcBorders>
            <w:shd w:val="clear" w:color="auto" w:fill="auto"/>
            <w:noWrap/>
            <w:vAlign w:val="bottom"/>
            <w:hideMark/>
          </w:tcPr>
          <w:p w14:paraId="080600C4" w14:textId="77777777" w:rsidR="00D62DED" w:rsidRPr="00E22F29" w:rsidRDefault="00D62DED" w:rsidP="005470D1">
            <w:pPr>
              <w:spacing w:after="0" w:line="360" w:lineRule="auto"/>
              <w:jc w:val="both"/>
              <w:rPr>
                <w:rFonts w:ascii="Times New Roman" w:eastAsia="Times New Roman" w:hAnsi="Times New Roman" w:cs="Times New Roman"/>
                <w:sz w:val="24"/>
                <w:szCs w:val="24"/>
                <w:lang w:val="en-US"/>
              </w:rPr>
            </w:pPr>
          </w:p>
        </w:tc>
        <w:tc>
          <w:tcPr>
            <w:tcW w:w="774" w:type="pct"/>
            <w:tcBorders>
              <w:top w:val="single" w:sz="4" w:space="0" w:color="auto"/>
              <w:left w:val="nil"/>
              <w:bottom w:val="single" w:sz="4" w:space="0" w:color="auto"/>
              <w:right w:val="single" w:sz="4" w:space="0" w:color="auto"/>
            </w:tcBorders>
            <w:shd w:val="clear" w:color="auto" w:fill="auto"/>
            <w:noWrap/>
            <w:vAlign w:val="center"/>
            <w:hideMark/>
          </w:tcPr>
          <w:p w14:paraId="69581CDE" w14:textId="77777777" w:rsidR="00D62DED" w:rsidRPr="00E22F29" w:rsidRDefault="00D62DE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£48,330</w:t>
            </w:r>
          </w:p>
        </w:tc>
      </w:tr>
      <w:tr w:rsidR="00D62DED" w:rsidRPr="00E22F29" w14:paraId="359915D7" w14:textId="77777777" w:rsidTr="00D62DED">
        <w:trPr>
          <w:trHeight w:val="330"/>
        </w:trPr>
        <w:tc>
          <w:tcPr>
            <w:tcW w:w="2664" w:type="pct"/>
            <w:tcBorders>
              <w:top w:val="nil"/>
              <w:left w:val="single" w:sz="4" w:space="0" w:color="auto"/>
              <w:bottom w:val="single" w:sz="4" w:space="0" w:color="auto"/>
              <w:right w:val="nil"/>
            </w:tcBorders>
            <w:shd w:val="clear" w:color="auto" w:fill="auto"/>
            <w:noWrap/>
            <w:vAlign w:val="center"/>
            <w:hideMark/>
          </w:tcPr>
          <w:p w14:paraId="7CFFEE9E" w14:textId="77777777" w:rsidR="00D62DED" w:rsidRPr="00E22F29" w:rsidRDefault="00D62DE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Less: Preference stock dividend </w:t>
            </w:r>
          </w:p>
        </w:tc>
        <w:tc>
          <w:tcPr>
            <w:tcW w:w="787" w:type="pct"/>
            <w:tcBorders>
              <w:top w:val="nil"/>
              <w:left w:val="nil"/>
              <w:bottom w:val="single" w:sz="4" w:space="0" w:color="auto"/>
              <w:right w:val="nil"/>
            </w:tcBorders>
            <w:shd w:val="clear" w:color="auto" w:fill="auto"/>
            <w:noWrap/>
            <w:vAlign w:val="bottom"/>
            <w:hideMark/>
          </w:tcPr>
          <w:p w14:paraId="017224A7" w14:textId="77777777" w:rsidR="00D62DED" w:rsidRPr="00E22F29" w:rsidRDefault="00D62DED" w:rsidP="005470D1">
            <w:pPr>
              <w:spacing w:after="0" w:line="360" w:lineRule="auto"/>
              <w:jc w:val="both"/>
              <w:rPr>
                <w:rFonts w:ascii="Times New Roman" w:eastAsia="Times New Roman" w:hAnsi="Times New Roman" w:cs="Times New Roman"/>
                <w:color w:val="000000"/>
                <w:sz w:val="24"/>
                <w:szCs w:val="24"/>
                <w:lang w:val="en-US"/>
              </w:rPr>
            </w:pPr>
          </w:p>
        </w:tc>
        <w:tc>
          <w:tcPr>
            <w:tcW w:w="775" w:type="pct"/>
            <w:tcBorders>
              <w:top w:val="nil"/>
              <w:left w:val="nil"/>
              <w:bottom w:val="single" w:sz="4" w:space="0" w:color="auto"/>
              <w:right w:val="nil"/>
            </w:tcBorders>
            <w:shd w:val="clear" w:color="auto" w:fill="auto"/>
            <w:noWrap/>
            <w:vAlign w:val="bottom"/>
            <w:hideMark/>
          </w:tcPr>
          <w:p w14:paraId="12F4DAE2" w14:textId="77777777" w:rsidR="00D62DED" w:rsidRPr="00E22F29" w:rsidRDefault="00D62DED" w:rsidP="005470D1">
            <w:pPr>
              <w:spacing w:after="0" w:line="360" w:lineRule="auto"/>
              <w:jc w:val="both"/>
              <w:rPr>
                <w:rFonts w:ascii="Times New Roman" w:eastAsia="Times New Roman" w:hAnsi="Times New Roman" w:cs="Times New Roman"/>
                <w:sz w:val="24"/>
                <w:szCs w:val="24"/>
                <w:lang w:val="en-US"/>
              </w:rPr>
            </w:pPr>
          </w:p>
        </w:tc>
        <w:tc>
          <w:tcPr>
            <w:tcW w:w="774" w:type="pct"/>
            <w:tcBorders>
              <w:top w:val="single" w:sz="4" w:space="0" w:color="auto"/>
              <w:left w:val="nil"/>
              <w:bottom w:val="single" w:sz="4" w:space="0" w:color="auto"/>
              <w:right w:val="single" w:sz="4" w:space="0" w:color="auto"/>
            </w:tcBorders>
            <w:shd w:val="clear" w:color="auto" w:fill="auto"/>
            <w:noWrap/>
            <w:vAlign w:val="center"/>
            <w:hideMark/>
          </w:tcPr>
          <w:p w14:paraId="567DDD21" w14:textId="77777777" w:rsidR="00D62DED" w:rsidRPr="00E22F29" w:rsidRDefault="00D62DE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£40,000</w:t>
            </w:r>
          </w:p>
        </w:tc>
      </w:tr>
      <w:tr w:rsidR="00D62DED" w:rsidRPr="00E22F29" w14:paraId="38D5B36D" w14:textId="77777777" w:rsidTr="00D62DED">
        <w:trPr>
          <w:trHeight w:val="330"/>
        </w:trPr>
        <w:tc>
          <w:tcPr>
            <w:tcW w:w="4226" w:type="pct"/>
            <w:gridSpan w:val="3"/>
            <w:tcBorders>
              <w:top w:val="single" w:sz="4" w:space="0" w:color="auto"/>
              <w:left w:val="single" w:sz="4" w:space="0" w:color="auto"/>
              <w:bottom w:val="single" w:sz="4" w:space="0" w:color="auto"/>
              <w:right w:val="nil"/>
            </w:tcBorders>
            <w:shd w:val="clear" w:color="auto" w:fill="auto"/>
            <w:noWrap/>
            <w:vAlign w:val="center"/>
            <w:hideMark/>
          </w:tcPr>
          <w:p w14:paraId="4CE7A8FB" w14:textId="23D74D2A" w:rsidR="00D62DED" w:rsidRPr="00E22F29" w:rsidRDefault="00D62DED" w:rsidP="005470D1">
            <w:pPr>
              <w:spacing w:after="0" w:line="360" w:lineRule="auto"/>
              <w:jc w:val="both"/>
              <w:rPr>
                <w:rFonts w:ascii="Times New Roman" w:eastAsia="Times New Roman" w:hAnsi="Times New Roman" w:cs="Times New Roman"/>
                <w:b/>
                <w:bCs/>
                <w:color w:val="000000"/>
                <w:sz w:val="24"/>
                <w:szCs w:val="24"/>
              </w:rPr>
            </w:pPr>
            <w:r w:rsidRPr="00E22F29">
              <w:rPr>
                <w:rFonts w:ascii="Times New Roman" w:eastAsia="Times New Roman" w:hAnsi="Times New Roman" w:cs="Times New Roman"/>
                <w:b/>
                <w:bCs/>
                <w:color w:val="000000"/>
                <w:sz w:val="24"/>
                <w:szCs w:val="24"/>
              </w:rPr>
              <w:t>Net Profit Available for common equity holders</w:t>
            </w:r>
          </w:p>
        </w:tc>
        <w:tc>
          <w:tcPr>
            <w:tcW w:w="774" w:type="pct"/>
            <w:tcBorders>
              <w:top w:val="single" w:sz="4" w:space="0" w:color="auto"/>
              <w:left w:val="nil"/>
              <w:bottom w:val="single" w:sz="4" w:space="0" w:color="auto"/>
              <w:right w:val="single" w:sz="4" w:space="0" w:color="auto"/>
            </w:tcBorders>
            <w:shd w:val="clear" w:color="auto" w:fill="auto"/>
            <w:noWrap/>
            <w:vAlign w:val="center"/>
            <w:hideMark/>
          </w:tcPr>
          <w:p w14:paraId="6E4A70C9" w14:textId="77777777" w:rsidR="00D62DED" w:rsidRPr="00E22F29" w:rsidRDefault="00D62DED" w:rsidP="005470D1">
            <w:pPr>
              <w:spacing w:after="0" w:line="360" w:lineRule="auto"/>
              <w:jc w:val="both"/>
              <w:rPr>
                <w:rFonts w:ascii="Times New Roman" w:eastAsia="Times New Roman" w:hAnsi="Times New Roman" w:cs="Times New Roman"/>
                <w:b/>
                <w:bCs/>
                <w:color w:val="000000"/>
                <w:sz w:val="24"/>
                <w:szCs w:val="24"/>
                <w:u w:val="double"/>
                <w:lang w:val="en-US"/>
              </w:rPr>
            </w:pPr>
            <w:r w:rsidRPr="00E22F29">
              <w:rPr>
                <w:rFonts w:ascii="Times New Roman" w:eastAsia="Times New Roman" w:hAnsi="Times New Roman" w:cs="Times New Roman"/>
                <w:b/>
                <w:bCs/>
                <w:color w:val="000000"/>
                <w:sz w:val="24"/>
                <w:szCs w:val="24"/>
                <w:u w:val="double"/>
              </w:rPr>
              <w:t>8,330</w:t>
            </w:r>
          </w:p>
        </w:tc>
      </w:tr>
    </w:tbl>
    <w:p w14:paraId="311592A0" w14:textId="77777777" w:rsidR="002C6F0D" w:rsidRPr="00E22F29" w:rsidRDefault="002C6F0D" w:rsidP="005470D1">
      <w:pPr>
        <w:spacing w:line="360" w:lineRule="auto"/>
        <w:ind w:left="720" w:hanging="360"/>
        <w:jc w:val="both"/>
        <w:rPr>
          <w:rFonts w:ascii="Times New Roman" w:hAnsi="Times New Roman" w:cs="Times New Roman"/>
          <w:sz w:val="24"/>
          <w:szCs w:val="24"/>
        </w:rPr>
      </w:pPr>
    </w:p>
    <w:p w14:paraId="40B1DC29" w14:textId="0257F4DA" w:rsidR="002C6F0D" w:rsidRPr="00E22F29" w:rsidRDefault="002C6F0D" w:rsidP="005470D1">
      <w:pPr>
        <w:spacing w:line="360" w:lineRule="auto"/>
        <w:jc w:val="both"/>
        <w:rPr>
          <w:rFonts w:ascii="Times New Roman" w:hAnsi="Times New Roman" w:cs="Times New Roman"/>
          <w:sz w:val="24"/>
          <w:szCs w:val="24"/>
        </w:rPr>
      </w:pPr>
    </w:p>
    <w:p w14:paraId="0A8E7DBB" w14:textId="77777777" w:rsidR="002C6F0D" w:rsidRPr="004B72E1" w:rsidRDefault="002C6F0D" w:rsidP="005470D1">
      <w:pPr>
        <w:spacing w:line="360" w:lineRule="auto"/>
        <w:ind w:left="720" w:hanging="360"/>
        <w:jc w:val="both"/>
        <w:rPr>
          <w:rFonts w:ascii="Times New Roman" w:hAnsi="Times New Roman" w:cs="Times New Roman"/>
          <w:b/>
          <w:bCs/>
          <w:sz w:val="24"/>
          <w:szCs w:val="24"/>
        </w:rPr>
      </w:pPr>
      <w:r w:rsidRPr="004B72E1">
        <w:rPr>
          <w:rFonts w:ascii="Times New Roman" w:hAnsi="Times New Roman" w:cs="Times New Roman"/>
          <w:b/>
          <w:bCs/>
          <w:sz w:val="24"/>
          <w:szCs w:val="24"/>
        </w:rPr>
        <w:t>Wales Plc</w:t>
      </w:r>
    </w:p>
    <w:p w14:paraId="177A13A4" w14:textId="547C6FCB" w:rsidR="002C6F0D" w:rsidRPr="004B72E1" w:rsidRDefault="002C6F0D" w:rsidP="005470D1">
      <w:pPr>
        <w:spacing w:line="360" w:lineRule="auto"/>
        <w:ind w:left="720" w:hanging="360"/>
        <w:jc w:val="both"/>
        <w:rPr>
          <w:rFonts w:ascii="Times New Roman" w:hAnsi="Times New Roman" w:cs="Times New Roman"/>
          <w:b/>
          <w:bCs/>
          <w:sz w:val="24"/>
          <w:szCs w:val="24"/>
        </w:rPr>
      </w:pPr>
      <w:r w:rsidRPr="004B72E1">
        <w:rPr>
          <w:rFonts w:ascii="Times New Roman" w:hAnsi="Times New Roman" w:cs="Times New Roman"/>
          <w:b/>
          <w:bCs/>
          <w:sz w:val="24"/>
          <w:szCs w:val="24"/>
        </w:rPr>
        <w:t>Statement of Financial Position</w:t>
      </w:r>
    </w:p>
    <w:p w14:paraId="4150454F" w14:textId="2E78DF29" w:rsidR="002C6F0D" w:rsidRPr="004B72E1" w:rsidRDefault="002C6F0D" w:rsidP="005470D1">
      <w:pPr>
        <w:spacing w:line="360" w:lineRule="auto"/>
        <w:ind w:left="720" w:hanging="360"/>
        <w:jc w:val="both"/>
        <w:rPr>
          <w:rFonts w:ascii="Times New Roman" w:hAnsi="Times New Roman" w:cs="Times New Roman"/>
          <w:b/>
          <w:bCs/>
          <w:sz w:val="24"/>
          <w:szCs w:val="24"/>
        </w:rPr>
      </w:pPr>
      <w:r w:rsidRPr="004B72E1">
        <w:rPr>
          <w:rFonts w:ascii="Times New Roman" w:hAnsi="Times New Roman" w:cs="Times New Roman"/>
          <w:b/>
          <w:bCs/>
          <w:sz w:val="24"/>
          <w:szCs w:val="24"/>
        </w:rPr>
        <w:t>Prepared on the date 31</w:t>
      </w:r>
      <w:r w:rsidRPr="004B72E1">
        <w:rPr>
          <w:rFonts w:ascii="Times New Roman" w:hAnsi="Times New Roman" w:cs="Times New Roman"/>
          <w:b/>
          <w:bCs/>
          <w:sz w:val="24"/>
          <w:szCs w:val="24"/>
          <w:vertAlign w:val="superscript"/>
        </w:rPr>
        <w:t>st</w:t>
      </w:r>
      <w:r w:rsidRPr="004B72E1">
        <w:rPr>
          <w:rFonts w:ascii="Times New Roman" w:hAnsi="Times New Roman" w:cs="Times New Roman"/>
          <w:b/>
          <w:bCs/>
          <w:sz w:val="24"/>
          <w:szCs w:val="24"/>
        </w:rPr>
        <w:t xml:space="preserve"> December 2021</w:t>
      </w:r>
    </w:p>
    <w:tbl>
      <w:tblPr>
        <w:tblW w:w="8680" w:type="dxa"/>
        <w:jc w:val="center"/>
        <w:tblLook w:val="04A0" w:firstRow="1" w:lastRow="0" w:firstColumn="1" w:lastColumn="0" w:noHBand="0" w:noVBand="1"/>
      </w:tblPr>
      <w:tblGrid>
        <w:gridCol w:w="4360"/>
        <w:gridCol w:w="1300"/>
        <w:gridCol w:w="1520"/>
        <w:gridCol w:w="1500"/>
      </w:tblGrid>
      <w:tr w:rsidR="002C6F0D" w:rsidRPr="00E22F29" w14:paraId="1F7EFD6C" w14:textId="77777777" w:rsidTr="001100BE">
        <w:trPr>
          <w:trHeight w:val="315"/>
          <w:jc w:val="center"/>
        </w:trPr>
        <w:tc>
          <w:tcPr>
            <w:tcW w:w="43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E43F37D"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Particulars</w:t>
            </w:r>
          </w:p>
        </w:tc>
        <w:tc>
          <w:tcPr>
            <w:tcW w:w="13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FE0C060"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 xml:space="preserve">Amount </w:t>
            </w:r>
          </w:p>
        </w:tc>
        <w:tc>
          <w:tcPr>
            <w:tcW w:w="15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C410508"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 xml:space="preserve">Amount </w:t>
            </w:r>
          </w:p>
        </w:tc>
        <w:tc>
          <w:tcPr>
            <w:tcW w:w="15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56ADBCB"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 xml:space="preserve">Amount </w:t>
            </w:r>
          </w:p>
        </w:tc>
      </w:tr>
      <w:tr w:rsidR="002C6F0D" w:rsidRPr="00E22F29" w14:paraId="5F8D6758" w14:textId="77777777" w:rsidTr="001100BE">
        <w:trPr>
          <w:trHeight w:val="315"/>
          <w:jc w:val="center"/>
        </w:trPr>
        <w:tc>
          <w:tcPr>
            <w:tcW w:w="4360" w:type="dxa"/>
            <w:tcBorders>
              <w:top w:val="single" w:sz="4" w:space="0" w:color="auto"/>
              <w:left w:val="single" w:sz="4" w:space="0" w:color="auto"/>
              <w:bottom w:val="nil"/>
              <w:right w:val="nil"/>
            </w:tcBorders>
            <w:shd w:val="clear" w:color="auto" w:fill="auto"/>
            <w:noWrap/>
            <w:vAlign w:val="center"/>
            <w:hideMark/>
          </w:tcPr>
          <w:p w14:paraId="65CCE9AE"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Non-Current Assets:</w:t>
            </w:r>
          </w:p>
        </w:tc>
        <w:tc>
          <w:tcPr>
            <w:tcW w:w="1300" w:type="dxa"/>
            <w:tcBorders>
              <w:top w:val="single" w:sz="4" w:space="0" w:color="auto"/>
              <w:left w:val="nil"/>
              <w:bottom w:val="nil"/>
              <w:right w:val="nil"/>
            </w:tcBorders>
            <w:shd w:val="clear" w:color="auto" w:fill="auto"/>
            <w:noWrap/>
            <w:vAlign w:val="bottom"/>
            <w:hideMark/>
          </w:tcPr>
          <w:p w14:paraId="012DA310"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tc>
        <w:tc>
          <w:tcPr>
            <w:tcW w:w="1520" w:type="dxa"/>
            <w:tcBorders>
              <w:top w:val="single" w:sz="4" w:space="0" w:color="auto"/>
              <w:left w:val="nil"/>
              <w:bottom w:val="nil"/>
              <w:right w:val="nil"/>
            </w:tcBorders>
            <w:shd w:val="clear" w:color="auto" w:fill="auto"/>
            <w:noWrap/>
            <w:vAlign w:val="bottom"/>
            <w:hideMark/>
          </w:tcPr>
          <w:p w14:paraId="4ED55109"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1500" w:type="dxa"/>
            <w:tcBorders>
              <w:top w:val="single" w:sz="4" w:space="0" w:color="auto"/>
              <w:left w:val="nil"/>
              <w:bottom w:val="nil"/>
              <w:right w:val="single" w:sz="4" w:space="0" w:color="auto"/>
            </w:tcBorders>
            <w:shd w:val="clear" w:color="auto" w:fill="auto"/>
            <w:noWrap/>
            <w:vAlign w:val="bottom"/>
            <w:hideMark/>
          </w:tcPr>
          <w:p w14:paraId="6892B743"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r>
      <w:tr w:rsidR="002C6F0D" w:rsidRPr="00E22F29" w14:paraId="57F15764" w14:textId="77777777" w:rsidTr="001100BE">
        <w:trPr>
          <w:trHeight w:val="330"/>
          <w:jc w:val="center"/>
        </w:trPr>
        <w:tc>
          <w:tcPr>
            <w:tcW w:w="4360" w:type="dxa"/>
            <w:tcBorders>
              <w:top w:val="nil"/>
              <w:left w:val="single" w:sz="4" w:space="0" w:color="auto"/>
              <w:bottom w:val="nil"/>
              <w:right w:val="nil"/>
            </w:tcBorders>
            <w:shd w:val="clear" w:color="auto" w:fill="auto"/>
            <w:noWrap/>
            <w:vAlign w:val="center"/>
            <w:hideMark/>
          </w:tcPr>
          <w:p w14:paraId="4EC28B49"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Plant &amp; Equipment</w:t>
            </w:r>
          </w:p>
        </w:tc>
        <w:tc>
          <w:tcPr>
            <w:tcW w:w="1300" w:type="dxa"/>
            <w:tcBorders>
              <w:top w:val="nil"/>
              <w:left w:val="nil"/>
              <w:bottom w:val="nil"/>
              <w:right w:val="nil"/>
            </w:tcBorders>
            <w:shd w:val="clear" w:color="auto" w:fill="auto"/>
            <w:noWrap/>
            <w:vAlign w:val="bottom"/>
            <w:hideMark/>
          </w:tcPr>
          <w:p w14:paraId="18665413"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20" w:type="dxa"/>
            <w:tcBorders>
              <w:top w:val="nil"/>
              <w:left w:val="nil"/>
              <w:bottom w:val="single" w:sz="8" w:space="0" w:color="auto"/>
              <w:right w:val="nil"/>
            </w:tcBorders>
            <w:shd w:val="clear" w:color="auto" w:fill="auto"/>
            <w:noWrap/>
            <w:vAlign w:val="center"/>
            <w:hideMark/>
          </w:tcPr>
          <w:p w14:paraId="28B42D9A"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lang w:val="en-US"/>
              </w:rPr>
              <w:t>£1,250,000</w:t>
            </w:r>
          </w:p>
        </w:tc>
        <w:tc>
          <w:tcPr>
            <w:tcW w:w="1500" w:type="dxa"/>
            <w:tcBorders>
              <w:top w:val="nil"/>
              <w:left w:val="nil"/>
              <w:bottom w:val="nil"/>
              <w:right w:val="single" w:sz="4" w:space="0" w:color="auto"/>
            </w:tcBorders>
            <w:shd w:val="clear" w:color="auto" w:fill="auto"/>
            <w:noWrap/>
            <w:vAlign w:val="bottom"/>
            <w:hideMark/>
          </w:tcPr>
          <w:p w14:paraId="2346387A"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5524E45F" w14:textId="77777777" w:rsidTr="001100BE">
        <w:trPr>
          <w:trHeight w:val="330"/>
          <w:jc w:val="center"/>
        </w:trPr>
        <w:tc>
          <w:tcPr>
            <w:tcW w:w="4360" w:type="dxa"/>
            <w:tcBorders>
              <w:top w:val="nil"/>
              <w:left w:val="single" w:sz="4" w:space="0" w:color="auto"/>
              <w:bottom w:val="single" w:sz="4" w:space="0" w:color="auto"/>
              <w:right w:val="nil"/>
            </w:tcBorders>
            <w:shd w:val="clear" w:color="auto" w:fill="auto"/>
            <w:noWrap/>
            <w:vAlign w:val="center"/>
            <w:hideMark/>
          </w:tcPr>
          <w:p w14:paraId="60B28492"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Total Non-Current Asset</w:t>
            </w:r>
          </w:p>
        </w:tc>
        <w:tc>
          <w:tcPr>
            <w:tcW w:w="1300" w:type="dxa"/>
            <w:tcBorders>
              <w:top w:val="nil"/>
              <w:left w:val="nil"/>
              <w:bottom w:val="single" w:sz="4" w:space="0" w:color="auto"/>
              <w:right w:val="nil"/>
            </w:tcBorders>
            <w:shd w:val="clear" w:color="auto" w:fill="auto"/>
            <w:noWrap/>
            <w:vAlign w:val="bottom"/>
            <w:hideMark/>
          </w:tcPr>
          <w:p w14:paraId="3B94CECC"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tc>
        <w:tc>
          <w:tcPr>
            <w:tcW w:w="1520" w:type="dxa"/>
            <w:tcBorders>
              <w:top w:val="nil"/>
              <w:left w:val="nil"/>
              <w:bottom w:val="single" w:sz="4" w:space="0" w:color="auto"/>
              <w:right w:val="nil"/>
            </w:tcBorders>
            <w:shd w:val="clear" w:color="auto" w:fill="auto"/>
            <w:noWrap/>
            <w:vAlign w:val="bottom"/>
            <w:hideMark/>
          </w:tcPr>
          <w:p w14:paraId="56CE4851"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1500" w:type="dxa"/>
            <w:tcBorders>
              <w:top w:val="nil"/>
              <w:left w:val="nil"/>
              <w:bottom w:val="single" w:sz="4" w:space="0" w:color="auto"/>
              <w:right w:val="single" w:sz="4" w:space="0" w:color="auto"/>
            </w:tcBorders>
            <w:shd w:val="clear" w:color="auto" w:fill="auto"/>
            <w:noWrap/>
            <w:vAlign w:val="center"/>
            <w:hideMark/>
          </w:tcPr>
          <w:p w14:paraId="42B92DF5"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£1,250,000</w:t>
            </w:r>
          </w:p>
        </w:tc>
      </w:tr>
      <w:tr w:rsidR="002C6F0D" w:rsidRPr="00E22F29" w14:paraId="6FE9FDCD" w14:textId="77777777" w:rsidTr="001100BE">
        <w:trPr>
          <w:trHeight w:val="315"/>
          <w:jc w:val="center"/>
        </w:trPr>
        <w:tc>
          <w:tcPr>
            <w:tcW w:w="4360" w:type="dxa"/>
            <w:tcBorders>
              <w:top w:val="single" w:sz="4" w:space="0" w:color="auto"/>
              <w:left w:val="single" w:sz="4" w:space="0" w:color="auto"/>
              <w:bottom w:val="nil"/>
              <w:right w:val="nil"/>
            </w:tcBorders>
            <w:shd w:val="clear" w:color="auto" w:fill="auto"/>
            <w:noWrap/>
            <w:vAlign w:val="center"/>
            <w:hideMark/>
          </w:tcPr>
          <w:p w14:paraId="0359FE96"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Current Asset:</w:t>
            </w:r>
          </w:p>
        </w:tc>
        <w:tc>
          <w:tcPr>
            <w:tcW w:w="1300" w:type="dxa"/>
            <w:tcBorders>
              <w:top w:val="single" w:sz="4" w:space="0" w:color="auto"/>
              <w:left w:val="nil"/>
              <w:bottom w:val="nil"/>
              <w:right w:val="nil"/>
            </w:tcBorders>
            <w:shd w:val="clear" w:color="auto" w:fill="auto"/>
            <w:noWrap/>
            <w:vAlign w:val="bottom"/>
            <w:hideMark/>
          </w:tcPr>
          <w:p w14:paraId="2E886D73"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tc>
        <w:tc>
          <w:tcPr>
            <w:tcW w:w="1520" w:type="dxa"/>
            <w:tcBorders>
              <w:top w:val="single" w:sz="4" w:space="0" w:color="auto"/>
              <w:left w:val="nil"/>
              <w:bottom w:val="nil"/>
              <w:right w:val="nil"/>
            </w:tcBorders>
            <w:shd w:val="clear" w:color="auto" w:fill="auto"/>
            <w:noWrap/>
            <w:vAlign w:val="bottom"/>
            <w:hideMark/>
          </w:tcPr>
          <w:p w14:paraId="42DBAE04"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1500" w:type="dxa"/>
            <w:tcBorders>
              <w:top w:val="single" w:sz="4" w:space="0" w:color="auto"/>
              <w:left w:val="nil"/>
              <w:bottom w:val="nil"/>
              <w:right w:val="single" w:sz="4" w:space="0" w:color="auto"/>
            </w:tcBorders>
            <w:shd w:val="clear" w:color="auto" w:fill="auto"/>
            <w:noWrap/>
            <w:vAlign w:val="bottom"/>
            <w:hideMark/>
          </w:tcPr>
          <w:p w14:paraId="00AFB61C"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r>
      <w:tr w:rsidR="002C6F0D" w:rsidRPr="00E22F29" w14:paraId="4F898419" w14:textId="77777777" w:rsidTr="001100BE">
        <w:trPr>
          <w:trHeight w:val="315"/>
          <w:jc w:val="center"/>
        </w:trPr>
        <w:tc>
          <w:tcPr>
            <w:tcW w:w="4360" w:type="dxa"/>
            <w:tcBorders>
              <w:top w:val="nil"/>
              <w:left w:val="single" w:sz="4" w:space="0" w:color="auto"/>
              <w:bottom w:val="nil"/>
              <w:right w:val="nil"/>
            </w:tcBorders>
            <w:shd w:val="clear" w:color="auto" w:fill="auto"/>
            <w:noWrap/>
            <w:vAlign w:val="center"/>
            <w:hideMark/>
          </w:tcPr>
          <w:p w14:paraId="7EBA9310" w14:textId="75E133F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w:t>
            </w:r>
            <w:r w:rsidR="00D62DED" w:rsidRPr="00E22F29">
              <w:rPr>
                <w:rFonts w:ascii="Times New Roman" w:eastAsia="Times New Roman" w:hAnsi="Times New Roman" w:cs="Times New Roman"/>
                <w:color w:val="000000"/>
                <w:sz w:val="24"/>
                <w:szCs w:val="24"/>
              </w:rPr>
              <w:t>Closing stock</w:t>
            </w:r>
          </w:p>
        </w:tc>
        <w:tc>
          <w:tcPr>
            <w:tcW w:w="1300" w:type="dxa"/>
            <w:tcBorders>
              <w:top w:val="nil"/>
              <w:left w:val="nil"/>
              <w:bottom w:val="nil"/>
              <w:right w:val="nil"/>
            </w:tcBorders>
            <w:shd w:val="clear" w:color="auto" w:fill="auto"/>
            <w:noWrap/>
            <w:vAlign w:val="bottom"/>
            <w:hideMark/>
          </w:tcPr>
          <w:p w14:paraId="56A8C047"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20" w:type="dxa"/>
            <w:tcBorders>
              <w:top w:val="nil"/>
              <w:left w:val="nil"/>
              <w:bottom w:val="nil"/>
              <w:right w:val="nil"/>
            </w:tcBorders>
            <w:shd w:val="clear" w:color="auto" w:fill="auto"/>
            <w:noWrap/>
            <w:vAlign w:val="center"/>
            <w:hideMark/>
          </w:tcPr>
          <w:p w14:paraId="22E53A30"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£430,600</w:t>
            </w:r>
          </w:p>
        </w:tc>
        <w:tc>
          <w:tcPr>
            <w:tcW w:w="1500" w:type="dxa"/>
            <w:tcBorders>
              <w:top w:val="nil"/>
              <w:left w:val="nil"/>
              <w:bottom w:val="nil"/>
              <w:right w:val="single" w:sz="4" w:space="0" w:color="auto"/>
            </w:tcBorders>
            <w:shd w:val="clear" w:color="auto" w:fill="auto"/>
            <w:noWrap/>
            <w:vAlign w:val="bottom"/>
            <w:hideMark/>
          </w:tcPr>
          <w:p w14:paraId="4EF60779"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3AF2273C" w14:textId="77777777" w:rsidTr="001100BE">
        <w:trPr>
          <w:trHeight w:val="315"/>
          <w:jc w:val="center"/>
        </w:trPr>
        <w:tc>
          <w:tcPr>
            <w:tcW w:w="4360" w:type="dxa"/>
            <w:tcBorders>
              <w:top w:val="nil"/>
              <w:left w:val="single" w:sz="4" w:space="0" w:color="auto"/>
              <w:bottom w:val="nil"/>
              <w:right w:val="nil"/>
            </w:tcBorders>
            <w:shd w:val="clear" w:color="auto" w:fill="auto"/>
            <w:noWrap/>
            <w:vAlign w:val="center"/>
            <w:hideMark/>
          </w:tcPr>
          <w:p w14:paraId="699D966F" w14:textId="1A78DF7B"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Trade receivable</w:t>
            </w:r>
          </w:p>
        </w:tc>
        <w:tc>
          <w:tcPr>
            <w:tcW w:w="1300" w:type="dxa"/>
            <w:tcBorders>
              <w:top w:val="nil"/>
              <w:left w:val="nil"/>
              <w:right w:val="nil"/>
            </w:tcBorders>
            <w:shd w:val="clear" w:color="auto" w:fill="auto"/>
            <w:noWrap/>
            <w:vAlign w:val="center"/>
            <w:hideMark/>
          </w:tcPr>
          <w:p w14:paraId="5DA11AFB" w14:textId="4F9C5160" w:rsidR="002C6F0D" w:rsidRPr="00E22F29" w:rsidRDefault="00D62DE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£170,125</w:t>
            </w:r>
          </w:p>
        </w:tc>
        <w:tc>
          <w:tcPr>
            <w:tcW w:w="1520" w:type="dxa"/>
            <w:tcBorders>
              <w:top w:val="nil"/>
              <w:left w:val="nil"/>
              <w:bottom w:val="nil"/>
              <w:right w:val="nil"/>
            </w:tcBorders>
            <w:shd w:val="clear" w:color="auto" w:fill="auto"/>
            <w:noWrap/>
            <w:vAlign w:val="center"/>
          </w:tcPr>
          <w:p w14:paraId="0894F64A" w14:textId="72148096"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00" w:type="dxa"/>
            <w:tcBorders>
              <w:top w:val="nil"/>
              <w:left w:val="nil"/>
              <w:bottom w:val="nil"/>
              <w:right w:val="single" w:sz="4" w:space="0" w:color="auto"/>
            </w:tcBorders>
            <w:shd w:val="clear" w:color="auto" w:fill="auto"/>
            <w:noWrap/>
            <w:vAlign w:val="bottom"/>
            <w:hideMark/>
          </w:tcPr>
          <w:p w14:paraId="55B925F6"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D62DED" w:rsidRPr="00E22F29" w14:paraId="000C4736" w14:textId="77777777" w:rsidTr="001100BE">
        <w:trPr>
          <w:trHeight w:val="315"/>
          <w:jc w:val="center"/>
        </w:trPr>
        <w:tc>
          <w:tcPr>
            <w:tcW w:w="4360" w:type="dxa"/>
            <w:tcBorders>
              <w:top w:val="nil"/>
              <w:left w:val="single" w:sz="4" w:space="0" w:color="auto"/>
              <w:bottom w:val="nil"/>
              <w:right w:val="nil"/>
            </w:tcBorders>
            <w:shd w:val="clear" w:color="auto" w:fill="auto"/>
            <w:noWrap/>
            <w:vAlign w:val="center"/>
          </w:tcPr>
          <w:p w14:paraId="71D627D6" w14:textId="518987C3" w:rsidR="00D62DED" w:rsidRPr="00E22F29" w:rsidRDefault="00D62DED" w:rsidP="005470D1">
            <w:pPr>
              <w:spacing w:after="0" w:line="360" w:lineRule="auto"/>
              <w:jc w:val="both"/>
              <w:rPr>
                <w:rFonts w:ascii="Times New Roman" w:eastAsia="Times New Roman" w:hAnsi="Times New Roman" w:cs="Times New Roman"/>
                <w:color w:val="000000"/>
                <w:sz w:val="24"/>
                <w:szCs w:val="24"/>
              </w:rPr>
            </w:pPr>
            <w:r w:rsidRPr="00E22F29">
              <w:rPr>
                <w:rFonts w:ascii="Times New Roman" w:eastAsia="Times New Roman" w:hAnsi="Times New Roman" w:cs="Times New Roman"/>
                <w:color w:val="000000"/>
                <w:sz w:val="24"/>
                <w:szCs w:val="24"/>
              </w:rPr>
              <w:t xml:space="preserve">    Add: credit sales</w:t>
            </w:r>
          </w:p>
        </w:tc>
        <w:tc>
          <w:tcPr>
            <w:tcW w:w="1300" w:type="dxa"/>
            <w:tcBorders>
              <w:top w:val="nil"/>
              <w:left w:val="nil"/>
              <w:bottom w:val="single" w:sz="4" w:space="0" w:color="auto"/>
              <w:right w:val="nil"/>
            </w:tcBorders>
            <w:shd w:val="clear" w:color="auto" w:fill="auto"/>
            <w:noWrap/>
            <w:vAlign w:val="center"/>
          </w:tcPr>
          <w:p w14:paraId="3FC33F91" w14:textId="225491F7" w:rsidR="00D62DED" w:rsidRPr="00E22F29" w:rsidRDefault="00D62DED" w:rsidP="005470D1">
            <w:pPr>
              <w:spacing w:after="0" w:line="360" w:lineRule="auto"/>
              <w:jc w:val="both"/>
              <w:rPr>
                <w:rFonts w:ascii="Times New Roman" w:eastAsia="Times New Roman" w:hAnsi="Times New Roman" w:cs="Times New Roman"/>
                <w:color w:val="000000"/>
                <w:sz w:val="24"/>
                <w:szCs w:val="24"/>
              </w:rPr>
            </w:pPr>
            <w:r w:rsidRPr="00E22F29">
              <w:rPr>
                <w:rFonts w:ascii="Times New Roman" w:eastAsia="Times New Roman" w:hAnsi="Times New Roman" w:cs="Times New Roman"/>
                <w:color w:val="000000"/>
                <w:sz w:val="24"/>
                <w:szCs w:val="24"/>
              </w:rPr>
              <w:t>£980</w:t>
            </w:r>
          </w:p>
        </w:tc>
        <w:tc>
          <w:tcPr>
            <w:tcW w:w="1520" w:type="dxa"/>
            <w:tcBorders>
              <w:top w:val="nil"/>
              <w:left w:val="nil"/>
              <w:bottom w:val="nil"/>
              <w:right w:val="nil"/>
            </w:tcBorders>
            <w:shd w:val="clear" w:color="auto" w:fill="auto"/>
            <w:noWrap/>
            <w:vAlign w:val="center"/>
          </w:tcPr>
          <w:p w14:paraId="406A7D36" w14:textId="21707451" w:rsidR="00D62DED" w:rsidRPr="00E22F29" w:rsidRDefault="00D62DED" w:rsidP="005470D1">
            <w:pPr>
              <w:spacing w:after="0" w:line="360" w:lineRule="auto"/>
              <w:jc w:val="both"/>
              <w:rPr>
                <w:rFonts w:ascii="Times New Roman" w:eastAsia="Times New Roman" w:hAnsi="Times New Roman" w:cs="Times New Roman"/>
                <w:color w:val="000000"/>
                <w:sz w:val="24"/>
                <w:szCs w:val="24"/>
              </w:rPr>
            </w:pPr>
            <w:r w:rsidRPr="00E22F29">
              <w:rPr>
                <w:rFonts w:ascii="Times New Roman" w:eastAsia="Times New Roman" w:hAnsi="Times New Roman" w:cs="Times New Roman"/>
                <w:color w:val="000000"/>
                <w:sz w:val="24"/>
                <w:szCs w:val="24"/>
              </w:rPr>
              <w:t>£171,105</w:t>
            </w:r>
          </w:p>
        </w:tc>
        <w:tc>
          <w:tcPr>
            <w:tcW w:w="1500" w:type="dxa"/>
            <w:tcBorders>
              <w:top w:val="nil"/>
              <w:left w:val="nil"/>
              <w:bottom w:val="nil"/>
              <w:right w:val="single" w:sz="4" w:space="0" w:color="auto"/>
            </w:tcBorders>
            <w:shd w:val="clear" w:color="auto" w:fill="auto"/>
            <w:noWrap/>
            <w:vAlign w:val="bottom"/>
          </w:tcPr>
          <w:p w14:paraId="50524ACC" w14:textId="77777777" w:rsidR="00D62DED" w:rsidRPr="00E22F29" w:rsidRDefault="00D62DE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60E6B449" w14:textId="77777777" w:rsidTr="001100BE">
        <w:trPr>
          <w:trHeight w:val="330"/>
          <w:jc w:val="center"/>
        </w:trPr>
        <w:tc>
          <w:tcPr>
            <w:tcW w:w="4360" w:type="dxa"/>
            <w:tcBorders>
              <w:top w:val="nil"/>
              <w:left w:val="single" w:sz="4" w:space="0" w:color="auto"/>
              <w:bottom w:val="nil"/>
              <w:right w:val="nil"/>
            </w:tcBorders>
            <w:shd w:val="clear" w:color="auto" w:fill="auto"/>
            <w:noWrap/>
            <w:vAlign w:val="center"/>
            <w:hideMark/>
          </w:tcPr>
          <w:p w14:paraId="76D7EC9B"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Cash &amp; Bank</w:t>
            </w:r>
          </w:p>
        </w:tc>
        <w:tc>
          <w:tcPr>
            <w:tcW w:w="1300" w:type="dxa"/>
            <w:tcBorders>
              <w:top w:val="single" w:sz="4" w:space="0" w:color="auto"/>
              <w:left w:val="nil"/>
              <w:bottom w:val="nil"/>
              <w:right w:val="nil"/>
            </w:tcBorders>
            <w:shd w:val="clear" w:color="auto" w:fill="auto"/>
            <w:noWrap/>
            <w:vAlign w:val="center"/>
            <w:hideMark/>
          </w:tcPr>
          <w:p w14:paraId="549CDEE8"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20" w:type="dxa"/>
            <w:tcBorders>
              <w:top w:val="nil"/>
              <w:left w:val="nil"/>
              <w:bottom w:val="single" w:sz="8" w:space="0" w:color="auto"/>
              <w:right w:val="nil"/>
            </w:tcBorders>
            <w:shd w:val="clear" w:color="auto" w:fill="auto"/>
            <w:noWrap/>
            <w:vAlign w:val="center"/>
            <w:hideMark/>
          </w:tcPr>
          <w:p w14:paraId="21205A00"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£176,250</w:t>
            </w:r>
          </w:p>
        </w:tc>
        <w:tc>
          <w:tcPr>
            <w:tcW w:w="1500" w:type="dxa"/>
            <w:tcBorders>
              <w:top w:val="nil"/>
              <w:left w:val="nil"/>
              <w:bottom w:val="nil"/>
              <w:right w:val="single" w:sz="4" w:space="0" w:color="auto"/>
            </w:tcBorders>
            <w:shd w:val="clear" w:color="auto" w:fill="auto"/>
            <w:noWrap/>
            <w:vAlign w:val="bottom"/>
            <w:hideMark/>
          </w:tcPr>
          <w:p w14:paraId="7129852B"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319D69DD" w14:textId="77777777" w:rsidTr="001100BE">
        <w:trPr>
          <w:trHeight w:val="330"/>
          <w:jc w:val="center"/>
        </w:trPr>
        <w:tc>
          <w:tcPr>
            <w:tcW w:w="4360" w:type="dxa"/>
            <w:tcBorders>
              <w:top w:val="nil"/>
              <w:left w:val="single" w:sz="4" w:space="0" w:color="auto"/>
              <w:bottom w:val="single" w:sz="4" w:space="0" w:color="auto"/>
              <w:right w:val="nil"/>
            </w:tcBorders>
            <w:shd w:val="clear" w:color="auto" w:fill="auto"/>
            <w:noWrap/>
            <w:vAlign w:val="center"/>
            <w:hideMark/>
          </w:tcPr>
          <w:p w14:paraId="0D9F437E"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Total Current Asset</w:t>
            </w:r>
          </w:p>
        </w:tc>
        <w:tc>
          <w:tcPr>
            <w:tcW w:w="1300" w:type="dxa"/>
            <w:tcBorders>
              <w:top w:val="nil"/>
              <w:left w:val="nil"/>
              <w:bottom w:val="single" w:sz="4" w:space="0" w:color="auto"/>
              <w:right w:val="nil"/>
            </w:tcBorders>
            <w:shd w:val="clear" w:color="auto" w:fill="auto"/>
            <w:vAlign w:val="center"/>
            <w:hideMark/>
          </w:tcPr>
          <w:p w14:paraId="31ECECA0"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tc>
        <w:tc>
          <w:tcPr>
            <w:tcW w:w="1520" w:type="dxa"/>
            <w:tcBorders>
              <w:top w:val="nil"/>
              <w:left w:val="nil"/>
              <w:bottom w:val="single" w:sz="4" w:space="0" w:color="auto"/>
              <w:right w:val="nil"/>
            </w:tcBorders>
            <w:shd w:val="clear" w:color="auto" w:fill="auto"/>
            <w:vAlign w:val="center"/>
            <w:hideMark/>
          </w:tcPr>
          <w:p w14:paraId="693E8446"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1500" w:type="dxa"/>
            <w:tcBorders>
              <w:top w:val="nil"/>
              <w:left w:val="nil"/>
              <w:bottom w:val="single" w:sz="4" w:space="0" w:color="auto"/>
              <w:right w:val="single" w:sz="4" w:space="0" w:color="auto"/>
            </w:tcBorders>
            <w:shd w:val="clear" w:color="auto" w:fill="auto"/>
            <w:noWrap/>
            <w:vAlign w:val="center"/>
            <w:hideMark/>
          </w:tcPr>
          <w:p w14:paraId="1E655C94"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£777,955</w:t>
            </w:r>
          </w:p>
        </w:tc>
      </w:tr>
      <w:tr w:rsidR="002C6F0D" w:rsidRPr="00E22F29" w14:paraId="05B83F8F" w14:textId="77777777" w:rsidTr="001100BE">
        <w:trPr>
          <w:trHeight w:val="330"/>
          <w:jc w:val="center"/>
        </w:trPr>
        <w:tc>
          <w:tcPr>
            <w:tcW w:w="4360" w:type="dxa"/>
            <w:tcBorders>
              <w:top w:val="single" w:sz="4" w:space="0" w:color="auto"/>
              <w:left w:val="single" w:sz="4" w:space="0" w:color="auto"/>
              <w:bottom w:val="single" w:sz="4" w:space="0" w:color="auto"/>
              <w:right w:val="nil"/>
            </w:tcBorders>
            <w:shd w:val="clear" w:color="auto" w:fill="auto"/>
            <w:noWrap/>
            <w:vAlign w:val="center"/>
            <w:hideMark/>
          </w:tcPr>
          <w:p w14:paraId="7EF323CA"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Total Asset</w:t>
            </w:r>
          </w:p>
        </w:tc>
        <w:tc>
          <w:tcPr>
            <w:tcW w:w="1300" w:type="dxa"/>
            <w:tcBorders>
              <w:top w:val="single" w:sz="4" w:space="0" w:color="auto"/>
              <w:left w:val="nil"/>
              <w:bottom w:val="single" w:sz="4" w:space="0" w:color="auto"/>
              <w:right w:val="nil"/>
            </w:tcBorders>
            <w:shd w:val="clear" w:color="auto" w:fill="auto"/>
            <w:noWrap/>
            <w:vAlign w:val="center"/>
            <w:hideMark/>
          </w:tcPr>
          <w:p w14:paraId="62E5FB69"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p w14:paraId="50B0FAC9" w14:textId="1B493794" w:rsidR="00FD2A5F" w:rsidRPr="00E22F29" w:rsidRDefault="00FD2A5F" w:rsidP="005470D1">
            <w:pPr>
              <w:spacing w:after="0" w:line="360" w:lineRule="auto"/>
              <w:jc w:val="both"/>
              <w:rPr>
                <w:rFonts w:ascii="Times New Roman" w:eastAsia="Times New Roman" w:hAnsi="Times New Roman" w:cs="Times New Roman"/>
                <w:b/>
                <w:bCs/>
                <w:color w:val="000000"/>
                <w:sz w:val="24"/>
                <w:szCs w:val="24"/>
                <w:lang w:val="en-US"/>
              </w:rPr>
            </w:pPr>
          </w:p>
        </w:tc>
        <w:tc>
          <w:tcPr>
            <w:tcW w:w="1520" w:type="dxa"/>
            <w:tcBorders>
              <w:top w:val="single" w:sz="4" w:space="0" w:color="auto"/>
              <w:left w:val="nil"/>
              <w:bottom w:val="single" w:sz="4" w:space="0" w:color="auto"/>
              <w:right w:val="nil"/>
            </w:tcBorders>
            <w:shd w:val="clear" w:color="auto" w:fill="auto"/>
            <w:noWrap/>
            <w:vAlign w:val="center"/>
            <w:hideMark/>
          </w:tcPr>
          <w:p w14:paraId="3091DB58"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1500" w:type="dxa"/>
            <w:tcBorders>
              <w:top w:val="single" w:sz="4" w:space="0" w:color="auto"/>
              <w:left w:val="nil"/>
              <w:bottom w:val="single" w:sz="4" w:space="0" w:color="auto"/>
              <w:right w:val="single" w:sz="4" w:space="0" w:color="auto"/>
            </w:tcBorders>
            <w:shd w:val="clear" w:color="auto" w:fill="auto"/>
            <w:noWrap/>
            <w:vAlign w:val="center"/>
            <w:hideMark/>
          </w:tcPr>
          <w:p w14:paraId="66988F24"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u w:val="double"/>
                <w:lang w:val="en-US"/>
              </w:rPr>
            </w:pPr>
            <w:r w:rsidRPr="00E22F29">
              <w:rPr>
                <w:rFonts w:ascii="Times New Roman" w:eastAsia="Times New Roman" w:hAnsi="Times New Roman" w:cs="Times New Roman"/>
                <w:b/>
                <w:bCs/>
                <w:color w:val="000000"/>
                <w:sz w:val="24"/>
                <w:szCs w:val="24"/>
                <w:u w:val="double"/>
              </w:rPr>
              <w:t>£2,027,955</w:t>
            </w:r>
          </w:p>
        </w:tc>
      </w:tr>
      <w:tr w:rsidR="002C6F0D" w:rsidRPr="00E22F29" w14:paraId="4B8623F7" w14:textId="77777777" w:rsidTr="001100BE">
        <w:trPr>
          <w:trHeight w:val="330"/>
          <w:jc w:val="center"/>
        </w:trPr>
        <w:tc>
          <w:tcPr>
            <w:tcW w:w="4360" w:type="dxa"/>
            <w:tcBorders>
              <w:top w:val="single" w:sz="4" w:space="0" w:color="auto"/>
              <w:left w:val="single" w:sz="4" w:space="0" w:color="auto"/>
              <w:bottom w:val="nil"/>
              <w:right w:val="nil"/>
            </w:tcBorders>
            <w:shd w:val="clear" w:color="auto" w:fill="auto"/>
            <w:noWrap/>
            <w:vAlign w:val="center"/>
          </w:tcPr>
          <w:p w14:paraId="1832E6B8" w14:textId="0A52C655"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rPr>
            </w:pPr>
            <w:r w:rsidRPr="00E22F29">
              <w:rPr>
                <w:rFonts w:ascii="Times New Roman" w:eastAsia="Times New Roman" w:hAnsi="Times New Roman" w:cs="Times New Roman"/>
                <w:b/>
                <w:bCs/>
                <w:color w:val="000000"/>
                <w:sz w:val="24"/>
                <w:szCs w:val="24"/>
              </w:rPr>
              <w:t>Liabilities and Equity</w:t>
            </w:r>
          </w:p>
        </w:tc>
        <w:tc>
          <w:tcPr>
            <w:tcW w:w="1300" w:type="dxa"/>
            <w:tcBorders>
              <w:top w:val="single" w:sz="4" w:space="0" w:color="auto"/>
              <w:left w:val="nil"/>
              <w:bottom w:val="nil"/>
              <w:right w:val="nil"/>
            </w:tcBorders>
            <w:shd w:val="clear" w:color="auto" w:fill="auto"/>
            <w:noWrap/>
            <w:vAlign w:val="bottom"/>
          </w:tcPr>
          <w:p w14:paraId="73C9CF85"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tc>
        <w:tc>
          <w:tcPr>
            <w:tcW w:w="1520" w:type="dxa"/>
            <w:tcBorders>
              <w:top w:val="single" w:sz="4" w:space="0" w:color="auto"/>
              <w:left w:val="nil"/>
              <w:bottom w:val="nil"/>
              <w:right w:val="nil"/>
            </w:tcBorders>
            <w:shd w:val="clear" w:color="auto" w:fill="auto"/>
            <w:noWrap/>
            <w:vAlign w:val="bottom"/>
          </w:tcPr>
          <w:p w14:paraId="202B27BD"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1500" w:type="dxa"/>
            <w:tcBorders>
              <w:top w:val="single" w:sz="4" w:space="0" w:color="auto"/>
              <w:left w:val="nil"/>
              <w:bottom w:val="nil"/>
              <w:right w:val="single" w:sz="4" w:space="0" w:color="auto"/>
            </w:tcBorders>
            <w:shd w:val="clear" w:color="auto" w:fill="auto"/>
            <w:noWrap/>
            <w:vAlign w:val="bottom"/>
          </w:tcPr>
          <w:p w14:paraId="32A05268"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r>
      <w:tr w:rsidR="002C6F0D" w:rsidRPr="00E22F29" w14:paraId="2890893F" w14:textId="77777777" w:rsidTr="001100BE">
        <w:trPr>
          <w:trHeight w:val="330"/>
          <w:jc w:val="center"/>
        </w:trPr>
        <w:tc>
          <w:tcPr>
            <w:tcW w:w="4360" w:type="dxa"/>
            <w:tcBorders>
              <w:top w:val="nil"/>
              <w:left w:val="single" w:sz="4" w:space="0" w:color="auto"/>
              <w:bottom w:val="nil"/>
              <w:right w:val="nil"/>
            </w:tcBorders>
            <w:shd w:val="clear" w:color="auto" w:fill="auto"/>
            <w:noWrap/>
            <w:vAlign w:val="center"/>
          </w:tcPr>
          <w:p w14:paraId="741E9FCE" w14:textId="46ABEC42"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rPr>
            </w:pPr>
            <w:r w:rsidRPr="00E22F29">
              <w:rPr>
                <w:rFonts w:ascii="Times New Roman" w:eastAsia="Times New Roman" w:hAnsi="Times New Roman" w:cs="Times New Roman"/>
                <w:b/>
                <w:bCs/>
                <w:color w:val="000000"/>
                <w:sz w:val="24"/>
                <w:szCs w:val="24"/>
              </w:rPr>
              <w:t>Non-Current Liabilities</w:t>
            </w:r>
          </w:p>
        </w:tc>
        <w:tc>
          <w:tcPr>
            <w:tcW w:w="1300" w:type="dxa"/>
            <w:tcBorders>
              <w:top w:val="nil"/>
              <w:left w:val="nil"/>
              <w:bottom w:val="nil"/>
              <w:right w:val="nil"/>
            </w:tcBorders>
            <w:shd w:val="clear" w:color="auto" w:fill="auto"/>
            <w:noWrap/>
            <w:vAlign w:val="bottom"/>
          </w:tcPr>
          <w:p w14:paraId="55E5A350"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tc>
        <w:tc>
          <w:tcPr>
            <w:tcW w:w="1520" w:type="dxa"/>
            <w:tcBorders>
              <w:top w:val="nil"/>
              <w:left w:val="nil"/>
              <w:bottom w:val="nil"/>
              <w:right w:val="nil"/>
            </w:tcBorders>
            <w:shd w:val="clear" w:color="auto" w:fill="auto"/>
            <w:noWrap/>
            <w:vAlign w:val="bottom"/>
          </w:tcPr>
          <w:p w14:paraId="65B7091B"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1500" w:type="dxa"/>
            <w:tcBorders>
              <w:top w:val="nil"/>
              <w:left w:val="nil"/>
              <w:bottom w:val="nil"/>
              <w:right w:val="single" w:sz="4" w:space="0" w:color="auto"/>
            </w:tcBorders>
            <w:shd w:val="clear" w:color="auto" w:fill="auto"/>
            <w:noWrap/>
            <w:vAlign w:val="bottom"/>
          </w:tcPr>
          <w:p w14:paraId="39E530DE"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r>
      <w:tr w:rsidR="002C6F0D" w:rsidRPr="00E22F29" w14:paraId="5DD36AE4" w14:textId="77777777" w:rsidTr="001100BE">
        <w:trPr>
          <w:trHeight w:val="330"/>
          <w:jc w:val="center"/>
        </w:trPr>
        <w:tc>
          <w:tcPr>
            <w:tcW w:w="4360" w:type="dxa"/>
            <w:tcBorders>
              <w:top w:val="nil"/>
              <w:left w:val="single" w:sz="4" w:space="0" w:color="auto"/>
              <w:bottom w:val="nil"/>
              <w:right w:val="nil"/>
            </w:tcBorders>
            <w:shd w:val="clear" w:color="auto" w:fill="auto"/>
            <w:noWrap/>
            <w:vAlign w:val="center"/>
          </w:tcPr>
          <w:p w14:paraId="4BEDEC22" w14:textId="4C9388CD"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rPr>
            </w:pPr>
            <w:r w:rsidRPr="00E22F29">
              <w:rPr>
                <w:rFonts w:ascii="Times New Roman" w:eastAsia="Times New Roman" w:hAnsi="Times New Roman" w:cs="Times New Roman"/>
                <w:color w:val="000000"/>
                <w:sz w:val="24"/>
                <w:szCs w:val="24"/>
              </w:rPr>
              <w:t xml:space="preserve">   4% Debenture</w:t>
            </w:r>
          </w:p>
        </w:tc>
        <w:tc>
          <w:tcPr>
            <w:tcW w:w="1300" w:type="dxa"/>
            <w:tcBorders>
              <w:top w:val="nil"/>
              <w:left w:val="nil"/>
              <w:bottom w:val="nil"/>
              <w:right w:val="nil"/>
            </w:tcBorders>
            <w:shd w:val="clear" w:color="auto" w:fill="auto"/>
            <w:noWrap/>
            <w:vAlign w:val="bottom"/>
          </w:tcPr>
          <w:p w14:paraId="0188C1AD"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tc>
        <w:tc>
          <w:tcPr>
            <w:tcW w:w="1520" w:type="dxa"/>
            <w:tcBorders>
              <w:top w:val="nil"/>
              <w:left w:val="nil"/>
              <w:bottom w:val="nil"/>
              <w:right w:val="nil"/>
            </w:tcBorders>
            <w:shd w:val="clear" w:color="auto" w:fill="auto"/>
            <w:noWrap/>
            <w:vAlign w:val="bottom"/>
          </w:tcPr>
          <w:p w14:paraId="767ABDD8"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1500" w:type="dxa"/>
            <w:tcBorders>
              <w:top w:val="nil"/>
              <w:left w:val="nil"/>
              <w:bottom w:val="nil"/>
              <w:right w:val="single" w:sz="4" w:space="0" w:color="auto"/>
            </w:tcBorders>
            <w:shd w:val="clear" w:color="auto" w:fill="auto"/>
            <w:noWrap/>
            <w:vAlign w:val="center"/>
          </w:tcPr>
          <w:p w14:paraId="5DD209EB" w14:textId="52F3FEBB" w:rsidR="002C6F0D" w:rsidRPr="00E22F29" w:rsidRDefault="002C6F0D" w:rsidP="005470D1">
            <w:pPr>
              <w:spacing w:after="0" w:line="360" w:lineRule="auto"/>
              <w:jc w:val="both"/>
              <w:rPr>
                <w:rFonts w:ascii="Times New Roman" w:eastAsia="Times New Roman" w:hAnsi="Times New Roman" w:cs="Times New Roman"/>
                <w:sz w:val="24"/>
                <w:szCs w:val="24"/>
                <w:lang w:val="en-US"/>
              </w:rPr>
            </w:pPr>
            <w:r w:rsidRPr="00E22F29">
              <w:rPr>
                <w:rFonts w:ascii="Times New Roman" w:eastAsia="Times New Roman" w:hAnsi="Times New Roman" w:cs="Times New Roman"/>
                <w:color w:val="000000"/>
                <w:sz w:val="24"/>
                <w:szCs w:val="24"/>
              </w:rPr>
              <w:t>£200,000</w:t>
            </w:r>
          </w:p>
        </w:tc>
      </w:tr>
      <w:tr w:rsidR="002C6F0D" w:rsidRPr="00E22F29" w14:paraId="7EF85088" w14:textId="77777777" w:rsidTr="001100BE">
        <w:trPr>
          <w:trHeight w:val="330"/>
          <w:jc w:val="center"/>
        </w:trPr>
        <w:tc>
          <w:tcPr>
            <w:tcW w:w="4360" w:type="dxa"/>
            <w:tcBorders>
              <w:top w:val="nil"/>
              <w:left w:val="single" w:sz="4" w:space="0" w:color="auto"/>
              <w:bottom w:val="nil"/>
              <w:right w:val="nil"/>
            </w:tcBorders>
            <w:shd w:val="clear" w:color="auto" w:fill="auto"/>
            <w:noWrap/>
            <w:vAlign w:val="center"/>
            <w:hideMark/>
          </w:tcPr>
          <w:p w14:paraId="086AFE82"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Current Liabilities</w:t>
            </w:r>
          </w:p>
        </w:tc>
        <w:tc>
          <w:tcPr>
            <w:tcW w:w="1300" w:type="dxa"/>
            <w:tcBorders>
              <w:top w:val="nil"/>
              <w:left w:val="nil"/>
              <w:bottom w:val="nil"/>
              <w:right w:val="nil"/>
            </w:tcBorders>
            <w:shd w:val="clear" w:color="auto" w:fill="auto"/>
            <w:noWrap/>
            <w:vAlign w:val="bottom"/>
            <w:hideMark/>
          </w:tcPr>
          <w:p w14:paraId="0BB2857D"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tc>
        <w:tc>
          <w:tcPr>
            <w:tcW w:w="1520" w:type="dxa"/>
            <w:tcBorders>
              <w:top w:val="nil"/>
              <w:left w:val="nil"/>
              <w:bottom w:val="nil"/>
              <w:right w:val="nil"/>
            </w:tcBorders>
            <w:shd w:val="clear" w:color="auto" w:fill="auto"/>
            <w:noWrap/>
            <w:vAlign w:val="bottom"/>
            <w:hideMark/>
          </w:tcPr>
          <w:p w14:paraId="5AB7D218"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1500" w:type="dxa"/>
            <w:tcBorders>
              <w:top w:val="nil"/>
              <w:left w:val="nil"/>
              <w:bottom w:val="nil"/>
              <w:right w:val="single" w:sz="4" w:space="0" w:color="auto"/>
            </w:tcBorders>
            <w:shd w:val="clear" w:color="auto" w:fill="auto"/>
            <w:noWrap/>
            <w:vAlign w:val="bottom"/>
            <w:hideMark/>
          </w:tcPr>
          <w:p w14:paraId="5903B9B6"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r>
      <w:tr w:rsidR="002C6F0D" w:rsidRPr="00E22F29" w14:paraId="0EE76C8C" w14:textId="77777777" w:rsidTr="001100BE">
        <w:trPr>
          <w:trHeight w:val="315"/>
          <w:jc w:val="center"/>
        </w:trPr>
        <w:tc>
          <w:tcPr>
            <w:tcW w:w="4360" w:type="dxa"/>
            <w:tcBorders>
              <w:top w:val="nil"/>
              <w:left w:val="single" w:sz="4" w:space="0" w:color="auto"/>
              <w:bottom w:val="nil"/>
              <w:right w:val="nil"/>
            </w:tcBorders>
            <w:shd w:val="clear" w:color="auto" w:fill="auto"/>
            <w:noWrap/>
            <w:vAlign w:val="center"/>
            <w:hideMark/>
          </w:tcPr>
          <w:p w14:paraId="1736744F" w14:textId="3AEAB6D4"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Trade Payable</w:t>
            </w:r>
          </w:p>
        </w:tc>
        <w:tc>
          <w:tcPr>
            <w:tcW w:w="1300" w:type="dxa"/>
            <w:tcBorders>
              <w:top w:val="nil"/>
              <w:left w:val="nil"/>
              <w:bottom w:val="nil"/>
              <w:right w:val="nil"/>
            </w:tcBorders>
            <w:shd w:val="clear" w:color="auto" w:fill="auto"/>
            <w:noWrap/>
            <w:vAlign w:val="bottom"/>
            <w:hideMark/>
          </w:tcPr>
          <w:p w14:paraId="1F18BAC4"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20" w:type="dxa"/>
            <w:tcBorders>
              <w:top w:val="nil"/>
              <w:left w:val="nil"/>
              <w:bottom w:val="nil"/>
              <w:right w:val="nil"/>
            </w:tcBorders>
            <w:shd w:val="clear" w:color="auto" w:fill="auto"/>
            <w:noWrap/>
            <w:vAlign w:val="center"/>
            <w:hideMark/>
          </w:tcPr>
          <w:p w14:paraId="12C1B04C"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£188,625</w:t>
            </w:r>
          </w:p>
        </w:tc>
        <w:tc>
          <w:tcPr>
            <w:tcW w:w="1500" w:type="dxa"/>
            <w:tcBorders>
              <w:top w:val="nil"/>
              <w:left w:val="nil"/>
              <w:bottom w:val="nil"/>
              <w:right w:val="single" w:sz="4" w:space="0" w:color="auto"/>
            </w:tcBorders>
            <w:shd w:val="clear" w:color="auto" w:fill="auto"/>
            <w:noWrap/>
            <w:vAlign w:val="bottom"/>
            <w:hideMark/>
          </w:tcPr>
          <w:p w14:paraId="2B9504D7"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4D2214C3" w14:textId="77777777" w:rsidTr="001100BE">
        <w:trPr>
          <w:trHeight w:val="315"/>
          <w:jc w:val="center"/>
        </w:trPr>
        <w:tc>
          <w:tcPr>
            <w:tcW w:w="4360" w:type="dxa"/>
            <w:tcBorders>
              <w:top w:val="nil"/>
              <w:left w:val="single" w:sz="4" w:space="0" w:color="auto"/>
              <w:bottom w:val="nil"/>
              <w:right w:val="nil"/>
            </w:tcBorders>
            <w:shd w:val="clear" w:color="auto" w:fill="auto"/>
            <w:noWrap/>
            <w:vAlign w:val="center"/>
            <w:hideMark/>
          </w:tcPr>
          <w:p w14:paraId="5F3BF26D" w14:textId="03E1AC80"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w:t>
            </w:r>
            <w:r w:rsidR="00D62DED" w:rsidRPr="00E22F29">
              <w:rPr>
                <w:rFonts w:ascii="Times New Roman" w:eastAsia="Times New Roman" w:hAnsi="Times New Roman" w:cs="Times New Roman"/>
                <w:color w:val="000000"/>
                <w:sz w:val="24"/>
                <w:szCs w:val="24"/>
              </w:rPr>
              <w:t>Payable tax expense</w:t>
            </w:r>
          </w:p>
        </w:tc>
        <w:tc>
          <w:tcPr>
            <w:tcW w:w="1300" w:type="dxa"/>
            <w:tcBorders>
              <w:top w:val="nil"/>
              <w:left w:val="nil"/>
              <w:bottom w:val="nil"/>
              <w:right w:val="nil"/>
            </w:tcBorders>
            <w:shd w:val="clear" w:color="auto" w:fill="auto"/>
            <w:noWrap/>
            <w:vAlign w:val="bottom"/>
            <w:hideMark/>
          </w:tcPr>
          <w:p w14:paraId="19D028F3"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20" w:type="dxa"/>
            <w:tcBorders>
              <w:top w:val="nil"/>
              <w:left w:val="nil"/>
              <w:bottom w:val="nil"/>
              <w:right w:val="nil"/>
            </w:tcBorders>
            <w:shd w:val="clear" w:color="auto" w:fill="auto"/>
            <w:noWrap/>
            <w:vAlign w:val="center"/>
            <w:hideMark/>
          </w:tcPr>
          <w:p w14:paraId="61BFB496"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£100,000</w:t>
            </w:r>
          </w:p>
        </w:tc>
        <w:tc>
          <w:tcPr>
            <w:tcW w:w="1500" w:type="dxa"/>
            <w:tcBorders>
              <w:top w:val="nil"/>
              <w:left w:val="nil"/>
              <w:bottom w:val="nil"/>
              <w:right w:val="single" w:sz="4" w:space="0" w:color="auto"/>
            </w:tcBorders>
            <w:shd w:val="clear" w:color="auto" w:fill="auto"/>
            <w:noWrap/>
            <w:vAlign w:val="bottom"/>
            <w:hideMark/>
          </w:tcPr>
          <w:p w14:paraId="127FD52F"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5A6F1403" w14:textId="77777777" w:rsidTr="001100BE">
        <w:trPr>
          <w:trHeight w:val="315"/>
          <w:jc w:val="center"/>
        </w:trPr>
        <w:tc>
          <w:tcPr>
            <w:tcW w:w="4360" w:type="dxa"/>
            <w:tcBorders>
              <w:top w:val="nil"/>
              <w:left w:val="single" w:sz="4" w:space="0" w:color="auto"/>
              <w:bottom w:val="nil"/>
              <w:right w:val="nil"/>
            </w:tcBorders>
            <w:shd w:val="clear" w:color="auto" w:fill="auto"/>
            <w:noWrap/>
            <w:vAlign w:val="center"/>
            <w:hideMark/>
          </w:tcPr>
          <w:p w14:paraId="2F834885" w14:textId="0CAAA1B3"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w:t>
            </w:r>
            <w:r w:rsidR="00D62DED" w:rsidRPr="00E22F29">
              <w:rPr>
                <w:rFonts w:ascii="Times New Roman" w:eastAsia="Times New Roman" w:hAnsi="Times New Roman" w:cs="Times New Roman"/>
                <w:color w:val="000000"/>
                <w:sz w:val="24"/>
                <w:szCs w:val="24"/>
              </w:rPr>
              <w:t>P</w:t>
            </w:r>
            <w:r w:rsidRPr="00E22F29">
              <w:rPr>
                <w:rFonts w:ascii="Times New Roman" w:eastAsia="Times New Roman" w:hAnsi="Times New Roman" w:cs="Times New Roman"/>
                <w:color w:val="000000"/>
                <w:sz w:val="24"/>
                <w:szCs w:val="24"/>
              </w:rPr>
              <w:t>ayable</w:t>
            </w:r>
            <w:r w:rsidR="00D62DED" w:rsidRPr="00E22F29">
              <w:rPr>
                <w:rFonts w:ascii="Times New Roman" w:eastAsia="Times New Roman" w:hAnsi="Times New Roman" w:cs="Times New Roman"/>
                <w:color w:val="000000"/>
                <w:sz w:val="24"/>
                <w:szCs w:val="24"/>
              </w:rPr>
              <w:t xml:space="preserve"> commission expense</w:t>
            </w:r>
          </w:p>
        </w:tc>
        <w:tc>
          <w:tcPr>
            <w:tcW w:w="1300" w:type="dxa"/>
            <w:tcBorders>
              <w:top w:val="nil"/>
              <w:left w:val="nil"/>
              <w:bottom w:val="nil"/>
              <w:right w:val="nil"/>
            </w:tcBorders>
            <w:shd w:val="clear" w:color="auto" w:fill="auto"/>
            <w:noWrap/>
            <w:vAlign w:val="bottom"/>
            <w:hideMark/>
          </w:tcPr>
          <w:p w14:paraId="5A81DB53"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20" w:type="dxa"/>
            <w:tcBorders>
              <w:top w:val="nil"/>
              <w:left w:val="nil"/>
              <w:bottom w:val="nil"/>
              <w:right w:val="nil"/>
            </w:tcBorders>
            <w:shd w:val="clear" w:color="auto" w:fill="auto"/>
            <w:noWrap/>
            <w:vAlign w:val="center"/>
            <w:hideMark/>
          </w:tcPr>
          <w:p w14:paraId="42C7E428"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£3,000</w:t>
            </w:r>
          </w:p>
        </w:tc>
        <w:tc>
          <w:tcPr>
            <w:tcW w:w="1500" w:type="dxa"/>
            <w:tcBorders>
              <w:top w:val="nil"/>
              <w:left w:val="nil"/>
              <w:bottom w:val="nil"/>
              <w:right w:val="single" w:sz="4" w:space="0" w:color="auto"/>
            </w:tcBorders>
            <w:shd w:val="clear" w:color="auto" w:fill="auto"/>
            <w:noWrap/>
            <w:vAlign w:val="bottom"/>
            <w:hideMark/>
          </w:tcPr>
          <w:p w14:paraId="0988A6AE"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5D6B01C8" w14:textId="77777777" w:rsidTr="001100BE">
        <w:trPr>
          <w:trHeight w:val="315"/>
          <w:jc w:val="center"/>
        </w:trPr>
        <w:tc>
          <w:tcPr>
            <w:tcW w:w="4360" w:type="dxa"/>
            <w:tcBorders>
              <w:top w:val="nil"/>
              <w:left w:val="single" w:sz="4" w:space="0" w:color="auto"/>
              <w:bottom w:val="nil"/>
              <w:right w:val="nil"/>
            </w:tcBorders>
            <w:shd w:val="clear" w:color="auto" w:fill="auto"/>
            <w:noWrap/>
            <w:vAlign w:val="center"/>
            <w:hideMark/>
          </w:tcPr>
          <w:p w14:paraId="725F96C5" w14:textId="303A3174"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lang w:val="en-US"/>
              </w:rPr>
              <w:t xml:space="preserve">   </w:t>
            </w:r>
            <w:r w:rsidR="00D62DED" w:rsidRPr="00E22F29">
              <w:rPr>
                <w:rFonts w:ascii="Times New Roman" w:eastAsia="Times New Roman" w:hAnsi="Times New Roman" w:cs="Times New Roman"/>
                <w:color w:val="000000"/>
                <w:sz w:val="24"/>
                <w:szCs w:val="24"/>
                <w:lang w:val="en-US"/>
              </w:rPr>
              <w:t>P</w:t>
            </w:r>
            <w:r w:rsidRPr="00E22F29">
              <w:rPr>
                <w:rFonts w:ascii="Times New Roman" w:eastAsia="Times New Roman" w:hAnsi="Times New Roman" w:cs="Times New Roman"/>
                <w:color w:val="000000"/>
                <w:sz w:val="24"/>
                <w:szCs w:val="24"/>
                <w:lang w:val="en-US"/>
              </w:rPr>
              <w:t>ayable</w:t>
            </w:r>
            <w:r w:rsidR="00D62DED" w:rsidRPr="00E22F29">
              <w:rPr>
                <w:rFonts w:ascii="Times New Roman" w:eastAsia="Times New Roman" w:hAnsi="Times New Roman" w:cs="Times New Roman"/>
                <w:color w:val="000000"/>
                <w:sz w:val="24"/>
                <w:szCs w:val="24"/>
                <w:lang w:val="en-US"/>
              </w:rPr>
              <w:t xml:space="preserve"> preferred dividend</w:t>
            </w:r>
          </w:p>
        </w:tc>
        <w:tc>
          <w:tcPr>
            <w:tcW w:w="1300" w:type="dxa"/>
            <w:tcBorders>
              <w:top w:val="nil"/>
              <w:left w:val="nil"/>
              <w:bottom w:val="nil"/>
              <w:right w:val="nil"/>
            </w:tcBorders>
            <w:shd w:val="clear" w:color="auto" w:fill="auto"/>
            <w:noWrap/>
            <w:vAlign w:val="bottom"/>
            <w:hideMark/>
          </w:tcPr>
          <w:p w14:paraId="5828020B"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20" w:type="dxa"/>
            <w:tcBorders>
              <w:top w:val="nil"/>
              <w:left w:val="nil"/>
              <w:bottom w:val="nil"/>
              <w:right w:val="nil"/>
            </w:tcBorders>
            <w:shd w:val="clear" w:color="auto" w:fill="auto"/>
            <w:noWrap/>
            <w:vAlign w:val="center"/>
            <w:hideMark/>
          </w:tcPr>
          <w:p w14:paraId="11E35137"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lang w:val="en-US"/>
              </w:rPr>
              <w:t>£10,000</w:t>
            </w:r>
          </w:p>
        </w:tc>
        <w:tc>
          <w:tcPr>
            <w:tcW w:w="1500" w:type="dxa"/>
            <w:tcBorders>
              <w:top w:val="nil"/>
              <w:left w:val="nil"/>
              <w:bottom w:val="nil"/>
              <w:right w:val="single" w:sz="4" w:space="0" w:color="auto"/>
            </w:tcBorders>
            <w:shd w:val="clear" w:color="auto" w:fill="auto"/>
            <w:noWrap/>
            <w:vAlign w:val="bottom"/>
            <w:hideMark/>
          </w:tcPr>
          <w:p w14:paraId="58AF7010"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0AD0FFBC" w14:textId="77777777" w:rsidTr="001100BE">
        <w:trPr>
          <w:trHeight w:val="330"/>
          <w:jc w:val="center"/>
        </w:trPr>
        <w:tc>
          <w:tcPr>
            <w:tcW w:w="4360" w:type="dxa"/>
            <w:tcBorders>
              <w:top w:val="nil"/>
              <w:left w:val="single" w:sz="4" w:space="0" w:color="auto"/>
              <w:bottom w:val="nil"/>
              <w:right w:val="nil"/>
            </w:tcBorders>
            <w:shd w:val="clear" w:color="auto" w:fill="auto"/>
            <w:noWrap/>
            <w:vAlign w:val="center"/>
            <w:hideMark/>
          </w:tcPr>
          <w:p w14:paraId="6D304C0A" w14:textId="04AC7EC8"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w:t>
            </w:r>
            <w:r w:rsidR="00D62DED" w:rsidRPr="00E22F29">
              <w:rPr>
                <w:rFonts w:ascii="Times New Roman" w:eastAsia="Times New Roman" w:hAnsi="Times New Roman" w:cs="Times New Roman"/>
                <w:color w:val="000000"/>
                <w:sz w:val="24"/>
                <w:szCs w:val="24"/>
              </w:rPr>
              <w:t>Payable i</w:t>
            </w:r>
            <w:r w:rsidRPr="00E22F29">
              <w:rPr>
                <w:rFonts w:ascii="Times New Roman" w:eastAsia="Times New Roman" w:hAnsi="Times New Roman" w:cs="Times New Roman"/>
                <w:color w:val="000000"/>
                <w:sz w:val="24"/>
                <w:szCs w:val="24"/>
              </w:rPr>
              <w:t xml:space="preserve">nterest expense </w:t>
            </w:r>
          </w:p>
        </w:tc>
        <w:tc>
          <w:tcPr>
            <w:tcW w:w="1300" w:type="dxa"/>
            <w:tcBorders>
              <w:top w:val="nil"/>
              <w:left w:val="nil"/>
              <w:bottom w:val="nil"/>
              <w:right w:val="nil"/>
            </w:tcBorders>
            <w:shd w:val="clear" w:color="auto" w:fill="auto"/>
            <w:noWrap/>
            <w:vAlign w:val="bottom"/>
            <w:hideMark/>
          </w:tcPr>
          <w:p w14:paraId="70E21B88"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20" w:type="dxa"/>
            <w:tcBorders>
              <w:top w:val="nil"/>
              <w:left w:val="nil"/>
              <w:bottom w:val="single" w:sz="8" w:space="0" w:color="auto"/>
              <w:right w:val="nil"/>
            </w:tcBorders>
            <w:shd w:val="clear" w:color="auto" w:fill="auto"/>
            <w:noWrap/>
            <w:vAlign w:val="center"/>
            <w:hideMark/>
          </w:tcPr>
          <w:p w14:paraId="2D473302"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£6,000</w:t>
            </w:r>
          </w:p>
        </w:tc>
        <w:tc>
          <w:tcPr>
            <w:tcW w:w="1500" w:type="dxa"/>
            <w:tcBorders>
              <w:top w:val="nil"/>
              <w:left w:val="nil"/>
              <w:bottom w:val="nil"/>
              <w:right w:val="single" w:sz="4" w:space="0" w:color="auto"/>
            </w:tcBorders>
            <w:shd w:val="clear" w:color="auto" w:fill="auto"/>
            <w:noWrap/>
            <w:vAlign w:val="bottom"/>
            <w:hideMark/>
          </w:tcPr>
          <w:p w14:paraId="1F7C9E48"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2FD1ABE6" w14:textId="77777777" w:rsidTr="001100BE">
        <w:trPr>
          <w:trHeight w:val="330"/>
          <w:jc w:val="center"/>
        </w:trPr>
        <w:tc>
          <w:tcPr>
            <w:tcW w:w="4360" w:type="dxa"/>
            <w:tcBorders>
              <w:top w:val="nil"/>
              <w:left w:val="single" w:sz="4" w:space="0" w:color="auto"/>
              <w:bottom w:val="single" w:sz="4" w:space="0" w:color="auto"/>
              <w:right w:val="nil"/>
            </w:tcBorders>
            <w:shd w:val="clear" w:color="auto" w:fill="auto"/>
            <w:noWrap/>
            <w:vAlign w:val="center"/>
            <w:hideMark/>
          </w:tcPr>
          <w:p w14:paraId="0EEF7F08"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Total Current Liabilities</w:t>
            </w:r>
          </w:p>
        </w:tc>
        <w:tc>
          <w:tcPr>
            <w:tcW w:w="1300" w:type="dxa"/>
            <w:tcBorders>
              <w:top w:val="nil"/>
              <w:left w:val="nil"/>
              <w:bottom w:val="single" w:sz="4" w:space="0" w:color="auto"/>
              <w:right w:val="nil"/>
            </w:tcBorders>
            <w:shd w:val="clear" w:color="auto" w:fill="auto"/>
            <w:noWrap/>
            <w:vAlign w:val="bottom"/>
            <w:hideMark/>
          </w:tcPr>
          <w:p w14:paraId="14E8FE12"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tc>
        <w:tc>
          <w:tcPr>
            <w:tcW w:w="1520" w:type="dxa"/>
            <w:tcBorders>
              <w:top w:val="nil"/>
              <w:left w:val="nil"/>
              <w:bottom w:val="single" w:sz="4" w:space="0" w:color="auto"/>
              <w:right w:val="nil"/>
            </w:tcBorders>
            <w:shd w:val="clear" w:color="auto" w:fill="auto"/>
            <w:noWrap/>
            <w:vAlign w:val="bottom"/>
            <w:hideMark/>
          </w:tcPr>
          <w:p w14:paraId="4967B9CD"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1500" w:type="dxa"/>
            <w:tcBorders>
              <w:top w:val="nil"/>
              <w:left w:val="nil"/>
              <w:bottom w:val="single" w:sz="4" w:space="0" w:color="auto"/>
              <w:right w:val="single" w:sz="4" w:space="0" w:color="auto"/>
            </w:tcBorders>
            <w:shd w:val="clear" w:color="auto" w:fill="auto"/>
            <w:noWrap/>
            <w:vAlign w:val="center"/>
            <w:hideMark/>
          </w:tcPr>
          <w:p w14:paraId="2B4FCF55"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£307,625</w:t>
            </w:r>
          </w:p>
        </w:tc>
      </w:tr>
      <w:tr w:rsidR="002C6F0D" w:rsidRPr="00E22F29" w14:paraId="1E16F206" w14:textId="77777777" w:rsidTr="001100BE">
        <w:trPr>
          <w:trHeight w:val="315"/>
          <w:jc w:val="center"/>
        </w:trPr>
        <w:tc>
          <w:tcPr>
            <w:tcW w:w="7180" w:type="dxa"/>
            <w:gridSpan w:val="3"/>
            <w:tcBorders>
              <w:top w:val="single" w:sz="4" w:space="0" w:color="auto"/>
              <w:left w:val="single" w:sz="4" w:space="0" w:color="auto"/>
              <w:bottom w:val="nil"/>
              <w:right w:val="nil"/>
            </w:tcBorders>
            <w:shd w:val="clear" w:color="auto" w:fill="auto"/>
            <w:noWrap/>
            <w:vAlign w:val="center"/>
            <w:hideMark/>
          </w:tcPr>
          <w:p w14:paraId="0AB6F6D4"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Total Liabilities</w:t>
            </w:r>
          </w:p>
        </w:tc>
        <w:tc>
          <w:tcPr>
            <w:tcW w:w="1500" w:type="dxa"/>
            <w:tcBorders>
              <w:top w:val="single" w:sz="4" w:space="0" w:color="auto"/>
              <w:left w:val="nil"/>
              <w:bottom w:val="nil"/>
              <w:right w:val="single" w:sz="4" w:space="0" w:color="auto"/>
            </w:tcBorders>
            <w:shd w:val="clear" w:color="auto" w:fill="auto"/>
            <w:noWrap/>
            <w:vAlign w:val="center"/>
            <w:hideMark/>
          </w:tcPr>
          <w:p w14:paraId="2827E8B3"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u w:val="single"/>
                <w:lang w:val="en-US"/>
              </w:rPr>
            </w:pPr>
            <w:r w:rsidRPr="00E22F29">
              <w:rPr>
                <w:rFonts w:ascii="Times New Roman" w:eastAsia="Times New Roman" w:hAnsi="Times New Roman" w:cs="Times New Roman"/>
                <w:b/>
                <w:bCs/>
                <w:color w:val="000000"/>
                <w:sz w:val="24"/>
                <w:szCs w:val="24"/>
                <w:u w:val="single"/>
              </w:rPr>
              <w:t>£507,625</w:t>
            </w:r>
          </w:p>
        </w:tc>
      </w:tr>
      <w:tr w:rsidR="002C6F0D" w:rsidRPr="00E22F29" w14:paraId="106C29FA" w14:textId="77777777" w:rsidTr="001100BE">
        <w:trPr>
          <w:trHeight w:val="315"/>
          <w:jc w:val="center"/>
        </w:trPr>
        <w:tc>
          <w:tcPr>
            <w:tcW w:w="4360" w:type="dxa"/>
            <w:tcBorders>
              <w:top w:val="nil"/>
              <w:left w:val="single" w:sz="4" w:space="0" w:color="auto"/>
              <w:bottom w:val="nil"/>
              <w:right w:val="nil"/>
            </w:tcBorders>
            <w:shd w:val="clear" w:color="auto" w:fill="auto"/>
            <w:noWrap/>
            <w:vAlign w:val="center"/>
            <w:hideMark/>
          </w:tcPr>
          <w:p w14:paraId="714F7F3B" w14:textId="3008F308"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Shareholder's Equity</w:t>
            </w:r>
            <w:r w:rsidR="00FD2A5F" w:rsidRPr="00E22F29">
              <w:rPr>
                <w:rFonts w:ascii="Times New Roman" w:eastAsia="Times New Roman" w:hAnsi="Times New Roman" w:cs="Times New Roman"/>
                <w:b/>
                <w:bCs/>
                <w:color w:val="000000"/>
                <w:sz w:val="24"/>
                <w:szCs w:val="24"/>
              </w:rPr>
              <w:t>:</w:t>
            </w:r>
          </w:p>
        </w:tc>
        <w:tc>
          <w:tcPr>
            <w:tcW w:w="1300" w:type="dxa"/>
            <w:tcBorders>
              <w:top w:val="nil"/>
              <w:left w:val="nil"/>
              <w:bottom w:val="nil"/>
              <w:right w:val="nil"/>
            </w:tcBorders>
            <w:shd w:val="clear" w:color="auto" w:fill="auto"/>
            <w:noWrap/>
            <w:vAlign w:val="bottom"/>
            <w:hideMark/>
          </w:tcPr>
          <w:p w14:paraId="11D0FD56"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20" w:type="dxa"/>
            <w:tcBorders>
              <w:top w:val="nil"/>
              <w:left w:val="nil"/>
              <w:bottom w:val="nil"/>
              <w:right w:val="nil"/>
            </w:tcBorders>
            <w:shd w:val="clear" w:color="auto" w:fill="auto"/>
            <w:noWrap/>
            <w:vAlign w:val="bottom"/>
            <w:hideMark/>
          </w:tcPr>
          <w:p w14:paraId="19938C4F"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1500" w:type="dxa"/>
            <w:tcBorders>
              <w:top w:val="nil"/>
              <w:left w:val="nil"/>
              <w:bottom w:val="nil"/>
              <w:right w:val="single" w:sz="4" w:space="0" w:color="auto"/>
            </w:tcBorders>
            <w:shd w:val="clear" w:color="auto" w:fill="auto"/>
            <w:noWrap/>
            <w:vAlign w:val="bottom"/>
            <w:hideMark/>
          </w:tcPr>
          <w:p w14:paraId="4C7A71CA"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r>
      <w:tr w:rsidR="002C6F0D" w:rsidRPr="00E22F29" w14:paraId="0DBCEA96" w14:textId="77777777" w:rsidTr="001100BE">
        <w:trPr>
          <w:trHeight w:val="315"/>
          <w:jc w:val="center"/>
        </w:trPr>
        <w:tc>
          <w:tcPr>
            <w:tcW w:w="4360" w:type="dxa"/>
            <w:tcBorders>
              <w:top w:val="nil"/>
              <w:left w:val="single" w:sz="4" w:space="0" w:color="auto"/>
              <w:bottom w:val="nil"/>
              <w:right w:val="nil"/>
            </w:tcBorders>
            <w:shd w:val="clear" w:color="auto" w:fill="auto"/>
            <w:noWrap/>
            <w:vAlign w:val="center"/>
            <w:hideMark/>
          </w:tcPr>
          <w:p w14:paraId="20931C43"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10% £1 preference shares</w:t>
            </w:r>
          </w:p>
        </w:tc>
        <w:tc>
          <w:tcPr>
            <w:tcW w:w="1300" w:type="dxa"/>
            <w:tcBorders>
              <w:top w:val="nil"/>
              <w:left w:val="nil"/>
              <w:bottom w:val="nil"/>
              <w:right w:val="nil"/>
            </w:tcBorders>
            <w:shd w:val="clear" w:color="auto" w:fill="auto"/>
            <w:noWrap/>
            <w:vAlign w:val="bottom"/>
            <w:hideMark/>
          </w:tcPr>
          <w:p w14:paraId="46AFF1E8"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20" w:type="dxa"/>
            <w:tcBorders>
              <w:top w:val="nil"/>
              <w:left w:val="nil"/>
              <w:bottom w:val="nil"/>
              <w:right w:val="nil"/>
            </w:tcBorders>
            <w:shd w:val="clear" w:color="auto" w:fill="auto"/>
            <w:noWrap/>
            <w:vAlign w:val="center"/>
            <w:hideMark/>
          </w:tcPr>
          <w:p w14:paraId="66E03AA1"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£400,000</w:t>
            </w:r>
          </w:p>
        </w:tc>
        <w:tc>
          <w:tcPr>
            <w:tcW w:w="1500" w:type="dxa"/>
            <w:tcBorders>
              <w:top w:val="nil"/>
              <w:left w:val="nil"/>
              <w:bottom w:val="nil"/>
              <w:right w:val="single" w:sz="4" w:space="0" w:color="auto"/>
            </w:tcBorders>
            <w:shd w:val="clear" w:color="auto" w:fill="auto"/>
            <w:noWrap/>
            <w:vAlign w:val="bottom"/>
            <w:hideMark/>
          </w:tcPr>
          <w:p w14:paraId="43361B2A"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2FCF1B08" w14:textId="77777777" w:rsidTr="001100BE">
        <w:trPr>
          <w:trHeight w:val="315"/>
          <w:jc w:val="center"/>
        </w:trPr>
        <w:tc>
          <w:tcPr>
            <w:tcW w:w="4360" w:type="dxa"/>
            <w:tcBorders>
              <w:top w:val="nil"/>
              <w:left w:val="single" w:sz="4" w:space="0" w:color="auto"/>
              <w:bottom w:val="nil"/>
              <w:right w:val="nil"/>
            </w:tcBorders>
            <w:shd w:val="clear" w:color="auto" w:fill="auto"/>
            <w:noWrap/>
            <w:vAlign w:val="center"/>
            <w:hideMark/>
          </w:tcPr>
          <w:p w14:paraId="2380252E"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£1 Ordinary shares</w:t>
            </w:r>
          </w:p>
        </w:tc>
        <w:tc>
          <w:tcPr>
            <w:tcW w:w="1300" w:type="dxa"/>
            <w:tcBorders>
              <w:top w:val="nil"/>
              <w:left w:val="nil"/>
              <w:bottom w:val="nil"/>
              <w:right w:val="nil"/>
            </w:tcBorders>
            <w:shd w:val="clear" w:color="auto" w:fill="auto"/>
            <w:noWrap/>
            <w:vAlign w:val="bottom"/>
            <w:hideMark/>
          </w:tcPr>
          <w:p w14:paraId="061F2164"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20" w:type="dxa"/>
            <w:tcBorders>
              <w:top w:val="nil"/>
              <w:left w:val="nil"/>
              <w:bottom w:val="nil"/>
              <w:right w:val="nil"/>
            </w:tcBorders>
            <w:shd w:val="clear" w:color="auto" w:fill="auto"/>
            <w:noWrap/>
            <w:vAlign w:val="center"/>
            <w:hideMark/>
          </w:tcPr>
          <w:p w14:paraId="7350BE56"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£1,000,000</w:t>
            </w:r>
          </w:p>
        </w:tc>
        <w:tc>
          <w:tcPr>
            <w:tcW w:w="1500" w:type="dxa"/>
            <w:tcBorders>
              <w:top w:val="nil"/>
              <w:left w:val="nil"/>
              <w:bottom w:val="nil"/>
              <w:right w:val="single" w:sz="4" w:space="0" w:color="auto"/>
            </w:tcBorders>
            <w:shd w:val="clear" w:color="auto" w:fill="auto"/>
            <w:noWrap/>
            <w:vAlign w:val="bottom"/>
            <w:hideMark/>
          </w:tcPr>
          <w:p w14:paraId="7BA2CE3E"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3CD6D3AE" w14:textId="77777777" w:rsidTr="001100BE">
        <w:trPr>
          <w:trHeight w:val="315"/>
          <w:jc w:val="center"/>
        </w:trPr>
        <w:tc>
          <w:tcPr>
            <w:tcW w:w="4360" w:type="dxa"/>
            <w:tcBorders>
              <w:top w:val="nil"/>
              <w:left w:val="single" w:sz="4" w:space="0" w:color="auto"/>
              <w:bottom w:val="nil"/>
              <w:right w:val="nil"/>
            </w:tcBorders>
            <w:shd w:val="clear" w:color="auto" w:fill="auto"/>
            <w:noWrap/>
            <w:vAlign w:val="center"/>
            <w:hideMark/>
          </w:tcPr>
          <w:p w14:paraId="374CDB26" w14:textId="0BD038D6"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Retained </w:t>
            </w:r>
            <w:r w:rsidR="00FD2A5F" w:rsidRPr="00E22F29">
              <w:rPr>
                <w:rFonts w:ascii="Times New Roman" w:eastAsia="Times New Roman" w:hAnsi="Times New Roman" w:cs="Times New Roman"/>
                <w:color w:val="000000"/>
                <w:sz w:val="24"/>
                <w:szCs w:val="24"/>
              </w:rPr>
              <w:t>profit</w:t>
            </w:r>
            <w:r w:rsidRPr="00E22F29">
              <w:rPr>
                <w:rFonts w:ascii="Times New Roman" w:eastAsia="Times New Roman" w:hAnsi="Times New Roman" w:cs="Times New Roman"/>
                <w:color w:val="000000"/>
                <w:sz w:val="24"/>
                <w:szCs w:val="24"/>
              </w:rPr>
              <w:t xml:space="preserve"> </w:t>
            </w:r>
            <w:proofErr w:type="gramStart"/>
            <w:r w:rsidRPr="00E22F29">
              <w:rPr>
                <w:rFonts w:ascii="Times New Roman" w:eastAsia="Times New Roman" w:hAnsi="Times New Roman" w:cs="Times New Roman"/>
                <w:color w:val="000000"/>
                <w:sz w:val="24"/>
                <w:szCs w:val="24"/>
              </w:rPr>
              <w:t>at</w:t>
            </w:r>
            <w:proofErr w:type="gramEnd"/>
            <w:r w:rsidRPr="00E22F29">
              <w:rPr>
                <w:rFonts w:ascii="Times New Roman" w:eastAsia="Times New Roman" w:hAnsi="Times New Roman" w:cs="Times New Roman"/>
                <w:color w:val="000000"/>
                <w:sz w:val="24"/>
                <w:szCs w:val="24"/>
              </w:rPr>
              <w:t xml:space="preserve"> 1st January, 20</w:t>
            </w:r>
            <w:r w:rsidR="00FD2A5F" w:rsidRPr="00E22F29">
              <w:rPr>
                <w:rFonts w:ascii="Times New Roman" w:eastAsia="Times New Roman" w:hAnsi="Times New Roman" w:cs="Times New Roman"/>
                <w:color w:val="000000"/>
                <w:sz w:val="24"/>
                <w:szCs w:val="24"/>
              </w:rPr>
              <w:t>21</w:t>
            </w:r>
            <w:r w:rsidRPr="00E22F29">
              <w:rPr>
                <w:rFonts w:ascii="Times New Roman" w:eastAsia="Times New Roman" w:hAnsi="Times New Roman" w:cs="Times New Roman"/>
                <w:color w:val="000000"/>
                <w:sz w:val="24"/>
                <w:szCs w:val="24"/>
              </w:rPr>
              <w:t xml:space="preserve"> </w:t>
            </w:r>
          </w:p>
        </w:tc>
        <w:tc>
          <w:tcPr>
            <w:tcW w:w="1300" w:type="dxa"/>
            <w:tcBorders>
              <w:top w:val="nil"/>
              <w:left w:val="nil"/>
              <w:bottom w:val="nil"/>
              <w:right w:val="nil"/>
            </w:tcBorders>
            <w:shd w:val="clear" w:color="auto" w:fill="auto"/>
            <w:noWrap/>
            <w:vAlign w:val="center"/>
            <w:hideMark/>
          </w:tcPr>
          <w:p w14:paraId="1A800119"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£132,000</w:t>
            </w:r>
          </w:p>
        </w:tc>
        <w:tc>
          <w:tcPr>
            <w:tcW w:w="1520" w:type="dxa"/>
            <w:tcBorders>
              <w:top w:val="nil"/>
              <w:left w:val="nil"/>
              <w:bottom w:val="nil"/>
              <w:right w:val="nil"/>
            </w:tcBorders>
            <w:shd w:val="clear" w:color="auto" w:fill="auto"/>
            <w:noWrap/>
            <w:vAlign w:val="bottom"/>
            <w:hideMark/>
          </w:tcPr>
          <w:p w14:paraId="3BB6C9B7"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00" w:type="dxa"/>
            <w:tcBorders>
              <w:top w:val="nil"/>
              <w:left w:val="nil"/>
              <w:bottom w:val="nil"/>
              <w:right w:val="single" w:sz="4" w:space="0" w:color="auto"/>
            </w:tcBorders>
            <w:shd w:val="clear" w:color="auto" w:fill="auto"/>
            <w:noWrap/>
            <w:vAlign w:val="bottom"/>
            <w:hideMark/>
          </w:tcPr>
          <w:p w14:paraId="6E653CB5"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r>
      <w:tr w:rsidR="002C6F0D" w:rsidRPr="00E22F29" w14:paraId="00567C82" w14:textId="77777777" w:rsidTr="001100BE">
        <w:trPr>
          <w:trHeight w:val="315"/>
          <w:jc w:val="center"/>
        </w:trPr>
        <w:tc>
          <w:tcPr>
            <w:tcW w:w="4360" w:type="dxa"/>
            <w:tcBorders>
              <w:top w:val="nil"/>
              <w:left w:val="single" w:sz="4" w:space="0" w:color="auto"/>
              <w:bottom w:val="nil"/>
              <w:right w:val="nil"/>
            </w:tcBorders>
            <w:shd w:val="clear" w:color="auto" w:fill="auto"/>
            <w:noWrap/>
            <w:vAlign w:val="center"/>
            <w:hideMark/>
          </w:tcPr>
          <w:p w14:paraId="188391A8" w14:textId="3C05D57B"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Add: Profit </w:t>
            </w:r>
            <w:r w:rsidR="00FD2A5F" w:rsidRPr="00E22F29">
              <w:rPr>
                <w:rFonts w:ascii="Times New Roman" w:eastAsia="Times New Roman" w:hAnsi="Times New Roman" w:cs="Times New Roman"/>
                <w:color w:val="000000"/>
                <w:sz w:val="24"/>
                <w:szCs w:val="24"/>
              </w:rPr>
              <w:t>in the year 2021</w:t>
            </w:r>
          </w:p>
        </w:tc>
        <w:tc>
          <w:tcPr>
            <w:tcW w:w="1300" w:type="dxa"/>
            <w:tcBorders>
              <w:top w:val="nil"/>
              <w:left w:val="nil"/>
              <w:bottom w:val="nil"/>
              <w:right w:val="nil"/>
            </w:tcBorders>
            <w:shd w:val="clear" w:color="auto" w:fill="auto"/>
            <w:noWrap/>
            <w:vAlign w:val="center"/>
            <w:hideMark/>
          </w:tcPr>
          <w:p w14:paraId="0A778C89"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£8,330</w:t>
            </w:r>
          </w:p>
        </w:tc>
        <w:tc>
          <w:tcPr>
            <w:tcW w:w="1520" w:type="dxa"/>
            <w:tcBorders>
              <w:top w:val="nil"/>
              <w:left w:val="nil"/>
              <w:bottom w:val="nil"/>
              <w:right w:val="nil"/>
            </w:tcBorders>
            <w:shd w:val="clear" w:color="auto" w:fill="auto"/>
            <w:noWrap/>
            <w:vAlign w:val="bottom"/>
            <w:hideMark/>
          </w:tcPr>
          <w:p w14:paraId="27572795"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00" w:type="dxa"/>
            <w:tcBorders>
              <w:top w:val="nil"/>
              <w:left w:val="nil"/>
              <w:bottom w:val="nil"/>
              <w:right w:val="single" w:sz="4" w:space="0" w:color="auto"/>
            </w:tcBorders>
            <w:shd w:val="clear" w:color="auto" w:fill="auto"/>
            <w:noWrap/>
            <w:vAlign w:val="bottom"/>
            <w:hideMark/>
          </w:tcPr>
          <w:p w14:paraId="5596415D"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r>
      <w:tr w:rsidR="002C6F0D" w:rsidRPr="00E22F29" w14:paraId="2F595050" w14:textId="77777777" w:rsidTr="001100BE">
        <w:trPr>
          <w:trHeight w:val="315"/>
          <w:jc w:val="center"/>
        </w:trPr>
        <w:tc>
          <w:tcPr>
            <w:tcW w:w="4360" w:type="dxa"/>
            <w:tcBorders>
              <w:top w:val="nil"/>
              <w:left w:val="single" w:sz="4" w:space="0" w:color="auto"/>
              <w:bottom w:val="nil"/>
              <w:right w:val="nil"/>
            </w:tcBorders>
            <w:shd w:val="clear" w:color="auto" w:fill="auto"/>
            <w:noWrap/>
            <w:vAlign w:val="center"/>
            <w:hideMark/>
          </w:tcPr>
          <w:p w14:paraId="10F33409"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Less: Ordinary Dividend Payment</w:t>
            </w:r>
          </w:p>
        </w:tc>
        <w:tc>
          <w:tcPr>
            <w:tcW w:w="1300" w:type="dxa"/>
            <w:tcBorders>
              <w:top w:val="nil"/>
              <w:left w:val="nil"/>
              <w:bottom w:val="nil"/>
              <w:right w:val="nil"/>
            </w:tcBorders>
            <w:shd w:val="clear" w:color="auto" w:fill="auto"/>
            <w:noWrap/>
            <w:vAlign w:val="center"/>
            <w:hideMark/>
          </w:tcPr>
          <w:p w14:paraId="5D200893"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£20,000</w:t>
            </w:r>
          </w:p>
        </w:tc>
        <w:tc>
          <w:tcPr>
            <w:tcW w:w="1520" w:type="dxa"/>
            <w:tcBorders>
              <w:top w:val="nil"/>
              <w:left w:val="nil"/>
              <w:bottom w:val="nil"/>
              <w:right w:val="nil"/>
            </w:tcBorders>
            <w:shd w:val="clear" w:color="auto" w:fill="auto"/>
            <w:noWrap/>
            <w:vAlign w:val="bottom"/>
            <w:hideMark/>
          </w:tcPr>
          <w:p w14:paraId="30F5C64D"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00" w:type="dxa"/>
            <w:tcBorders>
              <w:top w:val="nil"/>
              <w:left w:val="nil"/>
              <w:bottom w:val="nil"/>
              <w:right w:val="single" w:sz="4" w:space="0" w:color="auto"/>
            </w:tcBorders>
            <w:shd w:val="clear" w:color="auto" w:fill="auto"/>
            <w:noWrap/>
            <w:vAlign w:val="bottom"/>
            <w:hideMark/>
          </w:tcPr>
          <w:p w14:paraId="5FC54E4A"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r>
      <w:tr w:rsidR="002C6F0D" w:rsidRPr="00E22F29" w14:paraId="00D1BE4E" w14:textId="77777777" w:rsidTr="001100BE">
        <w:trPr>
          <w:trHeight w:val="330"/>
          <w:jc w:val="center"/>
        </w:trPr>
        <w:tc>
          <w:tcPr>
            <w:tcW w:w="4360" w:type="dxa"/>
            <w:tcBorders>
              <w:top w:val="nil"/>
              <w:left w:val="single" w:sz="4" w:space="0" w:color="auto"/>
              <w:bottom w:val="nil"/>
              <w:right w:val="nil"/>
            </w:tcBorders>
            <w:shd w:val="clear" w:color="auto" w:fill="auto"/>
            <w:noWrap/>
            <w:vAlign w:val="center"/>
            <w:hideMark/>
          </w:tcPr>
          <w:p w14:paraId="106AE854" w14:textId="2FBB0FE4"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 xml:space="preserve">   Retained </w:t>
            </w:r>
            <w:r w:rsidR="00FD2A5F" w:rsidRPr="00E22F29">
              <w:rPr>
                <w:rFonts w:ascii="Times New Roman" w:eastAsia="Times New Roman" w:hAnsi="Times New Roman" w:cs="Times New Roman"/>
                <w:color w:val="000000"/>
                <w:sz w:val="24"/>
                <w:szCs w:val="24"/>
              </w:rPr>
              <w:t>profit</w:t>
            </w:r>
            <w:r w:rsidRPr="00E22F29">
              <w:rPr>
                <w:rFonts w:ascii="Times New Roman" w:eastAsia="Times New Roman" w:hAnsi="Times New Roman" w:cs="Times New Roman"/>
                <w:color w:val="000000"/>
                <w:sz w:val="24"/>
                <w:szCs w:val="24"/>
              </w:rPr>
              <w:t xml:space="preserve"> </w:t>
            </w:r>
            <w:proofErr w:type="gramStart"/>
            <w:r w:rsidRPr="00E22F29">
              <w:rPr>
                <w:rFonts w:ascii="Times New Roman" w:eastAsia="Times New Roman" w:hAnsi="Times New Roman" w:cs="Times New Roman"/>
                <w:color w:val="000000"/>
                <w:sz w:val="24"/>
                <w:szCs w:val="24"/>
              </w:rPr>
              <w:t>at</w:t>
            </w:r>
            <w:proofErr w:type="gramEnd"/>
            <w:r w:rsidRPr="00E22F29">
              <w:rPr>
                <w:rFonts w:ascii="Times New Roman" w:eastAsia="Times New Roman" w:hAnsi="Times New Roman" w:cs="Times New Roman"/>
                <w:color w:val="000000"/>
                <w:sz w:val="24"/>
                <w:szCs w:val="24"/>
              </w:rPr>
              <w:t xml:space="preserve"> 31st December, 20</w:t>
            </w:r>
            <w:r w:rsidR="00FD2A5F" w:rsidRPr="00E22F29">
              <w:rPr>
                <w:rFonts w:ascii="Times New Roman" w:eastAsia="Times New Roman" w:hAnsi="Times New Roman" w:cs="Times New Roman"/>
                <w:color w:val="000000"/>
                <w:sz w:val="24"/>
                <w:szCs w:val="24"/>
              </w:rPr>
              <w:t>22</w:t>
            </w:r>
            <w:r w:rsidRPr="00E22F29">
              <w:rPr>
                <w:rFonts w:ascii="Times New Roman" w:eastAsia="Times New Roman" w:hAnsi="Times New Roman" w:cs="Times New Roman"/>
                <w:color w:val="000000"/>
                <w:sz w:val="24"/>
                <w:szCs w:val="24"/>
              </w:rPr>
              <w:t xml:space="preserve"> </w:t>
            </w:r>
          </w:p>
        </w:tc>
        <w:tc>
          <w:tcPr>
            <w:tcW w:w="1300" w:type="dxa"/>
            <w:tcBorders>
              <w:top w:val="nil"/>
              <w:left w:val="nil"/>
              <w:bottom w:val="nil"/>
              <w:right w:val="nil"/>
            </w:tcBorders>
            <w:shd w:val="clear" w:color="auto" w:fill="auto"/>
            <w:noWrap/>
            <w:vAlign w:val="bottom"/>
            <w:hideMark/>
          </w:tcPr>
          <w:p w14:paraId="705F9B21"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c>
          <w:tcPr>
            <w:tcW w:w="1520" w:type="dxa"/>
            <w:tcBorders>
              <w:top w:val="nil"/>
              <w:left w:val="nil"/>
              <w:bottom w:val="single" w:sz="8" w:space="0" w:color="auto"/>
              <w:right w:val="nil"/>
            </w:tcBorders>
            <w:shd w:val="clear" w:color="auto" w:fill="auto"/>
            <w:noWrap/>
            <w:vAlign w:val="center"/>
            <w:hideMark/>
          </w:tcPr>
          <w:p w14:paraId="1ECF3F2B"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r w:rsidRPr="00E22F29">
              <w:rPr>
                <w:rFonts w:ascii="Times New Roman" w:eastAsia="Times New Roman" w:hAnsi="Times New Roman" w:cs="Times New Roman"/>
                <w:color w:val="000000"/>
                <w:sz w:val="24"/>
                <w:szCs w:val="24"/>
              </w:rPr>
              <w:t>£120,330</w:t>
            </w:r>
          </w:p>
        </w:tc>
        <w:tc>
          <w:tcPr>
            <w:tcW w:w="1500" w:type="dxa"/>
            <w:tcBorders>
              <w:top w:val="nil"/>
              <w:left w:val="nil"/>
              <w:bottom w:val="nil"/>
              <w:right w:val="single" w:sz="4" w:space="0" w:color="auto"/>
            </w:tcBorders>
            <w:shd w:val="clear" w:color="auto" w:fill="auto"/>
            <w:noWrap/>
            <w:vAlign w:val="bottom"/>
            <w:hideMark/>
          </w:tcPr>
          <w:p w14:paraId="0FB729F8" w14:textId="77777777" w:rsidR="002C6F0D" w:rsidRPr="00E22F29" w:rsidRDefault="002C6F0D" w:rsidP="005470D1">
            <w:pPr>
              <w:spacing w:after="0" w:line="360" w:lineRule="auto"/>
              <w:jc w:val="both"/>
              <w:rPr>
                <w:rFonts w:ascii="Times New Roman" w:eastAsia="Times New Roman" w:hAnsi="Times New Roman" w:cs="Times New Roman"/>
                <w:color w:val="000000"/>
                <w:sz w:val="24"/>
                <w:szCs w:val="24"/>
                <w:lang w:val="en-US"/>
              </w:rPr>
            </w:pPr>
          </w:p>
        </w:tc>
      </w:tr>
      <w:tr w:rsidR="002C6F0D" w:rsidRPr="00E22F29" w14:paraId="7C2156A6" w14:textId="77777777" w:rsidTr="001100BE">
        <w:trPr>
          <w:trHeight w:val="330"/>
          <w:jc w:val="center"/>
        </w:trPr>
        <w:tc>
          <w:tcPr>
            <w:tcW w:w="4360" w:type="dxa"/>
            <w:tcBorders>
              <w:top w:val="nil"/>
              <w:left w:val="single" w:sz="4" w:space="0" w:color="auto"/>
              <w:bottom w:val="single" w:sz="4" w:space="0" w:color="auto"/>
              <w:right w:val="nil"/>
            </w:tcBorders>
            <w:shd w:val="clear" w:color="auto" w:fill="auto"/>
            <w:noWrap/>
            <w:vAlign w:val="center"/>
            <w:hideMark/>
          </w:tcPr>
          <w:p w14:paraId="097E5416"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rPr>
              <w:t>Total Shareholder's Equity</w:t>
            </w:r>
          </w:p>
        </w:tc>
        <w:tc>
          <w:tcPr>
            <w:tcW w:w="1300" w:type="dxa"/>
            <w:tcBorders>
              <w:top w:val="nil"/>
              <w:left w:val="nil"/>
              <w:bottom w:val="single" w:sz="4" w:space="0" w:color="auto"/>
              <w:right w:val="nil"/>
            </w:tcBorders>
            <w:shd w:val="clear" w:color="auto" w:fill="auto"/>
            <w:vAlign w:val="center"/>
            <w:hideMark/>
          </w:tcPr>
          <w:p w14:paraId="4E6C87BD"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tc>
        <w:tc>
          <w:tcPr>
            <w:tcW w:w="1520" w:type="dxa"/>
            <w:tcBorders>
              <w:top w:val="nil"/>
              <w:left w:val="nil"/>
              <w:bottom w:val="single" w:sz="4" w:space="0" w:color="auto"/>
              <w:right w:val="nil"/>
            </w:tcBorders>
            <w:shd w:val="clear" w:color="auto" w:fill="auto"/>
            <w:vAlign w:val="center"/>
            <w:hideMark/>
          </w:tcPr>
          <w:p w14:paraId="34A04866"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1500" w:type="dxa"/>
            <w:tcBorders>
              <w:top w:val="nil"/>
              <w:left w:val="nil"/>
              <w:bottom w:val="single" w:sz="4" w:space="0" w:color="auto"/>
              <w:right w:val="single" w:sz="4" w:space="0" w:color="auto"/>
            </w:tcBorders>
            <w:shd w:val="clear" w:color="auto" w:fill="auto"/>
            <w:noWrap/>
            <w:vAlign w:val="center"/>
            <w:hideMark/>
          </w:tcPr>
          <w:p w14:paraId="04062E0D"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u w:val="single"/>
                <w:lang w:val="en-US"/>
              </w:rPr>
            </w:pPr>
            <w:r w:rsidRPr="00E22F29">
              <w:rPr>
                <w:rFonts w:ascii="Times New Roman" w:eastAsia="Times New Roman" w:hAnsi="Times New Roman" w:cs="Times New Roman"/>
                <w:b/>
                <w:bCs/>
                <w:color w:val="000000"/>
                <w:sz w:val="24"/>
                <w:szCs w:val="24"/>
                <w:u w:val="single"/>
              </w:rPr>
              <w:t>£1,520,330</w:t>
            </w:r>
          </w:p>
        </w:tc>
      </w:tr>
      <w:tr w:rsidR="002C6F0D" w:rsidRPr="00E22F29" w14:paraId="780E6D24" w14:textId="77777777" w:rsidTr="001100BE">
        <w:trPr>
          <w:trHeight w:val="330"/>
          <w:jc w:val="center"/>
        </w:trPr>
        <w:tc>
          <w:tcPr>
            <w:tcW w:w="4360" w:type="dxa"/>
            <w:tcBorders>
              <w:top w:val="single" w:sz="4" w:space="0" w:color="auto"/>
              <w:left w:val="single" w:sz="4" w:space="0" w:color="auto"/>
              <w:bottom w:val="single" w:sz="4" w:space="0" w:color="auto"/>
              <w:right w:val="nil"/>
            </w:tcBorders>
            <w:shd w:val="clear" w:color="auto" w:fill="auto"/>
            <w:noWrap/>
            <w:vAlign w:val="center"/>
            <w:hideMark/>
          </w:tcPr>
          <w:p w14:paraId="26062BC5"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r w:rsidRPr="00E22F29">
              <w:rPr>
                <w:rFonts w:ascii="Times New Roman" w:eastAsia="Times New Roman" w:hAnsi="Times New Roman" w:cs="Times New Roman"/>
                <w:b/>
                <w:bCs/>
                <w:color w:val="000000"/>
                <w:sz w:val="24"/>
                <w:szCs w:val="24"/>
                <w:lang w:eastAsia="en-GB"/>
              </w:rPr>
              <w:t>Total Liabilities &amp; Shareholder's Equity</w:t>
            </w:r>
          </w:p>
        </w:tc>
        <w:tc>
          <w:tcPr>
            <w:tcW w:w="1300" w:type="dxa"/>
            <w:tcBorders>
              <w:top w:val="single" w:sz="4" w:space="0" w:color="auto"/>
              <w:left w:val="nil"/>
              <w:bottom w:val="single" w:sz="4" w:space="0" w:color="auto"/>
              <w:right w:val="nil"/>
            </w:tcBorders>
            <w:shd w:val="clear" w:color="auto" w:fill="auto"/>
            <w:vAlign w:val="center"/>
            <w:hideMark/>
          </w:tcPr>
          <w:p w14:paraId="49F01B04"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lang w:val="en-US"/>
              </w:rPr>
            </w:pPr>
          </w:p>
          <w:p w14:paraId="55C9FC02" w14:textId="42BC3954" w:rsidR="00FD2A5F" w:rsidRPr="00E22F29" w:rsidRDefault="00FD2A5F" w:rsidP="005470D1">
            <w:pPr>
              <w:spacing w:after="0" w:line="360" w:lineRule="auto"/>
              <w:jc w:val="both"/>
              <w:rPr>
                <w:rFonts w:ascii="Times New Roman" w:eastAsia="Times New Roman" w:hAnsi="Times New Roman" w:cs="Times New Roman"/>
                <w:b/>
                <w:bCs/>
                <w:color w:val="000000"/>
                <w:sz w:val="24"/>
                <w:szCs w:val="24"/>
                <w:lang w:val="en-US"/>
              </w:rPr>
            </w:pPr>
          </w:p>
        </w:tc>
        <w:tc>
          <w:tcPr>
            <w:tcW w:w="1520" w:type="dxa"/>
            <w:tcBorders>
              <w:top w:val="single" w:sz="4" w:space="0" w:color="auto"/>
              <w:left w:val="nil"/>
              <w:bottom w:val="single" w:sz="4" w:space="0" w:color="auto"/>
              <w:right w:val="nil"/>
            </w:tcBorders>
            <w:shd w:val="clear" w:color="auto" w:fill="auto"/>
            <w:vAlign w:val="center"/>
            <w:hideMark/>
          </w:tcPr>
          <w:p w14:paraId="40D5B197" w14:textId="77777777" w:rsidR="002C6F0D" w:rsidRPr="00E22F29" w:rsidRDefault="002C6F0D" w:rsidP="005470D1">
            <w:pPr>
              <w:spacing w:after="0" w:line="360" w:lineRule="auto"/>
              <w:jc w:val="both"/>
              <w:rPr>
                <w:rFonts w:ascii="Times New Roman" w:eastAsia="Times New Roman" w:hAnsi="Times New Roman" w:cs="Times New Roman"/>
                <w:sz w:val="24"/>
                <w:szCs w:val="24"/>
                <w:lang w:val="en-US"/>
              </w:rPr>
            </w:pPr>
          </w:p>
        </w:tc>
        <w:tc>
          <w:tcPr>
            <w:tcW w:w="1500" w:type="dxa"/>
            <w:tcBorders>
              <w:top w:val="single" w:sz="4" w:space="0" w:color="auto"/>
              <w:left w:val="nil"/>
              <w:bottom w:val="single" w:sz="4" w:space="0" w:color="auto"/>
              <w:right w:val="single" w:sz="4" w:space="0" w:color="auto"/>
            </w:tcBorders>
            <w:shd w:val="clear" w:color="auto" w:fill="auto"/>
            <w:noWrap/>
            <w:vAlign w:val="center"/>
            <w:hideMark/>
          </w:tcPr>
          <w:p w14:paraId="610AD807" w14:textId="77777777" w:rsidR="002C6F0D" w:rsidRPr="00E22F29" w:rsidRDefault="002C6F0D" w:rsidP="005470D1">
            <w:pPr>
              <w:spacing w:after="0" w:line="360" w:lineRule="auto"/>
              <w:jc w:val="both"/>
              <w:rPr>
                <w:rFonts w:ascii="Times New Roman" w:eastAsia="Times New Roman" w:hAnsi="Times New Roman" w:cs="Times New Roman"/>
                <w:b/>
                <w:bCs/>
                <w:color w:val="000000"/>
                <w:sz w:val="24"/>
                <w:szCs w:val="24"/>
                <w:u w:val="double"/>
                <w:lang w:val="en-US"/>
              </w:rPr>
            </w:pPr>
            <w:r w:rsidRPr="00E22F29">
              <w:rPr>
                <w:rFonts w:ascii="Times New Roman" w:eastAsia="Times New Roman" w:hAnsi="Times New Roman" w:cs="Times New Roman"/>
                <w:b/>
                <w:bCs/>
                <w:color w:val="000000"/>
                <w:sz w:val="24"/>
                <w:szCs w:val="24"/>
                <w:u w:val="double"/>
                <w:lang w:eastAsia="en-GB"/>
              </w:rPr>
              <w:t>£2,027,955</w:t>
            </w:r>
          </w:p>
        </w:tc>
      </w:tr>
    </w:tbl>
    <w:p w14:paraId="03590E84" w14:textId="78CBD582" w:rsidR="002C6F0D" w:rsidRPr="00E22F29" w:rsidRDefault="002C6F0D" w:rsidP="005470D1">
      <w:pPr>
        <w:spacing w:line="360" w:lineRule="auto"/>
        <w:ind w:left="720" w:hanging="360"/>
        <w:jc w:val="both"/>
        <w:rPr>
          <w:rFonts w:ascii="Times New Roman" w:hAnsi="Times New Roman" w:cs="Times New Roman"/>
          <w:sz w:val="24"/>
          <w:szCs w:val="24"/>
        </w:rPr>
      </w:pPr>
    </w:p>
    <w:p w14:paraId="37147645" w14:textId="58958616" w:rsidR="002C6F0D" w:rsidRDefault="002C6F0D" w:rsidP="005470D1">
      <w:pPr>
        <w:spacing w:line="360" w:lineRule="auto"/>
        <w:jc w:val="both"/>
        <w:rPr>
          <w:rFonts w:ascii="Times New Roman" w:hAnsi="Times New Roman" w:cs="Times New Roman"/>
          <w:sz w:val="24"/>
          <w:szCs w:val="24"/>
        </w:rPr>
      </w:pPr>
    </w:p>
    <w:p w14:paraId="7B45E8F5" w14:textId="3D3FE184" w:rsidR="004B72E1" w:rsidRPr="004B72E1" w:rsidRDefault="004B72E1" w:rsidP="005470D1">
      <w:pPr>
        <w:pStyle w:val="Heading2"/>
        <w:spacing w:line="360" w:lineRule="auto"/>
        <w:jc w:val="both"/>
        <w:rPr>
          <w:b/>
          <w:bCs/>
        </w:rPr>
      </w:pPr>
      <w:bookmarkStart w:id="3" w:name="_Toc118575977"/>
      <w:r w:rsidRPr="004B72E1">
        <w:rPr>
          <w:b/>
          <w:bCs/>
        </w:rPr>
        <w:t>Task- B</w:t>
      </w:r>
      <w:bookmarkEnd w:id="3"/>
    </w:p>
    <w:p w14:paraId="4CABD130" w14:textId="4112DCF9" w:rsidR="00D03792" w:rsidRPr="00E22F29" w:rsidRDefault="00D03792"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The balance sheet, also known as the statement of financial position, is a one of the financial statements that lists all of the balances of different assets, liabilities, and owner equity of a business firm at a specific date of a particular accounting </w:t>
      </w:r>
      <w:proofErr w:type="gramStart"/>
      <w:r w:rsidRPr="00E22F29">
        <w:rPr>
          <w:rFonts w:ascii="Times New Roman" w:hAnsi="Times New Roman" w:cs="Times New Roman"/>
          <w:sz w:val="24"/>
          <w:szCs w:val="24"/>
        </w:rPr>
        <w:t>period</w:t>
      </w:r>
      <w:r w:rsidR="00EF52A1" w:rsidRPr="00EF52A1">
        <w:rPr>
          <w:rFonts w:asciiTheme="majorBidi" w:hAnsiTheme="majorBidi" w:cstheme="majorBidi"/>
          <w:sz w:val="24"/>
          <w:szCs w:val="24"/>
        </w:rPr>
        <w:t>(</w:t>
      </w:r>
      <w:proofErr w:type="spellStart"/>
      <w:proofErr w:type="gramEnd"/>
      <w:r w:rsidR="00EF52A1" w:rsidRPr="00EF52A1">
        <w:rPr>
          <w:rFonts w:asciiTheme="majorBidi" w:hAnsiTheme="majorBidi" w:cstheme="majorBidi"/>
          <w:sz w:val="24"/>
          <w:szCs w:val="24"/>
        </w:rPr>
        <w:t>Dosamantes</w:t>
      </w:r>
      <w:proofErr w:type="spellEnd"/>
      <w:r w:rsidR="00EF52A1" w:rsidRPr="00EF52A1">
        <w:rPr>
          <w:rFonts w:asciiTheme="majorBidi" w:hAnsiTheme="majorBidi" w:cstheme="majorBidi"/>
          <w:sz w:val="24"/>
          <w:szCs w:val="24"/>
        </w:rPr>
        <w:t>, 2013)</w:t>
      </w:r>
      <w:r w:rsidRPr="00E22F29">
        <w:rPr>
          <w:rFonts w:ascii="Times New Roman" w:hAnsi="Times New Roman" w:cs="Times New Roman"/>
          <w:sz w:val="24"/>
          <w:szCs w:val="24"/>
        </w:rPr>
        <w:t xml:space="preserve">.  Due to the double entry recording system and accounting equation, the statement of financial position balances. The link between different types of accounts pertaining to asset, liabilities, and equity of a business </w:t>
      </w:r>
      <w:r w:rsidR="0071553D" w:rsidRPr="00E22F29">
        <w:rPr>
          <w:rFonts w:ascii="Times New Roman" w:hAnsi="Times New Roman" w:cs="Times New Roman"/>
          <w:sz w:val="24"/>
          <w:szCs w:val="24"/>
        </w:rPr>
        <w:t>firm is</w:t>
      </w:r>
      <w:r w:rsidRPr="00E22F29">
        <w:rPr>
          <w:rFonts w:ascii="Times New Roman" w:hAnsi="Times New Roman" w:cs="Times New Roman"/>
          <w:sz w:val="24"/>
          <w:szCs w:val="24"/>
        </w:rPr>
        <w:t xml:space="preserve"> typically illustrated by the accounting equation which is shown below:</w:t>
      </w:r>
    </w:p>
    <w:p w14:paraId="7C1B38D0" w14:textId="77777777" w:rsidR="001D551F" w:rsidRDefault="00D03792" w:rsidP="005470D1">
      <w:pPr>
        <w:keepNext/>
        <w:spacing w:line="360" w:lineRule="auto"/>
        <w:jc w:val="center"/>
      </w:pPr>
      <w:r w:rsidRPr="00E22F29">
        <w:rPr>
          <w:rFonts w:ascii="Times New Roman" w:hAnsi="Times New Roman" w:cs="Times New Roman"/>
          <w:noProof/>
          <w:sz w:val="24"/>
          <w:szCs w:val="24"/>
        </w:rPr>
        <w:drawing>
          <wp:inline distT="0" distB="0" distL="0" distR="0" wp14:anchorId="64D12476" wp14:editId="4670A5EC">
            <wp:extent cx="4954137" cy="371560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963343" cy="3722506"/>
                    </a:xfrm>
                    <a:prstGeom prst="rect">
                      <a:avLst/>
                    </a:prstGeom>
                  </pic:spPr>
                </pic:pic>
              </a:graphicData>
            </a:graphic>
          </wp:inline>
        </w:drawing>
      </w:r>
    </w:p>
    <w:p w14:paraId="6F2AA907" w14:textId="5C71D48B" w:rsidR="00D03792" w:rsidRPr="00E22F29" w:rsidRDefault="001D551F" w:rsidP="005470D1">
      <w:pPr>
        <w:pStyle w:val="Caption"/>
        <w:spacing w:line="360" w:lineRule="auto"/>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1</w:t>
      </w:r>
      <w:r>
        <w:fldChar w:fldCharType="end"/>
      </w:r>
      <w:r>
        <w:rPr>
          <w:lang w:val="en-US"/>
        </w:rPr>
        <w:t xml:space="preserve"> Accounting equation (</w:t>
      </w:r>
      <w:proofErr w:type="spellStart"/>
      <w:r w:rsidRPr="00FB600E">
        <w:rPr>
          <w:lang w:val="en-US"/>
        </w:rPr>
        <w:t>Dosamantes</w:t>
      </w:r>
      <w:proofErr w:type="spellEnd"/>
      <w:r w:rsidRPr="00FB600E">
        <w:rPr>
          <w:lang w:val="en-US"/>
        </w:rPr>
        <w:t>, 2013</w:t>
      </w:r>
      <w:r>
        <w:rPr>
          <w:lang w:val="en-US"/>
        </w:rPr>
        <w:t>)</w:t>
      </w:r>
    </w:p>
    <w:p w14:paraId="5866D22A" w14:textId="565AB10B" w:rsidR="00D03792" w:rsidRPr="00E22F29" w:rsidRDefault="00D03792"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According to the accounting equation, a firm's asset must be equal to its liabilities and equity. Therefore, it is useful to evaluate the economic impact that each business transaction has on a firm's assets, liabilities, and </w:t>
      </w:r>
      <w:proofErr w:type="gramStart"/>
      <w:r w:rsidRPr="00E22F29">
        <w:rPr>
          <w:rFonts w:ascii="Times New Roman" w:hAnsi="Times New Roman" w:cs="Times New Roman"/>
          <w:sz w:val="24"/>
          <w:szCs w:val="24"/>
        </w:rPr>
        <w:t>equity</w:t>
      </w:r>
      <w:r w:rsidR="001D551F" w:rsidRPr="001D551F">
        <w:rPr>
          <w:rFonts w:asciiTheme="majorBidi" w:hAnsiTheme="majorBidi" w:cstheme="majorBidi"/>
          <w:sz w:val="24"/>
          <w:szCs w:val="24"/>
        </w:rPr>
        <w:t>(</w:t>
      </w:r>
      <w:proofErr w:type="spellStart"/>
      <w:proofErr w:type="gramEnd"/>
      <w:r w:rsidR="001D551F" w:rsidRPr="001D551F">
        <w:rPr>
          <w:rFonts w:asciiTheme="majorBidi" w:hAnsiTheme="majorBidi" w:cstheme="majorBidi"/>
          <w:sz w:val="24"/>
          <w:szCs w:val="24"/>
          <w:shd w:val="clear" w:color="auto" w:fill="FFFFFF"/>
        </w:rPr>
        <w:t>Lanen</w:t>
      </w:r>
      <w:proofErr w:type="spellEnd"/>
      <w:r w:rsidR="001D551F" w:rsidRPr="001D551F">
        <w:rPr>
          <w:rFonts w:asciiTheme="majorBidi" w:hAnsiTheme="majorBidi" w:cstheme="majorBidi"/>
          <w:sz w:val="24"/>
          <w:szCs w:val="24"/>
          <w:shd w:val="clear" w:color="auto" w:fill="FFFFFF"/>
        </w:rPr>
        <w:t>, 2010)</w:t>
      </w:r>
      <w:r w:rsidRPr="00E22F29">
        <w:rPr>
          <w:rFonts w:ascii="Times New Roman" w:hAnsi="Times New Roman" w:cs="Times New Roman"/>
          <w:sz w:val="24"/>
          <w:szCs w:val="24"/>
        </w:rPr>
        <w:t>.</w:t>
      </w:r>
    </w:p>
    <w:p w14:paraId="5E48ED0D" w14:textId="68DF771C" w:rsidR="00D03792" w:rsidRPr="00E22F29" w:rsidRDefault="00D03792"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The double entry recording system is </w:t>
      </w:r>
      <w:r w:rsidR="00591416" w:rsidRPr="00E22F29">
        <w:rPr>
          <w:rFonts w:ascii="Times New Roman" w:hAnsi="Times New Roman" w:cs="Times New Roman"/>
          <w:sz w:val="24"/>
          <w:szCs w:val="24"/>
        </w:rPr>
        <w:t>useful</w:t>
      </w:r>
      <w:r w:rsidRPr="00E22F29">
        <w:rPr>
          <w:rFonts w:ascii="Times New Roman" w:hAnsi="Times New Roman" w:cs="Times New Roman"/>
          <w:sz w:val="24"/>
          <w:szCs w:val="24"/>
        </w:rPr>
        <w:t xml:space="preserve"> </w:t>
      </w:r>
      <w:r w:rsidR="00591416" w:rsidRPr="00E22F29">
        <w:rPr>
          <w:rFonts w:ascii="Times New Roman" w:hAnsi="Times New Roman" w:cs="Times New Roman"/>
          <w:sz w:val="24"/>
          <w:szCs w:val="24"/>
        </w:rPr>
        <w:t>for</w:t>
      </w:r>
      <w:r w:rsidRPr="00E22F29">
        <w:rPr>
          <w:rFonts w:ascii="Times New Roman" w:hAnsi="Times New Roman" w:cs="Times New Roman"/>
          <w:sz w:val="24"/>
          <w:szCs w:val="24"/>
        </w:rPr>
        <w:t xml:space="preserve"> identify</w:t>
      </w:r>
      <w:r w:rsidR="00591416" w:rsidRPr="00E22F29">
        <w:rPr>
          <w:rFonts w:ascii="Times New Roman" w:hAnsi="Times New Roman" w:cs="Times New Roman"/>
          <w:sz w:val="24"/>
          <w:szCs w:val="24"/>
        </w:rPr>
        <w:t>ing</w:t>
      </w:r>
      <w:r w:rsidRPr="00E22F29">
        <w:rPr>
          <w:rFonts w:ascii="Times New Roman" w:hAnsi="Times New Roman" w:cs="Times New Roman"/>
          <w:sz w:val="24"/>
          <w:szCs w:val="24"/>
        </w:rPr>
        <w:t xml:space="preserve"> and record</w:t>
      </w:r>
      <w:r w:rsidR="00591416" w:rsidRPr="00E22F29">
        <w:rPr>
          <w:rFonts w:ascii="Times New Roman" w:hAnsi="Times New Roman" w:cs="Times New Roman"/>
          <w:sz w:val="24"/>
          <w:szCs w:val="24"/>
        </w:rPr>
        <w:t>ing</w:t>
      </w:r>
      <w:r w:rsidRPr="00E22F29">
        <w:rPr>
          <w:rFonts w:ascii="Times New Roman" w:hAnsi="Times New Roman" w:cs="Times New Roman"/>
          <w:sz w:val="24"/>
          <w:szCs w:val="24"/>
        </w:rPr>
        <w:t xml:space="preserve"> the economic impact of each financial transaction of a business firm on the accounting equation. According to this system, each financial transaction that is recorded in the accounting books has an impact on at </w:t>
      </w:r>
      <w:r w:rsidR="0071553D" w:rsidRPr="00E22F29">
        <w:rPr>
          <w:rFonts w:ascii="Times New Roman" w:hAnsi="Times New Roman" w:cs="Times New Roman"/>
          <w:sz w:val="24"/>
          <w:szCs w:val="24"/>
        </w:rPr>
        <w:t>least two</w:t>
      </w:r>
      <w:r w:rsidRPr="00E22F29">
        <w:rPr>
          <w:rFonts w:ascii="Times New Roman" w:hAnsi="Times New Roman" w:cs="Times New Roman"/>
          <w:sz w:val="24"/>
          <w:szCs w:val="24"/>
        </w:rPr>
        <w:t xml:space="preserve"> accounts. The change in one account is recorded as a debit while the change in other account is recorded as credit. </w:t>
      </w:r>
      <w:r w:rsidR="0071553D" w:rsidRPr="00E22F29">
        <w:rPr>
          <w:rFonts w:ascii="Times New Roman" w:hAnsi="Times New Roman" w:cs="Times New Roman"/>
          <w:sz w:val="24"/>
          <w:szCs w:val="24"/>
        </w:rPr>
        <w:t xml:space="preserve">The left side of the equation, which includes asset, is known as debit, and the right side of the equation which includes liability and equity, is known as credit. As a result, it is required to debit one account and credit another account by the same amount while record a financial transaction in the accounting </w:t>
      </w:r>
      <w:proofErr w:type="gramStart"/>
      <w:r w:rsidR="0071553D" w:rsidRPr="00E22F29">
        <w:rPr>
          <w:rFonts w:ascii="Times New Roman" w:hAnsi="Times New Roman" w:cs="Times New Roman"/>
          <w:sz w:val="24"/>
          <w:szCs w:val="24"/>
        </w:rPr>
        <w:t>books</w:t>
      </w:r>
      <w:r w:rsidR="001D551F" w:rsidRPr="001D551F">
        <w:rPr>
          <w:rFonts w:asciiTheme="majorBidi" w:hAnsiTheme="majorBidi" w:cstheme="majorBidi"/>
          <w:sz w:val="24"/>
          <w:szCs w:val="24"/>
        </w:rPr>
        <w:t>(</w:t>
      </w:r>
      <w:proofErr w:type="spellStart"/>
      <w:proofErr w:type="gramEnd"/>
      <w:r w:rsidR="001D551F" w:rsidRPr="001D551F">
        <w:rPr>
          <w:rFonts w:asciiTheme="majorBidi" w:hAnsiTheme="majorBidi" w:cstheme="majorBidi"/>
          <w:sz w:val="24"/>
          <w:szCs w:val="24"/>
          <w:shd w:val="clear" w:color="auto" w:fill="FFFFFF"/>
        </w:rPr>
        <w:t>Walkshäusl</w:t>
      </w:r>
      <w:proofErr w:type="spellEnd"/>
      <w:r w:rsidR="001D551F" w:rsidRPr="001D551F">
        <w:rPr>
          <w:rFonts w:asciiTheme="majorBidi" w:hAnsiTheme="majorBidi" w:cstheme="majorBidi"/>
          <w:sz w:val="24"/>
          <w:szCs w:val="24"/>
          <w:shd w:val="clear" w:color="auto" w:fill="FFFFFF"/>
        </w:rPr>
        <w:t>,  2021)</w:t>
      </w:r>
      <w:r w:rsidR="0071553D" w:rsidRPr="00E22F29">
        <w:rPr>
          <w:rFonts w:ascii="Times New Roman" w:hAnsi="Times New Roman" w:cs="Times New Roman"/>
          <w:sz w:val="24"/>
          <w:szCs w:val="24"/>
        </w:rPr>
        <w:t>. This requires the debit side of the accounting equation to equal the credit side of the equation since every business transaction in the organization has an equal and opposite economic impact on both sides of the equation.  As a result, the equity and liability sides of the equation are identical to the equation's asset side.</w:t>
      </w:r>
    </w:p>
    <w:p w14:paraId="0E857BB0" w14:textId="77777777" w:rsidR="00D03792" w:rsidRPr="00E22F29" w:rsidRDefault="00D03792" w:rsidP="005470D1">
      <w:pPr>
        <w:spacing w:line="360" w:lineRule="auto"/>
        <w:jc w:val="both"/>
        <w:rPr>
          <w:rFonts w:ascii="Times New Roman" w:hAnsi="Times New Roman" w:cs="Times New Roman"/>
          <w:sz w:val="24"/>
          <w:szCs w:val="24"/>
        </w:rPr>
      </w:pPr>
    </w:p>
    <w:p w14:paraId="4704B64D" w14:textId="15A44371" w:rsidR="002C6F0D" w:rsidRDefault="002C6F0D" w:rsidP="005470D1">
      <w:pPr>
        <w:spacing w:line="360" w:lineRule="auto"/>
        <w:ind w:left="720" w:hanging="360"/>
        <w:jc w:val="both"/>
        <w:rPr>
          <w:rFonts w:ascii="Times New Roman" w:hAnsi="Times New Roman" w:cs="Times New Roman"/>
          <w:sz w:val="24"/>
          <w:szCs w:val="24"/>
        </w:rPr>
      </w:pPr>
    </w:p>
    <w:p w14:paraId="59BC0584" w14:textId="1D2C6D06" w:rsidR="00E22F29" w:rsidRDefault="00E22F29" w:rsidP="005470D1">
      <w:pPr>
        <w:spacing w:line="360" w:lineRule="auto"/>
        <w:ind w:left="720" w:hanging="360"/>
        <w:jc w:val="both"/>
        <w:rPr>
          <w:rFonts w:ascii="Times New Roman" w:hAnsi="Times New Roman" w:cs="Times New Roman"/>
          <w:sz w:val="24"/>
          <w:szCs w:val="24"/>
        </w:rPr>
      </w:pPr>
    </w:p>
    <w:p w14:paraId="4C5F5160" w14:textId="7FC1B3AD" w:rsidR="00E22F29" w:rsidRDefault="00E22F29" w:rsidP="005470D1">
      <w:pPr>
        <w:spacing w:line="360" w:lineRule="auto"/>
        <w:ind w:left="720" w:hanging="360"/>
        <w:jc w:val="both"/>
        <w:rPr>
          <w:rFonts w:ascii="Times New Roman" w:hAnsi="Times New Roman" w:cs="Times New Roman"/>
          <w:sz w:val="24"/>
          <w:szCs w:val="24"/>
        </w:rPr>
      </w:pPr>
    </w:p>
    <w:p w14:paraId="4516F1F4" w14:textId="1C4CEC18" w:rsidR="00E22F29" w:rsidRDefault="00E22F29" w:rsidP="005470D1">
      <w:pPr>
        <w:spacing w:line="360" w:lineRule="auto"/>
        <w:ind w:left="720" w:hanging="360"/>
        <w:jc w:val="both"/>
        <w:rPr>
          <w:rFonts w:ascii="Times New Roman" w:hAnsi="Times New Roman" w:cs="Times New Roman"/>
          <w:sz w:val="24"/>
          <w:szCs w:val="24"/>
        </w:rPr>
      </w:pPr>
    </w:p>
    <w:p w14:paraId="4E0A0F03" w14:textId="72EECC11" w:rsidR="00E22F29" w:rsidRDefault="00E22F29" w:rsidP="005470D1">
      <w:pPr>
        <w:spacing w:line="360" w:lineRule="auto"/>
        <w:ind w:left="720" w:hanging="360"/>
        <w:jc w:val="both"/>
        <w:rPr>
          <w:rFonts w:ascii="Times New Roman" w:hAnsi="Times New Roman" w:cs="Times New Roman"/>
          <w:sz w:val="24"/>
          <w:szCs w:val="24"/>
        </w:rPr>
      </w:pPr>
    </w:p>
    <w:p w14:paraId="4E178A2E" w14:textId="781CF706" w:rsidR="00E22F29" w:rsidRDefault="00E22F29" w:rsidP="005470D1">
      <w:pPr>
        <w:spacing w:line="360" w:lineRule="auto"/>
        <w:ind w:left="720" w:hanging="360"/>
        <w:jc w:val="both"/>
        <w:rPr>
          <w:rFonts w:ascii="Times New Roman" w:hAnsi="Times New Roman" w:cs="Times New Roman"/>
          <w:sz w:val="24"/>
          <w:szCs w:val="24"/>
        </w:rPr>
      </w:pPr>
    </w:p>
    <w:p w14:paraId="0A3DAC1A" w14:textId="7B000BED" w:rsidR="00E22F29" w:rsidRDefault="00E22F29" w:rsidP="005470D1">
      <w:pPr>
        <w:spacing w:line="360" w:lineRule="auto"/>
        <w:ind w:left="720" w:hanging="360"/>
        <w:jc w:val="both"/>
        <w:rPr>
          <w:rFonts w:ascii="Times New Roman" w:hAnsi="Times New Roman" w:cs="Times New Roman"/>
          <w:sz w:val="24"/>
          <w:szCs w:val="24"/>
        </w:rPr>
      </w:pPr>
    </w:p>
    <w:p w14:paraId="4BD682ED" w14:textId="7F699370" w:rsidR="00E22F29" w:rsidRDefault="00E22F29" w:rsidP="005470D1">
      <w:pPr>
        <w:spacing w:line="360" w:lineRule="auto"/>
        <w:ind w:left="720" w:hanging="360"/>
        <w:jc w:val="both"/>
        <w:rPr>
          <w:rFonts w:ascii="Times New Roman" w:hAnsi="Times New Roman" w:cs="Times New Roman"/>
          <w:sz w:val="24"/>
          <w:szCs w:val="24"/>
        </w:rPr>
      </w:pPr>
    </w:p>
    <w:p w14:paraId="104A2B9F" w14:textId="08783706" w:rsidR="00E22F29" w:rsidRDefault="00E22F29" w:rsidP="005470D1">
      <w:pPr>
        <w:spacing w:line="360" w:lineRule="auto"/>
        <w:ind w:left="720" w:hanging="360"/>
        <w:jc w:val="both"/>
        <w:rPr>
          <w:rFonts w:ascii="Times New Roman" w:hAnsi="Times New Roman" w:cs="Times New Roman"/>
          <w:sz w:val="24"/>
          <w:szCs w:val="24"/>
        </w:rPr>
      </w:pPr>
    </w:p>
    <w:p w14:paraId="06E3A6DE" w14:textId="66854346" w:rsidR="00E22F29" w:rsidRDefault="00E22F29" w:rsidP="005470D1">
      <w:pPr>
        <w:spacing w:line="360" w:lineRule="auto"/>
        <w:ind w:left="720" w:hanging="360"/>
        <w:jc w:val="both"/>
        <w:rPr>
          <w:rFonts w:ascii="Times New Roman" w:hAnsi="Times New Roman" w:cs="Times New Roman"/>
          <w:sz w:val="24"/>
          <w:szCs w:val="24"/>
        </w:rPr>
      </w:pPr>
    </w:p>
    <w:p w14:paraId="2172D037" w14:textId="4CAA8427" w:rsidR="00E22F29" w:rsidRDefault="00E22F29" w:rsidP="005470D1">
      <w:pPr>
        <w:spacing w:line="360" w:lineRule="auto"/>
        <w:ind w:left="720" w:hanging="360"/>
        <w:jc w:val="both"/>
        <w:rPr>
          <w:rFonts w:ascii="Times New Roman" w:hAnsi="Times New Roman" w:cs="Times New Roman"/>
          <w:sz w:val="24"/>
          <w:szCs w:val="24"/>
        </w:rPr>
      </w:pPr>
    </w:p>
    <w:p w14:paraId="449CB285" w14:textId="2E1A3599" w:rsidR="00E22F29" w:rsidRDefault="004B72E1" w:rsidP="005470D1">
      <w:pPr>
        <w:pStyle w:val="Heading1"/>
        <w:spacing w:line="360" w:lineRule="auto"/>
        <w:jc w:val="both"/>
        <w:rPr>
          <w:b/>
          <w:bCs/>
        </w:rPr>
      </w:pPr>
      <w:bookmarkStart w:id="4" w:name="_Toc118575978"/>
      <w:r w:rsidRPr="004B72E1">
        <w:rPr>
          <w:b/>
          <w:bCs/>
        </w:rPr>
        <w:t>Question 02</w:t>
      </w:r>
      <w:bookmarkEnd w:id="4"/>
    </w:p>
    <w:p w14:paraId="3E87020D" w14:textId="21CC4339" w:rsidR="004B72E1" w:rsidRDefault="004B72E1" w:rsidP="005470D1">
      <w:pPr>
        <w:pStyle w:val="Heading2"/>
        <w:spacing w:line="360" w:lineRule="auto"/>
        <w:jc w:val="both"/>
        <w:rPr>
          <w:b/>
          <w:bCs/>
        </w:rPr>
      </w:pPr>
      <w:bookmarkStart w:id="5" w:name="_Toc118575979"/>
      <w:r w:rsidRPr="004B72E1">
        <w:rPr>
          <w:b/>
          <w:bCs/>
        </w:rPr>
        <w:t>Task- A</w:t>
      </w:r>
      <w:bookmarkEnd w:id="5"/>
    </w:p>
    <w:p w14:paraId="343BB028" w14:textId="77777777" w:rsidR="004B72E1" w:rsidRPr="004B72E1" w:rsidRDefault="004B72E1" w:rsidP="005470D1">
      <w:pPr>
        <w:spacing w:line="360" w:lineRule="auto"/>
        <w:jc w:val="both"/>
      </w:pPr>
    </w:p>
    <w:p w14:paraId="613AD70B" w14:textId="77777777" w:rsidR="008A340B" w:rsidRPr="00E22F29" w:rsidRDefault="008A340B" w:rsidP="005470D1">
      <w:pPr>
        <w:pStyle w:val="ListParagraph"/>
        <w:numPr>
          <w:ilvl w:val="0"/>
          <w:numId w:val="1"/>
        </w:numPr>
        <w:spacing w:line="360" w:lineRule="auto"/>
        <w:jc w:val="both"/>
        <w:rPr>
          <w:rFonts w:ascii="Times New Roman" w:hAnsi="Times New Roman" w:cs="Times New Roman"/>
          <w:b/>
          <w:bCs/>
          <w:sz w:val="24"/>
          <w:szCs w:val="24"/>
        </w:rPr>
      </w:pPr>
      <w:r w:rsidRPr="00E22F29">
        <w:rPr>
          <w:rFonts w:ascii="Times New Roman" w:hAnsi="Times New Roman" w:cs="Times New Roman"/>
          <w:b/>
          <w:bCs/>
          <w:sz w:val="24"/>
          <w:szCs w:val="24"/>
        </w:rPr>
        <w:t>Return on Capital Employed (ROCE):</w:t>
      </w:r>
    </w:p>
    <w:p w14:paraId="2E3E0190" w14:textId="35416B0F" w:rsidR="008A340B" w:rsidRPr="00E22F29" w:rsidRDefault="00591416"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It</w:t>
      </w:r>
      <w:r w:rsidR="008A340B" w:rsidRPr="00E22F29">
        <w:rPr>
          <w:rFonts w:ascii="Times New Roman" w:hAnsi="Times New Roman" w:cs="Times New Roman"/>
          <w:sz w:val="24"/>
          <w:szCs w:val="24"/>
        </w:rPr>
        <w:t xml:space="preserve"> is a financial term that financial managers and investors use to gauge how effectively a company is managing its capital investments to produce profits for the company.</w:t>
      </w:r>
    </w:p>
    <w:p w14:paraId="4BAE0212" w14:textId="05250242" w:rsidR="008A340B" w:rsidRPr="00E22F29" w:rsidRDefault="008A340B"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The formula for ROCE is,</w:t>
      </w:r>
    </w:p>
    <w:p w14:paraId="79EA6E5A" w14:textId="46F3191E" w:rsidR="008A340B" w:rsidRPr="00E22F29" w:rsidRDefault="00591416" w:rsidP="005470D1">
      <w:pPr>
        <w:spacing w:line="360" w:lineRule="auto"/>
        <w:jc w:val="both"/>
        <w:rPr>
          <w:rFonts w:ascii="Times New Roman" w:hAnsi="Times New Roman" w:cs="Times New Roman"/>
          <w:sz w:val="24"/>
          <w:szCs w:val="24"/>
        </w:rPr>
      </w:pPr>
      <w:r w:rsidRPr="00E22F29">
        <w:rPr>
          <w:rFonts w:ascii="Times New Roman" w:hAnsi="Times New Roman" w:cs="Times New Roman"/>
          <w:noProof/>
          <w:sz w:val="24"/>
          <w:szCs w:val="24"/>
        </w:rPr>
        <w:drawing>
          <wp:inline distT="0" distB="0" distL="0" distR="0" wp14:anchorId="0A76F52C" wp14:editId="11C98800">
            <wp:extent cx="4635795" cy="2609121"/>
            <wp:effectExtent l="0" t="0" r="0" b="1270"/>
            <wp:docPr id="12" name="Picture 12" descr="ROCE - Return on Capital Employed | Double Entry Bookkee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CE - Return on Capital Employed | Double Entry Bookkeep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52713" cy="2618643"/>
                    </a:xfrm>
                    <a:prstGeom prst="rect">
                      <a:avLst/>
                    </a:prstGeom>
                    <a:noFill/>
                    <a:ln>
                      <a:noFill/>
                    </a:ln>
                  </pic:spPr>
                </pic:pic>
              </a:graphicData>
            </a:graphic>
          </wp:inline>
        </w:drawing>
      </w:r>
    </w:p>
    <w:p w14:paraId="319865A3" w14:textId="26BA9BCF" w:rsidR="008A340B" w:rsidRDefault="008A340B"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The provided information </w:t>
      </w:r>
      <w:r w:rsidR="00591416" w:rsidRPr="00E22F29">
        <w:rPr>
          <w:rFonts w:ascii="Times New Roman" w:hAnsi="Times New Roman" w:cs="Times New Roman"/>
          <w:sz w:val="24"/>
          <w:szCs w:val="24"/>
        </w:rPr>
        <w:t>of</w:t>
      </w:r>
      <w:r w:rsidRPr="00E22F29">
        <w:rPr>
          <w:rFonts w:ascii="Times New Roman" w:hAnsi="Times New Roman" w:cs="Times New Roman"/>
          <w:sz w:val="24"/>
          <w:szCs w:val="24"/>
        </w:rPr>
        <w:t xml:space="preserve"> </w:t>
      </w:r>
      <w:proofErr w:type="gramStart"/>
      <w:r w:rsidRPr="00E22F29">
        <w:rPr>
          <w:rFonts w:ascii="Times New Roman" w:hAnsi="Times New Roman" w:cs="Times New Roman"/>
          <w:sz w:val="24"/>
          <w:szCs w:val="24"/>
        </w:rPr>
        <w:t>Sweets</w:t>
      </w:r>
      <w:proofErr w:type="gramEnd"/>
      <w:r w:rsidRPr="00E22F29">
        <w:rPr>
          <w:rFonts w:ascii="Times New Roman" w:hAnsi="Times New Roman" w:cs="Times New Roman"/>
          <w:sz w:val="24"/>
          <w:szCs w:val="24"/>
        </w:rPr>
        <w:t xml:space="preserve"> plc </w:t>
      </w:r>
      <w:r w:rsidR="00591416" w:rsidRPr="00E22F29">
        <w:rPr>
          <w:rFonts w:ascii="Times New Roman" w:hAnsi="Times New Roman" w:cs="Times New Roman"/>
          <w:sz w:val="24"/>
          <w:szCs w:val="24"/>
        </w:rPr>
        <w:t>for calculating ROCE is</w:t>
      </w:r>
      <w:r w:rsidRPr="00E22F29">
        <w:rPr>
          <w:rFonts w:ascii="Times New Roman" w:hAnsi="Times New Roman" w:cs="Times New Roman"/>
          <w:sz w:val="24"/>
          <w:szCs w:val="24"/>
        </w:rPr>
        <w:t>,</w:t>
      </w:r>
    </w:p>
    <w:tbl>
      <w:tblPr>
        <w:tblStyle w:val="TableGrid"/>
        <w:tblW w:w="0" w:type="auto"/>
        <w:tblInd w:w="0" w:type="dxa"/>
        <w:tblLook w:val="04A0" w:firstRow="1" w:lastRow="0" w:firstColumn="1" w:lastColumn="0" w:noHBand="0" w:noVBand="1"/>
      </w:tblPr>
      <w:tblGrid>
        <w:gridCol w:w="3116"/>
        <w:gridCol w:w="3117"/>
        <w:gridCol w:w="3117"/>
      </w:tblGrid>
      <w:tr w:rsidR="00A42FF0" w14:paraId="3E484E97"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49B5A4BC"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Particulars</w:t>
            </w:r>
          </w:p>
        </w:tc>
        <w:tc>
          <w:tcPr>
            <w:tcW w:w="3117" w:type="dxa"/>
            <w:tcBorders>
              <w:top w:val="single" w:sz="4" w:space="0" w:color="auto"/>
              <w:left w:val="single" w:sz="4" w:space="0" w:color="auto"/>
              <w:bottom w:val="single" w:sz="4" w:space="0" w:color="auto"/>
              <w:right w:val="single" w:sz="4" w:space="0" w:color="auto"/>
            </w:tcBorders>
            <w:hideMark/>
          </w:tcPr>
          <w:p w14:paraId="7B7F72EA"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2020 </w:t>
            </w:r>
          </w:p>
          <w:p w14:paraId="587D9AA9" w14:textId="4E60A9C8" w:rsidR="00A42FF0" w:rsidRDefault="00A42FF0"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sidR="000652FE">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129D8F33" w14:textId="77777777" w:rsidR="000652FE"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65A3217B" w14:textId="50FA0687" w:rsidR="00A42FF0"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3319867D"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76FBC7B3"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Operating Earnings</w:t>
            </w:r>
          </w:p>
        </w:tc>
        <w:tc>
          <w:tcPr>
            <w:tcW w:w="3117" w:type="dxa"/>
            <w:tcBorders>
              <w:top w:val="single" w:sz="4" w:space="0" w:color="auto"/>
              <w:left w:val="single" w:sz="4" w:space="0" w:color="auto"/>
              <w:bottom w:val="single" w:sz="4" w:space="0" w:color="auto"/>
              <w:right w:val="single" w:sz="4" w:space="0" w:color="auto"/>
            </w:tcBorders>
            <w:hideMark/>
          </w:tcPr>
          <w:p w14:paraId="34291DDB" w14:textId="048DE774" w:rsidR="00A42FF0" w:rsidRDefault="00A42FF0" w:rsidP="005470D1">
            <w:pPr>
              <w:pStyle w:val="Default"/>
              <w:spacing w:line="360" w:lineRule="auto"/>
              <w:jc w:val="both"/>
            </w:pPr>
            <w:r>
              <w:t>699</w:t>
            </w:r>
          </w:p>
        </w:tc>
        <w:tc>
          <w:tcPr>
            <w:tcW w:w="3117" w:type="dxa"/>
            <w:tcBorders>
              <w:top w:val="single" w:sz="4" w:space="0" w:color="auto"/>
              <w:left w:val="single" w:sz="4" w:space="0" w:color="auto"/>
              <w:bottom w:val="single" w:sz="4" w:space="0" w:color="auto"/>
              <w:right w:val="single" w:sz="4" w:space="0" w:color="auto"/>
            </w:tcBorders>
            <w:hideMark/>
          </w:tcPr>
          <w:p w14:paraId="286B2FE7" w14:textId="4DBDD4DF"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805 </w:t>
            </w:r>
          </w:p>
        </w:tc>
      </w:tr>
      <w:tr w:rsidR="00A42FF0" w14:paraId="0E72B10D"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75492D84"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Total Asset</w:t>
            </w:r>
          </w:p>
        </w:tc>
        <w:tc>
          <w:tcPr>
            <w:tcW w:w="3117" w:type="dxa"/>
            <w:tcBorders>
              <w:top w:val="single" w:sz="4" w:space="0" w:color="auto"/>
              <w:left w:val="single" w:sz="4" w:space="0" w:color="auto"/>
              <w:bottom w:val="single" w:sz="4" w:space="0" w:color="auto"/>
              <w:right w:val="single" w:sz="4" w:space="0" w:color="auto"/>
            </w:tcBorders>
            <w:hideMark/>
          </w:tcPr>
          <w:p w14:paraId="1364256E" w14:textId="195C9F25" w:rsidR="00A42FF0" w:rsidRDefault="00A42FF0" w:rsidP="005470D1">
            <w:pPr>
              <w:pStyle w:val="Default"/>
              <w:spacing w:line="360" w:lineRule="auto"/>
              <w:jc w:val="both"/>
            </w:pPr>
            <w:r>
              <w:t xml:space="preserve">10,087 </w:t>
            </w:r>
          </w:p>
        </w:tc>
        <w:tc>
          <w:tcPr>
            <w:tcW w:w="3117" w:type="dxa"/>
            <w:tcBorders>
              <w:top w:val="single" w:sz="4" w:space="0" w:color="auto"/>
              <w:left w:val="single" w:sz="4" w:space="0" w:color="auto"/>
              <w:bottom w:val="single" w:sz="4" w:space="0" w:color="auto"/>
              <w:right w:val="single" w:sz="4" w:space="0" w:color="auto"/>
            </w:tcBorders>
            <w:hideMark/>
          </w:tcPr>
          <w:p w14:paraId="03FCA5D6" w14:textId="39A8FFF0" w:rsidR="00A42FF0" w:rsidRDefault="00A42FF0" w:rsidP="005470D1">
            <w:pPr>
              <w:pStyle w:val="Default"/>
              <w:spacing w:line="360" w:lineRule="auto"/>
              <w:jc w:val="both"/>
            </w:pPr>
            <w:r>
              <w:t xml:space="preserve">9,736 </w:t>
            </w:r>
          </w:p>
        </w:tc>
      </w:tr>
      <w:tr w:rsidR="00A42FF0" w14:paraId="6CF18DF4"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60FEFCF0"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Total Current Liability</w:t>
            </w:r>
          </w:p>
        </w:tc>
        <w:tc>
          <w:tcPr>
            <w:tcW w:w="3117" w:type="dxa"/>
            <w:tcBorders>
              <w:top w:val="single" w:sz="4" w:space="0" w:color="auto"/>
              <w:left w:val="single" w:sz="4" w:space="0" w:color="auto"/>
              <w:bottom w:val="single" w:sz="4" w:space="0" w:color="auto"/>
              <w:right w:val="single" w:sz="4" w:space="0" w:color="auto"/>
            </w:tcBorders>
            <w:hideMark/>
          </w:tcPr>
          <w:p w14:paraId="313A6C63" w14:textId="04BFC5D1" w:rsidR="00A42FF0" w:rsidRDefault="00A42FF0" w:rsidP="005470D1">
            <w:pPr>
              <w:pStyle w:val="Default"/>
              <w:spacing w:line="360" w:lineRule="auto"/>
              <w:jc w:val="both"/>
            </w:pPr>
            <w:r>
              <w:t xml:space="preserve">3,046 </w:t>
            </w:r>
          </w:p>
        </w:tc>
        <w:tc>
          <w:tcPr>
            <w:tcW w:w="3117" w:type="dxa"/>
            <w:tcBorders>
              <w:top w:val="single" w:sz="4" w:space="0" w:color="auto"/>
              <w:left w:val="single" w:sz="4" w:space="0" w:color="auto"/>
              <w:bottom w:val="single" w:sz="4" w:space="0" w:color="auto"/>
              <w:right w:val="single" w:sz="4" w:space="0" w:color="auto"/>
            </w:tcBorders>
            <w:hideMark/>
          </w:tcPr>
          <w:p w14:paraId="295CECB4" w14:textId="236F7BF9"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2511 </w:t>
            </w:r>
          </w:p>
        </w:tc>
      </w:tr>
    </w:tbl>
    <w:p w14:paraId="4B94F72A" w14:textId="39025C3D" w:rsidR="008A340B" w:rsidRPr="00E22F29" w:rsidRDefault="008A340B" w:rsidP="005470D1">
      <w:pPr>
        <w:spacing w:line="360" w:lineRule="auto"/>
        <w:jc w:val="both"/>
        <w:rPr>
          <w:rFonts w:ascii="Times New Roman" w:hAnsi="Times New Roman" w:cs="Times New Roman"/>
          <w:sz w:val="24"/>
          <w:szCs w:val="24"/>
        </w:rPr>
      </w:pPr>
    </w:p>
    <w:p w14:paraId="522740F0" w14:textId="77177D3F" w:rsidR="000652FE" w:rsidRDefault="008A340B"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Based on the provided information, the ROCE of Sweets Plc for 2020 and 2021 is calculated below,</w:t>
      </w:r>
    </w:p>
    <w:tbl>
      <w:tblPr>
        <w:tblStyle w:val="TableGrid"/>
        <w:tblW w:w="10561" w:type="dxa"/>
        <w:tblInd w:w="0" w:type="dxa"/>
        <w:tblLook w:val="04A0" w:firstRow="1" w:lastRow="0" w:firstColumn="1" w:lastColumn="0" w:noHBand="0" w:noVBand="1"/>
      </w:tblPr>
      <w:tblGrid>
        <w:gridCol w:w="3519"/>
        <w:gridCol w:w="3521"/>
        <w:gridCol w:w="3521"/>
      </w:tblGrid>
      <w:tr w:rsidR="00A42FF0" w14:paraId="7058A301" w14:textId="77777777" w:rsidTr="00B94C4E">
        <w:trPr>
          <w:trHeight w:val="314"/>
        </w:trPr>
        <w:tc>
          <w:tcPr>
            <w:tcW w:w="3519" w:type="dxa"/>
            <w:tcBorders>
              <w:top w:val="single" w:sz="4" w:space="0" w:color="auto"/>
              <w:left w:val="single" w:sz="4" w:space="0" w:color="auto"/>
              <w:bottom w:val="single" w:sz="4" w:space="0" w:color="auto"/>
              <w:right w:val="single" w:sz="4" w:space="0" w:color="auto"/>
            </w:tcBorders>
            <w:hideMark/>
          </w:tcPr>
          <w:p w14:paraId="77B2C200" w14:textId="5DA75449"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Year</w:t>
            </w:r>
          </w:p>
        </w:tc>
        <w:tc>
          <w:tcPr>
            <w:tcW w:w="3521" w:type="dxa"/>
            <w:tcBorders>
              <w:top w:val="single" w:sz="4" w:space="0" w:color="auto"/>
              <w:left w:val="single" w:sz="4" w:space="0" w:color="auto"/>
              <w:bottom w:val="single" w:sz="4" w:space="0" w:color="auto"/>
              <w:right w:val="single" w:sz="4" w:space="0" w:color="auto"/>
            </w:tcBorders>
            <w:hideMark/>
          </w:tcPr>
          <w:p w14:paraId="1FC9751C"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tc>
        <w:tc>
          <w:tcPr>
            <w:tcW w:w="3521" w:type="dxa"/>
            <w:tcBorders>
              <w:top w:val="single" w:sz="4" w:space="0" w:color="auto"/>
              <w:left w:val="single" w:sz="4" w:space="0" w:color="auto"/>
              <w:bottom w:val="single" w:sz="4" w:space="0" w:color="auto"/>
              <w:right w:val="single" w:sz="4" w:space="0" w:color="auto"/>
            </w:tcBorders>
            <w:hideMark/>
          </w:tcPr>
          <w:p w14:paraId="0E9E776F"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tc>
      </w:tr>
      <w:tr w:rsidR="00A42FF0" w14:paraId="0BF3F952" w14:textId="77777777" w:rsidTr="00B94C4E">
        <w:trPr>
          <w:trHeight w:val="915"/>
        </w:trPr>
        <w:tc>
          <w:tcPr>
            <w:tcW w:w="3519" w:type="dxa"/>
            <w:tcBorders>
              <w:top w:val="single" w:sz="4" w:space="0" w:color="auto"/>
              <w:left w:val="single" w:sz="4" w:space="0" w:color="auto"/>
              <w:bottom w:val="single" w:sz="4" w:space="0" w:color="auto"/>
              <w:right w:val="single" w:sz="4" w:space="0" w:color="auto"/>
            </w:tcBorders>
            <w:hideMark/>
          </w:tcPr>
          <w:p w14:paraId="13725AB9"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ROCE</w:t>
            </w:r>
          </w:p>
        </w:tc>
        <w:tc>
          <w:tcPr>
            <w:tcW w:w="3521" w:type="dxa"/>
            <w:tcBorders>
              <w:top w:val="single" w:sz="4" w:space="0" w:color="auto"/>
              <w:left w:val="single" w:sz="4" w:space="0" w:color="auto"/>
              <w:bottom w:val="single" w:sz="4" w:space="0" w:color="auto"/>
              <w:right w:val="single" w:sz="4" w:space="0" w:color="auto"/>
            </w:tcBorders>
            <w:hideMark/>
          </w:tcPr>
          <w:p w14:paraId="250F1A57" w14:textId="12ECD1D1"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699 </m:t>
                  </m:r>
                </m:num>
                <m:den>
                  <m:r>
                    <w:rPr>
                      <w:rFonts w:ascii="Cambria Math" w:hAnsi="Cambria Math" w:cs="Times New Roman"/>
                      <w:sz w:val="24"/>
                      <w:szCs w:val="24"/>
                    </w:rPr>
                    <m:t xml:space="preserve">10,087  - 3,046 </m:t>
                  </m:r>
                </m:den>
              </m:f>
            </m:oMath>
            <w:r>
              <w:rPr>
                <w:rFonts w:ascii="Times New Roman" w:eastAsiaTheme="minorEastAsia" w:hAnsi="Times New Roman" w:cs="Times New Roman"/>
                <w:sz w:val="24"/>
                <w:szCs w:val="24"/>
              </w:rPr>
              <w:t xml:space="preserve"> *100</w:t>
            </w:r>
          </w:p>
          <w:p w14:paraId="4F7238BF" w14:textId="6911A56A"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9.</w:t>
            </w:r>
            <w:r w:rsidR="000652FE">
              <w:rPr>
                <w:rFonts w:ascii="Times New Roman" w:eastAsiaTheme="minorEastAsia" w:hAnsi="Times New Roman" w:cs="Times New Roman"/>
                <w:sz w:val="24"/>
                <w:szCs w:val="24"/>
              </w:rPr>
              <w:t>9</w:t>
            </w:r>
            <w:r>
              <w:rPr>
                <w:rFonts w:ascii="Times New Roman" w:eastAsiaTheme="minorEastAsia" w:hAnsi="Times New Roman" w:cs="Times New Roman"/>
                <w:sz w:val="24"/>
                <w:szCs w:val="24"/>
              </w:rPr>
              <w:t>3%</w:t>
            </w:r>
          </w:p>
        </w:tc>
        <w:tc>
          <w:tcPr>
            <w:tcW w:w="3521" w:type="dxa"/>
            <w:tcBorders>
              <w:top w:val="single" w:sz="4" w:space="0" w:color="auto"/>
              <w:left w:val="single" w:sz="4" w:space="0" w:color="auto"/>
              <w:bottom w:val="single" w:sz="4" w:space="0" w:color="auto"/>
              <w:right w:val="single" w:sz="4" w:space="0" w:color="auto"/>
            </w:tcBorders>
            <w:hideMark/>
          </w:tcPr>
          <w:p w14:paraId="6BF7D99E" w14:textId="7FCA5AC1"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805 </m:t>
                  </m:r>
                </m:num>
                <m:den>
                  <m:r>
                    <w:rPr>
                      <w:rFonts w:ascii="Cambria Math" w:hAnsi="Cambria Math" w:cs="Times New Roman"/>
                      <w:sz w:val="24"/>
                      <w:szCs w:val="24"/>
                    </w:rPr>
                    <m:t xml:space="preserve">9736 - 2511 </m:t>
                  </m:r>
                </m:den>
              </m:f>
            </m:oMath>
            <w:r>
              <w:rPr>
                <w:rFonts w:ascii="Times New Roman" w:eastAsiaTheme="minorEastAsia" w:hAnsi="Times New Roman" w:cs="Times New Roman"/>
                <w:sz w:val="24"/>
                <w:szCs w:val="24"/>
              </w:rPr>
              <w:t xml:space="preserve"> *100</w:t>
            </w:r>
          </w:p>
          <w:p w14:paraId="1E646143"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 11.14%</w:t>
            </w:r>
          </w:p>
        </w:tc>
      </w:tr>
    </w:tbl>
    <w:p w14:paraId="64762E5E" w14:textId="54450057" w:rsidR="008A340B" w:rsidRPr="00E22F29" w:rsidRDefault="008A340B" w:rsidP="005470D1">
      <w:pPr>
        <w:spacing w:line="360" w:lineRule="auto"/>
        <w:jc w:val="both"/>
        <w:rPr>
          <w:rFonts w:ascii="Times New Roman" w:hAnsi="Times New Roman" w:cs="Times New Roman"/>
          <w:sz w:val="24"/>
          <w:szCs w:val="24"/>
        </w:rPr>
      </w:pPr>
    </w:p>
    <w:p w14:paraId="24DDC8E8" w14:textId="77777777" w:rsidR="008A340B" w:rsidRPr="00E22F29" w:rsidRDefault="008A340B" w:rsidP="005470D1">
      <w:pPr>
        <w:pStyle w:val="ListParagraph"/>
        <w:numPr>
          <w:ilvl w:val="0"/>
          <w:numId w:val="1"/>
        </w:numPr>
        <w:spacing w:line="360" w:lineRule="auto"/>
        <w:jc w:val="both"/>
        <w:rPr>
          <w:rFonts w:ascii="Times New Roman" w:hAnsi="Times New Roman" w:cs="Times New Roman"/>
          <w:b/>
          <w:bCs/>
          <w:sz w:val="24"/>
          <w:szCs w:val="24"/>
        </w:rPr>
      </w:pPr>
      <w:r w:rsidRPr="00E22F29">
        <w:rPr>
          <w:rFonts w:ascii="Times New Roman" w:hAnsi="Times New Roman" w:cs="Times New Roman"/>
          <w:b/>
          <w:bCs/>
          <w:sz w:val="24"/>
          <w:szCs w:val="24"/>
        </w:rPr>
        <w:t>Return on Equity (ROE):</w:t>
      </w:r>
    </w:p>
    <w:p w14:paraId="70576A91" w14:textId="67A8C450" w:rsidR="008A340B" w:rsidRPr="00E22F29" w:rsidRDefault="00591416"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It</w:t>
      </w:r>
      <w:r w:rsidR="008A340B" w:rsidRPr="00E22F29">
        <w:rPr>
          <w:rFonts w:ascii="Times New Roman" w:hAnsi="Times New Roman" w:cs="Times New Roman"/>
          <w:sz w:val="24"/>
          <w:szCs w:val="24"/>
        </w:rPr>
        <w:t xml:space="preserve"> is a widely used profitability ratio employed by the investors to evaluate how effectively a company manages its equity investments to achieve profits for the shareholders.</w:t>
      </w:r>
    </w:p>
    <w:p w14:paraId="6DFC8725" w14:textId="0D08C928" w:rsidR="008A340B" w:rsidRPr="00E22F29" w:rsidRDefault="008A340B"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The formula for ROE is,</w:t>
      </w:r>
    </w:p>
    <w:p w14:paraId="2519B609" w14:textId="0EB55D24" w:rsidR="00456319" w:rsidRPr="00E22F29" w:rsidRDefault="00456319" w:rsidP="005470D1">
      <w:pPr>
        <w:spacing w:line="360" w:lineRule="auto"/>
        <w:jc w:val="both"/>
        <w:rPr>
          <w:rFonts w:ascii="Times New Roman" w:hAnsi="Times New Roman" w:cs="Times New Roman"/>
          <w:sz w:val="24"/>
          <w:szCs w:val="24"/>
        </w:rPr>
      </w:pPr>
      <w:r w:rsidRPr="00E22F29">
        <w:rPr>
          <w:rFonts w:ascii="Times New Roman" w:hAnsi="Times New Roman" w:cs="Times New Roman"/>
          <w:noProof/>
          <w:sz w:val="24"/>
          <w:szCs w:val="24"/>
        </w:rPr>
        <w:drawing>
          <wp:inline distT="0" distB="0" distL="0" distR="0" wp14:anchorId="79C88C75" wp14:editId="49B0A412">
            <wp:extent cx="5943600" cy="2490470"/>
            <wp:effectExtent l="0" t="0" r="0" b="5080"/>
            <wp:docPr id="2" name="Picture 2" descr="Return on Equity (ROE): Definition and How to Calculat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turn on Equity (ROE): Definition and How to Calculate I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490470"/>
                    </a:xfrm>
                    <a:prstGeom prst="rect">
                      <a:avLst/>
                    </a:prstGeom>
                    <a:noFill/>
                    <a:ln>
                      <a:noFill/>
                    </a:ln>
                  </pic:spPr>
                </pic:pic>
              </a:graphicData>
            </a:graphic>
          </wp:inline>
        </w:drawing>
      </w:r>
    </w:p>
    <w:p w14:paraId="0BD98065" w14:textId="33BA8C4F" w:rsidR="008A340B" w:rsidRDefault="008A340B"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The </w:t>
      </w:r>
      <w:r w:rsidR="00456319" w:rsidRPr="00E22F29">
        <w:rPr>
          <w:rFonts w:ascii="Times New Roman" w:hAnsi="Times New Roman" w:cs="Times New Roman"/>
          <w:sz w:val="24"/>
          <w:szCs w:val="24"/>
        </w:rPr>
        <w:t xml:space="preserve">provided </w:t>
      </w:r>
      <w:r w:rsidRPr="00E22F29">
        <w:rPr>
          <w:rFonts w:ascii="Times New Roman" w:hAnsi="Times New Roman" w:cs="Times New Roman"/>
          <w:sz w:val="24"/>
          <w:szCs w:val="24"/>
        </w:rPr>
        <w:t>information</w:t>
      </w:r>
      <w:r w:rsidR="00456319" w:rsidRPr="00E22F29">
        <w:rPr>
          <w:rFonts w:ascii="Times New Roman" w:hAnsi="Times New Roman" w:cs="Times New Roman"/>
          <w:sz w:val="24"/>
          <w:szCs w:val="24"/>
        </w:rPr>
        <w:t xml:space="preserve"> of</w:t>
      </w:r>
      <w:r w:rsidRPr="00E22F29">
        <w:rPr>
          <w:rFonts w:ascii="Times New Roman" w:hAnsi="Times New Roman" w:cs="Times New Roman"/>
          <w:sz w:val="24"/>
          <w:szCs w:val="24"/>
        </w:rPr>
        <w:t xml:space="preserve"> </w:t>
      </w:r>
      <w:r w:rsidR="00456319" w:rsidRPr="00E22F29">
        <w:rPr>
          <w:rFonts w:ascii="Times New Roman" w:hAnsi="Times New Roman" w:cs="Times New Roman"/>
          <w:sz w:val="24"/>
          <w:szCs w:val="24"/>
        </w:rPr>
        <w:t>Sweets</w:t>
      </w:r>
      <w:r w:rsidRPr="00E22F29">
        <w:rPr>
          <w:rFonts w:ascii="Times New Roman" w:hAnsi="Times New Roman" w:cs="Times New Roman"/>
          <w:sz w:val="24"/>
          <w:szCs w:val="24"/>
        </w:rPr>
        <w:t xml:space="preserve"> Plc </w:t>
      </w:r>
      <w:r w:rsidR="00456319" w:rsidRPr="00E22F29">
        <w:rPr>
          <w:rFonts w:ascii="Times New Roman" w:hAnsi="Times New Roman" w:cs="Times New Roman"/>
          <w:sz w:val="24"/>
          <w:szCs w:val="24"/>
        </w:rPr>
        <w:t xml:space="preserve">for computing ROE </w:t>
      </w:r>
      <w:r w:rsidRPr="00E22F29">
        <w:rPr>
          <w:rFonts w:ascii="Times New Roman" w:hAnsi="Times New Roman" w:cs="Times New Roman"/>
          <w:sz w:val="24"/>
          <w:szCs w:val="24"/>
        </w:rPr>
        <w:t>is,</w:t>
      </w:r>
    </w:p>
    <w:tbl>
      <w:tblPr>
        <w:tblStyle w:val="TableGrid"/>
        <w:tblW w:w="0" w:type="auto"/>
        <w:tblInd w:w="0" w:type="dxa"/>
        <w:tblLook w:val="04A0" w:firstRow="1" w:lastRow="0" w:firstColumn="1" w:lastColumn="0" w:noHBand="0" w:noVBand="1"/>
      </w:tblPr>
      <w:tblGrid>
        <w:gridCol w:w="3116"/>
        <w:gridCol w:w="3117"/>
        <w:gridCol w:w="3117"/>
      </w:tblGrid>
      <w:tr w:rsidR="00A42FF0" w14:paraId="2B9D70F5"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68581871"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Particulars</w:t>
            </w:r>
          </w:p>
        </w:tc>
        <w:tc>
          <w:tcPr>
            <w:tcW w:w="3117" w:type="dxa"/>
            <w:tcBorders>
              <w:top w:val="single" w:sz="4" w:space="0" w:color="auto"/>
              <w:left w:val="single" w:sz="4" w:space="0" w:color="auto"/>
              <w:bottom w:val="single" w:sz="4" w:space="0" w:color="auto"/>
              <w:right w:val="single" w:sz="4" w:space="0" w:color="auto"/>
            </w:tcBorders>
            <w:hideMark/>
          </w:tcPr>
          <w:p w14:paraId="0F78402A"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16AE8863" w14:textId="061E8CFC"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264BDA80"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40B2EF91" w14:textId="47BB28A2"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6625EDF4"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52033454"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Net Income</w:t>
            </w:r>
          </w:p>
        </w:tc>
        <w:tc>
          <w:tcPr>
            <w:tcW w:w="3117" w:type="dxa"/>
            <w:tcBorders>
              <w:top w:val="single" w:sz="4" w:space="0" w:color="auto"/>
              <w:left w:val="single" w:sz="4" w:space="0" w:color="auto"/>
              <w:bottom w:val="single" w:sz="4" w:space="0" w:color="auto"/>
              <w:right w:val="single" w:sz="4" w:space="0" w:color="auto"/>
            </w:tcBorders>
            <w:hideMark/>
          </w:tcPr>
          <w:p w14:paraId="5FFB65BD" w14:textId="1F439DC2" w:rsidR="00A42FF0" w:rsidRDefault="00A42FF0" w:rsidP="005470D1">
            <w:pPr>
              <w:pStyle w:val="Default"/>
              <w:spacing w:line="360" w:lineRule="auto"/>
              <w:jc w:val="both"/>
            </w:pPr>
            <w:r>
              <w:t xml:space="preserve">366 </w:t>
            </w:r>
          </w:p>
        </w:tc>
        <w:tc>
          <w:tcPr>
            <w:tcW w:w="3117" w:type="dxa"/>
            <w:tcBorders>
              <w:top w:val="single" w:sz="4" w:space="0" w:color="auto"/>
              <w:left w:val="single" w:sz="4" w:space="0" w:color="auto"/>
              <w:bottom w:val="single" w:sz="4" w:space="0" w:color="auto"/>
              <w:right w:val="single" w:sz="4" w:space="0" w:color="auto"/>
            </w:tcBorders>
            <w:hideMark/>
          </w:tcPr>
          <w:p w14:paraId="4A7ADABA" w14:textId="2B050ECA" w:rsidR="00A42FF0" w:rsidRDefault="00A42FF0" w:rsidP="005470D1">
            <w:pPr>
              <w:pStyle w:val="Default"/>
              <w:spacing w:line="360" w:lineRule="auto"/>
              <w:jc w:val="both"/>
            </w:pPr>
            <w:r>
              <w:t xml:space="preserve">431 </w:t>
            </w:r>
          </w:p>
        </w:tc>
      </w:tr>
      <w:tr w:rsidR="00A42FF0" w14:paraId="21FD58F8"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5826A86B"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Total Shareholder’s Equity</w:t>
            </w:r>
          </w:p>
        </w:tc>
        <w:tc>
          <w:tcPr>
            <w:tcW w:w="3117" w:type="dxa"/>
            <w:tcBorders>
              <w:top w:val="single" w:sz="4" w:space="0" w:color="auto"/>
              <w:left w:val="single" w:sz="4" w:space="0" w:color="auto"/>
              <w:bottom w:val="single" w:sz="4" w:space="0" w:color="auto"/>
              <w:right w:val="single" w:sz="4" w:space="0" w:color="auto"/>
            </w:tcBorders>
            <w:hideMark/>
          </w:tcPr>
          <w:p w14:paraId="5E17F799" w14:textId="0007DEC4" w:rsidR="00A42FF0" w:rsidRDefault="00A42FF0" w:rsidP="005470D1">
            <w:pPr>
              <w:pStyle w:val="Default"/>
              <w:spacing w:line="360" w:lineRule="auto"/>
              <w:jc w:val="both"/>
            </w:pPr>
            <w:r>
              <w:t xml:space="preserve">2,912 </w:t>
            </w:r>
          </w:p>
        </w:tc>
        <w:tc>
          <w:tcPr>
            <w:tcW w:w="3117" w:type="dxa"/>
            <w:tcBorders>
              <w:top w:val="single" w:sz="4" w:space="0" w:color="auto"/>
              <w:left w:val="single" w:sz="4" w:space="0" w:color="auto"/>
              <w:bottom w:val="single" w:sz="4" w:space="0" w:color="auto"/>
              <w:right w:val="single" w:sz="4" w:space="0" w:color="auto"/>
            </w:tcBorders>
            <w:hideMark/>
          </w:tcPr>
          <w:p w14:paraId="5882838B" w14:textId="7C151B38" w:rsidR="00A42FF0" w:rsidRDefault="00A42FF0" w:rsidP="005470D1">
            <w:pPr>
              <w:pStyle w:val="Default"/>
              <w:spacing w:line="360" w:lineRule="auto"/>
              <w:jc w:val="both"/>
            </w:pPr>
            <w:r>
              <w:t xml:space="preserve">3,088 </w:t>
            </w:r>
          </w:p>
        </w:tc>
      </w:tr>
    </w:tbl>
    <w:p w14:paraId="2C621EAF" w14:textId="735E40FE" w:rsidR="008A340B" w:rsidRPr="00E22F29" w:rsidRDefault="008A340B" w:rsidP="005470D1">
      <w:pPr>
        <w:spacing w:line="360" w:lineRule="auto"/>
        <w:jc w:val="both"/>
        <w:rPr>
          <w:rFonts w:ascii="Times New Roman" w:hAnsi="Times New Roman" w:cs="Times New Roman"/>
          <w:sz w:val="24"/>
          <w:szCs w:val="24"/>
        </w:rPr>
      </w:pPr>
    </w:p>
    <w:p w14:paraId="4B3FEB67" w14:textId="4091CE65" w:rsidR="008A340B" w:rsidRDefault="008A340B"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Thus, </w:t>
      </w:r>
      <w:r w:rsidR="00456319" w:rsidRPr="00E22F29">
        <w:rPr>
          <w:rFonts w:ascii="Times New Roman" w:hAnsi="Times New Roman" w:cs="Times New Roman"/>
          <w:sz w:val="24"/>
          <w:szCs w:val="24"/>
        </w:rPr>
        <w:t>The ROE</w:t>
      </w:r>
      <w:r w:rsidRPr="00E22F29">
        <w:rPr>
          <w:rFonts w:ascii="Times New Roman" w:hAnsi="Times New Roman" w:cs="Times New Roman"/>
          <w:sz w:val="24"/>
          <w:szCs w:val="24"/>
        </w:rPr>
        <w:t xml:space="preserve"> of </w:t>
      </w:r>
      <w:r w:rsidR="00456319" w:rsidRPr="00E22F29">
        <w:rPr>
          <w:rFonts w:ascii="Times New Roman" w:hAnsi="Times New Roman" w:cs="Times New Roman"/>
          <w:sz w:val="24"/>
          <w:szCs w:val="24"/>
        </w:rPr>
        <w:t>Sweets</w:t>
      </w:r>
      <w:r w:rsidRPr="00E22F29">
        <w:rPr>
          <w:rFonts w:ascii="Times New Roman" w:hAnsi="Times New Roman" w:cs="Times New Roman"/>
          <w:sz w:val="24"/>
          <w:szCs w:val="24"/>
        </w:rPr>
        <w:t xml:space="preserve"> Plc </w:t>
      </w:r>
      <w:r w:rsidR="00456319" w:rsidRPr="00E22F29">
        <w:rPr>
          <w:rFonts w:ascii="Times New Roman" w:hAnsi="Times New Roman" w:cs="Times New Roman"/>
          <w:sz w:val="24"/>
          <w:szCs w:val="24"/>
        </w:rPr>
        <w:t xml:space="preserve">for 2020 and 2021 </w:t>
      </w:r>
      <w:r w:rsidRPr="00E22F29">
        <w:rPr>
          <w:rFonts w:ascii="Times New Roman" w:hAnsi="Times New Roman" w:cs="Times New Roman"/>
          <w:sz w:val="24"/>
          <w:szCs w:val="24"/>
        </w:rPr>
        <w:t>is,</w:t>
      </w:r>
    </w:p>
    <w:tbl>
      <w:tblPr>
        <w:tblStyle w:val="TableGrid"/>
        <w:tblW w:w="0" w:type="auto"/>
        <w:tblInd w:w="0" w:type="dxa"/>
        <w:tblLook w:val="04A0" w:firstRow="1" w:lastRow="0" w:firstColumn="1" w:lastColumn="0" w:noHBand="0" w:noVBand="1"/>
      </w:tblPr>
      <w:tblGrid>
        <w:gridCol w:w="3116"/>
        <w:gridCol w:w="3117"/>
        <w:gridCol w:w="3117"/>
      </w:tblGrid>
      <w:tr w:rsidR="00A42FF0" w14:paraId="043B9D22"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766D6692" w14:textId="77777777" w:rsidR="00A42FF0" w:rsidRDefault="00A42FF0" w:rsidP="005470D1">
            <w:pPr>
              <w:spacing w:line="360" w:lineRule="auto"/>
              <w:jc w:val="both"/>
              <w:rPr>
                <w:rFonts w:ascii="Times New Roman" w:hAnsi="Times New Roman" w:cs="Times New Roman"/>
                <w:sz w:val="24"/>
                <w:szCs w:val="24"/>
              </w:rPr>
            </w:pPr>
            <w:bookmarkStart w:id="6" w:name="_Hlk76921954"/>
            <w:r>
              <w:rPr>
                <w:rFonts w:ascii="Times New Roman" w:hAnsi="Times New Roman" w:cs="Times New Roman"/>
                <w:sz w:val="24"/>
                <w:szCs w:val="24"/>
              </w:rPr>
              <w:t>Financial Ratio</w:t>
            </w:r>
          </w:p>
        </w:tc>
        <w:tc>
          <w:tcPr>
            <w:tcW w:w="3117" w:type="dxa"/>
            <w:tcBorders>
              <w:top w:val="single" w:sz="4" w:space="0" w:color="auto"/>
              <w:left w:val="single" w:sz="4" w:space="0" w:color="auto"/>
              <w:bottom w:val="single" w:sz="4" w:space="0" w:color="auto"/>
              <w:right w:val="single" w:sz="4" w:space="0" w:color="auto"/>
            </w:tcBorders>
            <w:hideMark/>
          </w:tcPr>
          <w:p w14:paraId="3DDEEABA"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5E04D4B7" w14:textId="2BDFA66E"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392E65EE"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7A615D0C" w14:textId="440933E0"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08C21351"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7E07D9EB"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ROE</w:t>
            </w:r>
          </w:p>
        </w:tc>
        <w:tc>
          <w:tcPr>
            <w:tcW w:w="3117" w:type="dxa"/>
            <w:tcBorders>
              <w:top w:val="single" w:sz="4" w:space="0" w:color="auto"/>
              <w:left w:val="single" w:sz="4" w:space="0" w:color="auto"/>
              <w:bottom w:val="single" w:sz="4" w:space="0" w:color="auto"/>
              <w:right w:val="single" w:sz="4" w:space="0" w:color="auto"/>
            </w:tcBorders>
            <w:hideMark/>
          </w:tcPr>
          <w:p w14:paraId="0E4011E6" w14:textId="03F12E16"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366 </m:t>
                  </m:r>
                </m:num>
                <m:den>
                  <m:r>
                    <w:rPr>
                      <w:rFonts w:ascii="Cambria Math" w:hAnsi="Cambria Math" w:cs="Times New Roman"/>
                      <w:sz w:val="24"/>
                      <w:szCs w:val="24"/>
                    </w:rPr>
                    <m:t xml:space="preserve">2,912 </m:t>
                  </m:r>
                </m:den>
              </m:f>
            </m:oMath>
            <w:r>
              <w:rPr>
                <w:rFonts w:ascii="Times New Roman" w:eastAsiaTheme="minorEastAsia" w:hAnsi="Times New Roman" w:cs="Times New Roman"/>
                <w:sz w:val="24"/>
                <w:szCs w:val="24"/>
              </w:rPr>
              <w:t xml:space="preserve"> *100</w:t>
            </w:r>
          </w:p>
          <w:p w14:paraId="4AFB4C0B"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 12.56%</w:t>
            </w:r>
          </w:p>
        </w:tc>
        <w:tc>
          <w:tcPr>
            <w:tcW w:w="3117" w:type="dxa"/>
            <w:tcBorders>
              <w:top w:val="single" w:sz="4" w:space="0" w:color="auto"/>
              <w:left w:val="single" w:sz="4" w:space="0" w:color="auto"/>
              <w:bottom w:val="single" w:sz="4" w:space="0" w:color="auto"/>
              <w:right w:val="single" w:sz="4" w:space="0" w:color="auto"/>
            </w:tcBorders>
            <w:hideMark/>
          </w:tcPr>
          <w:p w14:paraId="25A11146" w14:textId="39439995"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431 </m:t>
                  </m:r>
                </m:num>
                <m:den>
                  <m:r>
                    <w:rPr>
                      <w:rFonts w:ascii="Cambria Math" w:hAnsi="Cambria Math" w:cs="Times New Roman"/>
                      <w:sz w:val="24"/>
                      <w:szCs w:val="24"/>
                    </w:rPr>
                    <m:t xml:space="preserve">3,088 </m:t>
                  </m:r>
                </m:den>
              </m:f>
            </m:oMath>
            <w:r>
              <w:rPr>
                <w:rFonts w:ascii="Times New Roman" w:eastAsiaTheme="minorEastAsia" w:hAnsi="Times New Roman" w:cs="Times New Roman"/>
                <w:sz w:val="24"/>
                <w:szCs w:val="24"/>
              </w:rPr>
              <w:t xml:space="preserve"> *100</w:t>
            </w:r>
          </w:p>
          <w:p w14:paraId="2F2064A6"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 13.96%</w:t>
            </w:r>
          </w:p>
        </w:tc>
      </w:tr>
      <w:bookmarkEnd w:id="6"/>
    </w:tbl>
    <w:p w14:paraId="25A5F1FC" w14:textId="04E90707" w:rsidR="008A340B" w:rsidRPr="00657351" w:rsidRDefault="008A340B" w:rsidP="005470D1">
      <w:pPr>
        <w:spacing w:line="360" w:lineRule="auto"/>
        <w:jc w:val="both"/>
        <w:rPr>
          <w:rFonts w:ascii="Times New Roman" w:hAnsi="Times New Roman" w:cs="Times New Roman"/>
          <w:sz w:val="24"/>
          <w:szCs w:val="24"/>
        </w:rPr>
      </w:pPr>
    </w:p>
    <w:p w14:paraId="6A412A4F" w14:textId="77777777" w:rsidR="008A340B" w:rsidRPr="00E22F29" w:rsidRDefault="008A340B" w:rsidP="005470D1">
      <w:pPr>
        <w:pStyle w:val="ListParagraph"/>
        <w:numPr>
          <w:ilvl w:val="0"/>
          <w:numId w:val="1"/>
        </w:numPr>
        <w:spacing w:line="360" w:lineRule="auto"/>
        <w:jc w:val="both"/>
        <w:rPr>
          <w:rFonts w:ascii="Times New Roman" w:hAnsi="Times New Roman" w:cs="Times New Roman"/>
          <w:b/>
          <w:bCs/>
          <w:sz w:val="24"/>
          <w:szCs w:val="24"/>
        </w:rPr>
      </w:pPr>
      <w:r w:rsidRPr="00E22F29">
        <w:rPr>
          <w:rFonts w:ascii="Times New Roman" w:hAnsi="Times New Roman" w:cs="Times New Roman"/>
          <w:b/>
          <w:bCs/>
          <w:sz w:val="24"/>
          <w:szCs w:val="24"/>
        </w:rPr>
        <w:t>Earnings Per Share (EPS):</w:t>
      </w:r>
    </w:p>
    <w:p w14:paraId="12B4ED0D" w14:textId="6E3D2773" w:rsidR="00456319" w:rsidRPr="00E22F29" w:rsidRDefault="00591416"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It</w:t>
      </w:r>
      <w:r w:rsidR="00456319" w:rsidRPr="00E22F29">
        <w:rPr>
          <w:rFonts w:ascii="Times New Roman" w:hAnsi="Times New Roman" w:cs="Times New Roman"/>
          <w:sz w:val="24"/>
          <w:szCs w:val="24"/>
        </w:rPr>
        <w:t xml:space="preserve"> is widely used valuation ratio used to gauge how much </w:t>
      </w:r>
      <w:r w:rsidRPr="00E22F29">
        <w:rPr>
          <w:rFonts w:ascii="Times New Roman" w:hAnsi="Times New Roman" w:cs="Times New Roman"/>
          <w:sz w:val="24"/>
          <w:szCs w:val="24"/>
        </w:rPr>
        <w:t>pound</w:t>
      </w:r>
      <w:r w:rsidR="00456319" w:rsidRPr="00E22F29">
        <w:rPr>
          <w:rFonts w:ascii="Times New Roman" w:hAnsi="Times New Roman" w:cs="Times New Roman"/>
          <w:sz w:val="24"/>
          <w:szCs w:val="24"/>
        </w:rPr>
        <w:t xml:space="preserve"> sterling the investors are ready to pay in the stock market to have ownership right on one pound sterling reported profit of the Company. </w:t>
      </w:r>
    </w:p>
    <w:p w14:paraId="7FE081B6" w14:textId="593C6585" w:rsidR="008A340B" w:rsidRPr="00E22F29" w:rsidRDefault="008A340B"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The formula for EPS is,</w:t>
      </w:r>
    </w:p>
    <w:p w14:paraId="62DD1754" w14:textId="4BC623AF" w:rsidR="008A340B" w:rsidRPr="00E22F29" w:rsidRDefault="00050833" w:rsidP="005470D1">
      <w:pPr>
        <w:spacing w:line="360" w:lineRule="auto"/>
        <w:jc w:val="both"/>
        <w:rPr>
          <w:rFonts w:ascii="Times New Roman" w:hAnsi="Times New Roman" w:cs="Times New Roman"/>
          <w:sz w:val="24"/>
          <w:szCs w:val="24"/>
        </w:rPr>
      </w:pPr>
      <w:r w:rsidRPr="00E22F29">
        <w:rPr>
          <w:rFonts w:ascii="Times New Roman" w:hAnsi="Times New Roman" w:cs="Times New Roman"/>
          <w:noProof/>
          <w:sz w:val="24"/>
          <w:szCs w:val="24"/>
        </w:rPr>
        <w:drawing>
          <wp:inline distT="0" distB="0" distL="0" distR="0" wp14:anchorId="093DF96E" wp14:editId="39B637C1">
            <wp:extent cx="2362200" cy="1414039"/>
            <wp:effectExtent l="0" t="0" r="0" b="0"/>
            <wp:docPr id="3" name="Picture 3" descr="Wealth Vidya - Learn Wealth Creation through Value Investing: Earnings Per  Share (EPS) -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alth Vidya - Learn Wealth Creation through Value Investing: Earnings Per  Share (EPS) - Formul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62200" cy="1414039"/>
                    </a:xfrm>
                    <a:prstGeom prst="rect">
                      <a:avLst/>
                    </a:prstGeom>
                    <a:noFill/>
                    <a:ln>
                      <a:noFill/>
                    </a:ln>
                  </pic:spPr>
                </pic:pic>
              </a:graphicData>
            </a:graphic>
          </wp:inline>
        </w:drawing>
      </w:r>
    </w:p>
    <w:p w14:paraId="56D4E73A" w14:textId="1595C7CA" w:rsidR="008A340B" w:rsidRPr="00E22F29" w:rsidRDefault="008A340B" w:rsidP="005470D1">
      <w:pPr>
        <w:spacing w:line="360" w:lineRule="auto"/>
        <w:jc w:val="both"/>
        <w:rPr>
          <w:rFonts w:ascii="Times New Roman" w:eastAsiaTheme="minorEastAsia" w:hAnsi="Times New Roman" w:cs="Times New Roman"/>
          <w:sz w:val="24"/>
          <w:szCs w:val="24"/>
        </w:rPr>
      </w:pPr>
    </w:p>
    <w:p w14:paraId="2E1E4DAD" w14:textId="1BE89CA9" w:rsidR="00050833" w:rsidRDefault="00050833"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The provided information of Sweets Plc for computing EPS is,</w:t>
      </w:r>
    </w:p>
    <w:tbl>
      <w:tblPr>
        <w:tblStyle w:val="TableGrid"/>
        <w:tblW w:w="0" w:type="auto"/>
        <w:tblInd w:w="0" w:type="dxa"/>
        <w:tblLook w:val="04A0" w:firstRow="1" w:lastRow="0" w:firstColumn="1" w:lastColumn="0" w:noHBand="0" w:noVBand="1"/>
      </w:tblPr>
      <w:tblGrid>
        <w:gridCol w:w="3116"/>
        <w:gridCol w:w="3117"/>
        <w:gridCol w:w="3117"/>
      </w:tblGrid>
      <w:tr w:rsidR="00A42FF0" w14:paraId="424F6D44"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4A4AEAA4"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Particulars</w:t>
            </w:r>
          </w:p>
        </w:tc>
        <w:tc>
          <w:tcPr>
            <w:tcW w:w="3117" w:type="dxa"/>
            <w:tcBorders>
              <w:top w:val="single" w:sz="4" w:space="0" w:color="auto"/>
              <w:left w:val="single" w:sz="4" w:space="0" w:color="auto"/>
              <w:bottom w:val="single" w:sz="4" w:space="0" w:color="auto"/>
              <w:right w:val="single" w:sz="4" w:space="0" w:color="auto"/>
            </w:tcBorders>
            <w:hideMark/>
          </w:tcPr>
          <w:p w14:paraId="31767AE2"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37187603" w14:textId="2955030D"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13D94F40"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4074222A" w14:textId="12C211E2"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5D78C728"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7C1F9288"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Net Profit</w:t>
            </w:r>
          </w:p>
        </w:tc>
        <w:tc>
          <w:tcPr>
            <w:tcW w:w="3117" w:type="dxa"/>
            <w:tcBorders>
              <w:top w:val="single" w:sz="4" w:space="0" w:color="auto"/>
              <w:left w:val="single" w:sz="4" w:space="0" w:color="auto"/>
              <w:bottom w:val="single" w:sz="4" w:space="0" w:color="auto"/>
              <w:right w:val="single" w:sz="4" w:space="0" w:color="auto"/>
            </w:tcBorders>
            <w:hideMark/>
          </w:tcPr>
          <w:p w14:paraId="62455A86" w14:textId="46ACB486" w:rsidR="00A42FF0" w:rsidRDefault="00A42FF0" w:rsidP="005470D1">
            <w:pPr>
              <w:pStyle w:val="Default"/>
              <w:spacing w:line="360" w:lineRule="auto"/>
              <w:jc w:val="both"/>
            </w:pPr>
            <w:r>
              <w:t xml:space="preserve">366 </w:t>
            </w:r>
          </w:p>
        </w:tc>
        <w:tc>
          <w:tcPr>
            <w:tcW w:w="3117" w:type="dxa"/>
            <w:tcBorders>
              <w:top w:val="single" w:sz="4" w:space="0" w:color="auto"/>
              <w:left w:val="single" w:sz="4" w:space="0" w:color="auto"/>
              <w:bottom w:val="single" w:sz="4" w:space="0" w:color="auto"/>
              <w:right w:val="single" w:sz="4" w:space="0" w:color="auto"/>
            </w:tcBorders>
            <w:hideMark/>
          </w:tcPr>
          <w:p w14:paraId="19AEAEE8" w14:textId="243346A1" w:rsidR="00A42FF0" w:rsidRDefault="00A42FF0" w:rsidP="005470D1">
            <w:pPr>
              <w:pStyle w:val="Default"/>
              <w:spacing w:line="360" w:lineRule="auto"/>
              <w:jc w:val="both"/>
            </w:pPr>
            <w:r>
              <w:t xml:space="preserve">431 </w:t>
            </w:r>
          </w:p>
        </w:tc>
      </w:tr>
      <w:tr w:rsidR="00A42FF0" w14:paraId="340E148E"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7D7D314E" w14:textId="0CF8CA65"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Number of </w:t>
            </w:r>
            <w:proofErr w:type="gramStart"/>
            <w:r>
              <w:rPr>
                <w:rFonts w:ascii="Times New Roman" w:hAnsi="Times New Roman" w:cs="Times New Roman"/>
                <w:sz w:val="24"/>
                <w:szCs w:val="24"/>
              </w:rPr>
              <w:t>equity</w:t>
            </w:r>
            <w:proofErr w:type="gramEnd"/>
            <w:r>
              <w:rPr>
                <w:rFonts w:ascii="Times New Roman" w:hAnsi="Times New Roman" w:cs="Times New Roman"/>
                <w:sz w:val="24"/>
                <w:szCs w:val="24"/>
              </w:rPr>
              <w:t xml:space="preserve"> shares outstanding</w:t>
            </w:r>
          </w:p>
        </w:tc>
        <w:tc>
          <w:tcPr>
            <w:tcW w:w="3117" w:type="dxa"/>
            <w:tcBorders>
              <w:top w:val="single" w:sz="4" w:space="0" w:color="auto"/>
              <w:left w:val="single" w:sz="4" w:space="0" w:color="auto"/>
              <w:bottom w:val="single" w:sz="4" w:space="0" w:color="auto"/>
              <w:right w:val="single" w:sz="4" w:space="0" w:color="auto"/>
            </w:tcBorders>
            <w:hideMark/>
          </w:tcPr>
          <w:p w14:paraId="46D96D21" w14:textId="41871E59" w:rsidR="00A42FF0" w:rsidRDefault="00A42FF0" w:rsidP="005470D1">
            <w:pPr>
              <w:pStyle w:val="Default"/>
              <w:spacing w:line="360" w:lineRule="auto"/>
              <w:jc w:val="both"/>
              <w:rPr>
                <w:rFonts w:eastAsiaTheme="minorEastAsia"/>
              </w:rPr>
            </w:pPr>
            <w:r>
              <w:rPr>
                <w:rFonts w:eastAsiaTheme="minorEastAsia"/>
              </w:rPr>
              <w:t>=</w:t>
            </w:r>
            <m:oMath>
              <m:r>
                <w:rPr>
                  <w:rFonts w:ascii="Cambria Math" w:eastAsiaTheme="minorEastAsia" w:hAnsi="Cambria Math"/>
                </w:rPr>
                <m:t xml:space="preserve"> </m:t>
              </m:r>
              <m:f>
                <m:fPr>
                  <m:ctrlPr>
                    <w:rPr>
                      <w:rFonts w:ascii="Cambria Math" w:hAnsi="Cambria Math"/>
                      <w:i/>
                    </w:rPr>
                  </m:ctrlPr>
                </m:fPr>
                <m:num>
                  <m:r>
                    <w:rPr>
                      <w:rFonts w:ascii="Cambria Math" w:hAnsi="Cambria Math"/>
                    </w:rPr>
                    <m:t xml:space="preserve"> 300 </m:t>
                  </m:r>
                </m:num>
                <m:den>
                  <m:r>
                    <w:rPr>
                      <w:rFonts w:ascii="Cambria Math" w:hAnsi="Cambria Math"/>
                    </w:rPr>
                    <m:t>£ 0.5 per share</m:t>
                  </m:r>
                </m:den>
              </m:f>
            </m:oMath>
          </w:p>
          <w:p w14:paraId="1E3C6521" w14:textId="77777777" w:rsidR="00A42FF0" w:rsidRDefault="00A42FF0" w:rsidP="005470D1">
            <w:pPr>
              <w:pStyle w:val="Default"/>
              <w:spacing w:line="360" w:lineRule="auto"/>
              <w:jc w:val="both"/>
            </w:pPr>
            <w:r>
              <w:t xml:space="preserve">        = 600 million equity shares</w:t>
            </w:r>
          </w:p>
        </w:tc>
        <w:tc>
          <w:tcPr>
            <w:tcW w:w="3117" w:type="dxa"/>
            <w:tcBorders>
              <w:top w:val="single" w:sz="4" w:space="0" w:color="auto"/>
              <w:left w:val="single" w:sz="4" w:space="0" w:color="auto"/>
              <w:bottom w:val="single" w:sz="4" w:space="0" w:color="auto"/>
              <w:right w:val="single" w:sz="4" w:space="0" w:color="auto"/>
            </w:tcBorders>
            <w:hideMark/>
          </w:tcPr>
          <w:p w14:paraId="0E006A2C" w14:textId="3BB26A81" w:rsidR="00A42FF0" w:rsidRDefault="00A42FF0" w:rsidP="005470D1">
            <w:pPr>
              <w:pStyle w:val="Default"/>
              <w:spacing w:line="360" w:lineRule="auto"/>
              <w:jc w:val="both"/>
              <w:rPr>
                <w:rFonts w:eastAsiaTheme="minorEastAsia"/>
              </w:rPr>
            </w:pPr>
            <w:r>
              <w:rPr>
                <w:rFonts w:eastAsiaTheme="minorEastAsia"/>
              </w:rPr>
              <w:t>=</w:t>
            </w:r>
            <m:oMath>
              <m:f>
                <m:fPr>
                  <m:ctrlPr>
                    <w:rPr>
                      <w:rFonts w:ascii="Cambria Math" w:hAnsi="Cambria Math"/>
                      <w:i/>
                    </w:rPr>
                  </m:ctrlPr>
                </m:fPr>
                <m:num>
                  <m:r>
                    <w:rPr>
                      <w:rFonts w:ascii="Cambria Math" w:hAnsi="Cambria Math"/>
                    </w:rPr>
                    <m:t xml:space="preserve">300 </m:t>
                  </m:r>
                </m:num>
                <m:den>
                  <m:r>
                    <w:rPr>
                      <w:rFonts w:ascii="Cambria Math" w:hAnsi="Cambria Math"/>
                    </w:rPr>
                    <m:t>£ 0.5 per share</m:t>
                  </m:r>
                </m:den>
              </m:f>
            </m:oMath>
          </w:p>
          <w:p w14:paraId="40F5E2E4" w14:textId="77777777" w:rsidR="00A42FF0" w:rsidRDefault="00A42FF0" w:rsidP="005470D1">
            <w:pPr>
              <w:pStyle w:val="Default"/>
              <w:spacing w:line="360" w:lineRule="auto"/>
              <w:jc w:val="both"/>
            </w:pPr>
            <w:r>
              <w:rPr>
                <w:rFonts w:eastAsiaTheme="minorEastAsia"/>
              </w:rPr>
              <w:t xml:space="preserve">           = 600 million equity shares</w:t>
            </w:r>
          </w:p>
        </w:tc>
      </w:tr>
    </w:tbl>
    <w:p w14:paraId="25DF1E8F" w14:textId="0E8AD7C2" w:rsidR="008A340B" w:rsidRPr="00657351" w:rsidRDefault="008A340B" w:rsidP="005470D1">
      <w:pPr>
        <w:spacing w:line="360" w:lineRule="auto"/>
        <w:jc w:val="both"/>
        <w:rPr>
          <w:rFonts w:ascii="Times New Roman" w:hAnsi="Times New Roman" w:cs="Times New Roman"/>
          <w:sz w:val="24"/>
          <w:szCs w:val="24"/>
        </w:rPr>
      </w:pPr>
    </w:p>
    <w:p w14:paraId="7BA41A9A" w14:textId="2939FAA2" w:rsidR="008A340B" w:rsidRDefault="00050833" w:rsidP="005470D1">
      <w:pPr>
        <w:spacing w:line="360" w:lineRule="auto"/>
        <w:jc w:val="both"/>
        <w:rPr>
          <w:rFonts w:ascii="Times New Roman" w:eastAsiaTheme="minorEastAsia" w:hAnsi="Times New Roman" w:cs="Times New Roman"/>
          <w:sz w:val="24"/>
          <w:szCs w:val="24"/>
        </w:rPr>
      </w:pPr>
      <w:r w:rsidRPr="00E22F29">
        <w:rPr>
          <w:rFonts w:ascii="Times New Roman" w:eastAsiaTheme="minorEastAsia" w:hAnsi="Times New Roman" w:cs="Times New Roman"/>
          <w:sz w:val="24"/>
          <w:szCs w:val="24"/>
        </w:rPr>
        <w:t xml:space="preserve">Based on the provided information, the calculated value of </w:t>
      </w:r>
      <w:r w:rsidR="008A340B" w:rsidRPr="00E22F29">
        <w:rPr>
          <w:rFonts w:ascii="Times New Roman" w:eastAsiaTheme="minorEastAsia" w:hAnsi="Times New Roman" w:cs="Times New Roman"/>
          <w:sz w:val="24"/>
          <w:szCs w:val="24"/>
        </w:rPr>
        <w:t xml:space="preserve">EPS of </w:t>
      </w:r>
      <w:r w:rsidRPr="00E22F29">
        <w:rPr>
          <w:rFonts w:ascii="Times New Roman" w:eastAsiaTheme="minorEastAsia" w:hAnsi="Times New Roman" w:cs="Times New Roman"/>
          <w:sz w:val="24"/>
          <w:szCs w:val="24"/>
        </w:rPr>
        <w:t>Sweets</w:t>
      </w:r>
      <w:r w:rsidR="008A340B" w:rsidRPr="00E22F29">
        <w:rPr>
          <w:rFonts w:ascii="Times New Roman" w:eastAsiaTheme="minorEastAsia" w:hAnsi="Times New Roman" w:cs="Times New Roman"/>
          <w:sz w:val="24"/>
          <w:szCs w:val="24"/>
        </w:rPr>
        <w:t xml:space="preserve"> Plc</w:t>
      </w:r>
      <w:r w:rsidRPr="00E22F29">
        <w:rPr>
          <w:rFonts w:ascii="Times New Roman" w:eastAsiaTheme="minorEastAsia" w:hAnsi="Times New Roman" w:cs="Times New Roman"/>
          <w:sz w:val="24"/>
          <w:szCs w:val="24"/>
        </w:rPr>
        <w:t xml:space="preserve"> for 2020 and 2021</w:t>
      </w:r>
      <w:r w:rsidR="008A340B" w:rsidRPr="00E22F29">
        <w:rPr>
          <w:rFonts w:ascii="Times New Roman" w:eastAsiaTheme="minorEastAsia" w:hAnsi="Times New Roman" w:cs="Times New Roman"/>
          <w:sz w:val="24"/>
          <w:szCs w:val="24"/>
        </w:rPr>
        <w:t xml:space="preserve"> is,</w:t>
      </w:r>
    </w:p>
    <w:tbl>
      <w:tblPr>
        <w:tblStyle w:val="TableGrid"/>
        <w:tblW w:w="0" w:type="auto"/>
        <w:tblInd w:w="0" w:type="dxa"/>
        <w:tblLook w:val="04A0" w:firstRow="1" w:lastRow="0" w:firstColumn="1" w:lastColumn="0" w:noHBand="0" w:noVBand="1"/>
      </w:tblPr>
      <w:tblGrid>
        <w:gridCol w:w="3116"/>
        <w:gridCol w:w="3117"/>
        <w:gridCol w:w="3117"/>
      </w:tblGrid>
      <w:tr w:rsidR="00A42FF0" w14:paraId="0B523AED"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21667FAA" w14:textId="54109219" w:rsidR="00A42FF0" w:rsidRDefault="000652FE"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Year</w:t>
            </w:r>
          </w:p>
        </w:tc>
        <w:tc>
          <w:tcPr>
            <w:tcW w:w="3117" w:type="dxa"/>
            <w:tcBorders>
              <w:top w:val="single" w:sz="4" w:space="0" w:color="auto"/>
              <w:left w:val="single" w:sz="4" w:space="0" w:color="auto"/>
              <w:bottom w:val="single" w:sz="4" w:space="0" w:color="auto"/>
              <w:right w:val="single" w:sz="4" w:space="0" w:color="auto"/>
            </w:tcBorders>
            <w:hideMark/>
          </w:tcPr>
          <w:p w14:paraId="1919F736"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743C5D58" w14:textId="142D8905"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1A34AF75"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4AD5E8D6" w14:textId="723BD1F9"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3A6A0123"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6CAB6020"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EPS</w:t>
            </w:r>
          </w:p>
        </w:tc>
        <w:tc>
          <w:tcPr>
            <w:tcW w:w="3117" w:type="dxa"/>
            <w:tcBorders>
              <w:top w:val="single" w:sz="4" w:space="0" w:color="auto"/>
              <w:left w:val="single" w:sz="4" w:space="0" w:color="auto"/>
              <w:bottom w:val="single" w:sz="4" w:space="0" w:color="auto"/>
              <w:right w:val="single" w:sz="4" w:space="0" w:color="auto"/>
            </w:tcBorders>
            <w:hideMark/>
          </w:tcPr>
          <w:p w14:paraId="05939727" w14:textId="70F3E578"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366 </m:t>
                  </m:r>
                </m:num>
                <m:den>
                  <m:r>
                    <w:rPr>
                      <w:rFonts w:ascii="Cambria Math" w:hAnsi="Cambria Math" w:cs="Times New Roman"/>
                      <w:sz w:val="24"/>
                      <w:szCs w:val="24"/>
                    </w:rPr>
                    <m:t xml:space="preserve">600 million equity shares </m:t>
                  </m:r>
                </m:den>
              </m:f>
            </m:oMath>
          </w:p>
          <w:p w14:paraId="0A1A5976"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 </w:t>
            </w:r>
            <w:r>
              <w:rPr>
                <w:rFonts w:ascii="Times New Roman" w:hAnsi="Times New Roman" w:cs="Times New Roman"/>
                <w:sz w:val="24"/>
                <w:szCs w:val="24"/>
              </w:rPr>
              <w:t>£0.61 per outstanding equity share</w:t>
            </w:r>
          </w:p>
        </w:tc>
        <w:tc>
          <w:tcPr>
            <w:tcW w:w="3117" w:type="dxa"/>
            <w:tcBorders>
              <w:top w:val="single" w:sz="4" w:space="0" w:color="auto"/>
              <w:left w:val="single" w:sz="4" w:space="0" w:color="auto"/>
              <w:bottom w:val="single" w:sz="4" w:space="0" w:color="auto"/>
              <w:right w:val="single" w:sz="4" w:space="0" w:color="auto"/>
            </w:tcBorders>
            <w:hideMark/>
          </w:tcPr>
          <w:p w14:paraId="2FE6B060" w14:textId="24E8D1C7"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431 </m:t>
                  </m:r>
                </m:num>
                <m:den>
                  <m:r>
                    <w:rPr>
                      <w:rFonts w:ascii="Cambria Math" w:hAnsi="Cambria Math" w:cs="Times New Roman"/>
                      <w:sz w:val="24"/>
                      <w:szCs w:val="24"/>
                    </w:rPr>
                    <m:t xml:space="preserve">600 million equity shares </m:t>
                  </m:r>
                </m:den>
              </m:f>
            </m:oMath>
          </w:p>
          <w:p w14:paraId="400928AB"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 </w:t>
            </w:r>
            <w:r>
              <w:rPr>
                <w:rFonts w:ascii="Times New Roman" w:hAnsi="Times New Roman" w:cs="Times New Roman"/>
                <w:sz w:val="24"/>
                <w:szCs w:val="24"/>
              </w:rPr>
              <w:t>£0.72 per outstanding equity share</w:t>
            </w:r>
          </w:p>
        </w:tc>
      </w:tr>
    </w:tbl>
    <w:p w14:paraId="25CEE004" w14:textId="03B44323" w:rsidR="008A340B" w:rsidRPr="00E22F29" w:rsidRDefault="008A340B" w:rsidP="005470D1">
      <w:pPr>
        <w:spacing w:line="360" w:lineRule="auto"/>
        <w:jc w:val="both"/>
        <w:rPr>
          <w:rFonts w:ascii="Times New Roman" w:eastAsiaTheme="minorEastAsia" w:hAnsi="Times New Roman" w:cs="Times New Roman"/>
          <w:sz w:val="24"/>
          <w:szCs w:val="24"/>
        </w:rPr>
      </w:pPr>
    </w:p>
    <w:p w14:paraId="0C74CAD4" w14:textId="77777777" w:rsidR="008A340B" w:rsidRPr="00E22F29" w:rsidRDefault="008A340B" w:rsidP="005470D1">
      <w:pPr>
        <w:pStyle w:val="ListParagraph"/>
        <w:numPr>
          <w:ilvl w:val="0"/>
          <w:numId w:val="1"/>
        </w:numPr>
        <w:spacing w:line="360" w:lineRule="auto"/>
        <w:jc w:val="both"/>
        <w:rPr>
          <w:rFonts w:ascii="Times New Roman" w:hAnsi="Times New Roman" w:cs="Times New Roman"/>
          <w:b/>
          <w:bCs/>
          <w:sz w:val="24"/>
          <w:szCs w:val="24"/>
        </w:rPr>
      </w:pPr>
      <w:r w:rsidRPr="00E22F29">
        <w:rPr>
          <w:rFonts w:ascii="Times New Roman" w:hAnsi="Times New Roman" w:cs="Times New Roman"/>
          <w:b/>
          <w:bCs/>
          <w:sz w:val="24"/>
          <w:szCs w:val="24"/>
        </w:rPr>
        <w:t>Net Profit Margin:</w:t>
      </w:r>
    </w:p>
    <w:p w14:paraId="4C6D141D" w14:textId="4F3A6D85" w:rsidR="008A340B" w:rsidRPr="00E22F29" w:rsidRDefault="00591416"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It</w:t>
      </w:r>
      <w:r w:rsidR="009262F9" w:rsidRPr="00E22F29">
        <w:rPr>
          <w:rFonts w:ascii="Times New Roman" w:hAnsi="Times New Roman" w:cs="Times New Roman"/>
          <w:sz w:val="24"/>
          <w:szCs w:val="24"/>
        </w:rPr>
        <w:t xml:space="preserve"> is a profitability metric used to assess how well a company manages its cost structure </w:t>
      </w:r>
      <w:proofErr w:type="gramStart"/>
      <w:r w:rsidR="009262F9" w:rsidRPr="00E22F29">
        <w:rPr>
          <w:rFonts w:ascii="Times New Roman" w:hAnsi="Times New Roman" w:cs="Times New Roman"/>
          <w:sz w:val="24"/>
          <w:szCs w:val="24"/>
        </w:rPr>
        <w:t>in order to</w:t>
      </w:r>
      <w:proofErr w:type="gramEnd"/>
      <w:r w:rsidR="009262F9" w:rsidRPr="00E22F29">
        <w:rPr>
          <w:rFonts w:ascii="Times New Roman" w:hAnsi="Times New Roman" w:cs="Times New Roman"/>
          <w:sz w:val="24"/>
          <w:szCs w:val="24"/>
        </w:rPr>
        <w:t xml:space="preserve"> convert revenue into profit for the company. In other words, what portion of total revenue is converted into profit for the equity investors after covering all the manufacturing, operating and financial expense incurred to generate revenue for the business in a particular accounting period. </w:t>
      </w:r>
    </w:p>
    <w:p w14:paraId="7698EB3B" w14:textId="3CFB8F21" w:rsidR="008A340B" w:rsidRPr="00E22F29" w:rsidRDefault="008A340B" w:rsidP="005470D1">
      <w:pPr>
        <w:pStyle w:val="Default"/>
        <w:spacing w:line="360" w:lineRule="auto"/>
        <w:jc w:val="both"/>
      </w:pPr>
      <w:r w:rsidRPr="00E22F29">
        <w:t xml:space="preserve">The formula for </w:t>
      </w:r>
      <w:r w:rsidR="009262F9" w:rsidRPr="00E22F29">
        <w:t>determining n</w:t>
      </w:r>
      <w:r w:rsidRPr="00E22F29">
        <w:t xml:space="preserve">et profit margin </w:t>
      </w:r>
      <w:r w:rsidR="009262F9" w:rsidRPr="00E22F29">
        <w:t>of a business is</w:t>
      </w:r>
      <w:r w:rsidRPr="00E22F29">
        <w:t>,</w:t>
      </w:r>
    </w:p>
    <w:p w14:paraId="63851D02" w14:textId="19AEB324" w:rsidR="008A340B" w:rsidRPr="00E22F29" w:rsidRDefault="009262F9" w:rsidP="005470D1">
      <w:pPr>
        <w:pStyle w:val="Default"/>
        <w:spacing w:line="360" w:lineRule="auto"/>
        <w:jc w:val="both"/>
        <w:rPr>
          <w:rFonts w:eastAsiaTheme="minorEastAsia"/>
          <w:color w:val="auto"/>
        </w:rPr>
      </w:pPr>
      <w:r w:rsidRPr="00E22F29">
        <w:rPr>
          <w:noProof/>
        </w:rPr>
        <w:drawing>
          <wp:inline distT="0" distB="0" distL="0" distR="0" wp14:anchorId="095C3620" wp14:editId="6B4B25F1">
            <wp:extent cx="3123609" cy="992481"/>
            <wp:effectExtent l="0" t="0" r="635" b="0"/>
            <wp:docPr id="4" name="Picture 4" descr="Net profit margin in sales volume - About accounting with l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et profit margin in sales volume - About accounting with lov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46775" cy="999842"/>
                    </a:xfrm>
                    <a:prstGeom prst="rect">
                      <a:avLst/>
                    </a:prstGeom>
                    <a:noFill/>
                    <a:ln>
                      <a:noFill/>
                    </a:ln>
                  </pic:spPr>
                </pic:pic>
              </a:graphicData>
            </a:graphic>
          </wp:inline>
        </w:drawing>
      </w:r>
    </w:p>
    <w:p w14:paraId="521DAEDC" w14:textId="3DC14D13" w:rsidR="009262F9" w:rsidRDefault="008A340B"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The </w:t>
      </w:r>
      <w:r w:rsidR="00591416" w:rsidRPr="00E22F29">
        <w:rPr>
          <w:rFonts w:ascii="Times New Roman" w:hAnsi="Times New Roman" w:cs="Times New Roman"/>
          <w:sz w:val="24"/>
          <w:szCs w:val="24"/>
        </w:rPr>
        <w:t xml:space="preserve">given </w:t>
      </w:r>
      <w:r w:rsidRPr="00E22F29">
        <w:rPr>
          <w:rFonts w:ascii="Times New Roman" w:hAnsi="Times New Roman" w:cs="Times New Roman"/>
          <w:sz w:val="24"/>
          <w:szCs w:val="24"/>
        </w:rPr>
        <w:t xml:space="preserve">information given </w:t>
      </w:r>
      <w:r w:rsidR="00591416" w:rsidRPr="00E22F29">
        <w:rPr>
          <w:rFonts w:ascii="Times New Roman" w:hAnsi="Times New Roman" w:cs="Times New Roman"/>
          <w:sz w:val="24"/>
          <w:szCs w:val="24"/>
        </w:rPr>
        <w:t>of</w:t>
      </w:r>
      <w:r w:rsidRPr="00E22F29">
        <w:rPr>
          <w:rFonts w:ascii="Times New Roman" w:hAnsi="Times New Roman" w:cs="Times New Roman"/>
          <w:sz w:val="24"/>
          <w:szCs w:val="24"/>
        </w:rPr>
        <w:t xml:space="preserve"> </w:t>
      </w:r>
      <w:r w:rsidR="009262F9" w:rsidRPr="00E22F29">
        <w:rPr>
          <w:rFonts w:ascii="Times New Roman" w:hAnsi="Times New Roman" w:cs="Times New Roman"/>
          <w:sz w:val="24"/>
          <w:szCs w:val="24"/>
        </w:rPr>
        <w:t>Sweets</w:t>
      </w:r>
      <w:r w:rsidRPr="00E22F29">
        <w:rPr>
          <w:rFonts w:ascii="Times New Roman" w:hAnsi="Times New Roman" w:cs="Times New Roman"/>
          <w:sz w:val="24"/>
          <w:szCs w:val="24"/>
        </w:rPr>
        <w:t xml:space="preserve"> Plc</w:t>
      </w:r>
      <w:r w:rsidR="00591416" w:rsidRPr="00E22F29">
        <w:rPr>
          <w:rFonts w:ascii="Times New Roman" w:hAnsi="Times New Roman" w:cs="Times New Roman"/>
          <w:sz w:val="24"/>
          <w:szCs w:val="24"/>
        </w:rPr>
        <w:t xml:space="preserve"> for calculating net profit margin is</w:t>
      </w:r>
      <w:r w:rsidRPr="00E22F29">
        <w:rPr>
          <w:rFonts w:ascii="Times New Roman" w:hAnsi="Times New Roman" w:cs="Times New Roman"/>
          <w:sz w:val="24"/>
          <w:szCs w:val="24"/>
        </w:rPr>
        <w:t>,</w:t>
      </w:r>
    </w:p>
    <w:tbl>
      <w:tblPr>
        <w:tblStyle w:val="TableGrid"/>
        <w:tblW w:w="0" w:type="auto"/>
        <w:tblInd w:w="0" w:type="dxa"/>
        <w:tblLook w:val="04A0" w:firstRow="1" w:lastRow="0" w:firstColumn="1" w:lastColumn="0" w:noHBand="0" w:noVBand="1"/>
      </w:tblPr>
      <w:tblGrid>
        <w:gridCol w:w="3116"/>
        <w:gridCol w:w="3117"/>
        <w:gridCol w:w="3117"/>
      </w:tblGrid>
      <w:tr w:rsidR="00A42FF0" w14:paraId="3C98254E"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1F87658C"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Particulars</w:t>
            </w:r>
          </w:p>
        </w:tc>
        <w:tc>
          <w:tcPr>
            <w:tcW w:w="3117" w:type="dxa"/>
            <w:tcBorders>
              <w:top w:val="single" w:sz="4" w:space="0" w:color="auto"/>
              <w:left w:val="single" w:sz="4" w:space="0" w:color="auto"/>
              <w:bottom w:val="single" w:sz="4" w:space="0" w:color="auto"/>
              <w:right w:val="single" w:sz="4" w:space="0" w:color="auto"/>
            </w:tcBorders>
            <w:hideMark/>
          </w:tcPr>
          <w:p w14:paraId="23A26369"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284F7C2F" w14:textId="27CC7A41"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04C5E212"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0C5BE621" w14:textId="367E89D5"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42EC331C"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33DBE659"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Net Profit</w:t>
            </w:r>
          </w:p>
        </w:tc>
        <w:tc>
          <w:tcPr>
            <w:tcW w:w="3117" w:type="dxa"/>
            <w:tcBorders>
              <w:top w:val="single" w:sz="4" w:space="0" w:color="auto"/>
              <w:left w:val="single" w:sz="4" w:space="0" w:color="auto"/>
              <w:bottom w:val="single" w:sz="4" w:space="0" w:color="auto"/>
              <w:right w:val="single" w:sz="4" w:space="0" w:color="auto"/>
            </w:tcBorders>
            <w:hideMark/>
          </w:tcPr>
          <w:p w14:paraId="1620A2FA" w14:textId="1E01E63E" w:rsidR="00A42FF0" w:rsidRDefault="00A42FF0" w:rsidP="005470D1">
            <w:pPr>
              <w:pStyle w:val="Default"/>
              <w:spacing w:line="360" w:lineRule="auto"/>
              <w:jc w:val="both"/>
            </w:pPr>
            <w:r>
              <w:t xml:space="preserve">366 </w:t>
            </w:r>
          </w:p>
        </w:tc>
        <w:tc>
          <w:tcPr>
            <w:tcW w:w="3117" w:type="dxa"/>
            <w:tcBorders>
              <w:top w:val="single" w:sz="4" w:space="0" w:color="auto"/>
              <w:left w:val="single" w:sz="4" w:space="0" w:color="auto"/>
              <w:bottom w:val="single" w:sz="4" w:space="0" w:color="auto"/>
              <w:right w:val="single" w:sz="4" w:space="0" w:color="auto"/>
            </w:tcBorders>
            <w:hideMark/>
          </w:tcPr>
          <w:p w14:paraId="7D18FE99" w14:textId="6AD766A9" w:rsidR="00A42FF0" w:rsidRDefault="00A42FF0" w:rsidP="005470D1">
            <w:pPr>
              <w:pStyle w:val="Default"/>
              <w:spacing w:line="360" w:lineRule="auto"/>
              <w:jc w:val="both"/>
            </w:pPr>
            <w:r>
              <w:t xml:space="preserve">431 </w:t>
            </w:r>
          </w:p>
        </w:tc>
      </w:tr>
      <w:tr w:rsidR="00A42FF0" w14:paraId="4C9742B2"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7A719900"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Sales Revenue</w:t>
            </w:r>
          </w:p>
        </w:tc>
        <w:tc>
          <w:tcPr>
            <w:tcW w:w="3117" w:type="dxa"/>
            <w:tcBorders>
              <w:top w:val="single" w:sz="4" w:space="0" w:color="auto"/>
              <w:left w:val="single" w:sz="4" w:space="0" w:color="auto"/>
              <w:bottom w:val="single" w:sz="4" w:space="0" w:color="auto"/>
              <w:right w:val="single" w:sz="4" w:space="0" w:color="auto"/>
            </w:tcBorders>
            <w:hideMark/>
          </w:tcPr>
          <w:p w14:paraId="7307A16A" w14:textId="49EAA34D" w:rsidR="00A42FF0" w:rsidRDefault="00A42FF0" w:rsidP="005470D1">
            <w:pPr>
              <w:pStyle w:val="Default"/>
              <w:spacing w:line="360" w:lineRule="auto"/>
              <w:jc w:val="both"/>
            </w:pPr>
            <w:r>
              <w:t xml:space="preserve">6,441 </w:t>
            </w:r>
          </w:p>
        </w:tc>
        <w:tc>
          <w:tcPr>
            <w:tcW w:w="3117" w:type="dxa"/>
            <w:tcBorders>
              <w:top w:val="single" w:sz="4" w:space="0" w:color="auto"/>
              <w:left w:val="single" w:sz="4" w:space="0" w:color="auto"/>
              <w:bottom w:val="single" w:sz="4" w:space="0" w:color="auto"/>
              <w:right w:val="single" w:sz="4" w:space="0" w:color="auto"/>
            </w:tcBorders>
            <w:hideMark/>
          </w:tcPr>
          <w:p w14:paraId="06C848A3" w14:textId="648A3E87" w:rsidR="00A42FF0" w:rsidRDefault="00A42FF0" w:rsidP="005470D1">
            <w:pPr>
              <w:pStyle w:val="Default"/>
              <w:spacing w:line="360" w:lineRule="auto"/>
              <w:jc w:val="both"/>
            </w:pPr>
            <w:r>
              <w:t>6,738</w:t>
            </w:r>
            <w:r>
              <w:rPr>
                <w:rFonts w:eastAsiaTheme="minorEastAsia"/>
              </w:rPr>
              <w:t xml:space="preserve"> </w:t>
            </w:r>
          </w:p>
        </w:tc>
      </w:tr>
    </w:tbl>
    <w:p w14:paraId="54186139" w14:textId="36701828" w:rsidR="008A340B" w:rsidRPr="00657351" w:rsidRDefault="008A340B" w:rsidP="005470D1">
      <w:pPr>
        <w:spacing w:line="360" w:lineRule="auto"/>
        <w:jc w:val="both"/>
        <w:rPr>
          <w:rFonts w:ascii="Times New Roman" w:hAnsi="Times New Roman" w:cs="Times New Roman"/>
          <w:sz w:val="24"/>
          <w:szCs w:val="24"/>
        </w:rPr>
      </w:pPr>
    </w:p>
    <w:p w14:paraId="4656B208" w14:textId="7A3F656A" w:rsidR="008A340B" w:rsidRDefault="00FA7934" w:rsidP="005470D1">
      <w:pPr>
        <w:spacing w:line="360" w:lineRule="auto"/>
        <w:jc w:val="both"/>
        <w:rPr>
          <w:rFonts w:ascii="Times New Roman" w:eastAsiaTheme="minorEastAsia" w:hAnsi="Times New Roman" w:cs="Times New Roman"/>
          <w:sz w:val="24"/>
          <w:szCs w:val="24"/>
        </w:rPr>
      </w:pPr>
      <w:r w:rsidRPr="00E22F29">
        <w:rPr>
          <w:rFonts w:ascii="Times New Roman" w:eastAsiaTheme="minorEastAsia" w:hAnsi="Times New Roman" w:cs="Times New Roman"/>
          <w:sz w:val="24"/>
          <w:szCs w:val="24"/>
        </w:rPr>
        <w:t>So, the</w:t>
      </w:r>
      <w:r w:rsidR="00591416" w:rsidRPr="00E22F29">
        <w:rPr>
          <w:rFonts w:ascii="Times New Roman" w:eastAsiaTheme="minorEastAsia" w:hAnsi="Times New Roman" w:cs="Times New Roman"/>
          <w:sz w:val="24"/>
          <w:szCs w:val="24"/>
        </w:rPr>
        <w:t xml:space="preserve"> </w:t>
      </w:r>
      <w:r w:rsidR="00FC13E7" w:rsidRPr="00E22F29">
        <w:rPr>
          <w:rFonts w:ascii="Times New Roman" w:eastAsiaTheme="minorEastAsia" w:hAnsi="Times New Roman" w:cs="Times New Roman"/>
          <w:sz w:val="24"/>
          <w:szCs w:val="24"/>
        </w:rPr>
        <w:t>calculated</w:t>
      </w:r>
      <w:r w:rsidR="00591416" w:rsidRPr="00E22F29">
        <w:rPr>
          <w:rFonts w:ascii="Times New Roman" w:eastAsiaTheme="minorEastAsia" w:hAnsi="Times New Roman" w:cs="Times New Roman"/>
          <w:sz w:val="24"/>
          <w:szCs w:val="24"/>
        </w:rPr>
        <w:t xml:space="preserve"> value of</w:t>
      </w:r>
      <w:r w:rsidR="008A340B" w:rsidRPr="00E22F29">
        <w:rPr>
          <w:rFonts w:ascii="Times New Roman" w:eastAsiaTheme="minorEastAsia" w:hAnsi="Times New Roman" w:cs="Times New Roman"/>
          <w:sz w:val="24"/>
          <w:szCs w:val="24"/>
        </w:rPr>
        <w:t xml:space="preserve"> </w:t>
      </w:r>
      <w:r w:rsidRPr="00E22F29">
        <w:rPr>
          <w:rFonts w:ascii="Times New Roman" w:eastAsiaTheme="minorEastAsia" w:hAnsi="Times New Roman" w:cs="Times New Roman"/>
          <w:sz w:val="24"/>
          <w:szCs w:val="24"/>
        </w:rPr>
        <w:t>n</w:t>
      </w:r>
      <w:r w:rsidR="008A340B" w:rsidRPr="00E22F29">
        <w:rPr>
          <w:rFonts w:ascii="Times New Roman" w:eastAsiaTheme="minorEastAsia" w:hAnsi="Times New Roman" w:cs="Times New Roman"/>
          <w:sz w:val="24"/>
          <w:szCs w:val="24"/>
        </w:rPr>
        <w:t xml:space="preserve">et profit margin of </w:t>
      </w:r>
      <w:r w:rsidRPr="00E22F29">
        <w:rPr>
          <w:rFonts w:ascii="Times New Roman" w:eastAsiaTheme="minorEastAsia" w:hAnsi="Times New Roman" w:cs="Times New Roman"/>
          <w:sz w:val="24"/>
          <w:szCs w:val="24"/>
        </w:rPr>
        <w:t>Sweets</w:t>
      </w:r>
      <w:r w:rsidR="008A340B" w:rsidRPr="00E22F29">
        <w:rPr>
          <w:rFonts w:ascii="Times New Roman" w:eastAsiaTheme="minorEastAsia" w:hAnsi="Times New Roman" w:cs="Times New Roman"/>
          <w:sz w:val="24"/>
          <w:szCs w:val="24"/>
        </w:rPr>
        <w:t xml:space="preserve"> Plc</w:t>
      </w:r>
      <w:r w:rsidR="00591416" w:rsidRPr="00E22F29">
        <w:rPr>
          <w:rFonts w:ascii="Times New Roman" w:eastAsiaTheme="minorEastAsia" w:hAnsi="Times New Roman" w:cs="Times New Roman"/>
          <w:sz w:val="24"/>
          <w:szCs w:val="24"/>
        </w:rPr>
        <w:t xml:space="preserve"> based on the provided information</w:t>
      </w:r>
      <w:r w:rsidRPr="00E22F29">
        <w:rPr>
          <w:rFonts w:ascii="Times New Roman" w:eastAsiaTheme="minorEastAsia" w:hAnsi="Times New Roman" w:cs="Times New Roman"/>
          <w:sz w:val="24"/>
          <w:szCs w:val="24"/>
        </w:rPr>
        <w:t xml:space="preserve"> for 2020 and 2021</w:t>
      </w:r>
      <w:r w:rsidR="008A340B" w:rsidRPr="00E22F29">
        <w:rPr>
          <w:rFonts w:ascii="Times New Roman" w:eastAsiaTheme="minorEastAsia" w:hAnsi="Times New Roman" w:cs="Times New Roman"/>
          <w:sz w:val="24"/>
          <w:szCs w:val="24"/>
        </w:rPr>
        <w:t xml:space="preserve"> is,</w:t>
      </w:r>
    </w:p>
    <w:tbl>
      <w:tblPr>
        <w:tblStyle w:val="TableGrid"/>
        <w:tblW w:w="0" w:type="auto"/>
        <w:tblInd w:w="0" w:type="dxa"/>
        <w:tblLook w:val="04A0" w:firstRow="1" w:lastRow="0" w:firstColumn="1" w:lastColumn="0" w:noHBand="0" w:noVBand="1"/>
      </w:tblPr>
      <w:tblGrid>
        <w:gridCol w:w="3116"/>
        <w:gridCol w:w="3117"/>
        <w:gridCol w:w="3117"/>
      </w:tblGrid>
      <w:tr w:rsidR="00A42FF0" w14:paraId="109AF6A7"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58FDBD03" w14:textId="686918B9" w:rsidR="00A42FF0" w:rsidRDefault="000652FE"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Year</w:t>
            </w:r>
          </w:p>
        </w:tc>
        <w:tc>
          <w:tcPr>
            <w:tcW w:w="3117" w:type="dxa"/>
            <w:tcBorders>
              <w:top w:val="single" w:sz="4" w:space="0" w:color="auto"/>
              <w:left w:val="single" w:sz="4" w:space="0" w:color="auto"/>
              <w:bottom w:val="single" w:sz="4" w:space="0" w:color="auto"/>
              <w:right w:val="single" w:sz="4" w:space="0" w:color="auto"/>
            </w:tcBorders>
            <w:hideMark/>
          </w:tcPr>
          <w:p w14:paraId="25F96E0C"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1948FB7A" w14:textId="6CFF7695"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6BD132CD"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1FE43391" w14:textId="5396DACE"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4106AC4B"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23F52841"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Net profit Margin</w:t>
            </w:r>
          </w:p>
        </w:tc>
        <w:tc>
          <w:tcPr>
            <w:tcW w:w="3117" w:type="dxa"/>
            <w:tcBorders>
              <w:top w:val="single" w:sz="4" w:space="0" w:color="auto"/>
              <w:left w:val="single" w:sz="4" w:space="0" w:color="auto"/>
              <w:bottom w:val="single" w:sz="4" w:space="0" w:color="auto"/>
              <w:right w:val="single" w:sz="4" w:space="0" w:color="auto"/>
            </w:tcBorders>
            <w:hideMark/>
          </w:tcPr>
          <w:p w14:paraId="0F161950" w14:textId="19E59B48"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366 </m:t>
                  </m:r>
                </m:num>
                <m:den>
                  <m:r>
                    <w:rPr>
                      <w:rFonts w:ascii="Cambria Math" w:hAnsi="Cambria Math" w:cs="Times New Roman"/>
                      <w:sz w:val="24"/>
                      <w:szCs w:val="24"/>
                    </w:rPr>
                    <m:t xml:space="preserve">6,441 </m:t>
                  </m:r>
                </m:den>
              </m:f>
            </m:oMath>
            <w:r>
              <w:rPr>
                <w:rFonts w:ascii="Times New Roman" w:eastAsiaTheme="minorEastAsia" w:hAnsi="Times New Roman" w:cs="Times New Roman"/>
                <w:sz w:val="24"/>
                <w:szCs w:val="24"/>
              </w:rPr>
              <w:t xml:space="preserve"> *100</w:t>
            </w:r>
          </w:p>
          <w:p w14:paraId="5DD5C16A"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 5.68%</w:t>
            </w:r>
          </w:p>
        </w:tc>
        <w:tc>
          <w:tcPr>
            <w:tcW w:w="3117" w:type="dxa"/>
            <w:tcBorders>
              <w:top w:val="single" w:sz="4" w:space="0" w:color="auto"/>
              <w:left w:val="single" w:sz="4" w:space="0" w:color="auto"/>
              <w:bottom w:val="single" w:sz="4" w:space="0" w:color="auto"/>
              <w:right w:val="single" w:sz="4" w:space="0" w:color="auto"/>
            </w:tcBorders>
            <w:hideMark/>
          </w:tcPr>
          <w:p w14:paraId="6C69F7EA" w14:textId="03EAD63C"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431 </m:t>
                  </m:r>
                </m:num>
                <m:den>
                  <m:r>
                    <w:rPr>
                      <w:rFonts w:ascii="Cambria Math" w:hAnsi="Cambria Math" w:cs="Times New Roman"/>
                      <w:sz w:val="24"/>
                      <w:szCs w:val="24"/>
                    </w:rPr>
                    <m:t xml:space="preserve">6,738 </m:t>
                  </m:r>
                </m:den>
              </m:f>
            </m:oMath>
            <w:r>
              <w:rPr>
                <w:rFonts w:ascii="Times New Roman" w:eastAsiaTheme="minorEastAsia" w:hAnsi="Times New Roman" w:cs="Times New Roman"/>
                <w:sz w:val="24"/>
                <w:szCs w:val="24"/>
              </w:rPr>
              <w:t xml:space="preserve"> *100</w:t>
            </w:r>
          </w:p>
          <w:p w14:paraId="3858C83D"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 6.40%</w:t>
            </w:r>
          </w:p>
        </w:tc>
      </w:tr>
    </w:tbl>
    <w:p w14:paraId="7F667FE0" w14:textId="0EDEB6D8" w:rsidR="008A340B" w:rsidRPr="00657351" w:rsidRDefault="008A340B" w:rsidP="005470D1">
      <w:pPr>
        <w:spacing w:line="360" w:lineRule="auto"/>
        <w:jc w:val="both"/>
        <w:rPr>
          <w:rFonts w:ascii="Times New Roman" w:eastAsiaTheme="minorEastAsia" w:hAnsi="Times New Roman" w:cs="Times New Roman"/>
          <w:sz w:val="24"/>
          <w:szCs w:val="24"/>
        </w:rPr>
      </w:pPr>
    </w:p>
    <w:p w14:paraId="1A44AC43" w14:textId="77777777" w:rsidR="008A340B" w:rsidRPr="00E22F29" w:rsidRDefault="008A340B" w:rsidP="005470D1">
      <w:pPr>
        <w:pStyle w:val="Default"/>
        <w:numPr>
          <w:ilvl w:val="0"/>
          <w:numId w:val="1"/>
        </w:numPr>
        <w:spacing w:line="360" w:lineRule="auto"/>
        <w:jc w:val="both"/>
        <w:rPr>
          <w:b/>
          <w:bCs/>
        </w:rPr>
      </w:pPr>
      <w:r w:rsidRPr="00E22F29">
        <w:rPr>
          <w:b/>
          <w:bCs/>
        </w:rPr>
        <w:t>Asset Turnover:</w:t>
      </w:r>
    </w:p>
    <w:p w14:paraId="7CFBAF36" w14:textId="7C48B83E" w:rsidR="008A340B" w:rsidRPr="00E22F29" w:rsidRDefault="00352205" w:rsidP="005470D1">
      <w:pPr>
        <w:pStyle w:val="Default"/>
        <w:spacing w:line="360" w:lineRule="auto"/>
        <w:jc w:val="both"/>
      </w:pPr>
      <w:r w:rsidRPr="00E22F29">
        <w:t xml:space="preserve">Asset turnover is a commonly used </w:t>
      </w:r>
      <w:r w:rsidR="00591416" w:rsidRPr="00E22F29">
        <w:t>efficiency</w:t>
      </w:r>
      <w:r w:rsidRPr="00E22F29">
        <w:t xml:space="preserve"> measure to evaluate the managerial efficiency of a firm’s management team in managing the </w:t>
      </w:r>
      <w:r w:rsidR="00591416" w:rsidRPr="00E22F29">
        <w:t>business</w:t>
      </w:r>
      <w:r w:rsidRPr="00E22F29">
        <w:t xml:space="preserve"> </w:t>
      </w:r>
      <w:r w:rsidR="00591416" w:rsidRPr="00E22F29">
        <w:t>resources</w:t>
      </w:r>
      <w:r w:rsidRPr="00E22F29">
        <w:t xml:space="preserve"> to </w:t>
      </w:r>
      <w:r w:rsidR="00591416" w:rsidRPr="00E22F29">
        <w:t>earn</w:t>
      </w:r>
      <w:r w:rsidRPr="00E22F29">
        <w:t xml:space="preserve"> revenue for</w:t>
      </w:r>
      <w:r w:rsidR="00591416" w:rsidRPr="00E22F29">
        <w:t xml:space="preserve"> the</w:t>
      </w:r>
      <w:r w:rsidRPr="00E22F29">
        <w:t xml:space="preserve"> firm.</w:t>
      </w:r>
    </w:p>
    <w:p w14:paraId="0FD7AF47" w14:textId="3FCC0D8D" w:rsidR="008A340B" w:rsidRPr="00E22F29" w:rsidRDefault="008A340B" w:rsidP="005470D1">
      <w:pPr>
        <w:pStyle w:val="Default"/>
        <w:spacing w:line="360" w:lineRule="auto"/>
        <w:jc w:val="both"/>
      </w:pPr>
      <w:r w:rsidRPr="00E22F29">
        <w:t xml:space="preserve">The formula </w:t>
      </w:r>
      <w:r w:rsidR="00591416" w:rsidRPr="00E22F29">
        <w:t>of</w:t>
      </w:r>
      <w:r w:rsidRPr="00E22F29">
        <w:t xml:space="preserve"> Asset turnover is</w:t>
      </w:r>
      <w:r w:rsidR="00591416" w:rsidRPr="00E22F29">
        <w:t xml:space="preserve"> shown below</w:t>
      </w:r>
    </w:p>
    <w:p w14:paraId="2ACCFF49" w14:textId="42459003" w:rsidR="008A340B" w:rsidRPr="00E22F29" w:rsidRDefault="00352205" w:rsidP="005470D1">
      <w:pPr>
        <w:pStyle w:val="Default"/>
        <w:spacing w:line="360" w:lineRule="auto"/>
        <w:jc w:val="both"/>
      </w:pPr>
      <w:r w:rsidRPr="00E22F29">
        <w:rPr>
          <w:noProof/>
        </w:rPr>
        <w:drawing>
          <wp:inline distT="0" distB="0" distL="0" distR="0" wp14:anchorId="61A265C5" wp14:editId="38F8F7C2">
            <wp:extent cx="2453738" cy="1380227"/>
            <wp:effectExtent l="0" t="0" r="3810" b="0"/>
            <wp:docPr id="5" name="Picture 5" descr="Asset Turnover Ratio | Double Entry Bookkee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sset Turnover Ratio | Double Entry Bookkeep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39164" cy="1428279"/>
                    </a:xfrm>
                    <a:prstGeom prst="rect">
                      <a:avLst/>
                    </a:prstGeom>
                    <a:noFill/>
                    <a:ln>
                      <a:noFill/>
                    </a:ln>
                  </pic:spPr>
                </pic:pic>
              </a:graphicData>
            </a:graphic>
          </wp:inline>
        </w:drawing>
      </w:r>
    </w:p>
    <w:p w14:paraId="156A6951" w14:textId="68588117" w:rsidR="008A340B" w:rsidRDefault="008A340B"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T</w:t>
      </w:r>
      <w:r w:rsidR="00352205" w:rsidRPr="00E22F29">
        <w:rPr>
          <w:rFonts w:ascii="Times New Roman" w:hAnsi="Times New Roman" w:cs="Times New Roman"/>
          <w:sz w:val="24"/>
          <w:szCs w:val="24"/>
        </w:rPr>
        <w:t>he information provided for Sweets</w:t>
      </w:r>
      <w:r w:rsidRPr="00E22F29">
        <w:rPr>
          <w:rFonts w:ascii="Times New Roman" w:hAnsi="Times New Roman" w:cs="Times New Roman"/>
          <w:sz w:val="24"/>
          <w:szCs w:val="24"/>
        </w:rPr>
        <w:t xml:space="preserve"> Plc</w:t>
      </w:r>
      <w:r w:rsidR="00352205" w:rsidRPr="00E22F29">
        <w:rPr>
          <w:rFonts w:ascii="Times New Roman" w:hAnsi="Times New Roman" w:cs="Times New Roman"/>
          <w:sz w:val="24"/>
          <w:szCs w:val="24"/>
        </w:rPr>
        <w:t xml:space="preserve"> to compute asset turnover in 2020 and 2021</w:t>
      </w:r>
      <w:r w:rsidRPr="00E22F29">
        <w:rPr>
          <w:rFonts w:ascii="Times New Roman" w:hAnsi="Times New Roman" w:cs="Times New Roman"/>
          <w:sz w:val="24"/>
          <w:szCs w:val="24"/>
        </w:rPr>
        <w:t xml:space="preserve"> is,</w:t>
      </w:r>
    </w:p>
    <w:tbl>
      <w:tblPr>
        <w:tblStyle w:val="TableGrid"/>
        <w:tblW w:w="0" w:type="auto"/>
        <w:tblInd w:w="0" w:type="dxa"/>
        <w:tblLook w:val="04A0" w:firstRow="1" w:lastRow="0" w:firstColumn="1" w:lastColumn="0" w:noHBand="0" w:noVBand="1"/>
      </w:tblPr>
      <w:tblGrid>
        <w:gridCol w:w="3116"/>
        <w:gridCol w:w="3117"/>
        <w:gridCol w:w="3117"/>
      </w:tblGrid>
      <w:tr w:rsidR="00A42FF0" w14:paraId="0C8B411A"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614F1E42"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Particulars</w:t>
            </w:r>
          </w:p>
        </w:tc>
        <w:tc>
          <w:tcPr>
            <w:tcW w:w="3117" w:type="dxa"/>
            <w:tcBorders>
              <w:top w:val="single" w:sz="4" w:space="0" w:color="auto"/>
              <w:left w:val="single" w:sz="4" w:space="0" w:color="auto"/>
              <w:bottom w:val="single" w:sz="4" w:space="0" w:color="auto"/>
              <w:right w:val="single" w:sz="4" w:space="0" w:color="auto"/>
            </w:tcBorders>
            <w:hideMark/>
          </w:tcPr>
          <w:p w14:paraId="4898B6DA"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3348A936" w14:textId="25AB9553"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1D5681F4"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0590514A" w14:textId="1AC41DAC"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786FE2C6" w14:textId="77777777" w:rsidTr="00B94C4E">
        <w:trPr>
          <w:trHeight w:val="368"/>
        </w:trPr>
        <w:tc>
          <w:tcPr>
            <w:tcW w:w="3116" w:type="dxa"/>
            <w:tcBorders>
              <w:top w:val="single" w:sz="4" w:space="0" w:color="auto"/>
              <w:left w:val="single" w:sz="4" w:space="0" w:color="auto"/>
              <w:bottom w:val="single" w:sz="4" w:space="0" w:color="auto"/>
              <w:right w:val="single" w:sz="4" w:space="0" w:color="auto"/>
            </w:tcBorders>
            <w:hideMark/>
          </w:tcPr>
          <w:p w14:paraId="554D4548"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Revenue</w:t>
            </w:r>
          </w:p>
        </w:tc>
        <w:tc>
          <w:tcPr>
            <w:tcW w:w="3117" w:type="dxa"/>
            <w:tcBorders>
              <w:top w:val="single" w:sz="4" w:space="0" w:color="auto"/>
              <w:left w:val="single" w:sz="4" w:space="0" w:color="auto"/>
              <w:bottom w:val="single" w:sz="4" w:space="0" w:color="auto"/>
              <w:right w:val="single" w:sz="4" w:space="0" w:color="auto"/>
            </w:tcBorders>
            <w:hideMark/>
          </w:tcPr>
          <w:p w14:paraId="1067B5E6" w14:textId="2100AC76" w:rsidR="00A42FF0" w:rsidRDefault="00A42FF0" w:rsidP="005470D1">
            <w:pPr>
              <w:pStyle w:val="Default"/>
              <w:spacing w:line="360" w:lineRule="auto"/>
              <w:jc w:val="both"/>
            </w:pPr>
            <w:r>
              <w:t xml:space="preserve">6,441 </w:t>
            </w:r>
          </w:p>
        </w:tc>
        <w:tc>
          <w:tcPr>
            <w:tcW w:w="3117" w:type="dxa"/>
            <w:tcBorders>
              <w:top w:val="single" w:sz="4" w:space="0" w:color="auto"/>
              <w:left w:val="single" w:sz="4" w:space="0" w:color="auto"/>
              <w:bottom w:val="single" w:sz="4" w:space="0" w:color="auto"/>
              <w:right w:val="single" w:sz="4" w:space="0" w:color="auto"/>
            </w:tcBorders>
            <w:hideMark/>
          </w:tcPr>
          <w:p w14:paraId="75B9EAC1" w14:textId="790EEBC5" w:rsidR="00A42FF0" w:rsidRDefault="00A42FF0" w:rsidP="005470D1">
            <w:pPr>
              <w:pStyle w:val="Default"/>
              <w:spacing w:line="360" w:lineRule="auto"/>
              <w:jc w:val="both"/>
            </w:pPr>
            <w:r>
              <w:t>6,738</w:t>
            </w:r>
            <w:r>
              <w:rPr>
                <w:rFonts w:eastAsiaTheme="minorEastAsia"/>
              </w:rPr>
              <w:t xml:space="preserve"> </w:t>
            </w:r>
          </w:p>
        </w:tc>
      </w:tr>
      <w:tr w:rsidR="00A42FF0" w14:paraId="7C0C80F6"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775BBF16"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Total Asset</w:t>
            </w:r>
          </w:p>
        </w:tc>
        <w:tc>
          <w:tcPr>
            <w:tcW w:w="3117" w:type="dxa"/>
            <w:tcBorders>
              <w:top w:val="single" w:sz="4" w:space="0" w:color="auto"/>
              <w:left w:val="single" w:sz="4" w:space="0" w:color="auto"/>
              <w:bottom w:val="single" w:sz="4" w:space="0" w:color="auto"/>
              <w:right w:val="single" w:sz="4" w:space="0" w:color="auto"/>
            </w:tcBorders>
            <w:hideMark/>
          </w:tcPr>
          <w:p w14:paraId="15BEA442" w14:textId="35A29716" w:rsidR="00A42FF0" w:rsidRDefault="00A42FF0" w:rsidP="005470D1">
            <w:pPr>
              <w:pStyle w:val="Default"/>
              <w:spacing w:line="360" w:lineRule="auto"/>
              <w:jc w:val="both"/>
            </w:pPr>
            <w:r>
              <w:t xml:space="preserve">10,087 </w:t>
            </w:r>
          </w:p>
        </w:tc>
        <w:tc>
          <w:tcPr>
            <w:tcW w:w="3117" w:type="dxa"/>
            <w:tcBorders>
              <w:top w:val="single" w:sz="4" w:space="0" w:color="auto"/>
              <w:left w:val="single" w:sz="4" w:space="0" w:color="auto"/>
              <w:bottom w:val="single" w:sz="4" w:space="0" w:color="auto"/>
              <w:right w:val="single" w:sz="4" w:space="0" w:color="auto"/>
            </w:tcBorders>
            <w:hideMark/>
          </w:tcPr>
          <w:p w14:paraId="4DB035CB" w14:textId="4C77E07F" w:rsidR="00A42FF0" w:rsidRDefault="00A42FF0" w:rsidP="005470D1">
            <w:pPr>
              <w:pStyle w:val="Default"/>
              <w:spacing w:line="360" w:lineRule="auto"/>
              <w:jc w:val="both"/>
            </w:pPr>
            <w:r>
              <w:t xml:space="preserve">9,736 </w:t>
            </w:r>
          </w:p>
        </w:tc>
      </w:tr>
    </w:tbl>
    <w:p w14:paraId="10BA7169" w14:textId="68248000" w:rsidR="008A340B" w:rsidRPr="00657351" w:rsidRDefault="008A340B" w:rsidP="005470D1">
      <w:pPr>
        <w:spacing w:line="360" w:lineRule="auto"/>
        <w:jc w:val="both"/>
        <w:rPr>
          <w:rFonts w:ascii="Times New Roman" w:hAnsi="Times New Roman" w:cs="Times New Roman"/>
          <w:sz w:val="24"/>
          <w:szCs w:val="24"/>
        </w:rPr>
      </w:pPr>
    </w:p>
    <w:p w14:paraId="5B9D7DBE" w14:textId="57BB54D0" w:rsidR="008A340B" w:rsidRPr="00E22F29" w:rsidRDefault="00352205" w:rsidP="005470D1">
      <w:pPr>
        <w:spacing w:line="360" w:lineRule="auto"/>
        <w:jc w:val="both"/>
        <w:rPr>
          <w:rFonts w:ascii="Times New Roman" w:eastAsiaTheme="minorEastAsia" w:hAnsi="Times New Roman" w:cs="Times New Roman"/>
          <w:sz w:val="24"/>
          <w:szCs w:val="24"/>
        </w:rPr>
      </w:pPr>
      <w:r w:rsidRPr="00E22F29">
        <w:rPr>
          <w:rFonts w:ascii="Times New Roman" w:eastAsiaTheme="minorEastAsia" w:hAnsi="Times New Roman" w:cs="Times New Roman"/>
          <w:sz w:val="24"/>
          <w:szCs w:val="24"/>
        </w:rPr>
        <w:t>So</w:t>
      </w:r>
      <w:r w:rsidR="008A340B" w:rsidRPr="00E22F29">
        <w:rPr>
          <w:rFonts w:ascii="Times New Roman" w:eastAsiaTheme="minorEastAsia" w:hAnsi="Times New Roman" w:cs="Times New Roman"/>
          <w:sz w:val="24"/>
          <w:szCs w:val="24"/>
        </w:rPr>
        <w:t>,</w:t>
      </w:r>
      <w:r w:rsidRPr="00E22F29">
        <w:rPr>
          <w:rFonts w:ascii="Times New Roman" w:eastAsiaTheme="minorEastAsia" w:hAnsi="Times New Roman" w:cs="Times New Roman"/>
          <w:sz w:val="24"/>
          <w:szCs w:val="24"/>
        </w:rPr>
        <w:t xml:space="preserve"> the computed value of</w:t>
      </w:r>
      <w:r w:rsidR="008A340B" w:rsidRPr="00E22F29">
        <w:rPr>
          <w:rFonts w:ascii="Times New Roman" w:eastAsiaTheme="minorEastAsia" w:hAnsi="Times New Roman" w:cs="Times New Roman"/>
          <w:sz w:val="24"/>
          <w:szCs w:val="24"/>
        </w:rPr>
        <w:t xml:space="preserve"> </w:t>
      </w:r>
      <w:r w:rsidRPr="00E22F29">
        <w:rPr>
          <w:rFonts w:ascii="Times New Roman" w:eastAsiaTheme="minorEastAsia" w:hAnsi="Times New Roman" w:cs="Times New Roman"/>
          <w:sz w:val="24"/>
          <w:szCs w:val="24"/>
        </w:rPr>
        <w:t>a</w:t>
      </w:r>
      <w:r w:rsidR="008A340B" w:rsidRPr="00E22F29">
        <w:rPr>
          <w:rFonts w:ascii="Times New Roman" w:eastAsiaTheme="minorEastAsia" w:hAnsi="Times New Roman" w:cs="Times New Roman"/>
          <w:sz w:val="24"/>
          <w:szCs w:val="24"/>
        </w:rPr>
        <w:t xml:space="preserve">sset turnover </w:t>
      </w:r>
      <w:r w:rsidRPr="00E22F29">
        <w:rPr>
          <w:rFonts w:ascii="Times New Roman" w:eastAsiaTheme="minorEastAsia" w:hAnsi="Times New Roman" w:cs="Times New Roman"/>
          <w:sz w:val="24"/>
          <w:szCs w:val="24"/>
        </w:rPr>
        <w:t>for Sweets</w:t>
      </w:r>
      <w:r w:rsidR="008A340B" w:rsidRPr="00E22F29">
        <w:rPr>
          <w:rFonts w:ascii="Times New Roman" w:eastAsiaTheme="minorEastAsia" w:hAnsi="Times New Roman" w:cs="Times New Roman"/>
          <w:sz w:val="24"/>
          <w:szCs w:val="24"/>
        </w:rPr>
        <w:t xml:space="preserve"> Plc </w:t>
      </w:r>
      <w:r w:rsidRPr="00E22F29">
        <w:rPr>
          <w:rFonts w:ascii="Times New Roman" w:eastAsiaTheme="minorEastAsia" w:hAnsi="Times New Roman" w:cs="Times New Roman"/>
          <w:sz w:val="24"/>
          <w:szCs w:val="24"/>
        </w:rPr>
        <w:t xml:space="preserve">based on the given information </w:t>
      </w:r>
      <w:r w:rsidR="008A340B" w:rsidRPr="00E22F29">
        <w:rPr>
          <w:rFonts w:ascii="Times New Roman" w:eastAsiaTheme="minorEastAsia" w:hAnsi="Times New Roman" w:cs="Times New Roman"/>
          <w:sz w:val="24"/>
          <w:szCs w:val="24"/>
        </w:rPr>
        <w:t>is,</w:t>
      </w:r>
    </w:p>
    <w:tbl>
      <w:tblPr>
        <w:tblStyle w:val="TableGrid"/>
        <w:tblW w:w="0" w:type="auto"/>
        <w:tblInd w:w="0" w:type="dxa"/>
        <w:tblLook w:val="04A0" w:firstRow="1" w:lastRow="0" w:firstColumn="1" w:lastColumn="0" w:noHBand="0" w:noVBand="1"/>
      </w:tblPr>
      <w:tblGrid>
        <w:gridCol w:w="3116"/>
        <w:gridCol w:w="3117"/>
        <w:gridCol w:w="3117"/>
      </w:tblGrid>
      <w:tr w:rsidR="00A42FF0" w14:paraId="070C8B6E"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147B49BA"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Financial Ratio</w:t>
            </w:r>
          </w:p>
        </w:tc>
        <w:tc>
          <w:tcPr>
            <w:tcW w:w="3117" w:type="dxa"/>
            <w:tcBorders>
              <w:top w:val="single" w:sz="4" w:space="0" w:color="auto"/>
              <w:left w:val="single" w:sz="4" w:space="0" w:color="auto"/>
              <w:bottom w:val="single" w:sz="4" w:space="0" w:color="auto"/>
              <w:right w:val="single" w:sz="4" w:space="0" w:color="auto"/>
            </w:tcBorders>
            <w:hideMark/>
          </w:tcPr>
          <w:p w14:paraId="5E2FC886"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58C8223C" w14:textId="6A2C93AB"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25BE3475"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10D64472" w14:textId="0CEF2C7F"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59B2187A"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074DAF6A"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Asset Turnover</w:t>
            </w:r>
          </w:p>
        </w:tc>
        <w:tc>
          <w:tcPr>
            <w:tcW w:w="3117" w:type="dxa"/>
            <w:tcBorders>
              <w:top w:val="single" w:sz="4" w:space="0" w:color="auto"/>
              <w:left w:val="single" w:sz="4" w:space="0" w:color="auto"/>
              <w:bottom w:val="single" w:sz="4" w:space="0" w:color="auto"/>
              <w:right w:val="single" w:sz="4" w:space="0" w:color="auto"/>
            </w:tcBorders>
            <w:hideMark/>
          </w:tcPr>
          <w:p w14:paraId="4A4F2EAE" w14:textId="3D37E63D"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6,441 </m:t>
                  </m:r>
                </m:num>
                <m:den>
                  <m:r>
                    <w:rPr>
                      <w:rFonts w:ascii="Cambria Math" w:hAnsi="Cambria Math" w:cs="Times New Roman"/>
                      <w:sz w:val="24"/>
                      <w:szCs w:val="24"/>
                    </w:rPr>
                    <m:t xml:space="preserve">10,087 </m:t>
                  </m:r>
                </m:den>
              </m:f>
            </m:oMath>
          </w:p>
          <w:p w14:paraId="5ABE9363"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 0.64</w:t>
            </w:r>
          </w:p>
        </w:tc>
        <w:tc>
          <w:tcPr>
            <w:tcW w:w="3117" w:type="dxa"/>
            <w:tcBorders>
              <w:top w:val="single" w:sz="4" w:space="0" w:color="auto"/>
              <w:left w:val="single" w:sz="4" w:space="0" w:color="auto"/>
              <w:bottom w:val="single" w:sz="4" w:space="0" w:color="auto"/>
              <w:right w:val="single" w:sz="4" w:space="0" w:color="auto"/>
            </w:tcBorders>
            <w:hideMark/>
          </w:tcPr>
          <w:p w14:paraId="5C29366C" w14:textId="3B469185"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6,738 </m:t>
                  </m:r>
                </m:num>
                <m:den>
                  <m:r>
                    <w:rPr>
                      <w:rFonts w:ascii="Cambria Math" w:hAnsi="Cambria Math" w:cs="Times New Roman"/>
                      <w:sz w:val="24"/>
                      <w:szCs w:val="24"/>
                    </w:rPr>
                    <m:t xml:space="preserve">9,736  </m:t>
                  </m:r>
                </m:den>
              </m:f>
            </m:oMath>
          </w:p>
          <w:p w14:paraId="3419B7EF"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 0.69</w:t>
            </w:r>
          </w:p>
        </w:tc>
      </w:tr>
    </w:tbl>
    <w:p w14:paraId="4FA379FF" w14:textId="2A7F5257" w:rsidR="008A340B" w:rsidRPr="00657351" w:rsidRDefault="008A340B" w:rsidP="005470D1">
      <w:pPr>
        <w:spacing w:line="360" w:lineRule="auto"/>
        <w:jc w:val="both"/>
        <w:rPr>
          <w:rFonts w:ascii="Times New Roman" w:eastAsiaTheme="minorEastAsia" w:hAnsi="Times New Roman" w:cs="Times New Roman"/>
          <w:sz w:val="24"/>
          <w:szCs w:val="24"/>
        </w:rPr>
      </w:pPr>
    </w:p>
    <w:p w14:paraId="5B8A0C3A" w14:textId="79D39B98" w:rsidR="008A340B" w:rsidRPr="00657351" w:rsidRDefault="008A340B" w:rsidP="005470D1">
      <w:pPr>
        <w:pStyle w:val="ListParagraph"/>
        <w:numPr>
          <w:ilvl w:val="0"/>
          <w:numId w:val="1"/>
        </w:numPr>
        <w:spacing w:line="360" w:lineRule="auto"/>
        <w:jc w:val="both"/>
        <w:rPr>
          <w:rFonts w:ascii="Times New Roman" w:hAnsi="Times New Roman" w:cs="Times New Roman"/>
          <w:b/>
          <w:bCs/>
          <w:sz w:val="24"/>
          <w:szCs w:val="24"/>
        </w:rPr>
      </w:pPr>
      <w:r w:rsidRPr="00E22F29">
        <w:rPr>
          <w:rFonts w:ascii="Times New Roman" w:hAnsi="Times New Roman" w:cs="Times New Roman"/>
          <w:b/>
          <w:bCs/>
          <w:sz w:val="24"/>
          <w:szCs w:val="24"/>
        </w:rPr>
        <w:t>Stock Holding Days:</w:t>
      </w:r>
    </w:p>
    <w:p w14:paraId="5A03F4C5" w14:textId="2CA6528F" w:rsidR="008A340B" w:rsidRPr="00E22F29" w:rsidRDefault="00591416" w:rsidP="005470D1">
      <w:pPr>
        <w:autoSpaceDE w:val="0"/>
        <w:autoSpaceDN w:val="0"/>
        <w:adjustRightInd w:val="0"/>
        <w:spacing w:after="0" w:line="360" w:lineRule="auto"/>
        <w:jc w:val="both"/>
        <w:rPr>
          <w:rFonts w:ascii="Times New Roman" w:hAnsi="Times New Roman" w:cs="Times New Roman"/>
          <w:color w:val="000000"/>
          <w:sz w:val="24"/>
          <w:szCs w:val="24"/>
        </w:rPr>
      </w:pPr>
      <w:r w:rsidRPr="00E22F29">
        <w:rPr>
          <w:rFonts w:ascii="Times New Roman" w:hAnsi="Times New Roman" w:cs="Times New Roman"/>
          <w:color w:val="000000"/>
          <w:sz w:val="24"/>
          <w:szCs w:val="24"/>
        </w:rPr>
        <w:t>It</w:t>
      </w:r>
      <w:r w:rsidR="00352205" w:rsidRPr="00E22F29">
        <w:rPr>
          <w:rFonts w:ascii="Times New Roman" w:hAnsi="Times New Roman" w:cs="Times New Roman"/>
          <w:color w:val="000000"/>
          <w:sz w:val="24"/>
          <w:szCs w:val="24"/>
        </w:rPr>
        <w:t xml:space="preserve"> is an </w:t>
      </w:r>
      <w:r w:rsidR="0071553D" w:rsidRPr="00E22F29">
        <w:rPr>
          <w:rFonts w:ascii="Times New Roman" w:hAnsi="Times New Roman" w:cs="Times New Roman"/>
          <w:color w:val="000000"/>
          <w:sz w:val="24"/>
          <w:szCs w:val="24"/>
        </w:rPr>
        <w:t>efficiency</w:t>
      </w:r>
      <w:r w:rsidR="00352205" w:rsidRPr="00E22F29">
        <w:rPr>
          <w:rFonts w:ascii="Times New Roman" w:hAnsi="Times New Roman" w:cs="Times New Roman"/>
          <w:color w:val="000000"/>
          <w:sz w:val="24"/>
          <w:szCs w:val="24"/>
        </w:rPr>
        <w:t xml:space="preserve"> ratio used to evaluate how well a company's management team turn its investment in inventory into revenue for the company.</w:t>
      </w:r>
    </w:p>
    <w:p w14:paraId="51C1CE5E" w14:textId="77777777" w:rsidR="00352205" w:rsidRPr="00E22F29" w:rsidRDefault="00352205" w:rsidP="005470D1">
      <w:pPr>
        <w:autoSpaceDE w:val="0"/>
        <w:autoSpaceDN w:val="0"/>
        <w:adjustRightInd w:val="0"/>
        <w:spacing w:after="0" w:line="360" w:lineRule="auto"/>
        <w:jc w:val="both"/>
        <w:rPr>
          <w:rFonts w:ascii="Times New Roman" w:hAnsi="Times New Roman" w:cs="Times New Roman"/>
          <w:color w:val="000000"/>
          <w:sz w:val="24"/>
          <w:szCs w:val="24"/>
        </w:rPr>
      </w:pPr>
    </w:p>
    <w:p w14:paraId="64D21264" w14:textId="77777777" w:rsidR="008A340B" w:rsidRPr="00E22F29" w:rsidRDefault="008A340B" w:rsidP="005470D1">
      <w:pPr>
        <w:pStyle w:val="Default"/>
        <w:spacing w:line="360" w:lineRule="auto"/>
        <w:jc w:val="both"/>
      </w:pPr>
      <w:r w:rsidRPr="00E22F29">
        <w:t>The formula for Stock holding days is</w:t>
      </w:r>
    </w:p>
    <w:p w14:paraId="6A186496" w14:textId="77777777" w:rsidR="008A340B" w:rsidRPr="00E22F29" w:rsidRDefault="008A340B" w:rsidP="005470D1">
      <w:pPr>
        <w:pStyle w:val="Default"/>
        <w:spacing w:line="360" w:lineRule="auto"/>
        <w:jc w:val="both"/>
      </w:pPr>
    </w:p>
    <w:p w14:paraId="44D7BBAA" w14:textId="06F421D1" w:rsidR="008A340B" w:rsidRPr="00E22F29" w:rsidRDefault="00352205" w:rsidP="005470D1">
      <w:pPr>
        <w:pStyle w:val="Default"/>
        <w:spacing w:line="360" w:lineRule="auto"/>
        <w:jc w:val="center"/>
      </w:pPr>
      <w:r w:rsidRPr="00E22F29">
        <w:rPr>
          <w:noProof/>
        </w:rPr>
        <w:drawing>
          <wp:inline distT="0" distB="0" distL="0" distR="0" wp14:anchorId="19B04D41" wp14:editId="6F57AE50">
            <wp:extent cx="3667125" cy="1883711"/>
            <wp:effectExtent l="0" t="0" r="0" b="2540"/>
            <wp:docPr id="6" name="Picture 6" descr="Days in Inventory Formula | Calculator (Excel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ays in Inventory Formula | Calculator (Excel templat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76128" cy="1888336"/>
                    </a:xfrm>
                    <a:prstGeom prst="rect">
                      <a:avLst/>
                    </a:prstGeom>
                    <a:noFill/>
                    <a:ln>
                      <a:noFill/>
                    </a:ln>
                  </pic:spPr>
                </pic:pic>
              </a:graphicData>
            </a:graphic>
          </wp:inline>
        </w:drawing>
      </w:r>
    </w:p>
    <w:p w14:paraId="7DD03066" w14:textId="77777777" w:rsidR="008A340B" w:rsidRPr="00E22F29" w:rsidRDefault="008A340B" w:rsidP="005470D1">
      <w:pPr>
        <w:pStyle w:val="Default"/>
        <w:spacing w:line="360" w:lineRule="auto"/>
        <w:jc w:val="both"/>
      </w:pPr>
    </w:p>
    <w:p w14:paraId="36DDC193" w14:textId="14A4014A" w:rsidR="008A340B" w:rsidRDefault="008A340B"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The </w:t>
      </w:r>
      <w:r w:rsidR="00352205" w:rsidRPr="00E22F29">
        <w:rPr>
          <w:rFonts w:ascii="Times New Roman" w:hAnsi="Times New Roman" w:cs="Times New Roman"/>
          <w:sz w:val="24"/>
          <w:szCs w:val="24"/>
        </w:rPr>
        <w:t xml:space="preserve">provided </w:t>
      </w:r>
      <w:r w:rsidRPr="00E22F29">
        <w:rPr>
          <w:rFonts w:ascii="Times New Roman" w:hAnsi="Times New Roman" w:cs="Times New Roman"/>
          <w:sz w:val="24"/>
          <w:szCs w:val="24"/>
        </w:rPr>
        <w:t xml:space="preserve">information </w:t>
      </w:r>
      <w:r w:rsidR="00352205" w:rsidRPr="00E22F29">
        <w:rPr>
          <w:rFonts w:ascii="Times New Roman" w:hAnsi="Times New Roman" w:cs="Times New Roman"/>
          <w:sz w:val="24"/>
          <w:szCs w:val="24"/>
        </w:rPr>
        <w:t>in this case</w:t>
      </w:r>
      <w:r w:rsidRPr="00E22F29">
        <w:rPr>
          <w:rFonts w:ascii="Times New Roman" w:hAnsi="Times New Roman" w:cs="Times New Roman"/>
          <w:sz w:val="24"/>
          <w:szCs w:val="24"/>
        </w:rPr>
        <w:t xml:space="preserve"> is,</w:t>
      </w:r>
    </w:p>
    <w:tbl>
      <w:tblPr>
        <w:tblStyle w:val="TableGrid"/>
        <w:tblW w:w="0" w:type="auto"/>
        <w:tblInd w:w="0" w:type="dxa"/>
        <w:tblLook w:val="04A0" w:firstRow="1" w:lastRow="0" w:firstColumn="1" w:lastColumn="0" w:noHBand="0" w:noVBand="1"/>
      </w:tblPr>
      <w:tblGrid>
        <w:gridCol w:w="3116"/>
        <w:gridCol w:w="3117"/>
        <w:gridCol w:w="3117"/>
      </w:tblGrid>
      <w:tr w:rsidR="00A42FF0" w14:paraId="23B6283B"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0459594B"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Particulars</w:t>
            </w:r>
          </w:p>
        </w:tc>
        <w:tc>
          <w:tcPr>
            <w:tcW w:w="3117" w:type="dxa"/>
            <w:tcBorders>
              <w:top w:val="single" w:sz="4" w:space="0" w:color="auto"/>
              <w:left w:val="single" w:sz="4" w:space="0" w:color="auto"/>
              <w:bottom w:val="single" w:sz="4" w:space="0" w:color="auto"/>
              <w:right w:val="single" w:sz="4" w:space="0" w:color="auto"/>
            </w:tcBorders>
            <w:hideMark/>
          </w:tcPr>
          <w:p w14:paraId="2299B9D0"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72C3535B" w14:textId="7E7A2F9C"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6F27E2A3"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4A61C457" w14:textId="682E7A27"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2F68C36D" w14:textId="77777777" w:rsidTr="00B94C4E">
        <w:trPr>
          <w:trHeight w:val="368"/>
        </w:trPr>
        <w:tc>
          <w:tcPr>
            <w:tcW w:w="3116" w:type="dxa"/>
            <w:tcBorders>
              <w:top w:val="single" w:sz="4" w:space="0" w:color="auto"/>
              <w:left w:val="single" w:sz="4" w:space="0" w:color="auto"/>
              <w:bottom w:val="single" w:sz="4" w:space="0" w:color="auto"/>
              <w:right w:val="single" w:sz="4" w:space="0" w:color="auto"/>
            </w:tcBorders>
            <w:hideMark/>
          </w:tcPr>
          <w:p w14:paraId="1E32251F"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Closing stock</w:t>
            </w:r>
          </w:p>
        </w:tc>
        <w:tc>
          <w:tcPr>
            <w:tcW w:w="3117" w:type="dxa"/>
            <w:tcBorders>
              <w:top w:val="single" w:sz="4" w:space="0" w:color="auto"/>
              <w:left w:val="single" w:sz="4" w:space="0" w:color="auto"/>
              <w:bottom w:val="single" w:sz="4" w:space="0" w:color="auto"/>
              <w:right w:val="single" w:sz="4" w:space="0" w:color="auto"/>
            </w:tcBorders>
            <w:hideMark/>
          </w:tcPr>
          <w:p w14:paraId="04C6C6E5" w14:textId="6EDBD894" w:rsidR="00A42FF0" w:rsidRDefault="00A42FF0" w:rsidP="005470D1">
            <w:pPr>
              <w:pStyle w:val="Default"/>
              <w:spacing w:line="360" w:lineRule="auto"/>
              <w:jc w:val="both"/>
            </w:pPr>
            <w:r>
              <w:t xml:space="preserve">659 </w:t>
            </w:r>
          </w:p>
        </w:tc>
        <w:tc>
          <w:tcPr>
            <w:tcW w:w="3117" w:type="dxa"/>
            <w:tcBorders>
              <w:top w:val="single" w:sz="4" w:space="0" w:color="auto"/>
              <w:left w:val="single" w:sz="4" w:space="0" w:color="auto"/>
              <w:bottom w:val="single" w:sz="4" w:space="0" w:color="auto"/>
              <w:right w:val="single" w:sz="4" w:space="0" w:color="auto"/>
            </w:tcBorders>
            <w:hideMark/>
          </w:tcPr>
          <w:p w14:paraId="58C8EE3F" w14:textId="2A5E561C" w:rsidR="00A42FF0" w:rsidRDefault="00A42FF0" w:rsidP="005470D1">
            <w:pPr>
              <w:pStyle w:val="Default"/>
              <w:spacing w:line="360" w:lineRule="auto"/>
              <w:jc w:val="both"/>
            </w:pPr>
            <w:r>
              <w:t>708</w:t>
            </w:r>
            <w:r>
              <w:rPr>
                <w:rFonts w:eastAsiaTheme="minorEastAsia"/>
              </w:rPr>
              <w:t xml:space="preserve"> </w:t>
            </w:r>
          </w:p>
        </w:tc>
      </w:tr>
      <w:tr w:rsidR="00A42FF0" w14:paraId="4D42C5D5"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611DEC96"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Cost of goods sold</w:t>
            </w:r>
          </w:p>
        </w:tc>
        <w:tc>
          <w:tcPr>
            <w:tcW w:w="3117" w:type="dxa"/>
            <w:tcBorders>
              <w:top w:val="single" w:sz="4" w:space="0" w:color="auto"/>
              <w:left w:val="single" w:sz="4" w:space="0" w:color="auto"/>
              <w:bottom w:val="single" w:sz="4" w:space="0" w:color="auto"/>
              <w:right w:val="single" w:sz="4" w:space="0" w:color="auto"/>
            </w:tcBorders>
            <w:hideMark/>
          </w:tcPr>
          <w:p w14:paraId="540A14FA" w14:textId="0310A227" w:rsidR="00A42FF0" w:rsidRDefault="00A42FF0" w:rsidP="005470D1">
            <w:pPr>
              <w:pStyle w:val="Default"/>
              <w:spacing w:line="360" w:lineRule="auto"/>
              <w:jc w:val="both"/>
            </w:pPr>
            <w:r>
              <w:t xml:space="preserve">3,096 </w:t>
            </w:r>
          </w:p>
        </w:tc>
        <w:tc>
          <w:tcPr>
            <w:tcW w:w="3117" w:type="dxa"/>
            <w:tcBorders>
              <w:top w:val="single" w:sz="4" w:space="0" w:color="auto"/>
              <w:left w:val="single" w:sz="4" w:space="0" w:color="auto"/>
              <w:bottom w:val="single" w:sz="4" w:space="0" w:color="auto"/>
              <w:right w:val="single" w:sz="4" w:space="0" w:color="auto"/>
            </w:tcBorders>
            <w:hideMark/>
          </w:tcPr>
          <w:p w14:paraId="21D39689" w14:textId="001A26A6" w:rsidR="00A42FF0" w:rsidRDefault="00A42FF0" w:rsidP="005470D1">
            <w:pPr>
              <w:pStyle w:val="Default"/>
              <w:spacing w:line="360" w:lineRule="auto"/>
              <w:jc w:val="both"/>
            </w:pPr>
            <w:r>
              <w:t xml:space="preserve">3,235 </w:t>
            </w:r>
          </w:p>
        </w:tc>
      </w:tr>
    </w:tbl>
    <w:p w14:paraId="3457EB37" w14:textId="46BE1392" w:rsidR="008A340B" w:rsidRPr="00657351" w:rsidRDefault="008A340B" w:rsidP="005470D1">
      <w:pPr>
        <w:spacing w:line="360" w:lineRule="auto"/>
        <w:jc w:val="both"/>
        <w:rPr>
          <w:rFonts w:ascii="Times New Roman" w:hAnsi="Times New Roman" w:cs="Times New Roman"/>
          <w:sz w:val="24"/>
          <w:szCs w:val="24"/>
        </w:rPr>
      </w:pPr>
    </w:p>
    <w:p w14:paraId="2BE76FB4" w14:textId="7B1764B6" w:rsidR="008A340B" w:rsidRDefault="00352205" w:rsidP="005470D1">
      <w:pPr>
        <w:spacing w:line="360" w:lineRule="auto"/>
        <w:jc w:val="both"/>
        <w:rPr>
          <w:rFonts w:ascii="Times New Roman" w:eastAsiaTheme="minorEastAsia" w:hAnsi="Times New Roman" w:cs="Times New Roman"/>
          <w:sz w:val="24"/>
          <w:szCs w:val="24"/>
        </w:rPr>
      </w:pPr>
      <w:r w:rsidRPr="00E22F29">
        <w:rPr>
          <w:rFonts w:ascii="Times New Roman" w:eastAsiaTheme="minorEastAsia" w:hAnsi="Times New Roman" w:cs="Times New Roman"/>
          <w:sz w:val="24"/>
          <w:szCs w:val="24"/>
        </w:rPr>
        <w:t>So</w:t>
      </w:r>
      <w:r w:rsidR="008A340B" w:rsidRPr="00E22F29">
        <w:rPr>
          <w:rFonts w:ascii="Times New Roman" w:eastAsiaTheme="minorEastAsia" w:hAnsi="Times New Roman" w:cs="Times New Roman"/>
          <w:sz w:val="24"/>
          <w:szCs w:val="24"/>
        </w:rPr>
        <w:t xml:space="preserve">, </w:t>
      </w:r>
      <w:r w:rsidRPr="00E22F29">
        <w:rPr>
          <w:rFonts w:ascii="Times New Roman" w:eastAsiaTheme="minorEastAsia" w:hAnsi="Times New Roman" w:cs="Times New Roman"/>
          <w:sz w:val="24"/>
          <w:szCs w:val="24"/>
        </w:rPr>
        <w:t>the value of s</w:t>
      </w:r>
      <w:r w:rsidR="008A340B" w:rsidRPr="00E22F29">
        <w:rPr>
          <w:rFonts w:ascii="Times New Roman" w:eastAsiaTheme="minorEastAsia" w:hAnsi="Times New Roman" w:cs="Times New Roman"/>
          <w:sz w:val="24"/>
          <w:szCs w:val="24"/>
        </w:rPr>
        <w:t xml:space="preserve">tock holding days of </w:t>
      </w:r>
      <w:r w:rsidRPr="00E22F29">
        <w:rPr>
          <w:rFonts w:ascii="Times New Roman" w:eastAsiaTheme="minorEastAsia" w:hAnsi="Times New Roman" w:cs="Times New Roman"/>
          <w:sz w:val="24"/>
          <w:szCs w:val="24"/>
        </w:rPr>
        <w:t>Sweets Plc based on the provided information for 2020 and 2021 is calculated below</w:t>
      </w:r>
      <w:r w:rsidR="008A340B" w:rsidRPr="00E22F29">
        <w:rPr>
          <w:rFonts w:ascii="Times New Roman" w:eastAsiaTheme="minorEastAsia" w:hAnsi="Times New Roman" w:cs="Times New Roman"/>
          <w:sz w:val="24"/>
          <w:szCs w:val="24"/>
        </w:rPr>
        <w:t>,</w:t>
      </w:r>
    </w:p>
    <w:tbl>
      <w:tblPr>
        <w:tblStyle w:val="TableGrid"/>
        <w:tblW w:w="0" w:type="auto"/>
        <w:tblInd w:w="0" w:type="dxa"/>
        <w:tblLook w:val="04A0" w:firstRow="1" w:lastRow="0" w:firstColumn="1" w:lastColumn="0" w:noHBand="0" w:noVBand="1"/>
      </w:tblPr>
      <w:tblGrid>
        <w:gridCol w:w="3116"/>
        <w:gridCol w:w="3117"/>
        <w:gridCol w:w="3117"/>
      </w:tblGrid>
      <w:tr w:rsidR="00A42FF0" w14:paraId="32F0FE21"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763F50EA" w14:textId="78AECB2F" w:rsidR="00A42FF0" w:rsidRDefault="000652FE"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Year</w:t>
            </w:r>
          </w:p>
        </w:tc>
        <w:tc>
          <w:tcPr>
            <w:tcW w:w="3117" w:type="dxa"/>
            <w:tcBorders>
              <w:top w:val="single" w:sz="4" w:space="0" w:color="auto"/>
              <w:left w:val="single" w:sz="4" w:space="0" w:color="auto"/>
              <w:bottom w:val="single" w:sz="4" w:space="0" w:color="auto"/>
              <w:right w:val="single" w:sz="4" w:space="0" w:color="auto"/>
            </w:tcBorders>
            <w:hideMark/>
          </w:tcPr>
          <w:p w14:paraId="73D320ED"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761014D8" w14:textId="05A318FD"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3FA370D7"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61FC9BC7" w14:textId="7C2CCA7C"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40C1AD0B"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625213D9"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Stock holding days</w:t>
            </w:r>
          </w:p>
        </w:tc>
        <w:tc>
          <w:tcPr>
            <w:tcW w:w="3117" w:type="dxa"/>
            <w:tcBorders>
              <w:top w:val="single" w:sz="4" w:space="0" w:color="auto"/>
              <w:left w:val="single" w:sz="4" w:space="0" w:color="auto"/>
              <w:bottom w:val="single" w:sz="4" w:space="0" w:color="auto"/>
              <w:right w:val="single" w:sz="4" w:space="0" w:color="auto"/>
            </w:tcBorders>
            <w:hideMark/>
          </w:tcPr>
          <w:p w14:paraId="01D06033" w14:textId="26FDB92B"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659 </m:t>
                  </m:r>
                </m:num>
                <m:den>
                  <m:r>
                    <w:rPr>
                      <w:rFonts w:ascii="Cambria Math" w:hAnsi="Cambria Math" w:cs="Times New Roman"/>
                      <w:sz w:val="24"/>
                      <w:szCs w:val="24"/>
                    </w:rPr>
                    <m:t xml:space="preserve">3,096 </m:t>
                  </m:r>
                </m:den>
              </m:f>
              <m:r>
                <w:rPr>
                  <w:rFonts w:ascii="Cambria Math" w:hAnsi="Cambria Math" w:cs="Times New Roman"/>
                  <w:sz w:val="24"/>
                  <w:szCs w:val="24"/>
                </w:rPr>
                <m:t>*365 days</m:t>
              </m:r>
            </m:oMath>
          </w:p>
          <w:p w14:paraId="32073B60" w14:textId="77777777"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 78 days (rounded figure)</w:t>
            </w:r>
          </w:p>
        </w:tc>
        <w:tc>
          <w:tcPr>
            <w:tcW w:w="3117" w:type="dxa"/>
            <w:tcBorders>
              <w:top w:val="single" w:sz="4" w:space="0" w:color="auto"/>
              <w:left w:val="single" w:sz="4" w:space="0" w:color="auto"/>
              <w:bottom w:val="single" w:sz="4" w:space="0" w:color="auto"/>
              <w:right w:val="single" w:sz="4" w:space="0" w:color="auto"/>
            </w:tcBorders>
            <w:hideMark/>
          </w:tcPr>
          <w:p w14:paraId="5A7DAA37" w14:textId="3EBEE041"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708 </m:t>
                  </m:r>
                </m:num>
                <m:den>
                  <m:r>
                    <w:rPr>
                      <w:rFonts w:ascii="Cambria Math" w:hAnsi="Cambria Math" w:cs="Times New Roman"/>
                      <w:sz w:val="24"/>
                      <w:szCs w:val="24"/>
                    </w:rPr>
                    <m:t xml:space="preserve">3,235  </m:t>
                  </m:r>
                </m:den>
              </m:f>
              <m:r>
                <w:rPr>
                  <w:rFonts w:ascii="Cambria Math" w:eastAsiaTheme="minorEastAsia" w:hAnsi="Cambria Math" w:cs="Times New Roman"/>
                  <w:sz w:val="24"/>
                  <w:szCs w:val="24"/>
                </w:rPr>
                <m:t>*365 days</m:t>
              </m:r>
            </m:oMath>
          </w:p>
          <w:p w14:paraId="21F7F6BE"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 80 days (rounded figure)</w:t>
            </w:r>
          </w:p>
        </w:tc>
      </w:tr>
    </w:tbl>
    <w:p w14:paraId="4B7F85DD" w14:textId="77777777" w:rsidR="00A42FF0" w:rsidRDefault="00A42FF0" w:rsidP="005470D1">
      <w:pPr>
        <w:spacing w:line="360" w:lineRule="auto"/>
        <w:jc w:val="both"/>
        <w:rPr>
          <w:rFonts w:ascii="Times New Roman" w:eastAsiaTheme="minorEastAsia" w:hAnsi="Times New Roman" w:cs="Times New Roman"/>
          <w:sz w:val="24"/>
          <w:szCs w:val="24"/>
        </w:rPr>
      </w:pPr>
    </w:p>
    <w:p w14:paraId="656AD8C3" w14:textId="4338271E" w:rsidR="008A340B" w:rsidRPr="00657351" w:rsidRDefault="008A340B" w:rsidP="005470D1">
      <w:pPr>
        <w:spacing w:line="360" w:lineRule="auto"/>
        <w:jc w:val="both"/>
        <w:rPr>
          <w:rFonts w:ascii="Times New Roman" w:eastAsiaTheme="minorEastAsia" w:hAnsi="Times New Roman" w:cs="Times New Roman"/>
          <w:sz w:val="24"/>
          <w:szCs w:val="24"/>
        </w:rPr>
      </w:pPr>
    </w:p>
    <w:p w14:paraId="33FB497A" w14:textId="1BB5C643" w:rsidR="008A340B" w:rsidRPr="00E22F29" w:rsidRDefault="008A340B" w:rsidP="005470D1">
      <w:pPr>
        <w:pStyle w:val="ListParagraph"/>
        <w:numPr>
          <w:ilvl w:val="0"/>
          <w:numId w:val="1"/>
        </w:numPr>
        <w:autoSpaceDE w:val="0"/>
        <w:autoSpaceDN w:val="0"/>
        <w:adjustRightInd w:val="0"/>
        <w:spacing w:after="0" w:line="360" w:lineRule="auto"/>
        <w:jc w:val="both"/>
        <w:rPr>
          <w:rFonts w:ascii="Times New Roman" w:hAnsi="Times New Roman" w:cs="Times New Roman"/>
          <w:b/>
          <w:bCs/>
          <w:color w:val="000000"/>
          <w:sz w:val="24"/>
          <w:szCs w:val="24"/>
        </w:rPr>
      </w:pPr>
      <w:r w:rsidRPr="00E22F29">
        <w:rPr>
          <w:rFonts w:ascii="Times New Roman" w:hAnsi="Times New Roman" w:cs="Times New Roman"/>
          <w:b/>
          <w:bCs/>
          <w:color w:val="000000"/>
          <w:sz w:val="24"/>
          <w:szCs w:val="24"/>
        </w:rPr>
        <w:t>Debtors Collection Period:</w:t>
      </w:r>
    </w:p>
    <w:p w14:paraId="4F44F51E" w14:textId="1123D2ED" w:rsidR="005E002A" w:rsidRPr="00E22F29" w:rsidRDefault="00591416" w:rsidP="005470D1">
      <w:pPr>
        <w:autoSpaceDE w:val="0"/>
        <w:autoSpaceDN w:val="0"/>
        <w:adjustRightInd w:val="0"/>
        <w:spacing w:after="0" w:line="360" w:lineRule="auto"/>
        <w:jc w:val="both"/>
        <w:rPr>
          <w:rFonts w:ascii="Times New Roman" w:hAnsi="Times New Roman" w:cs="Times New Roman"/>
          <w:color w:val="000000"/>
          <w:sz w:val="24"/>
          <w:szCs w:val="24"/>
        </w:rPr>
      </w:pPr>
      <w:r w:rsidRPr="00E22F29">
        <w:rPr>
          <w:rFonts w:ascii="Times New Roman" w:hAnsi="Times New Roman" w:cs="Times New Roman"/>
          <w:color w:val="000000"/>
          <w:sz w:val="24"/>
          <w:szCs w:val="24"/>
        </w:rPr>
        <w:t>It</w:t>
      </w:r>
      <w:r w:rsidR="005E002A" w:rsidRPr="00E22F29">
        <w:rPr>
          <w:rFonts w:ascii="Times New Roman" w:hAnsi="Times New Roman" w:cs="Times New Roman"/>
          <w:color w:val="000000"/>
          <w:sz w:val="24"/>
          <w:szCs w:val="24"/>
        </w:rPr>
        <w:t xml:space="preserve"> another efficiency ratio used to assess a company's managerial capability to turn credit sales into cash flow for the company.</w:t>
      </w:r>
    </w:p>
    <w:p w14:paraId="4A3E8B36" w14:textId="77777777" w:rsidR="008A340B" w:rsidRPr="00E22F29" w:rsidRDefault="008A340B" w:rsidP="005470D1">
      <w:pPr>
        <w:pStyle w:val="Default"/>
        <w:spacing w:line="360" w:lineRule="auto"/>
        <w:jc w:val="both"/>
      </w:pPr>
      <w:r w:rsidRPr="00E22F29">
        <w:t>The formula for Debtors collection period is</w:t>
      </w:r>
    </w:p>
    <w:p w14:paraId="5C6F71CE" w14:textId="77777777" w:rsidR="008A340B" w:rsidRPr="00E22F29" w:rsidRDefault="008A340B" w:rsidP="005470D1">
      <w:pPr>
        <w:pStyle w:val="Default"/>
        <w:spacing w:line="360" w:lineRule="auto"/>
        <w:jc w:val="both"/>
      </w:pPr>
    </w:p>
    <w:p w14:paraId="1C02798A" w14:textId="1EE963D9" w:rsidR="008A340B" w:rsidRPr="00E22F29" w:rsidRDefault="005E002A" w:rsidP="005470D1">
      <w:pPr>
        <w:pStyle w:val="Default"/>
        <w:spacing w:line="360" w:lineRule="auto"/>
        <w:jc w:val="both"/>
      </w:pPr>
      <w:r w:rsidRPr="00E22F29">
        <w:rPr>
          <w:noProof/>
        </w:rPr>
        <w:drawing>
          <wp:inline distT="0" distB="0" distL="0" distR="0" wp14:anchorId="7AA8457C" wp14:editId="247E9518">
            <wp:extent cx="5572903" cy="2372056"/>
            <wp:effectExtent l="0" t="0" r="889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72903" cy="2372056"/>
                    </a:xfrm>
                    <a:prstGeom prst="rect">
                      <a:avLst/>
                    </a:prstGeom>
                  </pic:spPr>
                </pic:pic>
              </a:graphicData>
            </a:graphic>
          </wp:inline>
        </w:drawing>
      </w:r>
    </w:p>
    <w:p w14:paraId="25FD55DC" w14:textId="043AC4BB" w:rsidR="008A340B" w:rsidRDefault="008A340B"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The information given fo</w:t>
      </w:r>
      <w:r w:rsidR="005E002A" w:rsidRPr="00E22F29">
        <w:rPr>
          <w:rFonts w:ascii="Times New Roman" w:hAnsi="Times New Roman" w:cs="Times New Roman"/>
          <w:sz w:val="24"/>
          <w:szCs w:val="24"/>
        </w:rPr>
        <w:t xml:space="preserve">r </w:t>
      </w:r>
      <w:r w:rsidR="00591416" w:rsidRPr="00E22F29">
        <w:rPr>
          <w:rFonts w:ascii="Times New Roman" w:hAnsi="Times New Roman" w:cs="Times New Roman"/>
          <w:sz w:val="24"/>
          <w:szCs w:val="24"/>
        </w:rPr>
        <w:t>determining</w:t>
      </w:r>
      <w:r w:rsidR="005E002A" w:rsidRPr="00E22F29">
        <w:rPr>
          <w:rFonts w:ascii="Times New Roman" w:hAnsi="Times New Roman" w:cs="Times New Roman"/>
          <w:sz w:val="24"/>
          <w:szCs w:val="24"/>
        </w:rPr>
        <w:t xml:space="preserve"> the debtor collection period for Sweets Plc in 2020 and 2021 is,</w:t>
      </w:r>
    </w:p>
    <w:tbl>
      <w:tblPr>
        <w:tblStyle w:val="TableGrid"/>
        <w:tblW w:w="0" w:type="auto"/>
        <w:tblInd w:w="0" w:type="dxa"/>
        <w:tblLook w:val="04A0" w:firstRow="1" w:lastRow="0" w:firstColumn="1" w:lastColumn="0" w:noHBand="0" w:noVBand="1"/>
      </w:tblPr>
      <w:tblGrid>
        <w:gridCol w:w="3116"/>
        <w:gridCol w:w="3117"/>
        <w:gridCol w:w="3117"/>
      </w:tblGrid>
      <w:tr w:rsidR="00A42FF0" w14:paraId="501BF2FB"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72B9853D"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Particulars</w:t>
            </w:r>
          </w:p>
        </w:tc>
        <w:tc>
          <w:tcPr>
            <w:tcW w:w="3117" w:type="dxa"/>
            <w:tcBorders>
              <w:top w:val="single" w:sz="4" w:space="0" w:color="auto"/>
              <w:left w:val="single" w:sz="4" w:space="0" w:color="auto"/>
              <w:bottom w:val="single" w:sz="4" w:space="0" w:color="auto"/>
              <w:right w:val="single" w:sz="4" w:space="0" w:color="auto"/>
            </w:tcBorders>
            <w:hideMark/>
          </w:tcPr>
          <w:p w14:paraId="1C73A962"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52395E82" w14:textId="1C35DA5D"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76CE55E5"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7DEB8A0C" w14:textId="64C23577"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6BC8456F" w14:textId="77777777" w:rsidTr="00B94C4E">
        <w:trPr>
          <w:trHeight w:val="368"/>
        </w:trPr>
        <w:tc>
          <w:tcPr>
            <w:tcW w:w="3116" w:type="dxa"/>
            <w:tcBorders>
              <w:top w:val="single" w:sz="4" w:space="0" w:color="auto"/>
              <w:left w:val="single" w:sz="4" w:space="0" w:color="auto"/>
              <w:bottom w:val="single" w:sz="4" w:space="0" w:color="auto"/>
              <w:right w:val="single" w:sz="4" w:space="0" w:color="auto"/>
            </w:tcBorders>
            <w:hideMark/>
          </w:tcPr>
          <w:p w14:paraId="5B457481"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Trade debtors</w:t>
            </w:r>
          </w:p>
        </w:tc>
        <w:tc>
          <w:tcPr>
            <w:tcW w:w="3117" w:type="dxa"/>
            <w:tcBorders>
              <w:top w:val="single" w:sz="4" w:space="0" w:color="auto"/>
              <w:left w:val="single" w:sz="4" w:space="0" w:color="auto"/>
              <w:bottom w:val="single" w:sz="4" w:space="0" w:color="auto"/>
              <w:right w:val="single" w:sz="4" w:space="0" w:color="auto"/>
            </w:tcBorders>
            <w:hideMark/>
          </w:tcPr>
          <w:p w14:paraId="1293533B" w14:textId="51CEF7E3" w:rsidR="00A42FF0" w:rsidRDefault="00A42FF0" w:rsidP="005470D1">
            <w:pPr>
              <w:pStyle w:val="Default"/>
              <w:spacing w:line="360" w:lineRule="auto"/>
              <w:jc w:val="both"/>
            </w:pPr>
            <w:r>
              <w:t xml:space="preserve">1,287 </w:t>
            </w:r>
          </w:p>
        </w:tc>
        <w:tc>
          <w:tcPr>
            <w:tcW w:w="3117" w:type="dxa"/>
            <w:tcBorders>
              <w:top w:val="single" w:sz="4" w:space="0" w:color="auto"/>
              <w:left w:val="single" w:sz="4" w:space="0" w:color="auto"/>
              <w:bottom w:val="single" w:sz="4" w:space="0" w:color="auto"/>
              <w:right w:val="single" w:sz="4" w:space="0" w:color="auto"/>
            </w:tcBorders>
            <w:hideMark/>
          </w:tcPr>
          <w:p w14:paraId="38ECB428" w14:textId="706E2C89" w:rsidR="00A42FF0" w:rsidRDefault="00A42FF0" w:rsidP="005470D1">
            <w:pPr>
              <w:pStyle w:val="Default"/>
              <w:spacing w:line="360" w:lineRule="auto"/>
              <w:jc w:val="both"/>
            </w:pPr>
            <w:r>
              <w:t>1,249</w:t>
            </w:r>
            <w:r>
              <w:rPr>
                <w:rFonts w:eastAsiaTheme="minorEastAsia"/>
              </w:rPr>
              <w:t xml:space="preserve"> </w:t>
            </w:r>
          </w:p>
        </w:tc>
      </w:tr>
      <w:tr w:rsidR="00A42FF0" w14:paraId="62C6E6AA"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7D1CAA88"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Revenue</w:t>
            </w:r>
          </w:p>
        </w:tc>
        <w:tc>
          <w:tcPr>
            <w:tcW w:w="3117" w:type="dxa"/>
            <w:tcBorders>
              <w:top w:val="single" w:sz="4" w:space="0" w:color="auto"/>
              <w:left w:val="single" w:sz="4" w:space="0" w:color="auto"/>
              <w:bottom w:val="single" w:sz="4" w:space="0" w:color="auto"/>
              <w:right w:val="single" w:sz="4" w:space="0" w:color="auto"/>
            </w:tcBorders>
            <w:hideMark/>
          </w:tcPr>
          <w:p w14:paraId="4FC7234F" w14:textId="0C08944A" w:rsidR="00A42FF0" w:rsidRDefault="00A42FF0" w:rsidP="005470D1">
            <w:pPr>
              <w:pStyle w:val="Default"/>
              <w:spacing w:line="360" w:lineRule="auto"/>
              <w:jc w:val="both"/>
            </w:pPr>
            <w:r>
              <w:t xml:space="preserve">6,441 </w:t>
            </w:r>
          </w:p>
        </w:tc>
        <w:tc>
          <w:tcPr>
            <w:tcW w:w="3117" w:type="dxa"/>
            <w:tcBorders>
              <w:top w:val="single" w:sz="4" w:space="0" w:color="auto"/>
              <w:left w:val="single" w:sz="4" w:space="0" w:color="auto"/>
              <w:bottom w:val="single" w:sz="4" w:space="0" w:color="auto"/>
              <w:right w:val="single" w:sz="4" w:space="0" w:color="auto"/>
            </w:tcBorders>
            <w:hideMark/>
          </w:tcPr>
          <w:p w14:paraId="25A269F0" w14:textId="4DAF7BA7" w:rsidR="00A42FF0" w:rsidRDefault="00A42FF0" w:rsidP="005470D1">
            <w:pPr>
              <w:pStyle w:val="Default"/>
              <w:spacing w:line="360" w:lineRule="auto"/>
              <w:jc w:val="both"/>
            </w:pPr>
            <w:r>
              <w:t>6,738</w:t>
            </w:r>
            <w:r>
              <w:rPr>
                <w:rFonts w:eastAsiaTheme="minorEastAsia"/>
              </w:rPr>
              <w:t xml:space="preserve"> </w:t>
            </w:r>
          </w:p>
        </w:tc>
      </w:tr>
    </w:tbl>
    <w:p w14:paraId="038BF6BB" w14:textId="77777777" w:rsidR="00A42FF0" w:rsidRDefault="00A42FF0" w:rsidP="005470D1">
      <w:pPr>
        <w:spacing w:line="360" w:lineRule="auto"/>
        <w:jc w:val="both"/>
        <w:rPr>
          <w:rFonts w:ascii="Times New Roman" w:eastAsiaTheme="minorEastAsia" w:hAnsi="Times New Roman" w:cs="Times New Roman"/>
          <w:sz w:val="24"/>
          <w:szCs w:val="24"/>
        </w:rPr>
      </w:pPr>
    </w:p>
    <w:p w14:paraId="5CF0C1DF" w14:textId="5C4193C5" w:rsidR="005E002A" w:rsidRPr="00657351" w:rsidRDefault="005E002A" w:rsidP="005470D1">
      <w:pPr>
        <w:spacing w:line="360" w:lineRule="auto"/>
        <w:jc w:val="both"/>
        <w:rPr>
          <w:rFonts w:ascii="Times New Roman" w:hAnsi="Times New Roman" w:cs="Times New Roman"/>
          <w:sz w:val="24"/>
          <w:szCs w:val="24"/>
        </w:rPr>
      </w:pPr>
    </w:p>
    <w:p w14:paraId="66150788" w14:textId="19499C22" w:rsidR="008A340B" w:rsidRDefault="005E002A" w:rsidP="005470D1">
      <w:pPr>
        <w:spacing w:line="360" w:lineRule="auto"/>
        <w:jc w:val="both"/>
        <w:rPr>
          <w:rFonts w:ascii="Times New Roman" w:eastAsiaTheme="minorEastAsia" w:hAnsi="Times New Roman" w:cs="Times New Roman"/>
          <w:sz w:val="24"/>
          <w:szCs w:val="24"/>
        </w:rPr>
      </w:pPr>
      <w:r w:rsidRPr="00E22F29">
        <w:rPr>
          <w:rFonts w:ascii="Times New Roman" w:eastAsiaTheme="minorEastAsia" w:hAnsi="Times New Roman" w:cs="Times New Roman"/>
          <w:sz w:val="24"/>
          <w:szCs w:val="24"/>
        </w:rPr>
        <w:t>Based on the given information, the value of</w:t>
      </w:r>
      <w:r w:rsidR="008A340B" w:rsidRPr="00E22F29">
        <w:rPr>
          <w:rFonts w:ascii="Times New Roman" w:eastAsiaTheme="minorEastAsia" w:hAnsi="Times New Roman" w:cs="Times New Roman"/>
          <w:sz w:val="24"/>
          <w:szCs w:val="24"/>
        </w:rPr>
        <w:t xml:space="preserve"> </w:t>
      </w:r>
      <w:proofErr w:type="gramStart"/>
      <w:r w:rsidRPr="00E22F29">
        <w:rPr>
          <w:rFonts w:ascii="Times New Roman" w:hAnsi="Times New Roman" w:cs="Times New Roman"/>
          <w:color w:val="000000"/>
          <w:sz w:val="24"/>
          <w:szCs w:val="24"/>
        </w:rPr>
        <w:t>d</w:t>
      </w:r>
      <w:r w:rsidR="008A340B" w:rsidRPr="00E22F29">
        <w:rPr>
          <w:rFonts w:ascii="Times New Roman" w:hAnsi="Times New Roman" w:cs="Times New Roman"/>
          <w:color w:val="000000"/>
          <w:sz w:val="24"/>
          <w:szCs w:val="24"/>
        </w:rPr>
        <w:t>ebtors</w:t>
      </w:r>
      <w:proofErr w:type="gramEnd"/>
      <w:r w:rsidR="008A340B" w:rsidRPr="00E22F29">
        <w:rPr>
          <w:rFonts w:ascii="Times New Roman" w:hAnsi="Times New Roman" w:cs="Times New Roman"/>
          <w:color w:val="000000"/>
          <w:sz w:val="24"/>
          <w:szCs w:val="24"/>
        </w:rPr>
        <w:t xml:space="preserve"> collection period </w:t>
      </w:r>
      <w:r w:rsidRPr="00E22F29">
        <w:rPr>
          <w:rFonts w:ascii="Times New Roman" w:eastAsiaTheme="minorEastAsia" w:hAnsi="Times New Roman" w:cs="Times New Roman"/>
          <w:sz w:val="24"/>
          <w:szCs w:val="24"/>
        </w:rPr>
        <w:t>for</w:t>
      </w:r>
      <w:r w:rsidR="008A340B" w:rsidRPr="00E22F29">
        <w:rPr>
          <w:rFonts w:ascii="Times New Roman" w:eastAsiaTheme="minorEastAsia" w:hAnsi="Times New Roman" w:cs="Times New Roman"/>
          <w:sz w:val="24"/>
          <w:szCs w:val="24"/>
        </w:rPr>
        <w:t xml:space="preserve"> </w:t>
      </w:r>
      <w:r w:rsidRPr="00E22F29">
        <w:rPr>
          <w:rFonts w:ascii="Times New Roman" w:eastAsiaTheme="minorEastAsia" w:hAnsi="Times New Roman" w:cs="Times New Roman"/>
          <w:sz w:val="24"/>
          <w:szCs w:val="24"/>
        </w:rPr>
        <w:t>Sweets</w:t>
      </w:r>
      <w:r w:rsidR="008A340B" w:rsidRPr="00E22F29">
        <w:rPr>
          <w:rFonts w:ascii="Times New Roman" w:eastAsiaTheme="minorEastAsia" w:hAnsi="Times New Roman" w:cs="Times New Roman"/>
          <w:sz w:val="24"/>
          <w:szCs w:val="24"/>
        </w:rPr>
        <w:t xml:space="preserve"> Plc is</w:t>
      </w:r>
      <w:r w:rsidRPr="00E22F29">
        <w:rPr>
          <w:rFonts w:ascii="Times New Roman" w:eastAsiaTheme="minorEastAsia" w:hAnsi="Times New Roman" w:cs="Times New Roman"/>
          <w:sz w:val="24"/>
          <w:szCs w:val="24"/>
        </w:rPr>
        <w:t xml:space="preserve"> calculated below:</w:t>
      </w:r>
    </w:p>
    <w:tbl>
      <w:tblPr>
        <w:tblStyle w:val="TableGrid"/>
        <w:tblW w:w="0" w:type="auto"/>
        <w:tblInd w:w="0" w:type="dxa"/>
        <w:tblLook w:val="04A0" w:firstRow="1" w:lastRow="0" w:firstColumn="1" w:lastColumn="0" w:noHBand="0" w:noVBand="1"/>
      </w:tblPr>
      <w:tblGrid>
        <w:gridCol w:w="3116"/>
        <w:gridCol w:w="3117"/>
        <w:gridCol w:w="3117"/>
      </w:tblGrid>
      <w:tr w:rsidR="00A42FF0" w14:paraId="72FC6FFD"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2AFC0308" w14:textId="35ADDBDB" w:rsidR="00A42FF0" w:rsidRDefault="000652FE"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Year</w:t>
            </w:r>
          </w:p>
        </w:tc>
        <w:tc>
          <w:tcPr>
            <w:tcW w:w="3117" w:type="dxa"/>
            <w:tcBorders>
              <w:top w:val="single" w:sz="4" w:space="0" w:color="auto"/>
              <w:left w:val="single" w:sz="4" w:space="0" w:color="auto"/>
              <w:bottom w:val="single" w:sz="4" w:space="0" w:color="auto"/>
              <w:right w:val="single" w:sz="4" w:space="0" w:color="auto"/>
            </w:tcBorders>
            <w:hideMark/>
          </w:tcPr>
          <w:p w14:paraId="26569776"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210D1C1B" w14:textId="62FD6008"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72F53258"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0EFBF541" w14:textId="43993C33"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35D5C30E"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596131A6" w14:textId="77777777" w:rsidR="00A42FF0" w:rsidRDefault="00A42FF0" w:rsidP="005470D1">
            <w:pPr>
              <w:spacing w:line="360" w:lineRule="auto"/>
              <w:jc w:val="both"/>
              <w:rPr>
                <w:rFonts w:ascii="Times New Roman" w:hAnsi="Times New Roman" w:cs="Times New Roman"/>
                <w:sz w:val="24"/>
                <w:szCs w:val="24"/>
              </w:rPr>
            </w:pPr>
            <w:proofErr w:type="gramStart"/>
            <w:r>
              <w:rPr>
                <w:rFonts w:ascii="Times New Roman" w:hAnsi="Times New Roman" w:cs="Times New Roman"/>
                <w:color w:val="000000"/>
                <w:sz w:val="24"/>
                <w:szCs w:val="24"/>
              </w:rPr>
              <w:t>Debtors</w:t>
            </w:r>
            <w:proofErr w:type="gramEnd"/>
            <w:r>
              <w:rPr>
                <w:rFonts w:ascii="Times New Roman" w:hAnsi="Times New Roman" w:cs="Times New Roman"/>
                <w:color w:val="000000"/>
                <w:sz w:val="24"/>
                <w:szCs w:val="24"/>
              </w:rPr>
              <w:t xml:space="preserve"> collection period</w:t>
            </w:r>
          </w:p>
        </w:tc>
        <w:tc>
          <w:tcPr>
            <w:tcW w:w="3117" w:type="dxa"/>
            <w:tcBorders>
              <w:top w:val="single" w:sz="4" w:space="0" w:color="auto"/>
              <w:left w:val="single" w:sz="4" w:space="0" w:color="auto"/>
              <w:bottom w:val="single" w:sz="4" w:space="0" w:color="auto"/>
              <w:right w:val="single" w:sz="4" w:space="0" w:color="auto"/>
            </w:tcBorders>
            <w:hideMark/>
          </w:tcPr>
          <w:p w14:paraId="00BA8726" w14:textId="274A6D4D"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1,287 </m:t>
                  </m:r>
                </m:num>
                <m:den>
                  <m:r>
                    <w:rPr>
                      <w:rFonts w:ascii="Cambria Math" w:hAnsi="Cambria Math" w:cs="Times New Roman"/>
                      <w:sz w:val="24"/>
                      <w:szCs w:val="24"/>
                    </w:rPr>
                    <m:t xml:space="preserve">6,441  </m:t>
                  </m:r>
                </m:den>
              </m:f>
              <m:r>
                <w:rPr>
                  <w:rFonts w:ascii="Cambria Math" w:hAnsi="Cambria Math" w:cs="Times New Roman"/>
                  <w:sz w:val="24"/>
                  <w:szCs w:val="24"/>
                </w:rPr>
                <m:t>*365 days</m:t>
              </m:r>
            </m:oMath>
          </w:p>
          <w:p w14:paraId="0EDF681E"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 73 days (rounded figure)</w:t>
            </w:r>
          </w:p>
        </w:tc>
        <w:tc>
          <w:tcPr>
            <w:tcW w:w="3117" w:type="dxa"/>
            <w:tcBorders>
              <w:top w:val="single" w:sz="4" w:space="0" w:color="auto"/>
              <w:left w:val="single" w:sz="4" w:space="0" w:color="auto"/>
              <w:bottom w:val="single" w:sz="4" w:space="0" w:color="auto"/>
              <w:right w:val="single" w:sz="4" w:space="0" w:color="auto"/>
            </w:tcBorders>
            <w:hideMark/>
          </w:tcPr>
          <w:p w14:paraId="2BA9F9ED" w14:textId="4369EF21"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1,249 </m:t>
                  </m:r>
                </m:num>
                <m:den>
                  <m:r>
                    <w:rPr>
                      <w:rFonts w:ascii="Cambria Math" w:hAnsi="Cambria Math" w:cs="Times New Roman"/>
                      <w:sz w:val="24"/>
                      <w:szCs w:val="24"/>
                    </w:rPr>
                    <m:t xml:space="preserve">6,738  </m:t>
                  </m:r>
                </m:den>
              </m:f>
              <m:r>
                <w:rPr>
                  <w:rFonts w:ascii="Cambria Math" w:eastAsiaTheme="minorEastAsia" w:hAnsi="Cambria Math" w:cs="Times New Roman"/>
                  <w:sz w:val="24"/>
                  <w:szCs w:val="24"/>
                </w:rPr>
                <m:t>*365 days</m:t>
              </m:r>
            </m:oMath>
          </w:p>
          <w:p w14:paraId="32E5D2D3"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 68 days (rounded figure)</w:t>
            </w:r>
          </w:p>
        </w:tc>
      </w:tr>
    </w:tbl>
    <w:p w14:paraId="40ED54F2" w14:textId="3F548885" w:rsidR="008A340B" w:rsidRPr="00657351" w:rsidRDefault="008A340B" w:rsidP="005470D1">
      <w:pPr>
        <w:spacing w:line="360" w:lineRule="auto"/>
        <w:jc w:val="both"/>
        <w:rPr>
          <w:rFonts w:ascii="Times New Roman" w:eastAsiaTheme="minorEastAsia" w:hAnsi="Times New Roman" w:cs="Times New Roman"/>
          <w:sz w:val="24"/>
          <w:szCs w:val="24"/>
        </w:rPr>
      </w:pPr>
    </w:p>
    <w:p w14:paraId="6BE09BFB" w14:textId="77777777" w:rsidR="008A340B" w:rsidRPr="00E22F29" w:rsidRDefault="008A340B" w:rsidP="005470D1">
      <w:pPr>
        <w:pStyle w:val="ListParagraph"/>
        <w:numPr>
          <w:ilvl w:val="0"/>
          <w:numId w:val="1"/>
        </w:numPr>
        <w:autoSpaceDE w:val="0"/>
        <w:autoSpaceDN w:val="0"/>
        <w:adjustRightInd w:val="0"/>
        <w:spacing w:after="0" w:line="360" w:lineRule="auto"/>
        <w:jc w:val="both"/>
        <w:rPr>
          <w:rFonts w:ascii="Times New Roman" w:hAnsi="Times New Roman" w:cs="Times New Roman"/>
          <w:b/>
          <w:bCs/>
          <w:color w:val="000000"/>
          <w:sz w:val="24"/>
          <w:szCs w:val="24"/>
        </w:rPr>
      </w:pPr>
      <w:r w:rsidRPr="00E22F29">
        <w:rPr>
          <w:rFonts w:ascii="Times New Roman" w:hAnsi="Times New Roman" w:cs="Times New Roman"/>
          <w:b/>
          <w:bCs/>
          <w:color w:val="000000"/>
          <w:sz w:val="24"/>
          <w:szCs w:val="24"/>
        </w:rPr>
        <w:t>Current Ratio:</w:t>
      </w:r>
    </w:p>
    <w:p w14:paraId="22CCE4BF" w14:textId="69A11668" w:rsidR="008A340B" w:rsidRPr="00E22F29" w:rsidRDefault="00591416" w:rsidP="005470D1">
      <w:pPr>
        <w:autoSpaceDE w:val="0"/>
        <w:autoSpaceDN w:val="0"/>
        <w:adjustRightInd w:val="0"/>
        <w:spacing w:after="0" w:line="360" w:lineRule="auto"/>
        <w:jc w:val="both"/>
        <w:rPr>
          <w:rFonts w:ascii="Times New Roman" w:hAnsi="Times New Roman" w:cs="Times New Roman"/>
          <w:color w:val="000000"/>
          <w:sz w:val="24"/>
          <w:szCs w:val="24"/>
        </w:rPr>
      </w:pPr>
      <w:r w:rsidRPr="00E22F29">
        <w:rPr>
          <w:rFonts w:ascii="Times New Roman" w:hAnsi="Times New Roman" w:cs="Times New Roman"/>
          <w:color w:val="000000"/>
          <w:sz w:val="24"/>
          <w:szCs w:val="24"/>
        </w:rPr>
        <w:t>It</w:t>
      </w:r>
      <w:r w:rsidR="005E002A" w:rsidRPr="00E22F29">
        <w:rPr>
          <w:rFonts w:ascii="Times New Roman" w:hAnsi="Times New Roman" w:cs="Times New Roman"/>
          <w:color w:val="000000"/>
          <w:sz w:val="24"/>
          <w:szCs w:val="24"/>
        </w:rPr>
        <w:t xml:space="preserve"> is short term </w:t>
      </w:r>
      <w:r w:rsidR="00235343" w:rsidRPr="00E22F29">
        <w:rPr>
          <w:rFonts w:ascii="Times New Roman" w:hAnsi="Times New Roman" w:cs="Times New Roman"/>
          <w:color w:val="000000"/>
          <w:sz w:val="24"/>
          <w:szCs w:val="24"/>
        </w:rPr>
        <w:t>solvency</w:t>
      </w:r>
      <w:r w:rsidR="005E002A" w:rsidRPr="00E22F29">
        <w:rPr>
          <w:rFonts w:ascii="Times New Roman" w:hAnsi="Times New Roman" w:cs="Times New Roman"/>
          <w:color w:val="000000"/>
          <w:sz w:val="24"/>
          <w:szCs w:val="24"/>
        </w:rPr>
        <w:t xml:space="preserve"> ratio used to measure liquidity position of the firm by assessing the amount invested in current asset structure to pay the firm's short-term obligations</w:t>
      </w:r>
      <w:r w:rsidR="00235343" w:rsidRPr="00E22F29">
        <w:rPr>
          <w:rFonts w:ascii="Times New Roman" w:hAnsi="Times New Roman" w:cs="Times New Roman"/>
          <w:color w:val="000000"/>
          <w:sz w:val="24"/>
          <w:szCs w:val="24"/>
        </w:rPr>
        <w:t xml:space="preserve"> in due time.</w:t>
      </w:r>
    </w:p>
    <w:p w14:paraId="297030E8" w14:textId="77777777" w:rsidR="008A340B" w:rsidRPr="00E22F29" w:rsidRDefault="008A340B" w:rsidP="005470D1">
      <w:pPr>
        <w:autoSpaceDE w:val="0"/>
        <w:autoSpaceDN w:val="0"/>
        <w:adjustRightInd w:val="0"/>
        <w:spacing w:after="0" w:line="360" w:lineRule="auto"/>
        <w:jc w:val="both"/>
        <w:rPr>
          <w:rFonts w:ascii="Times New Roman" w:hAnsi="Times New Roman" w:cs="Times New Roman"/>
          <w:color w:val="000000"/>
          <w:sz w:val="24"/>
          <w:szCs w:val="24"/>
        </w:rPr>
      </w:pPr>
    </w:p>
    <w:p w14:paraId="5010ECA0" w14:textId="77777777" w:rsidR="008A340B" w:rsidRPr="00E22F29" w:rsidRDefault="008A340B" w:rsidP="005470D1">
      <w:pPr>
        <w:pStyle w:val="Default"/>
        <w:spacing w:line="360" w:lineRule="auto"/>
        <w:jc w:val="both"/>
      </w:pPr>
      <w:r w:rsidRPr="00E22F29">
        <w:t>The formula for Current ratio is</w:t>
      </w:r>
    </w:p>
    <w:p w14:paraId="3452A6BE" w14:textId="77777777" w:rsidR="008A340B" w:rsidRPr="00E22F29" w:rsidRDefault="008A340B" w:rsidP="005470D1">
      <w:pPr>
        <w:autoSpaceDE w:val="0"/>
        <w:autoSpaceDN w:val="0"/>
        <w:adjustRightInd w:val="0"/>
        <w:spacing w:after="0" w:line="360" w:lineRule="auto"/>
        <w:jc w:val="both"/>
        <w:rPr>
          <w:rFonts w:ascii="Times New Roman" w:hAnsi="Times New Roman" w:cs="Times New Roman"/>
          <w:color w:val="000000"/>
          <w:sz w:val="24"/>
          <w:szCs w:val="24"/>
        </w:rPr>
      </w:pPr>
    </w:p>
    <w:p w14:paraId="0ED7AF93" w14:textId="3A25612E" w:rsidR="008A340B" w:rsidRPr="00E22F29" w:rsidRDefault="00235343" w:rsidP="005470D1">
      <w:pPr>
        <w:pStyle w:val="Default"/>
        <w:spacing w:line="360" w:lineRule="auto"/>
        <w:jc w:val="both"/>
      </w:pPr>
      <w:r w:rsidRPr="00E22F29">
        <w:rPr>
          <w:noProof/>
        </w:rPr>
        <w:drawing>
          <wp:inline distT="0" distB="0" distL="0" distR="0" wp14:anchorId="559A8208" wp14:editId="6D3784C1">
            <wp:extent cx="3397892" cy="1911314"/>
            <wp:effectExtent l="0" t="0" r="0" b="0"/>
            <wp:docPr id="8" name="Picture 8" descr="Current Ratio | Double Entry Bookkee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rrent Ratio | Double Entry Bookkeepi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12161" cy="1919341"/>
                    </a:xfrm>
                    <a:prstGeom prst="rect">
                      <a:avLst/>
                    </a:prstGeom>
                    <a:noFill/>
                    <a:ln>
                      <a:noFill/>
                    </a:ln>
                  </pic:spPr>
                </pic:pic>
              </a:graphicData>
            </a:graphic>
          </wp:inline>
        </w:drawing>
      </w:r>
    </w:p>
    <w:p w14:paraId="03774112" w14:textId="77777777" w:rsidR="008A340B" w:rsidRPr="00E22F29" w:rsidRDefault="008A340B" w:rsidP="005470D1">
      <w:pPr>
        <w:pStyle w:val="Default"/>
        <w:spacing w:line="360" w:lineRule="auto"/>
        <w:jc w:val="both"/>
      </w:pPr>
    </w:p>
    <w:p w14:paraId="1107F887" w14:textId="0674099B" w:rsidR="008A340B" w:rsidRDefault="00235343"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The information given for determining the current ratio for Sweets Plc in 2020 and 2021 is,</w:t>
      </w:r>
    </w:p>
    <w:tbl>
      <w:tblPr>
        <w:tblStyle w:val="TableGrid"/>
        <w:tblW w:w="0" w:type="auto"/>
        <w:tblInd w:w="0" w:type="dxa"/>
        <w:tblLook w:val="04A0" w:firstRow="1" w:lastRow="0" w:firstColumn="1" w:lastColumn="0" w:noHBand="0" w:noVBand="1"/>
      </w:tblPr>
      <w:tblGrid>
        <w:gridCol w:w="3116"/>
        <w:gridCol w:w="3117"/>
        <w:gridCol w:w="3117"/>
      </w:tblGrid>
      <w:tr w:rsidR="00A42FF0" w14:paraId="16206370"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719027D1"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Particulars</w:t>
            </w:r>
          </w:p>
        </w:tc>
        <w:tc>
          <w:tcPr>
            <w:tcW w:w="3117" w:type="dxa"/>
            <w:tcBorders>
              <w:top w:val="single" w:sz="4" w:space="0" w:color="auto"/>
              <w:left w:val="single" w:sz="4" w:space="0" w:color="auto"/>
              <w:bottom w:val="single" w:sz="4" w:space="0" w:color="auto"/>
              <w:right w:val="single" w:sz="4" w:space="0" w:color="auto"/>
            </w:tcBorders>
            <w:hideMark/>
          </w:tcPr>
          <w:p w14:paraId="419CDA1C"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4254787C" w14:textId="396849A0"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76549147"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3D9EF4C1" w14:textId="25565917"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1348899E" w14:textId="77777777" w:rsidTr="00B94C4E">
        <w:trPr>
          <w:trHeight w:val="368"/>
        </w:trPr>
        <w:tc>
          <w:tcPr>
            <w:tcW w:w="3116" w:type="dxa"/>
            <w:tcBorders>
              <w:top w:val="single" w:sz="4" w:space="0" w:color="auto"/>
              <w:left w:val="single" w:sz="4" w:space="0" w:color="auto"/>
              <w:bottom w:val="single" w:sz="4" w:space="0" w:color="auto"/>
              <w:right w:val="single" w:sz="4" w:space="0" w:color="auto"/>
            </w:tcBorders>
            <w:hideMark/>
          </w:tcPr>
          <w:p w14:paraId="73937290"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Current Asset</w:t>
            </w:r>
          </w:p>
        </w:tc>
        <w:tc>
          <w:tcPr>
            <w:tcW w:w="3117" w:type="dxa"/>
            <w:tcBorders>
              <w:top w:val="single" w:sz="4" w:space="0" w:color="auto"/>
              <w:left w:val="single" w:sz="4" w:space="0" w:color="auto"/>
              <w:bottom w:val="single" w:sz="4" w:space="0" w:color="auto"/>
              <w:right w:val="single" w:sz="4" w:space="0" w:color="auto"/>
            </w:tcBorders>
            <w:hideMark/>
          </w:tcPr>
          <w:p w14:paraId="7A9EE4F6" w14:textId="29FC2E1A" w:rsidR="00A42FF0" w:rsidRDefault="00A42FF0" w:rsidP="005470D1">
            <w:pPr>
              <w:pStyle w:val="Default"/>
              <w:spacing w:line="360" w:lineRule="auto"/>
              <w:jc w:val="both"/>
            </w:pPr>
            <w:r>
              <w:t xml:space="preserve">2,355 </w:t>
            </w:r>
          </w:p>
        </w:tc>
        <w:tc>
          <w:tcPr>
            <w:tcW w:w="3117" w:type="dxa"/>
            <w:tcBorders>
              <w:top w:val="single" w:sz="4" w:space="0" w:color="auto"/>
              <w:left w:val="single" w:sz="4" w:space="0" w:color="auto"/>
              <w:bottom w:val="single" w:sz="4" w:space="0" w:color="auto"/>
              <w:right w:val="single" w:sz="4" w:space="0" w:color="auto"/>
            </w:tcBorders>
            <w:hideMark/>
          </w:tcPr>
          <w:p w14:paraId="3CC2ABE0" w14:textId="0742D543" w:rsidR="00A42FF0" w:rsidRDefault="00A42FF0" w:rsidP="005470D1">
            <w:pPr>
              <w:pStyle w:val="Default"/>
              <w:spacing w:line="360" w:lineRule="auto"/>
              <w:jc w:val="both"/>
            </w:pPr>
            <w:r>
              <w:t>£2,303</w:t>
            </w:r>
            <w:r>
              <w:rPr>
                <w:rFonts w:eastAsiaTheme="minorEastAsia"/>
              </w:rPr>
              <w:t xml:space="preserve"> </w:t>
            </w:r>
          </w:p>
        </w:tc>
      </w:tr>
      <w:tr w:rsidR="00A42FF0" w14:paraId="63828BA5"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60D432AF"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Current Liability</w:t>
            </w:r>
          </w:p>
        </w:tc>
        <w:tc>
          <w:tcPr>
            <w:tcW w:w="3117" w:type="dxa"/>
            <w:tcBorders>
              <w:top w:val="single" w:sz="4" w:space="0" w:color="auto"/>
              <w:left w:val="single" w:sz="4" w:space="0" w:color="auto"/>
              <w:bottom w:val="single" w:sz="4" w:space="0" w:color="auto"/>
              <w:right w:val="single" w:sz="4" w:space="0" w:color="auto"/>
            </w:tcBorders>
            <w:hideMark/>
          </w:tcPr>
          <w:p w14:paraId="47A95DEF" w14:textId="62946DAA" w:rsidR="00A42FF0" w:rsidRDefault="00A42FF0" w:rsidP="005470D1">
            <w:pPr>
              <w:pStyle w:val="Default"/>
              <w:spacing w:line="360" w:lineRule="auto"/>
              <w:jc w:val="both"/>
            </w:pPr>
            <w:r>
              <w:t xml:space="preserve">3,046 </w:t>
            </w:r>
          </w:p>
        </w:tc>
        <w:tc>
          <w:tcPr>
            <w:tcW w:w="3117" w:type="dxa"/>
            <w:tcBorders>
              <w:top w:val="single" w:sz="4" w:space="0" w:color="auto"/>
              <w:left w:val="single" w:sz="4" w:space="0" w:color="auto"/>
              <w:bottom w:val="single" w:sz="4" w:space="0" w:color="auto"/>
              <w:right w:val="single" w:sz="4" w:space="0" w:color="auto"/>
            </w:tcBorders>
            <w:hideMark/>
          </w:tcPr>
          <w:p w14:paraId="4785650D" w14:textId="7A5B2D99" w:rsidR="00A42FF0" w:rsidRDefault="00A42FF0" w:rsidP="005470D1">
            <w:pPr>
              <w:pStyle w:val="Default"/>
              <w:spacing w:line="360" w:lineRule="auto"/>
              <w:jc w:val="both"/>
            </w:pPr>
            <w:r>
              <w:t xml:space="preserve">2,511 </w:t>
            </w:r>
          </w:p>
        </w:tc>
      </w:tr>
    </w:tbl>
    <w:p w14:paraId="6B01C418" w14:textId="7289FABE" w:rsidR="008A340B" w:rsidRPr="00657351" w:rsidRDefault="008A340B" w:rsidP="005470D1">
      <w:pPr>
        <w:spacing w:line="360" w:lineRule="auto"/>
        <w:jc w:val="both"/>
        <w:rPr>
          <w:rFonts w:ascii="Times New Roman" w:hAnsi="Times New Roman" w:cs="Times New Roman"/>
          <w:sz w:val="24"/>
          <w:szCs w:val="24"/>
        </w:rPr>
      </w:pPr>
    </w:p>
    <w:p w14:paraId="3DCCB64B" w14:textId="23022427" w:rsidR="008A340B" w:rsidRDefault="00235343" w:rsidP="005470D1">
      <w:pPr>
        <w:spacing w:line="360" w:lineRule="auto"/>
        <w:jc w:val="both"/>
        <w:rPr>
          <w:rFonts w:ascii="Times New Roman" w:eastAsiaTheme="minorEastAsia" w:hAnsi="Times New Roman" w:cs="Times New Roman"/>
          <w:sz w:val="24"/>
          <w:szCs w:val="24"/>
        </w:rPr>
      </w:pPr>
      <w:r w:rsidRPr="00E22F29">
        <w:rPr>
          <w:rFonts w:ascii="Times New Roman" w:eastAsiaTheme="minorEastAsia" w:hAnsi="Times New Roman" w:cs="Times New Roman"/>
          <w:sz w:val="24"/>
          <w:szCs w:val="24"/>
        </w:rPr>
        <w:t>So</w:t>
      </w:r>
      <w:r w:rsidR="008A340B" w:rsidRPr="00E22F29">
        <w:rPr>
          <w:rFonts w:ascii="Times New Roman" w:eastAsiaTheme="minorEastAsia" w:hAnsi="Times New Roman" w:cs="Times New Roman"/>
          <w:sz w:val="24"/>
          <w:szCs w:val="24"/>
        </w:rPr>
        <w:t xml:space="preserve">, </w:t>
      </w:r>
      <w:r w:rsidRPr="00E22F29">
        <w:rPr>
          <w:rFonts w:ascii="Times New Roman" w:eastAsiaTheme="minorEastAsia" w:hAnsi="Times New Roman" w:cs="Times New Roman"/>
          <w:sz w:val="24"/>
          <w:szCs w:val="24"/>
        </w:rPr>
        <w:t xml:space="preserve">the value of </w:t>
      </w:r>
      <w:r w:rsidRPr="00E22F29">
        <w:rPr>
          <w:rFonts w:ascii="Times New Roman" w:hAnsi="Times New Roman" w:cs="Times New Roman"/>
          <w:sz w:val="24"/>
          <w:szCs w:val="24"/>
        </w:rPr>
        <w:t>c</w:t>
      </w:r>
      <w:r w:rsidR="008A340B" w:rsidRPr="00E22F29">
        <w:rPr>
          <w:rFonts w:ascii="Times New Roman" w:hAnsi="Times New Roman" w:cs="Times New Roman"/>
          <w:sz w:val="24"/>
          <w:szCs w:val="24"/>
        </w:rPr>
        <w:t xml:space="preserve">urrent ratio </w:t>
      </w:r>
      <w:r w:rsidR="008A340B" w:rsidRPr="00E22F29">
        <w:rPr>
          <w:rFonts w:ascii="Times New Roman" w:eastAsiaTheme="minorEastAsia" w:hAnsi="Times New Roman" w:cs="Times New Roman"/>
          <w:sz w:val="24"/>
          <w:szCs w:val="24"/>
        </w:rPr>
        <w:t xml:space="preserve">of </w:t>
      </w:r>
      <w:r w:rsidRPr="00E22F29">
        <w:rPr>
          <w:rFonts w:ascii="Times New Roman" w:eastAsiaTheme="minorEastAsia" w:hAnsi="Times New Roman" w:cs="Times New Roman"/>
          <w:sz w:val="24"/>
          <w:szCs w:val="24"/>
        </w:rPr>
        <w:t>Sweets</w:t>
      </w:r>
      <w:r w:rsidR="008A340B" w:rsidRPr="00E22F29">
        <w:rPr>
          <w:rFonts w:ascii="Times New Roman" w:eastAsiaTheme="minorEastAsia" w:hAnsi="Times New Roman" w:cs="Times New Roman"/>
          <w:sz w:val="24"/>
          <w:szCs w:val="24"/>
        </w:rPr>
        <w:t xml:space="preserve"> Plc</w:t>
      </w:r>
      <w:r w:rsidRPr="00E22F29">
        <w:rPr>
          <w:rFonts w:ascii="Times New Roman" w:eastAsiaTheme="minorEastAsia" w:hAnsi="Times New Roman" w:cs="Times New Roman"/>
          <w:sz w:val="24"/>
          <w:szCs w:val="24"/>
        </w:rPr>
        <w:t xml:space="preserve"> based on the given information</w:t>
      </w:r>
      <w:r w:rsidR="008A340B" w:rsidRPr="00E22F29">
        <w:rPr>
          <w:rFonts w:ascii="Times New Roman" w:eastAsiaTheme="minorEastAsia" w:hAnsi="Times New Roman" w:cs="Times New Roman"/>
          <w:sz w:val="24"/>
          <w:szCs w:val="24"/>
        </w:rPr>
        <w:t xml:space="preserve"> is,</w:t>
      </w:r>
    </w:p>
    <w:tbl>
      <w:tblPr>
        <w:tblStyle w:val="TableGrid"/>
        <w:tblW w:w="0" w:type="auto"/>
        <w:tblInd w:w="0" w:type="dxa"/>
        <w:tblLook w:val="04A0" w:firstRow="1" w:lastRow="0" w:firstColumn="1" w:lastColumn="0" w:noHBand="0" w:noVBand="1"/>
      </w:tblPr>
      <w:tblGrid>
        <w:gridCol w:w="3116"/>
        <w:gridCol w:w="3117"/>
        <w:gridCol w:w="3117"/>
      </w:tblGrid>
      <w:tr w:rsidR="00A42FF0" w14:paraId="21509557"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1B0E1100" w14:textId="0B0AA7F5" w:rsidR="00A42FF0" w:rsidRDefault="000652FE"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Year </w:t>
            </w:r>
          </w:p>
        </w:tc>
        <w:tc>
          <w:tcPr>
            <w:tcW w:w="3117" w:type="dxa"/>
            <w:tcBorders>
              <w:top w:val="single" w:sz="4" w:space="0" w:color="auto"/>
              <w:left w:val="single" w:sz="4" w:space="0" w:color="auto"/>
              <w:bottom w:val="single" w:sz="4" w:space="0" w:color="auto"/>
              <w:right w:val="single" w:sz="4" w:space="0" w:color="auto"/>
            </w:tcBorders>
            <w:hideMark/>
          </w:tcPr>
          <w:p w14:paraId="470FD209"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05AEE580" w14:textId="44F97098"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230A601F"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21A71154" w14:textId="60163B49"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3F27059B"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2B7DEB92"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Current ratio</w:t>
            </w:r>
          </w:p>
        </w:tc>
        <w:tc>
          <w:tcPr>
            <w:tcW w:w="3117" w:type="dxa"/>
            <w:tcBorders>
              <w:top w:val="single" w:sz="4" w:space="0" w:color="auto"/>
              <w:left w:val="single" w:sz="4" w:space="0" w:color="auto"/>
              <w:bottom w:val="single" w:sz="4" w:space="0" w:color="auto"/>
              <w:right w:val="single" w:sz="4" w:space="0" w:color="auto"/>
            </w:tcBorders>
            <w:hideMark/>
          </w:tcPr>
          <w:p w14:paraId="18C30606" w14:textId="6A5F01C5"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2,355 </m:t>
                  </m:r>
                </m:num>
                <m:den>
                  <m:r>
                    <w:rPr>
                      <w:rFonts w:ascii="Cambria Math" w:hAnsi="Cambria Math" w:cs="Times New Roman"/>
                      <w:sz w:val="24"/>
                      <w:szCs w:val="24"/>
                    </w:rPr>
                    <m:t xml:space="preserve">3,046 </m:t>
                  </m:r>
                </m:den>
              </m:f>
            </m:oMath>
          </w:p>
          <w:p w14:paraId="0CCAE0AF"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 0.77</w:t>
            </w:r>
          </w:p>
        </w:tc>
        <w:tc>
          <w:tcPr>
            <w:tcW w:w="3117" w:type="dxa"/>
            <w:tcBorders>
              <w:top w:val="single" w:sz="4" w:space="0" w:color="auto"/>
              <w:left w:val="single" w:sz="4" w:space="0" w:color="auto"/>
              <w:bottom w:val="single" w:sz="4" w:space="0" w:color="auto"/>
              <w:right w:val="single" w:sz="4" w:space="0" w:color="auto"/>
            </w:tcBorders>
            <w:hideMark/>
          </w:tcPr>
          <w:p w14:paraId="5E1A5E82" w14:textId="6944DAD5"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2,303 </m:t>
                  </m:r>
                </m:num>
                <m:den>
                  <m:r>
                    <w:rPr>
                      <w:rFonts w:ascii="Cambria Math" w:hAnsi="Cambria Math" w:cs="Times New Roman"/>
                      <w:sz w:val="24"/>
                      <w:szCs w:val="24"/>
                    </w:rPr>
                    <m:t xml:space="preserve">2,511  </m:t>
                  </m:r>
                </m:den>
              </m:f>
            </m:oMath>
          </w:p>
          <w:p w14:paraId="34A87F43" w14:textId="5BE84846"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0652FE">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0.92</w:t>
            </w:r>
          </w:p>
        </w:tc>
      </w:tr>
    </w:tbl>
    <w:p w14:paraId="3D7A8D51" w14:textId="32654A54" w:rsidR="008A340B" w:rsidRPr="00657351" w:rsidRDefault="008A340B" w:rsidP="005470D1">
      <w:pPr>
        <w:spacing w:line="360" w:lineRule="auto"/>
        <w:jc w:val="both"/>
        <w:rPr>
          <w:rFonts w:ascii="Times New Roman" w:eastAsiaTheme="minorEastAsia" w:hAnsi="Times New Roman" w:cs="Times New Roman"/>
          <w:sz w:val="24"/>
          <w:szCs w:val="24"/>
        </w:rPr>
      </w:pPr>
    </w:p>
    <w:p w14:paraId="218C2E53" w14:textId="77777777" w:rsidR="008A340B" w:rsidRPr="00E22F29" w:rsidRDefault="008A340B" w:rsidP="005470D1">
      <w:pPr>
        <w:pStyle w:val="ListParagraph"/>
        <w:numPr>
          <w:ilvl w:val="0"/>
          <w:numId w:val="1"/>
        </w:numPr>
        <w:autoSpaceDE w:val="0"/>
        <w:autoSpaceDN w:val="0"/>
        <w:adjustRightInd w:val="0"/>
        <w:spacing w:after="0" w:line="360" w:lineRule="auto"/>
        <w:jc w:val="both"/>
        <w:rPr>
          <w:rFonts w:ascii="Times New Roman" w:hAnsi="Times New Roman" w:cs="Times New Roman"/>
          <w:b/>
          <w:bCs/>
          <w:color w:val="000000"/>
          <w:sz w:val="24"/>
          <w:szCs w:val="24"/>
        </w:rPr>
      </w:pPr>
      <w:r w:rsidRPr="00E22F29">
        <w:rPr>
          <w:rFonts w:ascii="Times New Roman" w:hAnsi="Times New Roman" w:cs="Times New Roman"/>
          <w:b/>
          <w:bCs/>
          <w:color w:val="000000"/>
          <w:sz w:val="24"/>
          <w:szCs w:val="24"/>
        </w:rPr>
        <w:t>Gearing Ratio:</w:t>
      </w:r>
    </w:p>
    <w:p w14:paraId="26F5F59B" w14:textId="7E7790AF" w:rsidR="00235343" w:rsidRPr="00E22F29" w:rsidRDefault="00591416" w:rsidP="005470D1">
      <w:pPr>
        <w:pStyle w:val="Default"/>
        <w:spacing w:line="360" w:lineRule="auto"/>
        <w:jc w:val="both"/>
      </w:pPr>
      <w:r w:rsidRPr="00E22F29">
        <w:t xml:space="preserve">It </w:t>
      </w:r>
      <w:r w:rsidR="00235343" w:rsidRPr="00E22F29">
        <w:t xml:space="preserve">is a popular long term solvency metric for determining how much debt financing a company has used in its capital structure to finance the asset structure for capitalizing on the growth opportunities. </w:t>
      </w:r>
    </w:p>
    <w:p w14:paraId="46782EC4" w14:textId="77777777" w:rsidR="00235343" w:rsidRPr="00E22F29" w:rsidRDefault="00235343" w:rsidP="005470D1">
      <w:pPr>
        <w:pStyle w:val="Default"/>
        <w:spacing w:line="360" w:lineRule="auto"/>
        <w:jc w:val="both"/>
      </w:pPr>
    </w:p>
    <w:p w14:paraId="0FE46DE1" w14:textId="3D5C70A5" w:rsidR="008A340B" w:rsidRPr="00E22F29" w:rsidRDefault="008A340B" w:rsidP="005470D1">
      <w:pPr>
        <w:pStyle w:val="Default"/>
        <w:spacing w:line="360" w:lineRule="auto"/>
        <w:jc w:val="both"/>
      </w:pPr>
      <w:r w:rsidRPr="00E22F29">
        <w:t>The formula for Gearing ratio is,</w:t>
      </w:r>
    </w:p>
    <w:p w14:paraId="1E5A4342" w14:textId="4BFDDC9F" w:rsidR="00C3631E" w:rsidRPr="00E22F29" w:rsidRDefault="00C3631E" w:rsidP="005470D1">
      <w:pPr>
        <w:pStyle w:val="Default"/>
        <w:spacing w:line="360" w:lineRule="auto"/>
        <w:jc w:val="both"/>
      </w:pPr>
      <w:r w:rsidRPr="00E22F29">
        <w:rPr>
          <w:noProof/>
        </w:rPr>
        <w:drawing>
          <wp:inline distT="0" distB="0" distL="0" distR="0" wp14:anchorId="65059601" wp14:editId="0CCB49B7">
            <wp:extent cx="5943600" cy="15278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1527810"/>
                    </a:xfrm>
                    <a:prstGeom prst="rect">
                      <a:avLst/>
                    </a:prstGeom>
                  </pic:spPr>
                </pic:pic>
              </a:graphicData>
            </a:graphic>
          </wp:inline>
        </w:drawing>
      </w:r>
    </w:p>
    <w:p w14:paraId="49580483" w14:textId="29060DD1" w:rsidR="008A340B" w:rsidRPr="00E22F29" w:rsidRDefault="00C3631E" w:rsidP="005470D1">
      <w:pPr>
        <w:pStyle w:val="Default"/>
        <w:spacing w:line="360" w:lineRule="auto"/>
        <w:jc w:val="both"/>
      </w:pPr>
      <w:r w:rsidRPr="00E22F29">
        <w:t xml:space="preserve">Where, Total debt= </w:t>
      </w:r>
      <w:r w:rsidR="004151C1" w:rsidRPr="00E22F29">
        <w:t>Current</w:t>
      </w:r>
      <w:r w:rsidRPr="00E22F29">
        <w:t xml:space="preserve"> </w:t>
      </w:r>
      <w:r w:rsidR="004151C1" w:rsidRPr="00E22F29">
        <w:t>liabilities</w:t>
      </w:r>
      <w:r w:rsidRPr="00E22F29">
        <w:t xml:space="preserve"> + </w:t>
      </w:r>
      <w:proofErr w:type="gramStart"/>
      <w:r w:rsidR="00D62DED" w:rsidRPr="00E22F29">
        <w:t>Non-current</w:t>
      </w:r>
      <w:proofErr w:type="gramEnd"/>
      <w:r w:rsidRPr="00E22F29">
        <w:t xml:space="preserve"> </w:t>
      </w:r>
      <w:r w:rsidR="004151C1" w:rsidRPr="00E22F29">
        <w:t>liabilities</w:t>
      </w:r>
    </w:p>
    <w:p w14:paraId="0EF2C302" w14:textId="77777777" w:rsidR="004151C1" w:rsidRPr="00E22F29" w:rsidRDefault="004151C1" w:rsidP="005470D1">
      <w:pPr>
        <w:pStyle w:val="Default"/>
        <w:spacing w:line="360" w:lineRule="auto"/>
        <w:jc w:val="both"/>
      </w:pPr>
    </w:p>
    <w:p w14:paraId="2B4C17DA" w14:textId="7B3C4F97" w:rsidR="00C3631E" w:rsidRDefault="00C3631E"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The information given for determining the current ratio for Sweets Plc in 2020 and 2021 is,</w:t>
      </w:r>
    </w:p>
    <w:tbl>
      <w:tblPr>
        <w:tblStyle w:val="TableGrid"/>
        <w:tblW w:w="0" w:type="auto"/>
        <w:tblInd w:w="0" w:type="dxa"/>
        <w:tblLook w:val="04A0" w:firstRow="1" w:lastRow="0" w:firstColumn="1" w:lastColumn="0" w:noHBand="0" w:noVBand="1"/>
      </w:tblPr>
      <w:tblGrid>
        <w:gridCol w:w="3116"/>
        <w:gridCol w:w="3117"/>
        <w:gridCol w:w="3117"/>
      </w:tblGrid>
      <w:tr w:rsidR="00A42FF0" w14:paraId="78670AAF"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0F04E881"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Particulars</w:t>
            </w:r>
          </w:p>
        </w:tc>
        <w:tc>
          <w:tcPr>
            <w:tcW w:w="3117" w:type="dxa"/>
            <w:tcBorders>
              <w:top w:val="single" w:sz="4" w:space="0" w:color="auto"/>
              <w:left w:val="single" w:sz="4" w:space="0" w:color="auto"/>
              <w:bottom w:val="single" w:sz="4" w:space="0" w:color="auto"/>
              <w:right w:val="single" w:sz="4" w:space="0" w:color="auto"/>
            </w:tcBorders>
            <w:hideMark/>
          </w:tcPr>
          <w:p w14:paraId="74EF7069"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4A585C54" w14:textId="20B86921"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3C328A74"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3ADAD696" w14:textId="79F6689E"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2DE4A975" w14:textId="77777777" w:rsidTr="00B94C4E">
        <w:trPr>
          <w:trHeight w:val="368"/>
        </w:trPr>
        <w:tc>
          <w:tcPr>
            <w:tcW w:w="3116" w:type="dxa"/>
            <w:tcBorders>
              <w:top w:val="single" w:sz="4" w:space="0" w:color="auto"/>
              <w:left w:val="single" w:sz="4" w:space="0" w:color="auto"/>
              <w:bottom w:val="single" w:sz="4" w:space="0" w:color="auto"/>
              <w:right w:val="single" w:sz="4" w:space="0" w:color="auto"/>
            </w:tcBorders>
            <w:hideMark/>
          </w:tcPr>
          <w:p w14:paraId="2411E5BE"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Current liabilities</w:t>
            </w:r>
          </w:p>
        </w:tc>
        <w:tc>
          <w:tcPr>
            <w:tcW w:w="3117" w:type="dxa"/>
            <w:tcBorders>
              <w:top w:val="single" w:sz="4" w:space="0" w:color="auto"/>
              <w:left w:val="single" w:sz="4" w:space="0" w:color="auto"/>
              <w:bottom w:val="single" w:sz="4" w:space="0" w:color="auto"/>
              <w:right w:val="single" w:sz="4" w:space="0" w:color="auto"/>
            </w:tcBorders>
            <w:hideMark/>
          </w:tcPr>
          <w:p w14:paraId="5DA781C3" w14:textId="660ED0FB" w:rsidR="00A42FF0" w:rsidRDefault="00A42FF0" w:rsidP="005470D1">
            <w:pPr>
              <w:pStyle w:val="Default"/>
              <w:spacing w:line="360" w:lineRule="auto"/>
              <w:jc w:val="both"/>
            </w:pPr>
            <w:r>
              <w:t xml:space="preserve">3,046 </w:t>
            </w:r>
          </w:p>
        </w:tc>
        <w:tc>
          <w:tcPr>
            <w:tcW w:w="3117" w:type="dxa"/>
            <w:tcBorders>
              <w:top w:val="single" w:sz="4" w:space="0" w:color="auto"/>
              <w:left w:val="single" w:sz="4" w:space="0" w:color="auto"/>
              <w:bottom w:val="single" w:sz="4" w:space="0" w:color="auto"/>
              <w:right w:val="single" w:sz="4" w:space="0" w:color="auto"/>
            </w:tcBorders>
            <w:hideMark/>
          </w:tcPr>
          <w:p w14:paraId="7E2A0A93" w14:textId="2E9A8E71" w:rsidR="00A42FF0" w:rsidRDefault="00A42FF0" w:rsidP="005470D1">
            <w:pPr>
              <w:pStyle w:val="Default"/>
              <w:spacing w:line="360" w:lineRule="auto"/>
              <w:jc w:val="both"/>
            </w:pPr>
            <w:r>
              <w:t xml:space="preserve">2,511 </w:t>
            </w:r>
          </w:p>
        </w:tc>
      </w:tr>
      <w:tr w:rsidR="00A42FF0" w14:paraId="172AC4B5" w14:textId="77777777" w:rsidTr="00B94C4E">
        <w:trPr>
          <w:trHeight w:val="368"/>
        </w:trPr>
        <w:tc>
          <w:tcPr>
            <w:tcW w:w="3116" w:type="dxa"/>
            <w:tcBorders>
              <w:top w:val="single" w:sz="4" w:space="0" w:color="auto"/>
              <w:left w:val="single" w:sz="4" w:space="0" w:color="auto"/>
              <w:bottom w:val="single" w:sz="4" w:space="0" w:color="auto"/>
              <w:right w:val="single" w:sz="4" w:space="0" w:color="auto"/>
            </w:tcBorders>
            <w:hideMark/>
          </w:tcPr>
          <w:p w14:paraId="3845B151"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Non-current liabilities</w:t>
            </w:r>
          </w:p>
        </w:tc>
        <w:tc>
          <w:tcPr>
            <w:tcW w:w="3117" w:type="dxa"/>
            <w:tcBorders>
              <w:top w:val="single" w:sz="4" w:space="0" w:color="auto"/>
              <w:left w:val="single" w:sz="4" w:space="0" w:color="auto"/>
              <w:bottom w:val="single" w:sz="4" w:space="0" w:color="auto"/>
              <w:right w:val="single" w:sz="4" w:space="0" w:color="auto"/>
            </w:tcBorders>
            <w:hideMark/>
          </w:tcPr>
          <w:p w14:paraId="64B032A9" w14:textId="61740BE4" w:rsidR="00A42FF0" w:rsidRDefault="00A42FF0" w:rsidP="005470D1">
            <w:pPr>
              <w:pStyle w:val="Default"/>
              <w:spacing w:line="360" w:lineRule="auto"/>
              <w:jc w:val="both"/>
            </w:pPr>
            <w:r>
              <w:t xml:space="preserve">4,129 </w:t>
            </w:r>
          </w:p>
        </w:tc>
        <w:tc>
          <w:tcPr>
            <w:tcW w:w="3117" w:type="dxa"/>
            <w:tcBorders>
              <w:top w:val="single" w:sz="4" w:space="0" w:color="auto"/>
              <w:left w:val="single" w:sz="4" w:space="0" w:color="auto"/>
              <w:bottom w:val="single" w:sz="4" w:space="0" w:color="auto"/>
              <w:right w:val="single" w:sz="4" w:space="0" w:color="auto"/>
            </w:tcBorders>
            <w:hideMark/>
          </w:tcPr>
          <w:p w14:paraId="56946D1D" w14:textId="7A574423" w:rsidR="00A42FF0" w:rsidRDefault="00A42FF0" w:rsidP="005470D1">
            <w:pPr>
              <w:pStyle w:val="Default"/>
              <w:spacing w:line="360" w:lineRule="auto"/>
              <w:jc w:val="both"/>
            </w:pPr>
            <w:r>
              <w:t xml:space="preserve">4,137 </w:t>
            </w:r>
          </w:p>
        </w:tc>
      </w:tr>
      <w:tr w:rsidR="00A42FF0" w14:paraId="102D183C" w14:textId="77777777" w:rsidTr="00B94C4E">
        <w:trPr>
          <w:trHeight w:val="368"/>
        </w:trPr>
        <w:tc>
          <w:tcPr>
            <w:tcW w:w="3116" w:type="dxa"/>
            <w:tcBorders>
              <w:top w:val="single" w:sz="4" w:space="0" w:color="auto"/>
              <w:left w:val="single" w:sz="4" w:space="0" w:color="auto"/>
              <w:bottom w:val="single" w:sz="4" w:space="0" w:color="auto"/>
              <w:right w:val="single" w:sz="4" w:space="0" w:color="auto"/>
            </w:tcBorders>
            <w:hideMark/>
          </w:tcPr>
          <w:p w14:paraId="5EC91F0E"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Total Debt</w:t>
            </w:r>
          </w:p>
        </w:tc>
        <w:tc>
          <w:tcPr>
            <w:tcW w:w="3117" w:type="dxa"/>
            <w:tcBorders>
              <w:top w:val="single" w:sz="4" w:space="0" w:color="auto"/>
              <w:left w:val="single" w:sz="4" w:space="0" w:color="auto"/>
              <w:bottom w:val="single" w:sz="4" w:space="0" w:color="auto"/>
              <w:right w:val="single" w:sz="4" w:space="0" w:color="auto"/>
            </w:tcBorders>
            <w:hideMark/>
          </w:tcPr>
          <w:p w14:paraId="64B94AFA" w14:textId="3BF91A72" w:rsidR="00A42FF0" w:rsidRDefault="00A42FF0" w:rsidP="005470D1">
            <w:pPr>
              <w:pStyle w:val="Default"/>
              <w:spacing w:line="360" w:lineRule="auto"/>
              <w:jc w:val="both"/>
            </w:pPr>
            <w:r>
              <w:t xml:space="preserve">7,175 </w:t>
            </w:r>
          </w:p>
        </w:tc>
        <w:tc>
          <w:tcPr>
            <w:tcW w:w="3117" w:type="dxa"/>
            <w:tcBorders>
              <w:top w:val="single" w:sz="4" w:space="0" w:color="auto"/>
              <w:left w:val="single" w:sz="4" w:space="0" w:color="auto"/>
              <w:bottom w:val="single" w:sz="4" w:space="0" w:color="auto"/>
              <w:right w:val="single" w:sz="4" w:space="0" w:color="auto"/>
            </w:tcBorders>
            <w:hideMark/>
          </w:tcPr>
          <w:p w14:paraId="337E526E" w14:textId="00DDF0AC" w:rsidR="00A42FF0" w:rsidRDefault="00A42FF0" w:rsidP="005470D1">
            <w:pPr>
              <w:pStyle w:val="Default"/>
              <w:spacing w:line="360" w:lineRule="auto"/>
              <w:jc w:val="both"/>
            </w:pPr>
            <w:r>
              <w:rPr>
                <w:rFonts w:eastAsiaTheme="minorEastAsia"/>
              </w:rPr>
              <w:t xml:space="preserve">6,648 </w:t>
            </w:r>
          </w:p>
        </w:tc>
      </w:tr>
      <w:tr w:rsidR="00A42FF0" w14:paraId="77A1C7CA"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2D077A35"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Total Equity</w:t>
            </w:r>
          </w:p>
        </w:tc>
        <w:tc>
          <w:tcPr>
            <w:tcW w:w="3117" w:type="dxa"/>
            <w:tcBorders>
              <w:top w:val="single" w:sz="4" w:space="0" w:color="auto"/>
              <w:left w:val="single" w:sz="4" w:space="0" w:color="auto"/>
              <w:bottom w:val="single" w:sz="4" w:space="0" w:color="auto"/>
              <w:right w:val="single" w:sz="4" w:space="0" w:color="auto"/>
            </w:tcBorders>
            <w:hideMark/>
          </w:tcPr>
          <w:p w14:paraId="12E816E1" w14:textId="5E78617A" w:rsidR="00A42FF0" w:rsidRDefault="00A42FF0" w:rsidP="005470D1">
            <w:pPr>
              <w:pStyle w:val="Default"/>
              <w:spacing w:line="360" w:lineRule="auto"/>
              <w:jc w:val="both"/>
            </w:pPr>
            <w:r>
              <w:t xml:space="preserve">2,912 </w:t>
            </w:r>
          </w:p>
        </w:tc>
        <w:tc>
          <w:tcPr>
            <w:tcW w:w="3117" w:type="dxa"/>
            <w:tcBorders>
              <w:top w:val="single" w:sz="4" w:space="0" w:color="auto"/>
              <w:left w:val="single" w:sz="4" w:space="0" w:color="auto"/>
              <w:bottom w:val="single" w:sz="4" w:space="0" w:color="auto"/>
              <w:right w:val="single" w:sz="4" w:space="0" w:color="auto"/>
            </w:tcBorders>
            <w:hideMark/>
          </w:tcPr>
          <w:p w14:paraId="6CC25E1F" w14:textId="5D66B6FF" w:rsidR="00A42FF0" w:rsidRDefault="00A42FF0" w:rsidP="005470D1">
            <w:pPr>
              <w:pStyle w:val="Default"/>
              <w:spacing w:line="360" w:lineRule="auto"/>
              <w:jc w:val="both"/>
            </w:pPr>
            <w:r>
              <w:t xml:space="preserve">3,088 </w:t>
            </w:r>
          </w:p>
        </w:tc>
      </w:tr>
    </w:tbl>
    <w:p w14:paraId="427AF921" w14:textId="0BE610AF" w:rsidR="008A340B" w:rsidRPr="00657351" w:rsidRDefault="008A340B" w:rsidP="005470D1">
      <w:pPr>
        <w:spacing w:line="360" w:lineRule="auto"/>
        <w:jc w:val="both"/>
        <w:rPr>
          <w:rFonts w:ascii="Times New Roman" w:hAnsi="Times New Roman" w:cs="Times New Roman"/>
          <w:sz w:val="24"/>
          <w:szCs w:val="24"/>
        </w:rPr>
      </w:pPr>
    </w:p>
    <w:p w14:paraId="02B43584" w14:textId="63FEDDDC" w:rsidR="008A340B" w:rsidRDefault="004151C1" w:rsidP="005470D1">
      <w:pPr>
        <w:spacing w:line="360" w:lineRule="auto"/>
        <w:jc w:val="both"/>
        <w:rPr>
          <w:rFonts w:ascii="Times New Roman" w:eastAsiaTheme="minorEastAsia" w:hAnsi="Times New Roman" w:cs="Times New Roman"/>
          <w:sz w:val="24"/>
          <w:szCs w:val="24"/>
        </w:rPr>
      </w:pPr>
      <w:r w:rsidRPr="00E22F29">
        <w:rPr>
          <w:rFonts w:ascii="Times New Roman" w:eastAsiaTheme="minorEastAsia" w:hAnsi="Times New Roman" w:cs="Times New Roman"/>
          <w:sz w:val="24"/>
          <w:szCs w:val="24"/>
        </w:rPr>
        <w:t>So</w:t>
      </w:r>
      <w:r w:rsidR="008A340B" w:rsidRPr="00E22F29">
        <w:rPr>
          <w:rFonts w:ascii="Times New Roman" w:eastAsiaTheme="minorEastAsia" w:hAnsi="Times New Roman" w:cs="Times New Roman"/>
          <w:sz w:val="24"/>
          <w:szCs w:val="24"/>
        </w:rPr>
        <w:t xml:space="preserve">, </w:t>
      </w:r>
      <w:r w:rsidRPr="00E22F29">
        <w:rPr>
          <w:rFonts w:ascii="Times New Roman" w:eastAsiaTheme="minorEastAsia" w:hAnsi="Times New Roman" w:cs="Times New Roman"/>
          <w:sz w:val="24"/>
          <w:szCs w:val="24"/>
        </w:rPr>
        <w:t xml:space="preserve">the </w:t>
      </w:r>
      <w:r w:rsidRPr="00E22F29">
        <w:rPr>
          <w:rFonts w:ascii="Times New Roman" w:hAnsi="Times New Roman" w:cs="Times New Roman"/>
          <w:sz w:val="24"/>
          <w:szCs w:val="24"/>
        </w:rPr>
        <w:t>g</w:t>
      </w:r>
      <w:r w:rsidR="008A340B" w:rsidRPr="00E22F29">
        <w:rPr>
          <w:rFonts w:ascii="Times New Roman" w:hAnsi="Times New Roman" w:cs="Times New Roman"/>
          <w:sz w:val="24"/>
          <w:szCs w:val="24"/>
        </w:rPr>
        <w:t xml:space="preserve">earing ratio </w:t>
      </w:r>
      <w:r w:rsidR="008A340B" w:rsidRPr="00E22F29">
        <w:rPr>
          <w:rFonts w:ascii="Times New Roman" w:eastAsiaTheme="minorEastAsia" w:hAnsi="Times New Roman" w:cs="Times New Roman"/>
          <w:sz w:val="24"/>
          <w:szCs w:val="24"/>
        </w:rPr>
        <w:t xml:space="preserve">of </w:t>
      </w:r>
      <w:r w:rsidRPr="00E22F29">
        <w:rPr>
          <w:rFonts w:ascii="Times New Roman" w:eastAsiaTheme="minorEastAsia" w:hAnsi="Times New Roman" w:cs="Times New Roman"/>
          <w:sz w:val="24"/>
          <w:szCs w:val="24"/>
        </w:rPr>
        <w:t xml:space="preserve">Sweets Plc based on the given </w:t>
      </w:r>
      <w:r w:rsidR="00591416" w:rsidRPr="00E22F29">
        <w:rPr>
          <w:rFonts w:ascii="Times New Roman" w:eastAsiaTheme="minorEastAsia" w:hAnsi="Times New Roman" w:cs="Times New Roman"/>
          <w:sz w:val="24"/>
          <w:szCs w:val="24"/>
        </w:rPr>
        <w:t>information</w:t>
      </w:r>
      <w:r w:rsidR="008A340B" w:rsidRPr="00E22F29">
        <w:rPr>
          <w:rFonts w:ascii="Times New Roman" w:eastAsiaTheme="minorEastAsia" w:hAnsi="Times New Roman" w:cs="Times New Roman"/>
          <w:sz w:val="24"/>
          <w:szCs w:val="24"/>
        </w:rPr>
        <w:t xml:space="preserve"> is,</w:t>
      </w:r>
    </w:p>
    <w:tbl>
      <w:tblPr>
        <w:tblStyle w:val="TableGrid"/>
        <w:tblW w:w="0" w:type="auto"/>
        <w:tblInd w:w="0" w:type="dxa"/>
        <w:tblLook w:val="04A0" w:firstRow="1" w:lastRow="0" w:firstColumn="1" w:lastColumn="0" w:noHBand="0" w:noVBand="1"/>
      </w:tblPr>
      <w:tblGrid>
        <w:gridCol w:w="3116"/>
        <w:gridCol w:w="3117"/>
        <w:gridCol w:w="3117"/>
      </w:tblGrid>
      <w:tr w:rsidR="00A42FF0" w14:paraId="212DAC78"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5C57F71E"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Financial Ratio</w:t>
            </w:r>
          </w:p>
        </w:tc>
        <w:tc>
          <w:tcPr>
            <w:tcW w:w="3117" w:type="dxa"/>
            <w:tcBorders>
              <w:top w:val="single" w:sz="4" w:space="0" w:color="auto"/>
              <w:left w:val="single" w:sz="4" w:space="0" w:color="auto"/>
              <w:bottom w:val="single" w:sz="4" w:space="0" w:color="auto"/>
              <w:right w:val="single" w:sz="4" w:space="0" w:color="auto"/>
            </w:tcBorders>
            <w:hideMark/>
          </w:tcPr>
          <w:p w14:paraId="0750A177" w14:textId="4A144097" w:rsidR="00A42FF0" w:rsidRDefault="000652FE"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35B02A38" w14:textId="3B4F0CE6"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31112D37" w14:textId="77777777" w:rsidR="00A42FF0" w:rsidRDefault="000652FE"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42506489" w14:textId="7B00777C"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124D41D8"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703E431E"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Gearing ratio</w:t>
            </w:r>
          </w:p>
        </w:tc>
        <w:tc>
          <w:tcPr>
            <w:tcW w:w="3117" w:type="dxa"/>
            <w:tcBorders>
              <w:top w:val="single" w:sz="4" w:space="0" w:color="auto"/>
              <w:left w:val="single" w:sz="4" w:space="0" w:color="auto"/>
              <w:bottom w:val="single" w:sz="4" w:space="0" w:color="auto"/>
              <w:right w:val="single" w:sz="4" w:space="0" w:color="auto"/>
            </w:tcBorders>
            <w:hideMark/>
          </w:tcPr>
          <w:p w14:paraId="1FA1D9B3" w14:textId="288631E0"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7,175 </m:t>
                  </m:r>
                </m:num>
                <m:den>
                  <m:r>
                    <w:rPr>
                      <w:rFonts w:ascii="Cambria Math" w:hAnsi="Cambria Math" w:cs="Times New Roman"/>
                      <w:sz w:val="24"/>
                      <w:szCs w:val="24"/>
                    </w:rPr>
                    <m:t xml:space="preserve">2,912  </m:t>
                  </m:r>
                </m:den>
              </m:f>
            </m:oMath>
          </w:p>
          <w:p w14:paraId="1F296EFD"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 2.46</w:t>
            </w:r>
          </w:p>
        </w:tc>
        <w:tc>
          <w:tcPr>
            <w:tcW w:w="3117" w:type="dxa"/>
            <w:tcBorders>
              <w:top w:val="single" w:sz="4" w:space="0" w:color="auto"/>
              <w:left w:val="single" w:sz="4" w:space="0" w:color="auto"/>
              <w:bottom w:val="single" w:sz="4" w:space="0" w:color="auto"/>
              <w:right w:val="single" w:sz="4" w:space="0" w:color="auto"/>
            </w:tcBorders>
            <w:hideMark/>
          </w:tcPr>
          <w:p w14:paraId="139393EA" w14:textId="6A87B631"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6,648 </m:t>
                  </m:r>
                </m:num>
                <m:den>
                  <m:r>
                    <w:rPr>
                      <w:rFonts w:ascii="Cambria Math" w:hAnsi="Cambria Math" w:cs="Times New Roman"/>
                      <w:sz w:val="24"/>
                      <w:szCs w:val="24"/>
                    </w:rPr>
                    <m:t xml:space="preserve">3,088  </m:t>
                  </m:r>
                </m:den>
              </m:f>
            </m:oMath>
          </w:p>
          <w:p w14:paraId="1F9E2DBC"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 2.15</w:t>
            </w:r>
          </w:p>
        </w:tc>
      </w:tr>
    </w:tbl>
    <w:p w14:paraId="7C698B04" w14:textId="41CBA149" w:rsidR="008A340B" w:rsidRPr="00657351" w:rsidRDefault="008A340B" w:rsidP="005470D1">
      <w:pPr>
        <w:spacing w:line="360" w:lineRule="auto"/>
        <w:jc w:val="both"/>
        <w:rPr>
          <w:rFonts w:ascii="Times New Roman" w:eastAsiaTheme="minorEastAsia" w:hAnsi="Times New Roman" w:cs="Times New Roman"/>
          <w:sz w:val="24"/>
          <w:szCs w:val="24"/>
        </w:rPr>
      </w:pPr>
    </w:p>
    <w:p w14:paraId="78070193" w14:textId="77777777" w:rsidR="008A340B" w:rsidRPr="00E22F29" w:rsidRDefault="008A340B" w:rsidP="005470D1">
      <w:pPr>
        <w:pStyle w:val="ListParagraph"/>
        <w:numPr>
          <w:ilvl w:val="0"/>
          <w:numId w:val="1"/>
        </w:numPr>
        <w:autoSpaceDE w:val="0"/>
        <w:autoSpaceDN w:val="0"/>
        <w:adjustRightInd w:val="0"/>
        <w:spacing w:after="0" w:line="360" w:lineRule="auto"/>
        <w:jc w:val="both"/>
        <w:rPr>
          <w:rFonts w:ascii="Times New Roman" w:hAnsi="Times New Roman" w:cs="Times New Roman"/>
          <w:b/>
          <w:bCs/>
          <w:color w:val="000000"/>
          <w:sz w:val="24"/>
          <w:szCs w:val="24"/>
        </w:rPr>
      </w:pPr>
      <w:r w:rsidRPr="00E22F29">
        <w:rPr>
          <w:rFonts w:ascii="Times New Roman" w:hAnsi="Times New Roman" w:cs="Times New Roman"/>
          <w:b/>
          <w:bCs/>
          <w:color w:val="000000"/>
          <w:sz w:val="24"/>
          <w:szCs w:val="24"/>
        </w:rPr>
        <w:t>Interest Coverage Ratio:</w:t>
      </w:r>
    </w:p>
    <w:p w14:paraId="52F9167C" w14:textId="08DB133E" w:rsidR="008A340B" w:rsidRPr="00E22F29" w:rsidRDefault="004151C1" w:rsidP="005470D1">
      <w:pPr>
        <w:autoSpaceDE w:val="0"/>
        <w:autoSpaceDN w:val="0"/>
        <w:adjustRightInd w:val="0"/>
        <w:spacing w:after="0" w:line="360" w:lineRule="auto"/>
        <w:jc w:val="both"/>
        <w:rPr>
          <w:rFonts w:ascii="Times New Roman" w:hAnsi="Times New Roman" w:cs="Times New Roman"/>
          <w:color w:val="000000"/>
          <w:sz w:val="24"/>
          <w:szCs w:val="24"/>
        </w:rPr>
      </w:pPr>
      <w:r w:rsidRPr="00E22F29">
        <w:rPr>
          <w:rFonts w:ascii="Times New Roman" w:hAnsi="Times New Roman" w:cs="Times New Roman"/>
          <w:color w:val="000000"/>
          <w:sz w:val="24"/>
          <w:szCs w:val="24"/>
        </w:rPr>
        <w:t>It is financial solvency ratio used to determine whether a company is making enough operating profit to cover its financing costs,</w:t>
      </w:r>
    </w:p>
    <w:p w14:paraId="02F1AC50" w14:textId="77777777" w:rsidR="004151C1" w:rsidRPr="00E22F29" w:rsidRDefault="004151C1" w:rsidP="005470D1">
      <w:pPr>
        <w:autoSpaceDE w:val="0"/>
        <w:autoSpaceDN w:val="0"/>
        <w:adjustRightInd w:val="0"/>
        <w:spacing w:after="0" w:line="360" w:lineRule="auto"/>
        <w:jc w:val="both"/>
        <w:rPr>
          <w:rFonts w:ascii="Times New Roman" w:hAnsi="Times New Roman" w:cs="Times New Roman"/>
          <w:color w:val="000000"/>
          <w:sz w:val="24"/>
          <w:szCs w:val="24"/>
        </w:rPr>
      </w:pPr>
    </w:p>
    <w:p w14:paraId="38E0755B" w14:textId="577DDE1B" w:rsidR="008A340B" w:rsidRPr="00E22F29" w:rsidRDefault="008A340B" w:rsidP="005470D1">
      <w:pPr>
        <w:autoSpaceDE w:val="0"/>
        <w:autoSpaceDN w:val="0"/>
        <w:adjustRightInd w:val="0"/>
        <w:spacing w:after="0" w:line="360" w:lineRule="auto"/>
        <w:jc w:val="both"/>
        <w:rPr>
          <w:rFonts w:ascii="Times New Roman" w:hAnsi="Times New Roman" w:cs="Times New Roman"/>
          <w:color w:val="000000"/>
          <w:sz w:val="24"/>
          <w:szCs w:val="24"/>
        </w:rPr>
      </w:pPr>
      <w:r w:rsidRPr="00E22F29">
        <w:rPr>
          <w:rFonts w:ascii="Times New Roman" w:hAnsi="Times New Roman" w:cs="Times New Roman"/>
          <w:color w:val="000000"/>
          <w:sz w:val="24"/>
          <w:szCs w:val="24"/>
        </w:rPr>
        <w:t>The formula for Interest coverage ratio is,</w:t>
      </w:r>
    </w:p>
    <w:p w14:paraId="12BE8E93" w14:textId="27CB629A" w:rsidR="004151C1" w:rsidRPr="00E22F29" w:rsidRDefault="004151C1" w:rsidP="005470D1">
      <w:pPr>
        <w:autoSpaceDE w:val="0"/>
        <w:autoSpaceDN w:val="0"/>
        <w:adjustRightInd w:val="0"/>
        <w:spacing w:after="0" w:line="360" w:lineRule="auto"/>
        <w:jc w:val="both"/>
        <w:rPr>
          <w:rFonts w:ascii="Times New Roman" w:hAnsi="Times New Roman" w:cs="Times New Roman"/>
          <w:color w:val="000000"/>
          <w:sz w:val="24"/>
          <w:szCs w:val="24"/>
        </w:rPr>
      </w:pPr>
      <w:r w:rsidRPr="00E22F29">
        <w:rPr>
          <w:rFonts w:ascii="Times New Roman" w:hAnsi="Times New Roman" w:cs="Times New Roman"/>
          <w:noProof/>
          <w:sz w:val="24"/>
          <w:szCs w:val="24"/>
        </w:rPr>
        <w:drawing>
          <wp:inline distT="0" distB="0" distL="0" distR="0" wp14:anchorId="52C53B66" wp14:editId="2AECE9B1">
            <wp:extent cx="3522133" cy="1981200"/>
            <wp:effectExtent l="0" t="0" r="2540" b="0"/>
            <wp:docPr id="11" name="Picture 11" descr="Interest Coverage Ratio | Double Entry Bookkee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nterest Coverage Ratio | Double Entry Bookkeepi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25475" cy="1983080"/>
                    </a:xfrm>
                    <a:prstGeom prst="rect">
                      <a:avLst/>
                    </a:prstGeom>
                    <a:noFill/>
                    <a:ln>
                      <a:noFill/>
                    </a:ln>
                  </pic:spPr>
                </pic:pic>
              </a:graphicData>
            </a:graphic>
          </wp:inline>
        </w:drawing>
      </w:r>
    </w:p>
    <w:p w14:paraId="1E3B99B9" w14:textId="77777777" w:rsidR="008A340B" w:rsidRPr="00E22F29" w:rsidRDefault="008A340B" w:rsidP="005470D1">
      <w:pPr>
        <w:pStyle w:val="Default"/>
        <w:spacing w:line="360" w:lineRule="auto"/>
        <w:jc w:val="both"/>
      </w:pPr>
    </w:p>
    <w:p w14:paraId="6F84FF95" w14:textId="042494C8" w:rsidR="008A340B" w:rsidRDefault="008A340B"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The </w:t>
      </w:r>
      <w:r w:rsidR="004151C1" w:rsidRPr="00E22F29">
        <w:rPr>
          <w:rFonts w:ascii="Times New Roman" w:hAnsi="Times New Roman" w:cs="Times New Roman"/>
          <w:sz w:val="24"/>
          <w:szCs w:val="24"/>
        </w:rPr>
        <w:t xml:space="preserve">provided </w:t>
      </w:r>
      <w:r w:rsidRPr="00E22F29">
        <w:rPr>
          <w:rFonts w:ascii="Times New Roman" w:hAnsi="Times New Roman" w:cs="Times New Roman"/>
          <w:sz w:val="24"/>
          <w:szCs w:val="24"/>
        </w:rPr>
        <w:t xml:space="preserve">information for </w:t>
      </w:r>
      <w:r w:rsidR="004151C1" w:rsidRPr="00E22F29">
        <w:rPr>
          <w:rFonts w:ascii="Times New Roman" w:hAnsi="Times New Roman" w:cs="Times New Roman"/>
          <w:sz w:val="24"/>
          <w:szCs w:val="24"/>
        </w:rPr>
        <w:t>Sweets</w:t>
      </w:r>
      <w:r w:rsidRPr="00E22F29">
        <w:rPr>
          <w:rFonts w:ascii="Times New Roman" w:hAnsi="Times New Roman" w:cs="Times New Roman"/>
          <w:sz w:val="24"/>
          <w:szCs w:val="24"/>
        </w:rPr>
        <w:t xml:space="preserve"> Plc </w:t>
      </w:r>
      <w:r w:rsidR="004151C1" w:rsidRPr="00E22F29">
        <w:rPr>
          <w:rFonts w:ascii="Times New Roman" w:hAnsi="Times New Roman" w:cs="Times New Roman"/>
          <w:sz w:val="24"/>
          <w:szCs w:val="24"/>
        </w:rPr>
        <w:t>to determine the given financial solvency ratio is</w:t>
      </w:r>
      <w:r w:rsidRPr="00E22F29">
        <w:rPr>
          <w:rFonts w:ascii="Times New Roman" w:hAnsi="Times New Roman" w:cs="Times New Roman"/>
          <w:sz w:val="24"/>
          <w:szCs w:val="24"/>
        </w:rPr>
        <w:t>,</w:t>
      </w:r>
    </w:p>
    <w:tbl>
      <w:tblPr>
        <w:tblStyle w:val="TableGrid"/>
        <w:tblW w:w="0" w:type="auto"/>
        <w:tblInd w:w="0" w:type="dxa"/>
        <w:tblLook w:val="04A0" w:firstRow="1" w:lastRow="0" w:firstColumn="1" w:lastColumn="0" w:noHBand="0" w:noVBand="1"/>
      </w:tblPr>
      <w:tblGrid>
        <w:gridCol w:w="3116"/>
        <w:gridCol w:w="3117"/>
        <w:gridCol w:w="3117"/>
      </w:tblGrid>
      <w:tr w:rsidR="00A42FF0" w14:paraId="610254AD"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42C6AA2D"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Particulars</w:t>
            </w:r>
          </w:p>
        </w:tc>
        <w:tc>
          <w:tcPr>
            <w:tcW w:w="3117" w:type="dxa"/>
            <w:tcBorders>
              <w:top w:val="single" w:sz="4" w:space="0" w:color="auto"/>
              <w:left w:val="single" w:sz="4" w:space="0" w:color="auto"/>
              <w:bottom w:val="single" w:sz="4" w:space="0" w:color="auto"/>
              <w:right w:val="single" w:sz="4" w:space="0" w:color="auto"/>
            </w:tcBorders>
            <w:hideMark/>
          </w:tcPr>
          <w:p w14:paraId="162D98E2"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5A7B63B4" w14:textId="6E4ED710"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6F718A8B"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4AACC4AF" w14:textId="71DCEFBA"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65612A8C" w14:textId="77777777" w:rsidTr="00B94C4E">
        <w:trPr>
          <w:trHeight w:val="368"/>
        </w:trPr>
        <w:tc>
          <w:tcPr>
            <w:tcW w:w="3116" w:type="dxa"/>
            <w:tcBorders>
              <w:top w:val="single" w:sz="4" w:space="0" w:color="auto"/>
              <w:left w:val="single" w:sz="4" w:space="0" w:color="auto"/>
              <w:bottom w:val="single" w:sz="4" w:space="0" w:color="auto"/>
              <w:right w:val="single" w:sz="4" w:space="0" w:color="auto"/>
            </w:tcBorders>
            <w:hideMark/>
          </w:tcPr>
          <w:p w14:paraId="3177484A" w14:textId="3190203D"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Earnings before interest &amp; tax/Operating profit </w:t>
            </w:r>
          </w:p>
        </w:tc>
        <w:tc>
          <w:tcPr>
            <w:tcW w:w="3117" w:type="dxa"/>
            <w:tcBorders>
              <w:top w:val="single" w:sz="4" w:space="0" w:color="auto"/>
              <w:left w:val="single" w:sz="4" w:space="0" w:color="auto"/>
              <w:bottom w:val="single" w:sz="4" w:space="0" w:color="auto"/>
              <w:right w:val="single" w:sz="4" w:space="0" w:color="auto"/>
            </w:tcBorders>
            <w:hideMark/>
          </w:tcPr>
          <w:p w14:paraId="481D17BF" w14:textId="5D72AE66" w:rsidR="00A42FF0" w:rsidRDefault="00A42FF0" w:rsidP="005470D1">
            <w:pPr>
              <w:pStyle w:val="Default"/>
              <w:spacing w:line="360" w:lineRule="auto"/>
              <w:jc w:val="both"/>
            </w:pPr>
            <w:r>
              <w:t xml:space="preserve">699 </w:t>
            </w:r>
          </w:p>
        </w:tc>
        <w:tc>
          <w:tcPr>
            <w:tcW w:w="3117" w:type="dxa"/>
            <w:tcBorders>
              <w:top w:val="single" w:sz="4" w:space="0" w:color="auto"/>
              <w:left w:val="single" w:sz="4" w:space="0" w:color="auto"/>
              <w:bottom w:val="single" w:sz="4" w:space="0" w:color="auto"/>
              <w:right w:val="single" w:sz="4" w:space="0" w:color="auto"/>
            </w:tcBorders>
            <w:hideMark/>
          </w:tcPr>
          <w:p w14:paraId="1F24E490" w14:textId="014C88D1" w:rsidR="00A42FF0" w:rsidRDefault="00A42FF0" w:rsidP="005470D1">
            <w:pPr>
              <w:pStyle w:val="Default"/>
              <w:spacing w:line="360" w:lineRule="auto"/>
              <w:jc w:val="both"/>
            </w:pPr>
            <w:r>
              <w:t xml:space="preserve">805 </w:t>
            </w:r>
          </w:p>
        </w:tc>
      </w:tr>
      <w:tr w:rsidR="00A42FF0" w14:paraId="5ED0004D"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5BAA2C93"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Total interest expense</w:t>
            </w:r>
          </w:p>
        </w:tc>
        <w:tc>
          <w:tcPr>
            <w:tcW w:w="3117" w:type="dxa"/>
            <w:tcBorders>
              <w:top w:val="single" w:sz="4" w:space="0" w:color="auto"/>
              <w:left w:val="single" w:sz="4" w:space="0" w:color="auto"/>
              <w:bottom w:val="single" w:sz="4" w:space="0" w:color="auto"/>
              <w:right w:val="single" w:sz="4" w:space="0" w:color="auto"/>
            </w:tcBorders>
            <w:hideMark/>
          </w:tcPr>
          <w:p w14:paraId="2A7CFCF0" w14:textId="02BB1E8C" w:rsidR="00A42FF0" w:rsidRDefault="00A42FF0" w:rsidP="005470D1">
            <w:pPr>
              <w:pStyle w:val="Default"/>
              <w:spacing w:line="360" w:lineRule="auto"/>
              <w:jc w:val="both"/>
            </w:pPr>
            <w:r>
              <w:t xml:space="preserve">181 </w:t>
            </w:r>
          </w:p>
        </w:tc>
        <w:tc>
          <w:tcPr>
            <w:tcW w:w="3117" w:type="dxa"/>
            <w:tcBorders>
              <w:top w:val="single" w:sz="4" w:space="0" w:color="auto"/>
              <w:left w:val="single" w:sz="4" w:space="0" w:color="auto"/>
              <w:bottom w:val="single" w:sz="4" w:space="0" w:color="auto"/>
              <w:right w:val="single" w:sz="4" w:space="0" w:color="auto"/>
            </w:tcBorders>
            <w:hideMark/>
          </w:tcPr>
          <w:p w14:paraId="18004E7E" w14:textId="24961DC3" w:rsidR="00A42FF0" w:rsidRDefault="00A42FF0" w:rsidP="005470D1">
            <w:pPr>
              <w:pStyle w:val="Default"/>
              <w:spacing w:line="360" w:lineRule="auto"/>
              <w:jc w:val="both"/>
            </w:pPr>
            <w:r>
              <w:t xml:space="preserve">226 </w:t>
            </w:r>
          </w:p>
        </w:tc>
      </w:tr>
    </w:tbl>
    <w:p w14:paraId="5EB96285" w14:textId="0AD20C83" w:rsidR="008A340B" w:rsidRPr="00657351" w:rsidRDefault="008A340B" w:rsidP="005470D1">
      <w:pPr>
        <w:spacing w:line="360" w:lineRule="auto"/>
        <w:jc w:val="both"/>
        <w:rPr>
          <w:rFonts w:ascii="Times New Roman" w:hAnsi="Times New Roman" w:cs="Times New Roman"/>
          <w:sz w:val="24"/>
          <w:szCs w:val="24"/>
        </w:rPr>
      </w:pPr>
    </w:p>
    <w:p w14:paraId="090564C8" w14:textId="1F2ABB41" w:rsidR="008A340B" w:rsidRDefault="004151C1" w:rsidP="005470D1">
      <w:pPr>
        <w:spacing w:line="360" w:lineRule="auto"/>
        <w:jc w:val="both"/>
        <w:rPr>
          <w:rFonts w:ascii="Times New Roman" w:eastAsiaTheme="minorEastAsia" w:hAnsi="Times New Roman" w:cs="Times New Roman"/>
          <w:sz w:val="24"/>
          <w:szCs w:val="24"/>
        </w:rPr>
      </w:pPr>
      <w:r w:rsidRPr="00E22F29">
        <w:rPr>
          <w:rFonts w:ascii="Times New Roman" w:eastAsiaTheme="minorEastAsia" w:hAnsi="Times New Roman" w:cs="Times New Roman"/>
          <w:sz w:val="24"/>
          <w:szCs w:val="24"/>
        </w:rPr>
        <w:t>So</w:t>
      </w:r>
      <w:r w:rsidR="008A340B" w:rsidRPr="00E22F29">
        <w:rPr>
          <w:rFonts w:ascii="Times New Roman" w:eastAsiaTheme="minorEastAsia" w:hAnsi="Times New Roman" w:cs="Times New Roman"/>
          <w:sz w:val="24"/>
          <w:szCs w:val="24"/>
        </w:rPr>
        <w:t xml:space="preserve">, </w:t>
      </w:r>
      <w:r w:rsidRPr="00E22F29">
        <w:rPr>
          <w:rFonts w:ascii="Times New Roman" w:eastAsiaTheme="minorEastAsia" w:hAnsi="Times New Roman" w:cs="Times New Roman"/>
          <w:sz w:val="24"/>
          <w:szCs w:val="24"/>
        </w:rPr>
        <w:t xml:space="preserve">the </w:t>
      </w:r>
      <w:r w:rsidRPr="00E22F29">
        <w:rPr>
          <w:rFonts w:ascii="Times New Roman" w:hAnsi="Times New Roman" w:cs="Times New Roman"/>
          <w:sz w:val="24"/>
          <w:szCs w:val="24"/>
        </w:rPr>
        <w:t>i</w:t>
      </w:r>
      <w:r w:rsidR="008A340B" w:rsidRPr="00E22F29">
        <w:rPr>
          <w:rFonts w:ascii="Times New Roman" w:hAnsi="Times New Roman" w:cs="Times New Roman"/>
          <w:sz w:val="24"/>
          <w:szCs w:val="24"/>
        </w:rPr>
        <w:t>nterest coverage ratio</w:t>
      </w:r>
      <w:r w:rsidRPr="00E22F29">
        <w:rPr>
          <w:rFonts w:ascii="Times New Roman" w:hAnsi="Times New Roman" w:cs="Times New Roman"/>
          <w:sz w:val="24"/>
          <w:szCs w:val="24"/>
        </w:rPr>
        <w:t xml:space="preserve"> for Sweets Plc in 2020 and 2021 based on the given information</w:t>
      </w:r>
      <w:r w:rsidR="008A340B" w:rsidRPr="00E22F29">
        <w:rPr>
          <w:rFonts w:ascii="Times New Roman" w:eastAsiaTheme="minorEastAsia" w:hAnsi="Times New Roman" w:cs="Times New Roman"/>
          <w:sz w:val="24"/>
          <w:szCs w:val="24"/>
        </w:rPr>
        <w:t xml:space="preserve"> is</w:t>
      </w:r>
      <w:r w:rsidRPr="00E22F29">
        <w:rPr>
          <w:rFonts w:ascii="Times New Roman" w:eastAsiaTheme="minorEastAsia" w:hAnsi="Times New Roman" w:cs="Times New Roman"/>
          <w:sz w:val="24"/>
          <w:szCs w:val="24"/>
        </w:rPr>
        <w:t xml:space="preserve"> computed below:</w:t>
      </w:r>
    </w:p>
    <w:tbl>
      <w:tblPr>
        <w:tblStyle w:val="TableGrid"/>
        <w:tblW w:w="0" w:type="auto"/>
        <w:tblInd w:w="0" w:type="dxa"/>
        <w:tblLook w:val="04A0" w:firstRow="1" w:lastRow="0" w:firstColumn="1" w:lastColumn="0" w:noHBand="0" w:noVBand="1"/>
      </w:tblPr>
      <w:tblGrid>
        <w:gridCol w:w="3116"/>
        <w:gridCol w:w="3117"/>
        <w:gridCol w:w="3117"/>
      </w:tblGrid>
      <w:tr w:rsidR="00A42FF0" w14:paraId="7BDE0B70"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5300485A"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Financial Ratio</w:t>
            </w:r>
          </w:p>
        </w:tc>
        <w:tc>
          <w:tcPr>
            <w:tcW w:w="3117" w:type="dxa"/>
            <w:tcBorders>
              <w:top w:val="single" w:sz="4" w:space="0" w:color="auto"/>
              <w:left w:val="single" w:sz="4" w:space="0" w:color="auto"/>
              <w:bottom w:val="single" w:sz="4" w:space="0" w:color="auto"/>
              <w:right w:val="single" w:sz="4" w:space="0" w:color="auto"/>
            </w:tcBorders>
            <w:hideMark/>
          </w:tcPr>
          <w:p w14:paraId="62CC9428"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2020</w:t>
            </w:r>
          </w:p>
          <w:p w14:paraId="4CE47E89" w14:textId="5D5CAAD4"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c>
          <w:tcPr>
            <w:tcW w:w="3117" w:type="dxa"/>
            <w:tcBorders>
              <w:top w:val="single" w:sz="4" w:space="0" w:color="auto"/>
              <w:left w:val="single" w:sz="4" w:space="0" w:color="auto"/>
              <w:bottom w:val="single" w:sz="4" w:space="0" w:color="auto"/>
              <w:right w:val="single" w:sz="4" w:space="0" w:color="auto"/>
            </w:tcBorders>
            <w:hideMark/>
          </w:tcPr>
          <w:p w14:paraId="2BF44B5D"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2021</w:t>
            </w:r>
          </w:p>
          <w:p w14:paraId="74D71F70" w14:textId="55FBF897" w:rsidR="000652FE" w:rsidRDefault="000652FE" w:rsidP="005470D1">
            <w:pPr>
              <w:spacing w:line="360" w:lineRule="auto"/>
              <w:jc w:val="both"/>
              <w:rPr>
                <w:rFonts w:ascii="Times New Roman" w:hAnsi="Times New Roman" w:cs="Times New Roman"/>
                <w:sz w:val="24"/>
                <w:szCs w:val="24"/>
              </w:rPr>
            </w:pPr>
            <w:r w:rsidRPr="00A42FF0">
              <w:rPr>
                <w:rFonts w:ascii="Times New Roman" w:hAnsi="Times New Roman" w:cs="Times New Roman"/>
                <w:sz w:val="24"/>
                <w:szCs w:val="24"/>
              </w:rPr>
              <w:t>(</w:t>
            </w:r>
            <w:r>
              <w:rPr>
                <w:rFonts w:ascii="Times New Roman" w:hAnsi="Times New Roman" w:cs="Times New Roman"/>
                <w:sz w:val="24"/>
                <w:szCs w:val="24"/>
              </w:rPr>
              <w:t>A</w:t>
            </w:r>
            <w:r w:rsidRPr="00A42FF0">
              <w:rPr>
                <w:rFonts w:ascii="Times New Roman" w:hAnsi="Times New Roman" w:cs="Times New Roman"/>
                <w:sz w:val="24"/>
                <w:szCs w:val="24"/>
              </w:rPr>
              <w:t>mount in £ millions)</w:t>
            </w:r>
          </w:p>
        </w:tc>
      </w:tr>
      <w:tr w:rsidR="00A42FF0" w14:paraId="782A0ADB" w14:textId="77777777" w:rsidTr="00B94C4E">
        <w:tc>
          <w:tcPr>
            <w:tcW w:w="3116" w:type="dxa"/>
            <w:tcBorders>
              <w:top w:val="single" w:sz="4" w:space="0" w:color="auto"/>
              <w:left w:val="single" w:sz="4" w:space="0" w:color="auto"/>
              <w:bottom w:val="single" w:sz="4" w:space="0" w:color="auto"/>
              <w:right w:val="single" w:sz="4" w:space="0" w:color="auto"/>
            </w:tcBorders>
            <w:hideMark/>
          </w:tcPr>
          <w:p w14:paraId="1069BC5B" w14:textId="77777777" w:rsidR="00A42FF0" w:rsidRDefault="00A42FF0" w:rsidP="005470D1">
            <w:pPr>
              <w:spacing w:line="360" w:lineRule="auto"/>
              <w:jc w:val="both"/>
              <w:rPr>
                <w:rFonts w:ascii="Times New Roman" w:hAnsi="Times New Roman" w:cs="Times New Roman"/>
                <w:sz w:val="24"/>
                <w:szCs w:val="24"/>
              </w:rPr>
            </w:pPr>
            <w:r>
              <w:rPr>
                <w:rFonts w:ascii="Times New Roman" w:hAnsi="Times New Roman" w:cs="Times New Roman"/>
                <w:sz w:val="24"/>
                <w:szCs w:val="24"/>
              </w:rPr>
              <w:t>Interest coverage ratio</w:t>
            </w:r>
          </w:p>
        </w:tc>
        <w:tc>
          <w:tcPr>
            <w:tcW w:w="3117" w:type="dxa"/>
            <w:tcBorders>
              <w:top w:val="single" w:sz="4" w:space="0" w:color="auto"/>
              <w:left w:val="single" w:sz="4" w:space="0" w:color="auto"/>
              <w:bottom w:val="single" w:sz="4" w:space="0" w:color="auto"/>
              <w:right w:val="single" w:sz="4" w:space="0" w:color="auto"/>
            </w:tcBorders>
            <w:hideMark/>
          </w:tcPr>
          <w:p w14:paraId="436B9B7E" w14:textId="141BB05C"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699 </m:t>
                  </m:r>
                </m:num>
                <m:den>
                  <m:r>
                    <w:rPr>
                      <w:rFonts w:ascii="Cambria Math" w:hAnsi="Cambria Math" w:cs="Times New Roman"/>
                      <w:sz w:val="24"/>
                      <w:szCs w:val="24"/>
                    </w:rPr>
                    <m:t xml:space="preserve">181 </m:t>
                  </m:r>
                </m:den>
              </m:f>
            </m:oMath>
          </w:p>
          <w:p w14:paraId="1238FF9A"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3.86x </w:t>
            </w:r>
          </w:p>
        </w:tc>
        <w:tc>
          <w:tcPr>
            <w:tcW w:w="3117" w:type="dxa"/>
            <w:tcBorders>
              <w:top w:val="single" w:sz="4" w:space="0" w:color="auto"/>
              <w:left w:val="single" w:sz="4" w:space="0" w:color="auto"/>
              <w:bottom w:val="single" w:sz="4" w:space="0" w:color="auto"/>
              <w:right w:val="single" w:sz="4" w:space="0" w:color="auto"/>
            </w:tcBorders>
            <w:hideMark/>
          </w:tcPr>
          <w:p w14:paraId="2FB26DB8" w14:textId="2ACB1877" w:rsidR="00A42FF0" w:rsidRDefault="00A42FF0" w:rsidP="005470D1">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 xml:space="preserve">805 </m:t>
                  </m:r>
                </m:num>
                <m:den>
                  <m:r>
                    <w:rPr>
                      <w:rFonts w:ascii="Cambria Math" w:hAnsi="Cambria Math" w:cs="Times New Roman"/>
                      <w:sz w:val="24"/>
                      <w:szCs w:val="24"/>
                    </w:rPr>
                    <m:t xml:space="preserve"> 226  </m:t>
                  </m:r>
                </m:den>
              </m:f>
            </m:oMath>
          </w:p>
          <w:p w14:paraId="6B27FD37" w14:textId="77777777" w:rsidR="00A42FF0" w:rsidRDefault="00A42FF0" w:rsidP="005470D1">
            <w:pPr>
              <w:spacing w:line="360" w:lineRule="auto"/>
              <w:jc w:val="both"/>
              <w:rPr>
                <w:rFonts w:ascii="Times New Roman" w:hAnsi="Times New Roman" w:cs="Times New Roman"/>
                <w:sz w:val="24"/>
                <w:szCs w:val="24"/>
              </w:rPr>
            </w:pPr>
            <w:r>
              <w:rPr>
                <w:rFonts w:ascii="Times New Roman" w:eastAsiaTheme="minorEastAsia" w:hAnsi="Times New Roman" w:cs="Times New Roman"/>
                <w:sz w:val="24"/>
                <w:szCs w:val="24"/>
              </w:rPr>
              <w:t>= 3.56x</w:t>
            </w:r>
          </w:p>
        </w:tc>
      </w:tr>
    </w:tbl>
    <w:p w14:paraId="2379BAE5" w14:textId="18B886FD" w:rsidR="00657351" w:rsidRPr="004B72E1" w:rsidRDefault="00657351" w:rsidP="005470D1">
      <w:pPr>
        <w:spacing w:line="360" w:lineRule="auto"/>
        <w:jc w:val="both"/>
        <w:rPr>
          <w:rFonts w:ascii="Times New Roman" w:eastAsiaTheme="minorEastAsia" w:hAnsi="Times New Roman" w:cs="Times New Roman"/>
          <w:sz w:val="24"/>
          <w:szCs w:val="24"/>
        </w:rPr>
      </w:pPr>
    </w:p>
    <w:p w14:paraId="46C317AC" w14:textId="109B4176" w:rsidR="00A27781" w:rsidRPr="004B72E1" w:rsidRDefault="004B72E1" w:rsidP="005470D1">
      <w:pPr>
        <w:pStyle w:val="Heading2"/>
        <w:spacing w:line="360" w:lineRule="auto"/>
        <w:jc w:val="both"/>
        <w:rPr>
          <w:b/>
          <w:bCs/>
        </w:rPr>
      </w:pPr>
      <w:bookmarkStart w:id="7" w:name="_Toc118575980"/>
      <w:r w:rsidRPr="004B72E1">
        <w:rPr>
          <w:b/>
          <w:bCs/>
        </w:rPr>
        <w:t>Task-B</w:t>
      </w:r>
      <w:bookmarkEnd w:id="7"/>
    </w:p>
    <w:p w14:paraId="67DD2446" w14:textId="503074E8" w:rsidR="00A27781" w:rsidRPr="00657351" w:rsidRDefault="00931FF9" w:rsidP="005470D1">
      <w:pPr>
        <w:pStyle w:val="ListParagraph"/>
        <w:numPr>
          <w:ilvl w:val="0"/>
          <w:numId w:val="4"/>
        </w:numPr>
        <w:spacing w:line="360" w:lineRule="auto"/>
        <w:jc w:val="both"/>
        <w:rPr>
          <w:rFonts w:ascii="Times New Roman" w:hAnsi="Times New Roman" w:cs="Times New Roman"/>
          <w:b/>
          <w:bCs/>
          <w:sz w:val="24"/>
          <w:szCs w:val="24"/>
        </w:rPr>
      </w:pPr>
      <w:r w:rsidRPr="00657351">
        <w:rPr>
          <w:rFonts w:ascii="Times New Roman" w:hAnsi="Times New Roman" w:cs="Times New Roman"/>
          <w:b/>
          <w:bCs/>
          <w:sz w:val="24"/>
          <w:szCs w:val="24"/>
        </w:rPr>
        <w:t>Financial performance of Sweets Plc:</w:t>
      </w:r>
    </w:p>
    <w:p w14:paraId="2D31D5C7" w14:textId="03AB3034" w:rsidR="001918DB" w:rsidRPr="00E22F29" w:rsidRDefault="001918DB"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The financial performance of Sweets Plc can be deduced from the </w:t>
      </w:r>
      <w:r w:rsidR="00657351" w:rsidRPr="00E22F29">
        <w:rPr>
          <w:rFonts w:ascii="Times New Roman" w:hAnsi="Times New Roman" w:cs="Times New Roman"/>
          <w:sz w:val="24"/>
          <w:szCs w:val="24"/>
        </w:rPr>
        <w:t>critical</w:t>
      </w:r>
      <w:r w:rsidRPr="00E22F29">
        <w:rPr>
          <w:rFonts w:ascii="Times New Roman" w:hAnsi="Times New Roman" w:cs="Times New Roman"/>
          <w:sz w:val="24"/>
          <w:szCs w:val="24"/>
        </w:rPr>
        <w:t xml:space="preserve"> assessment of ROCE, </w:t>
      </w:r>
      <w:proofErr w:type="gramStart"/>
      <w:r w:rsidRPr="00E22F29">
        <w:rPr>
          <w:rFonts w:ascii="Times New Roman" w:hAnsi="Times New Roman" w:cs="Times New Roman"/>
          <w:sz w:val="24"/>
          <w:szCs w:val="24"/>
        </w:rPr>
        <w:t>ROE</w:t>
      </w:r>
      <w:proofErr w:type="gramEnd"/>
      <w:r w:rsidRPr="00E22F29">
        <w:rPr>
          <w:rFonts w:ascii="Times New Roman" w:hAnsi="Times New Roman" w:cs="Times New Roman"/>
          <w:sz w:val="24"/>
          <w:szCs w:val="24"/>
        </w:rPr>
        <w:t xml:space="preserve"> and net profit margin.</w:t>
      </w:r>
    </w:p>
    <w:p w14:paraId="7CB00EBB" w14:textId="45AF1CA1" w:rsidR="001918DB" w:rsidRPr="00657351" w:rsidRDefault="001918DB" w:rsidP="005470D1">
      <w:pPr>
        <w:pStyle w:val="ListParagraph"/>
        <w:numPr>
          <w:ilvl w:val="0"/>
          <w:numId w:val="3"/>
        </w:numPr>
        <w:spacing w:line="360" w:lineRule="auto"/>
        <w:jc w:val="both"/>
        <w:rPr>
          <w:rFonts w:ascii="Times New Roman" w:hAnsi="Times New Roman" w:cs="Times New Roman"/>
          <w:b/>
          <w:bCs/>
          <w:sz w:val="24"/>
          <w:szCs w:val="24"/>
        </w:rPr>
      </w:pPr>
      <w:r w:rsidRPr="00657351">
        <w:rPr>
          <w:rFonts w:ascii="Times New Roman" w:hAnsi="Times New Roman" w:cs="Times New Roman"/>
          <w:b/>
          <w:bCs/>
          <w:sz w:val="24"/>
          <w:szCs w:val="24"/>
        </w:rPr>
        <w:t>ROCE:</w:t>
      </w:r>
    </w:p>
    <w:p w14:paraId="4E6209A9" w14:textId="021BDB06" w:rsidR="00931FF9" w:rsidRDefault="00931FF9" w:rsidP="005470D1">
      <w:pPr>
        <w:spacing w:line="360" w:lineRule="auto"/>
        <w:jc w:val="center"/>
        <w:rPr>
          <w:rFonts w:ascii="Times New Roman" w:hAnsi="Times New Roman" w:cs="Times New Roman"/>
          <w:noProof/>
          <w:sz w:val="24"/>
          <w:szCs w:val="24"/>
        </w:rPr>
      </w:pPr>
      <w:r w:rsidRPr="00E22F29">
        <w:rPr>
          <w:rFonts w:ascii="Times New Roman" w:hAnsi="Times New Roman" w:cs="Times New Roman"/>
          <w:noProof/>
          <w:sz w:val="24"/>
          <w:szCs w:val="24"/>
        </w:rPr>
        <w:drawing>
          <wp:inline distT="0" distB="0" distL="0" distR="0" wp14:anchorId="35E5B752" wp14:editId="3042C6C3">
            <wp:extent cx="2958860" cy="2044460"/>
            <wp:effectExtent l="0" t="0" r="13335" b="1333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1AE365F" w14:textId="635B2A4D" w:rsidR="00657351" w:rsidRPr="00657351" w:rsidRDefault="00657351" w:rsidP="005470D1">
      <w:pPr>
        <w:spacing w:line="360" w:lineRule="auto"/>
        <w:jc w:val="both"/>
        <w:rPr>
          <w:rFonts w:ascii="Times New Roman" w:hAnsi="Times New Roman" w:cs="Times New Roman"/>
          <w:b/>
          <w:bCs/>
          <w:noProof/>
          <w:sz w:val="24"/>
          <w:szCs w:val="24"/>
        </w:rPr>
      </w:pPr>
      <w:r w:rsidRPr="00657351">
        <w:rPr>
          <w:rFonts w:ascii="Times New Roman" w:hAnsi="Times New Roman" w:cs="Times New Roman"/>
          <w:b/>
          <w:bCs/>
          <w:noProof/>
          <w:sz w:val="24"/>
          <w:szCs w:val="24"/>
        </w:rPr>
        <w:t>Figure-01: ROCE of Sweets Plc</w:t>
      </w:r>
    </w:p>
    <w:p w14:paraId="24A5A79C" w14:textId="458439EE" w:rsidR="00657351" w:rsidRPr="00E22F29" w:rsidRDefault="001918DB"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The </w:t>
      </w:r>
      <w:r w:rsidR="00657351" w:rsidRPr="00E22F29">
        <w:rPr>
          <w:rFonts w:ascii="Times New Roman" w:hAnsi="Times New Roman" w:cs="Times New Roman"/>
          <w:sz w:val="24"/>
          <w:szCs w:val="24"/>
        </w:rPr>
        <w:t>assessment</w:t>
      </w:r>
      <w:r w:rsidRPr="00E22F29">
        <w:rPr>
          <w:rFonts w:ascii="Times New Roman" w:hAnsi="Times New Roman" w:cs="Times New Roman"/>
          <w:sz w:val="24"/>
          <w:szCs w:val="24"/>
        </w:rPr>
        <w:t xml:space="preserve"> of ROCE for Sweets Plc in 2020 and 2021 is showing a rising trend as shown in the figure 01 as the ROCE has improved from 9.93% in 2020 to 11.14% in 2021. The upward trend in the ROCE for the firm can be attributed to 15% increase operating earnings as the operating earnings has been increased by </w:t>
      </w:r>
      <w:r w:rsidR="007301FF" w:rsidRPr="00E22F29">
        <w:rPr>
          <w:rFonts w:ascii="Times New Roman" w:eastAsia="Times New Roman" w:hAnsi="Times New Roman" w:cs="Times New Roman"/>
          <w:color w:val="000000"/>
          <w:sz w:val="24"/>
          <w:szCs w:val="24"/>
        </w:rPr>
        <w:t>£</w:t>
      </w:r>
      <w:r w:rsidRPr="00E22F29">
        <w:rPr>
          <w:rFonts w:ascii="Times New Roman" w:hAnsi="Times New Roman" w:cs="Times New Roman"/>
          <w:sz w:val="24"/>
          <w:szCs w:val="24"/>
        </w:rPr>
        <w:t>106 million in 2021 due to improvement in revenue of the firm arising increased demand for the sweets and confectionery items after the current pandemic, covid-19. Based on the rising trend in the ROCE, it can be opined that the management of Sweets Plc is making effective utilization</w:t>
      </w:r>
      <w:r w:rsidR="005118D9" w:rsidRPr="00E22F29">
        <w:rPr>
          <w:rFonts w:ascii="Times New Roman" w:hAnsi="Times New Roman" w:cs="Times New Roman"/>
          <w:sz w:val="24"/>
          <w:szCs w:val="24"/>
        </w:rPr>
        <w:t xml:space="preserve"> of all the available capital to generate earnings for the </w:t>
      </w:r>
      <w:r w:rsidR="00657351" w:rsidRPr="00E22F29">
        <w:rPr>
          <w:rFonts w:ascii="Times New Roman" w:hAnsi="Times New Roman" w:cs="Times New Roman"/>
          <w:sz w:val="24"/>
          <w:szCs w:val="24"/>
        </w:rPr>
        <w:t>busi</w:t>
      </w:r>
      <w:r w:rsidR="00657351">
        <w:rPr>
          <w:rFonts w:ascii="Times New Roman" w:hAnsi="Times New Roman" w:cs="Times New Roman"/>
          <w:sz w:val="24"/>
          <w:szCs w:val="24"/>
        </w:rPr>
        <w:t>ness</w:t>
      </w:r>
      <w:r w:rsidR="005118D9" w:rsidRPr="00E22F29">
        <w:rPr>
          <w:rFonts w:ascii="Times New Roman" w:hAnsi="Times New Roman" w:cs="Times New Roman"/>
          <w:sz w:val="24"/>
          <w:szCs w:val="24"/>
        </w:rPr>
        <w:t xml:space="preserve">, thus helping the business to </w:t>
      </w:r>
      <w:r w:rsidR="00657351" w:rsidRPr="00E22F29">
        <w:rPr>
          <w:rFonts w:ascii="Times New Roman" w:hAnsi="Times New Roman" w:cs="Times New Roman"/>
          <w:sz w:val="24"/>
          <w:szCs w:val="24"/>
        </w:rPr>
        <w:t>achieve</w:t>
      </w:r>
      <w:r w:rsidR="005118D9" w:rsidRPr="00E22F29">
        <w:rPr>
          <w:rFonts w:ascii="Times New Roman" w:hAnsi="Times New Roman" w:cs="Times New Roman"/>
          <w:sz w:val="24"/>
          <w:szCs w:val="24"/>
        </w:rPr>
        <w:t xml:space="preserve"> capital efficiency in its </w:t>
      </w:r>
      <w:r w:rsidR="00657351">
        <w:rPr>
          <w:rFonts w:ascii="Times New Roman" w:hAnsi="Times New Roman" w:cs="Times New Roman"/>
          <w:sz w:val="24"/>
          <w:szCs w:val="24"/>
        </w:rPr>
        <w:t xml:space="preserve">business </w:t>
      </w:r>
      <w:proofErr w:type="gramStart"/>
      <w:r w:rsidR="00657351">
        <w:rPr>
          <w:rFonts w:ascii="Times New Roman" w:hAnsi="Times New Roman" w:cs="Times New Roman"/>
          <w:sz w:val="24"/>
          <w:szCs w:val="24"/>
        </w:rPr>
        <w:t>operation</w:t>
      </w:r>
      <w:r w:rsidR="001D551F" w:rsidRPr="001D551F">
        <w:rPr>
          <w:rFonts w:asciiTheme="majorBidi" w:hAnsiTheme="majorBidi" w:cstheme="majorBidi"/>
          <w:sz w:val="24"/>
          <w:szCs w:val="24"/>
        </w:rPr>
        <w:t>(</w:t>
      </w:r>
      <w:proofErr w:type="gramEnd"/>
      <w:r w:rsidR="001D551F" w:rsidRPr="001D551F">
        <w:rPr>
          <w:rFonts w:asciiTheme="majorBidi" w:hAnsiTheme="majorBidi" w:cstheme="majorBidi"/>
          <w:sz w:val="24"/>
          <w:szCs w:val="24"/>
          <w:shd w:val="clear" w:color="auto" w:fill="FFFFFF"/>
        </w:rPr>
        <w:t>Marquardt, 2006)</w:t>
      </w:r>
      <w:r w:rsidR="005118D9" w:rsidRPr="00E22F29">
        <w:rPr>
          <w:rFonts w:ascii="Times New Roman" w:hAnsi="Times New Roman" w:cs="Times New Roman"/>
          <w:sz w:val="24"/>
          <w:szCs w:val="24"/>
        </w:rPr>
        <w:t xml:space="preserve">. </w:t>
      </w:r>
    </w:p>
    <w:p w14:paraId="172749DA" w14:textId="691B79DC" w:rsidR="005118D9" w:rsidRPr="00657351" w:rsidRDefault="005118D9" w:rsidP="005470D1">
      <w:pPr>
        <w:pStyle w:val="ListParagraph"/>
        <w:numPr>
          <w:ilvl w:val="0"/>
          <w:numId w:val="3"/>
        </w:numPr>
        <w:spacing w:line="360" w:lineRule="auto"/>
        <w:jc w:val="both"/>
        <w:rPr>
          <w:rFonts w:ascii="Times New Roman" w:hAnsi="Times New Roman" w:cs="Times New Roman"/>
          <w:b/>
          <w:bCs/>
          <w:sz w:val="24"/>
          <w:szCs w:val="24"/>
        </w:rPr>
      </w:pPr>
      <w:r w:rsidRPr="00657351">
        <w:rPr>
          <w:rFonts w:ascii="Times New Roman" w:hAnsi="Times New Roman" w:cs="Times New Roman"/>
          <w:b/>
          <w:bCs/>
          <w:sz w:val="24"/>
          <w:szCs w:val="24"/>
        </w:rPr>
        <w:t>ROE:</w:t>
      </w:r>
    </w:p>
    <w:p w14:paraId="419198ED" w14:textId="77777777" w:rsidR="00931FF9" w:rsidRPr="00E22F29" w:rsidRDefault="00931FF9" w:rsidP="005470D1">
      <w:pPr>
        <w:spacing w:line="360" w:lineRule="auto"/>
        <w:jc w:val="both"/>
        <w:rPr>
          <w:rFonts w:ascii="Times New Roman" w:hAnsi="Times New Roman" w:cs="Times New Roman"/>
          <w:sz w:val="24"/>
          <w:szCs w:val="24"/>
        </w:rPr>
      </w:pPr>
    </w:p>
    <w:p w14:paraId="223F86BE" w14:textId="305FB353" w:rsidR="00931FF9" w:rsidRPr="00E22F29" w:rsidRDefault="00931FF9" w:rsidP="005470D1">
      <w:pPr>
        <w:spacing w:line="360" w:lineRule="auto"/>
        <w:jc w:val="center"/>
        <w:rPr>
          <w:rFonts w:ascii="Times New Roman" w:hAnsi="Times New Roman" w:cs="Times New Roman"/>
          <w:noProof/>
          <w:sz w:val="24"/>
          <w:szCs w:val="24"/>
        </w:rPr>
      </w:pPr>
      <w:r w:rsidRPr="00E22F29">
        <w:rPr>
          <w:rFonts w:ascii="Times New Roman" w:hAnsi="Times New Roman" w:cs="Times New Roman"/>
          <w:noProof/>
          <w:sz w:val="24"/>
          <w:szCs w:val="24"/>
        </w:rPr>
        <w:drawing>
          <wp:inline distT="0" distB="0" distL="0" distR="0" wp14:anchorId="5C341219" wp14:editId="2D6725A2">
            <wp:extent cx="3408218" cy="1810987"/>
            <wp:effectExtent l="0" t="0" r="1905" b="1841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26F3A36" w14:textId="4E09DF02" w:rsidR="00931FF9" w:rsidRPr="00657351" w:rsidRDefault="00657351" w:rsidP="005470D1">
      <w:pPr>
        <w:spacing w:line="360" w:lineRule="auto"/>
        <w:jc w:val="both"/>
        <w:rPr>
          <w:rFonts w:ascii="Times New Roman" w:hAnsi="Times New Roman" w:cs="Times New Roman"/>
          <w:b/>
          <w:bCs/>
          <w:noProof/>
          <w:sz w:val="24"/>
          <w:szCs w:val="24"/>
        </w:rPr>
      </w:pPr>
      <w:r w:rsidRPr="00657351">
        <w:rPr>
          <w:rFonts w:ascii="Times New Roman" w:hAnsi="Times New Roman" w:cs="Times New Roman"/>
          <w:b/>
          <w:bCs/>
          <w:noProof/>
          <w:sz w:val="24"/>
          <w:szCs w:val="24"/>
        </w:rPr>
        <w:t>Figure-02: ROE of Sweets Plc</w:t>
      </w:r>
    </w:p>
    <w:p w14:paraId="3DEAEB8B" w14:textId="2FB028E7" w:rsidR="00931FF9" w:rsidRPr="00E22F29" w:rsidRDefault="005118D9"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Like the ROCE, ROE is also documenting a rise in the ROE for Sweets Plc in the last two financial years </w:t>
      </w:r>
      <w:r w:rsidR="00E771F1" w:rsidRPr="00E22F29">
        <w:rPr>
          <w:rFonts w:ascii="Times New Roman" w:hAnsi="Times New Roman" w:cs="Times New Roman"/>
          <w:sz w:val="24"/>
          <w:szCs w:val="24"/>
        </w:rPr>
        <w:t xml:space="preserve">shown in figure 2 </w:t>
      </w:r>
      <w:r w:rsidRPr="00E22F29">
        <w:rPr>
          <w:rFonts w:ascii="Times New Roman" w:hAnsi="Times New Roman" w:cs="Times New Roman"/>
          <w:sz w:val="24"/>
          <w:szCs w:val="24"/>
        </w:rPr>
        <w:t xml:space="preserve">as the profitability ratio has improved from 12.57% in 2020 to 13.96% in 2021. This marginal improvement in ROE can be attributed to the 4.61% improvement in revenue which has outpaced the </w:t>
      </w:r>
      <w:r w:rsidR="00E771F1" w:rsidRPr="00E22F29">
        <w:rPr>
          <w:rFonts w:ascii="Times New Roman" w:hAnsi="Times New Roman" w:cs="Times New Roman"/>
          <w:sz w:val="24"/>
          <w:szCs w:val="24"/>
        </w:rPr>
        <w:t xml:space="preserve">4.13% increase total expense of the business in 2021, thus resulting in 17.8% improvement net profit of the business as the net profit has increased from </w:t>
      </w:r>
      <w:r w:rsidR="007301FF" w:rsidRPr="00E22F29">
        <w:rPr>
          <w:rFonts w:ascii="Times New Roman" w:eastAsia="Times New Roman" w:hAnsi="Times New Roman" w:cs="Times New Roman"/>
          <w:color w:val="000000"/>
          <w:sz w:val="24"/>
          <w:szCs w:val="24"/>
        </w:rPr>
        <w:t>£</w:t>
      </w:r>
      <w:r w:rsidR="00E771F1" w:rsidRPr="00E22F29">
        <w:rPr>
          <w:rFonts w:ascii="Times New Roman" w:hAnsi="Times New Roman" w:cs="Times New Roman"/>
          <w:sz w:val="24"/>
          <w:szCs w:val="24"/>
        </w:rPr>
        <w:t xml:space="preserve">366 million in 2020 to </w:t>
      </w:r>
      <w:r w:rsidR="007301FF" w:rsidRPr="00E22F29">
        <w:rPr>
          <w:rFonts w:ascii="Times New Roman" w:eastAsia="Times New Roman" w:hAnsi="Times New Roman" w:cs="Times New Roman"/>
          <w:color w:val="000000"/>
          <w:sz w:val="24"/>
          <w:szCs w:val="24"/>
        </w:rPr>
        <w:t>£</w:t>
      </w:r>
      <w:r w:rsidR="00E771F1" w:rsidRPr="00E22F29">
        <w:rPr>
          <w:rFonts w:ascii="Times New Roman" w:hAnsi="Times New Roman" w:cs="Times New Roman"/>
          <w:sz w:val="24"/>
          <w:szCs w:val="24"/>
        </w:rPr>
        <w:t xml:space="preserve">431 million in 2021. The upward trend is suggesting that the management of Sweets Plc is ensuring effective utilization of the equity investments to achieve greater profits for the shareholders, thus contributing significantly </w:t>
      </w:r>
      <w:proofErr w:type="gramStart"/>
      <w:r w:rsidR="00E771F1" w:rsidRPr="00E22F29">
        <w:rPr>
          <w:rFonts w:ascii="Times New Roman" w:hAnsi="Times New Roman" w:cs="Times New Roman"/>
          <w:sz w:val="24"/>
          <w:szCs w:val="24"/>
        </w:rPr>
        <w:t>in</w:t>
      </w:r>
      <w:proofErr w:type="gramEnd"/>
      <w:r w:rsidR="00E771F1" w:rsidRPr="00E22F29">
        <w:rPr>
          <w:rFonts w:ascii="Times New Roman" w:hAnsi="Times New Roman" w:cs="Times New Roman"/>
          <w:sz w:val="24"/>
          <w:szCs w:val="24"/>
        </w:rPr>
        <w:t xml:space="preserve"> the shareholders wealth maximization process. </w:t>
      </w:r>
    </w:p>
    <w:p w14:paraId="3FB94582" w14:textId="378BDAF2" w:rsidR="00931FF9" w:rsidRPr="004B72E1" w:rsidRDefault="00E771F1" w:rsidP="005470D1">
      <w:pPr>
        <w:pStyle w:val="ListParagraph"/>
        <w:numPr>
          <w:ilvl w:val="0"/>
          <w:numId w:val="3"/>
        </w:numPr>
        <w:tabs>
          <w:tab w:val="left" w:pos="1087"/>
        </w:tabs>
        <w:spacing w:line="360" w:lineRule="auto"/>
        <w:jc w:val="both"/>
        <w:rPr>
          <w:rFonts w:ascii="Times New Roman" w:hAnsi="Times New Roman" w:cs="Times New Roman"/>
          <w:b/>
          <w:bCs/>
          <w:sz w:val="24"/>
          <w:szCs w:val="24"/>
        </w:rPr>
      </w:pPr>
      <w:r w:rsidRPr="004B72E1">
        <w:rPr>
          <w:rFonts w:ascii="Times New Roman" w:hAnsi="Times New Roman" w:cs="Times New Roman"/>
          <w:b/>
          <w:bCs/>
          <w:sz w:val="24"/>
          <w:szCs w:val="24"/>
        </w:rPr>
        <w:t>Net Profit Margin:</w:t>
      </w:r>
    </w:p>
    <w:p w14:paraId="0F97B78C" w14:textId="2A072B66" w:rsidR="00931FF9" w:rsidRPr="00E22F29" w:rsidRDefault="00931FF9" w:rsidP="005470D1">
      <w:pPr>
        <w:tabs>
          <w:tab w:val="left" w:pos="1087"/>
        </w:tabs>
        <w:spacing w:line="360" w:lineRule="auto"/>
        <w:jc w:val="center"/>
        <w:rPr>
          <w:rFonts w:ascii="Times New Roman" w:hAnsi="Times New Roman" w:cs="Times New Roman"/>
          <w:noProof/>
          <w:sz w:val="24"/>
          <w:szCs w:val="24"/>
        </w:rPr>
      </w:pPr>
      <w:r w:rsidRPr="00E22F29">
        <w:rPr>
          <w:rFonts w:ascii="Times New Roman" w:hAnsi="Times New Roman" w:cs="Times New Roman"/>
          <w:noProof/>
          <w:sz w:val="24"/>
          <w:szCs w:val="24"/>
        </w:rPr>
        <w:drawing>
          <wp:inline distT="0" distB="0" distL="0" distR="0" wp14:anchorId="4018B1C4" wp14:editId="63BE3CC7">
            <wp:extent cx="3820160" cy="1594425"/>
            <wp:effectExtent l="0" t="0" r="8890" b="635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018C32A" w14:textId="7EAD4583" w:rsidR="00931FF9" w:rsidRPr="004B72E1" w:rsidRDefault="0012673D" w:rsidP="005470D1">
      <w:pPr>
        <w:spacing w:line="360" w:lineRule="auto"/>
        <w:jc w:val="both"/>
        <w:rPr>
          <w:rFonts w:ascii="Times New Roman" w:hAnsi="Times New Roman" w:cs="Times New Roman"/>
          <w:b/>
          <w:bCs/>
          <w:noProof/>
          <w:sz w:val="24"/>
          <w:szCs w:val="24"/>
        </w:rPr>
      </w:pPr>
      <w:r w:rsidRPr="004B72E1">
        <w:rPr>
          <w:rFonts w:ascii="Times New Roman" w:hAnsi="Times New Roman" w:cs="Times New Roman"/>
          <w:b/>
          <w:bCs/>
          <w:noProof/>
          <w:sz w:val="24"/>
          <w:szCs w:val="24"/>
        </w:rPr>
        <w:t>Figure-03: Net profit margin of Sweets Plc</w:t>
      </w:r>
    </w:p>
    <w:p w14:paraId="31553BE0" w14:textId="59351D56" w:rsidR="00E771F1" w:rsidRPr="00E22F29" w:rsidRDefault="00E771F1"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Based on the figure 03, a rising trend can be observed in the net profit margin of the Sweets Plc in the last two financial years as the ratio has improved from 5.68% in 2020 to 6.40% in 2021. The improvement in net profit margin can be attributed </w:t>
      </w:r>
      <w:r w:rsidR="00964390" w:rsidRPr="00E22F29">
        <w:rPr>
          <w:rFonts w:ascii="Times New Roman" w:hAnsi="Times New Roman" w:cs="Times New Roman"/>
          <w:sz w:val="24"/>
          <w:szCs w:val="24"/>
        </w:rPr>
        <w:t xml:space="preserve">to improved revenue of the business in 2021 which has resulted in the net profit margin increased from </w:t>
      </w:r>
      <w:r w:rsidR="007301FF" w:rsidRPr="00E22F29">
        <w:rPr>
          <w:rFonts w:ascii="Times New Roman" w:eastAsia="Times New Roman" w:hAnsi="Times New Roman" w:cs="Times New Roman"/>
          <w:color w:val="000000"/>
          <w:sz w:val="24"/>
          <w:szCs w:val="24"/>
        </w:rPr>
        <w:t>£</w:t>
      </w:r>
      <w:r w:rsidR="00964390" w:rsidRPr="00E22F29">
        <w:rPr>
          <w:rFonts w:ascii="Times New Roman" w:hAnsi="Times New Roman" w:cs="Times New Roman"/>
          <w:sz w:val="24"/>
          <w:szCs w:val="24"/>
        </w:rPr>
        <w:t xml:space="preserve">366 </w:t>
      </w:r>
      <w:r w:rsidR="0012673D" w:rsidRPr="00E22F29">
        <w:rPr>
          <w:rFonts w:ascii="Times New Roman" w:hAnsi="Times New Roman" w:cs="Times New Roman"/>
          <w:sz w:val="24"/>
          <w:szCs w:val="24"/>
        </w:rPr>
        <w:t>million</w:t>
      </w:r>
      <w:r w:rsidR="00964390" w:rsidRPr="00E22F29">
        <w:rPr>
          <w:rFonts w:ascii="Times New Roman" w:hAnsi="Times New Roman" w:cs="Times New Roman"/>
          <w:sz w:val="24"/>
          <w:szCs w:val="24"/>
        </w:rPr>
        <w:t xml:space="preserve"> in 2020 to </w:t>
      </w:r>
      <w:r w:rsidR="007301FF" w:rsidRPr="00E22F29">
        <w:rPr>
          <w:rFonts w:ascii="Times New Roman" w:eastAsia="Times New Roman" w:hAnsi="Times New Roman" w:cs="Times New Roman"/>
          <w:color w:val="000000"/>
          <w:sz w:val="24"/>
          <w:szCs w:val="24"/>
        </w:rPr>
        <w:t>£</w:t>
      </w:r>
      <w:r w:rsidR="00964390" w:rsidRPr="00E22F29">
        <w:rPr>
          <w:rFonts w:ascii="Times New Roman" w:hAnsi="Times New Roman" w:cs="Times New Roman"/>
          <w:sz w:val="24"/>
          <w:szCs w:val="24"/>
        </w:rPr>
        <w:t xml:space="preserve">431 million in 2021, thus showing 17.8% improvement in net profit in 2021. This rising trend is eventually suggesting that the management of Sweets Plc is not able to capitalize on the increased </w:t>
      </w:r>
      <w:r w:rsidR="0012673D" w:rsidRPr="00E22F29">
        <w:rPr>
          <w:rFonts w:ascii="Times New Roman" w:hAnsi="Times New Roman" w:cs="Times New Roman"/>
          <w:sz w:val="24"/>
          <w:szCs w:val="24"/>
        </w:rPr>
        <w:t>demand</w:t>
      </w:r>
      <w:r w:rsidR="00964390" w:rsidRPr="00E22F29">
        <w:rPr>
          <w:rFonts w:ascii="Times New Roman" w:hAnsi="Times New Roman" w:cs="Times New Roman"/>
          <w:sz w:val="24"/>
          <w:szCs w:val="24"/>
        </w:rPr>
        <w:t xml:space="preserve"> of sweets and confectionary products to improve sales revenue but also has sufficient control over the cost structure to generate greater profit for the business. </w:t>
      </w:r>
    </w:p>
    <w:p w14:paraId="15F2E2E5" w14:textId="724DB60B" w:rsidR="00931FF9" w:rsidRPr="0012673D" w:rsidRDefault="0012673D" w:rsidP="005470D1">
      <w:pPr>
        <w:pStyle w:val="ListParagraph"/>
        <w:numPr>
          <w:ilvl w:val="0"/>
          <w:numId w:val="4"/>
        </w:numPr>
        <w:tabs>
          <w:tab w:val="left" w:pos="1019"/>
        </w:tabs>
        <w:spacing w:line="360" w:lineRule="auto"/>
        <w:jc w:val="both"/>
        <w:rPr>
          <w:rFonts w:ascii="Times New Roman" w:hAnsi="Times New Roman" w:cs="Times New Roman"/>
          <w:b/>
          <w:bCs/>
          <w:sz w:val="24"/>
          <w:szCs w:val="24"/>
        </w:rPr>
      </w:pPr>
      <w:r w:rsidRPr="0012673D">
        <w:rPr>
          <w:rFonts w:ascii="Times New Roman" w:hAnsi="Times New Roman" w:cs="Times New Roman"/>
          <w:b/>
          <w:bCs/>
          <w:sz w:val="24"/>
          <w:szCs w:val="24"/>
        </w:rPr>
        <w:t>Liquidity</w:t>
      </w:r>
      <w:r w:rsidR="00931FF9" w:rsidRPr="0012673D">
        <w:rPr>
          <w:rFonts w:ascii="Times New Roman" w:hAnsi="Times New Roman" w:cs="Times New Roman"/>
          <w:b/>
          <w:bCs/>
          <w:sz w:val="24"/>
          <w:szCs w:val="24"/>
        </w:rPr>
        <w:t xml:space="preserve"> </w:t>
      </w:r>
      <w:r w:rsidRPr="0012673D">
        <w:rPr>
          <w:rFonts w:ascii="Times New Roman" w:hAnsi="Times New Roman" w:cs="Times New Roman"/>
          <w:b/>
          <w:bCs/>
          <w:sz w:val="24"/>
          <w:szCs w:val="24"/>
        </w:rPr>
        <w:t>position</w:t>
      </w:r>
      <w:r w:rsidR="00931FF9" w:rsidRPr="0012673D">
        <w:rPr>
          <w:rFonts w:ascii="Times New Roman" w:hAnsi="Times New Roman" w:cs="Times New Roman"/>
          <w:b/>
          <w:bCs/>
          <w:sz w:val="24"/>
          <w:szCs w:val="24"/>
        </w:rPr>
        <w:t xml:space="preserve"> of Sweets Plc:</w:t>
      </w:r>
    </w:p>
    <w:p w14:paraId="2A16B109" w14:textId="49826B9D" w:rsidR="00931FF9" w:rsidRPr="0012673D" w:rsidRDefault="002405B0" w:rsidP="005470D1">
      <w:pPr>
        <w:spacing w:line="360" w:lineRule="auto"/>
        <w:jc w:val="both"/>
        <w:rPr>
          <w:rFonts w:ascii="Times New Roman" w:hAnsi="Times New Roman" w:cs="Times New Roman"/>
          <w:sz w:val="24"/>
          <w:szCs w:val="24"/>
        </w:rPr>
      </w:pPr>
      <w:r w:rsidRPr="0012673D">
        <w:rPr>
          <w:rFonts w:ascii="Times New Roman" w:hAnsi="Times New Roman" w:cs="Times New Roman"/>
          <w:sz w:val="24"/>
          <w:szCs w:val="24"/>
        </w:rPr>
        <w:t>The critical evaluation of current ratio will help to under the liquidity position/ short term</w:t>
      </w:r>
      <w:r w:rsidR="0012673D" w:rsidRPr="0012673D">
        <w:rPr>
          <w:rFonts w:ascii="Times New Roman" w:hAnsi="Times New Roman" w:cs="Times New Roman"/>
          <w:sz w:val="24"/>
          <w:szCs w:val="24"/>
        </w:rPr>
        <w:t xml:space="preserve"> </w:t>
      </w:r>
      <w:r w:rsidRPr="0012673D">
        <w:rPr>
          <w:rFonts w:ascii="Times New Roman" w:hAnsi="Times New Roman" w:cs="Times New Roman"/>
          <w:sz w:val="24"/>
          <w:szCs w:val="24"/>
        </w:rPr>
        <w:t>financial solvency of the business in the last two financial years.</w:t>
      </w:r>
    </w:p>
    <w:p w14:paraId="3C941781" w14:textId="6B167272" w:rsidR="002405B0" w:rsidRPr="0012673D" w:rsidRDefault="002405B0" w:rsidP="005470D1">
      <w:pPr>
        <w:pStyle w:val="ListParagraph"/>
        <w:numPr>
          <w:ilvl w:val="0"/>
          <w:numId w:val="3"/>
        </w:numPr>
        <w:tabs>
          <w:tab w:val="left" w:pos="1019"/>
        </w:tabs>
        <w:spacing w:line="360" w:lineRule="auto"/>
        <w:jc w:val="both"/>
        <w:rPr>
          <w:rFonts w:ascii="Times New Roman" w:hAnsi="Times New Roman" w:cs="Times New Roman"/>
          <w:b/>
          <w:bCs/>
          <w:sz w:val="24"/>
          <w:szCs w:val="24"/>
        </w:rPr>
      </w:pPr>
      <w:r w:rsidRPr="0012673D">
        <w:rPr>
          <w:rFonts w:ascii="Times New Roman" w:hAnsi="Times New Roman" w:cs="Times New Roman"/>
          <w:b/>
          <w:bCs/>
          <w:sz w:val="24"/>
          <w:szCs w:val="24"/>
        </w:rPr>
        <w:t>Current ratio</w:t>
      </w:r>
    </w:p>
    <w:p w14:paraId="634A065F" w14:textId="5B030EBC" w:rsidR="00931FF9" w:rsidRDefault="00931FF9" w:rsidP="005470D1">
      <w:pPr>
        <w:tabs>
          <w:tab w:val="left" w:pos="1019"/>
        </w:tabs>
        <w:spacing w:line="360" w:lineRule="auto"/>
        <w:jc w:val="center"/>
        <w:rPr>
          <w:rFonts w:ascii="Times New Roman" w:hAnsi="Times New Roman" w:cs="Times New Roman"/>
          <w:noProof/>
          <w:sz w:val="24"/>
          <w:szCs w:val="24"/>
        </w:rPr>
      </w:pPr>
      <w:r w:rsidRPr="00E22F29">
        <w:rPr>
          <w:rFonts w:ascii="Times New Roman" w:hAnsi="Times New Roman" w:cs="Times New Roman"/>
          <w:noProof/>
          <w:sz w:val="24"/>
          <w:szCs w:val="24"/>
        </w:rPr>
        <w:drawing>
          <wp:inline distT="0" distB="0" distL="0" distR="0" wp14:anchorId="129BF603" wp14:editId="6B27DE16">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F592B0D" w14:textId="2C40D7FA" w:rsidR="0012673D" w:rsidRPr="004B72E1" w:rsidRDefault="0012673D" w:rsidP="005470D1">
      <w:pPr>
        <w:spacing w:line="360" w:lineRule="auto"/>
        <w:jc w:val="both"/>
        <w:rPr>
          <w:rFonts w:ascii="Times New Roman" w:hAnsi="Times New Roman" w:cs="Times New Roman"/>
          <w:b/>
          <w:bCs/>
          <w:noProof/>
          <w:sz w:val="24"/>
          <w:szCs w:val="24"/>
        </w:rPr>
      </w:pPr>
      <w:r w:rsidRPr="004B72E1">
        <w:rPr>
          <w:rFonts w:ascii="Times New Roman" w:hAnsi="Times New Roman" w:cs="Times New Roman"/>
          <w:b/>
          <w:bCs/>
          <w:noProof/>
          <w:sz w:val="24"/>
          <w:szCs w:val="24"/>
        </w:rPr>
        <w:t>Figure-04: Current Ratio of Sweets Plc</w:t>
      </w:r>
    </w:p>
    <w:p w14:paraId="6E06F025" w14:textId="1E1294E4" w:rsidR="00931FF9" w:rsidRPr="00E22F29" w:rsidRDefault="002405B0" w:rsidP="005470D1">
      <w:pPr>
        <w:spacing w:line="360" w:lineRule="auto"/>
        <w:jc w:val="both"/>
        <w:rPr>
          <w:rFonts w:ascii="Times New Roman" w:hAnsi="Times New Roman" w:cs="Times New Roman"/>
          <w:noProof/>
          <w:sz w:val="24"/>
          <w:szCs w:val="24"/>
        </w:rPr>
      </w:pPr>
      <w:r w:rsidRPr="00E22F29">
        <w:rPr>
          <w:rFonts w:ascii="Times New Roman" w:hAnsi="Times New Roman" w:cs="Times New Roman"/>
          <w:noProof/>
          <w:sz w:val="24"/>
          <w:szCs w:val="24"/>
        </w:rPr>
        <w:t xml:space="preserve">From the figure 4, it can be seen that the current ratio of Sweet Plc is showing a rising trend as the ratio has improved from 0.77 in 2020 to 0.92 in 2021. Despite the rising trend, the current ratio of Sweet Plc was lower than the minimum satisfactory threshold of 1.0 in the last two financial years. This is suggestng that Sweets Plc not only enjoying improved profitability in the last two financial years due to aggressive working capital policy but will also face severe liquity crunch and potential financail distress during the period of declining revenue and cashflows. </w:t>
      </w:r>
    </w:p>
    <w:p w14:paraId="0649E007" w14:textId="77777777" w:rsidR="00931FF9" w:rsidRPr="0012673D" w:rsidRDefault="00931FF9" w:rsidP="005470D1">
      <w:pPr>
        <w:pStyle w:val="ListParagraph"/>
        <w:numPr>
          <w:ilvl w:val="0"/>
          <w:numId w:val="4"/>
        </w:numPr>
        <w:spacing w:line="360" w:lineRule="auto"/>
        <w:jc w:val="both"/>
        <w:rPr>
          <w:rFonts w:ascii="Times New Roman" w:hAnsi="Times New Roman" w:cs="Times New Roman"/>
          <w:b/>
          <w:bCs/>
          <w:sz w:val="24"/>
          <w:szCs w:val="24"/>
        </w:rPr>
      </w:pPr>
      <w:r w:rsidRPr="0012673D">
        <w:rPr>
          <w:rFonts w:ascii="Times New Roman" w:hAnsi="Times New Roman" w:cs="Times New Roman"/>
          <w:b/>
          <w:bCs/>
          <w:sz w:val="24"/>
          <w:szCs w:val="24"/>
        </w:rPr>
        <w:t>Efficiency ratios of Sweets Plc:</w:t>
      </w:r>
    </w:p>
    <w:p w14:paraId="136625F1" w14:textId="36FF0091" w:rsidR="00931FF9" w:rsidRPr="00E22F29" w:rsidRDefault="002405B0"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The managerial efficiency of the management of Sweets Plc can be assessed with the help of asset turnover, stock holding days and </w:t>
      </w:r>
      <w:proofErr w:type="gramStart"/>
      <w:r w:rsidRPr="00E22F29">
        <w:rPr>
          <w:rFonts w:ascii="Times New Roman" w:hAnsi="Times New Roman" w:cs="Times New Roman"/>
          <w:sz w:val="24"/>
          <w:szCs w:val="24"/>
        </w:rPr>
        <w:t>debtors</w:t>
      </w:r>
      <w:proofErr w:type="gramEnd"/>
      <w:r w:rsidRPr="00E22F29">
        <w:rPr>
          <w:rFonts w:ascii="Times New Roman" w:hAnsi="Times New Roman" w:cs="Times New Roman"/>
          <w:sz w:val="24"/>
          <w:szCs w:val="24"/>
        </w:rPr>
        <w:t xml:space="preserve"> collection period. </w:t>
      </w:r>
    </w:p>
    <w:p w14:paraId="6FC58A3F" w14:textId="49E23CD0" w:rsidR="002405B0" w:rsidRPr="0012673D" w:rsidRDefault="002405B0" w:rsidP="005470D1">
      <w:pPr>
        <w:pStyle w:val="ListParagraph"/>
        <w:numPr>
          <w:ilvl w:val="0"/>
          <w:numId w:val="3"/>
        </w:numPr>
        <w:spacing w:line="360" w:lineRule="auto"/>
        <w:jc w:val="both"/>
        <w:rPr>
          <w:rFonts w:ascii="Times New Roman" w:hAnsi="Times New Roman" w:cs="Times New Roman"/>
          <w:b/>
          <w:bCs/>
          <w:sz w:val="24"/>
          <w:szCs w:val="24"/>
        </w:rPr>
      </w:pPr>
      <w:r w:rsidRPr="0012673D">
        <w:rPr>
          <w:rFonts w:ascii="Times New Roman" w:hAnsi="Times New Roman" w:cs="Times New Roman"/>
          <w:b/>
          <w:bCs/>
          <w:sz w:val="24"/>
          <w:szCs w:val="24"/>
        </w:rPr>
        <w:t>Asset turnover</w:t>
      </w:r>
    </w:p>
    <w:p w14:paraId="02DFED5D" w14:textId="50400BA7" w:rsidR="00931FF9" w:rsidRDefault="00931FF9" w:rsidP="005470D1">
      <w:pPr>
        <w:spacing w:line="360" w:lineRule="auto"/>
        <w:jc w:val="center"/>
        <w:rPr>
          <w:rFonts w:ascii="Times New Roman" w:hAnsi="Times New Roman" w:cs="Times New Roman"/>
          <w:noProof/>
          <w:sz w:val="24"/>
          <w:szCs w:val="24"/>
        </w:rPr>
      </w:pPr>
      <w:r w:rsidRPr="00E22F29">
        <w:rPr>
          <w:rFonts w:ascii="Times New Roman" w:hAnsi="Times New Roman" w:cs="Times New Roman"/>
          <w:noProof/>
          <w:sz w:val="24"/>
          <w:szCs w:val="24"/>
        </w:rPr>
        <w:drawing>
          <wp:inline distT="0" distB="0" distL="0" distR="0" wp14:anchorId="4ECDDF44" wp14:editId="7848A0AC">
            <wp:extent cx="3416061" cy="2087592"/>
            <wp:effectExtent l="0" t="0" r="13335" b="8255"/>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40BED12" w14:textId="7DF7B9EF" w:rsidR="0012673D" w:rsidRPr="004B72E1" w:rsidRDefault="0012673D" w:rsidP="005470D1">
      <w:pPr>
        <w:spacing w:line="360" w:lineRule="auto"/>
        <w:jc w:val="both"/>
        <w:rPr>
          <w:rFonts w:ascii="Times New Roman" w:hAnsi="Times New Roman" w:cs="Times New Roman"/>
          <w:b/>
          <w:bCs/>
          <w:noProof/>
          <w:sz w:val="24"/>
          <w:szCs w:val="24"/>
        </w:rPr>
      </w:pPr>
      <w:r w:rsidRPr="004B72E1">
        <w:rPr>
          <w:rFonts w:ascii="Times New Roman" w:hAnsi="Times New Roman" w:cs="Times New Roman"/>
          <w:b/>
          <w:bCs/>
          <w:noProof/>
          <w:sz w:val="24"/>
          <w:szCs w:val="24"/>
        </w:rPr>
        <w:t>Figure-05: Asset turnover of Sweets Plc</w:t>
      </w:r>
    </w:p>
    <w:p w14:paraId="0CB55DAC" w14:textId="0E82F9AC" w:rsidR="00B71900" w:rsidRDefault="002405B0" w:rsidP="005470D1">
      <w:pPr>
        <w:spacing w:line="360" w:lineRule="auto"/>
        <w:jc w:val="both"/>
        <w:rPr>
          <w:rFonts w:ascii="Times New Roman" w:hAnsi="Times New Roman" w:cs="Times New Roman"/>
          <w:noProof/>
          <w:sz w:val="24"/>
          <w:szCs w:val="24"/>
        </w:rPr>
      </w:pPr>
      <w:r w:rsidRPr="00E22F29">
        <w:rPr>
          <w:rFonts w:ascii="Times New Roman" w:hAnsi="Times New Roman" w:cs="Times New Roman"/>
          <w:noProof/>
          <w:sz w:val="24"/>
          <w:szCs w:val="24"/>
        </w:rPr>
        <w:t xml:space="preserve">The asset turnover is showing </w:t>
      </w:r>
      <w:r w:rsidR="007730DF" w:rsidRPr="00E22F29">
        <w:rPr>
          <w:rFonts w:ascii="Times New Roman" w:hAnsi="Times New Roman" w:cs="Times New Roman"/>
          <w:noProof/>
          <w:sz w:val="24"/>
          <w:szCs w:val="24"/>
        </w:rPr>
        <w:t xml:space="preserve">a upward trend in the last two financial years as documented in figure 5 as the ratio is showing marginal improvement from 0.64 in 2020 to 0.69 in 2021. This marginal improvement can be attributed to the 4.61% imrpovement in revenue of the business in 2021 arising from increased demand of sweets and confectionary products in 2021. The rising trend is also suggesting that the </w:t>
      </w:r>
      <w:r w:rsidR="00B71900" w:rsidRPr="00E22F29">
        <w:rPr>
          <w:rFonts w:ascii="Times New Roman" w:hAnsi="Times New Roman" w:cs="Times New Roman"/>
          <w:noProof/>
          <w:sz w:val="24"/>
          <w:szCs w:val="24"/>
        </w:rPr>
        <w:t xml:space="preserve">management of Sweets Plc is esntuing optimal utilization of all of its different resources to genete increased revenue for the business. </w:t>
      </w:r>
    </w:p>
    <w:p w14:paraId="06A966B7" w14:textId="77777777" w:rsidR="0012673D" w:rsidRPr="00E22F29" w:rsidRDefault="0012673D" w:rsidP="005470D1">
      <w:pPr>
        <w:spacing w:line="360" w:lineRule="auto"/>
        <w:jc w:val="both"/>
        <w:rPr>
          <w:rFonts w:ascii="Times New Roman" w:hAnsi="Times New Roman" w:cs="Times New Roman"/>
          <w:noProof/>
          <w:sz w:val="24"/>
          <w:szCs w:val="24"/>
        </w:rPr>
      </w:pPr>
    </w:p>
    <w:p w14:paraId="192691E6" w14:textId="6CA71ADF" w:rsidR="002405B0" w:rsidRPr="0012673D" w:rsidRDefault="00B71900" w:rsidP="005470D1">
      <w:pPr>
        <w:pStyle w:val="ListParagraph"/>
        <w:numPr>
          <w:ilvl w:val="0"/>
          <w:numId w:val="3"/>
        </w:numPr>
        <w:spacing w:line="360" w:lineRule="auto"/>
        <w:jc w:val="both"/>
        <w:rPr>
          <w:rFonts w:ascii="Times New Roman" w:hAnsi="Times New Roman" w:cs="Times New Roman"/>
          <w:b/>
          <w:bCs/>
          <w:noProof/>
          <w:sz w:val="24"/>
          <w:szCs w:val="24"/>
        </w:rPr>
      </w:pPr>
      <w:r w:rsidRPr="0012673D">
        <w:rPr>
          <w:rFonts w:ascii="Times New Roman" w:hAnsi="Times New Roman" w:cs="Times New Roman"/>
          <w:b/>
          <w:bCs/>
          <w:noProof/>
          <w:sz w:val="24"/>
          <w:szCs w:val="24"/>
        </w:rPr>
        <w:t>Stock holding days:</w:t>
      </w:r>
    </w:p>
    <w:p w14:paraId="3CAEABC9" w14:textId="61BED439" w:rsidR="00931FF9" w:rsidRDefault="00931FF9" w:rsidP="005470D1">
      <w:pPr>
        <w:spacing w:line="360" w:lineRule="auto"/>
        <w:ind w:firstLine="720"/>
        <w:jc w:val="center"/>
        <w:rPr>
          <w:rFonts w:ascii="Times New Roman" w:hAnsi="Times New Roman" w:cs="Times New Roman"/>
          <w:sz w:val="24"/>
          <w:szCs w:val="24"/>
        </w:rPr>
      </w:pPr>
      <w:r w:rsidRPr="00E22F29">
        <w:rPr>
          <w:rFonts w:ascii="Times New Roman" w:hAnsi="Times New Roman" w:cs="Times New Roman"/>
          <w:noProof/>
          <w:sz w:val="24"/>
          <w:szCs w:val="24"/>
        </w:rPr>
        <w:drawing>
          <wp:inline distT="0" distB="0" distL="0" distR="0" wp14:anchorId="590584A2" wp14:editId="2D4296BF">
            <wp:extent cx="3692106" cy="2268747"/>
            <wp:effectExtent l="0" t="0" r="3810" b="1778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0E0683E" w14:textId="67FCE69F" w:rsidR="0012673D" w:rsidRPr="004B72E1" w:rsidRDefault="0012673D" w:rsidP="005470D1">
      <w:pPr>
        <w:spacing w:line="360" w:lineRule="auto"/>
        <w:jc w:val="both"/>
        <w:rPr>
          <w:rFonts w:ascii="Times New Roman" w:hAnsi="Times New Roman" w:cs="Times New Roman"/>
          <w:b/>
          <w:bCs/>
          <w:noProof/>
          <w:sz w:val="24"/>
          <w:szCs w:val="24"/>
        </w:rPr>
      </w:pPr>
      <w:r w:rsidRPr="004B72E1">
        <w:rPr>
          <w:rFonts w:ascii="Times New Roman" w:hAnsi="Times New Roman" w:cs="Times New Roman"/>
          <w:b/>
          <w:bCs/>
          <w:noProof/>
          <w:sz w:val="24"/>
          <w:szCs w:val="24"/>
        </w:rPr>
        <w:t>Figure-06: Stock holding days of Sweets Plc</w:t>
      </w:r>
    </w:p>
    <w:p w14:paraId="4DCE80C6" w14:textId="6C2853CD" w:rsidR="000215EE" w:rsidRPr="00E22F29" w:rsidRDefault="00B71900"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Based on the figure 6, it can be observed that the stock holding days is showing a rising trend in the last two financial years as the ratio has increased from 78 days in 2020 to </w:t>
      </w:r>
      <w:r w:rsidR="000215EE" w:rsidRPr="00E22F29">
        <w:rPr>
          <w:rFonts w:ascii="Times New Roman" w:hAnsi="Times New Roman" w:cs="Times New Roman"/>
          <w:sz w:val="24"/>
          <w:szCs w:val="24"/>
        </w:rPr>
        <w:t xml:space="preserve">80 days in 2021. The 2 days increase in stock holding days in 2021 is suggesting that it has taken on average 2 days for the management of Sweets Plc to convert raw materials into revenue for the business in 2021, thus demonstrating the managerial inefficiency of Sweets Plc in inventory management in recent time. </w:t>
      </w:r>
    </w:p>
    <w:p w14:paraId="54CF2A4E" w14:textId="319ECAAF" w:rsidR="000215EE" w:rsidRPr="004B72E1" w:rsidRDefault="000215EE" w:rsidP="005470D1">
      <w:pPr>
        <w:pStyle w:val="ListParagraph"/>
        <w:numPr>
          <w:ilvl w:val="0"/>
          <w:numId w:val="3"/>
        </w:numPr>
        <w:spacing w:line="360" w:lineRule="auto"/>
        <w:jc w:val="both"/>
        <w:rPr>
          <w:rFonts w:ascii="Times New Roman" w:hAnsi="Times New Roman" w:cs="Times New Roman"/>
          <w:b/>
          <w:bCs/>
          <w:sz w:val="24"/>
          <w:szCs w:val="24"/>
        </w:rPr>
      </w:pPr>
      <w:proofErr w:type="gramStart"/>
      <w:r w:rsidRPr="004B72E1">
        <w:rPr>
          <w:rFonts w:ascii="Times New Roman" w:hAnsi="Times New Roman" w:cs="Times New Roman"/>
          <w:b/>
          <w:bCs/>
          <w:sz w:val="24"/>
          <w:szCs w:val="24"/>
        </w:rPr>
        <w:t>Debtors</w:t>
      </w:r>
      <w:proofErr w:type="gramEnd"/>
      <w:r w:rsidRPr="004B72E1">
        <w:rPr>
          <w:rFonts w:ascii="Times New Roman" w:hAnsi="Times New Roman" w:cs="Times New Roman"/>
          <w:b/>
          <w:bCs/>
          <w:sz w:val="24"/>
          <w:szCs w:val="24"/>
        </w:rPr>
        <w:t xml:space="preserve"> collection period:</w:t>
      </w:r>
    </w:p>
    <w:p w14:paraId="7CB62C45" w14:textId="1F77CCEB" w:rsidR="00931FF9" w:rsidRPr="00E22F29" w:rsidRDefault="00931FF9" w:rsidP="005470D1">
      <w:pPr>
        <w:spacing w:line="360" w:lineRule="auto"/>
        <w:ind w:firstLine="720"/>
        <w:jc w:val="center"/>
        <w:rPr>
          <w:rFonts w:ascii="Times New Roman" w:hAnsi="Times New Roman" w:cs="Times New Roman"/>
          <w:sz w:val="24"/>
          <w:szCs w:val="24"/>
        </w:rPr>
      </w:pPr>
      <w:r w:rsidRPr="00E22F29">
        <w:rPr>
          <w:rFonts w:ascii="Times New Roman" w:hAnsi="Times New Roman" w:cs="Times New Roman"/>
          <w:noProof/>
          <w:sz w:val="24"/>
          <w:szCs w:val="24"/>
        </w:rPr>
        <w:drawing>
          <wp:inline distT="0" distB="0" distL="0" distR="0" wp14:anchorId="28172332" wp14:editId="672A4CE7">
            <wp:extent cx="3950898" cy="2122098"/>
            <wp:effectExtent l="0" t="0" r="12065" b="12065"/>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1FD0A5E" w14:textId="62E18D18" w:rsidR="00FC13E7" w:rsidRPr="004B72E1" w:rsidRDefault="00D07D29" w:rsidP="005470D1">
      <w:pPr>
        <w:spacing w:line="360" w:lineRule="auto"/>
        <w:jc w:val="both"/>
        <w:rPr>
          <w:rFonts w:ascii="Times New Roman" w:hAnsi="Times New Roman" w:cs="Times New Roman"/>
          <w:b/>
          <w:bCs/>
          <w:noProof/>
          <w:sz w:val="24"/>
          <w:szCs w:val="24"/>
        </w:rPr>
      </w:pPr>
      <w:r w:rsidRPr="004B72E1">
        <w:rPr>
          <w:rFonts w:ascii="Times New Roman" w:hAnsi="Times New Roman" w:cs="Times New Roman"/>
          <w:b/>
          <w:bCs/>
          <w:noProof/>
          <w:sz w:val="24"/>
          <w:szCs w:val="24"/>
        </w:rPr>
        <w:t>Figure-07: Debtor collection period of Sweets Plc</w:t>
      </w:r>
    </w:p>
    <w:p w14:paraId="2A73C641" w14:textId="0FBA9B8E" w:rsidR="000215EE" w:rsidRPr="00E22F29" w:rsidRDefault="000215EE"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The debtor collection period is showing a declining trend in the last two financial years as the ratio had declined from 73 days in 2020 to 68 days in 2021. The 5 days decline in the </w:t>
      </w:r>
      <w:proofErr w:type="gramStart"/>
      <w:r w:rsidRPr="00E22F29">
        <w:rPr>
          <w:rFonts w:ascii="Times New Roman" w:hAnsi="Times New Roman" w:cs="Times New Roman"/>
          <w:sz w:val="24"/>
          <w:szCs w:val="24"/>
        </w:rPr>
        <w:t>debtors</w:t>
      </w:r>
      <w:proofErr w:type="gramEnd"/>
      <w:r w:rsidRPr="00E22F29">
        <w:rPr>
          <w:rFonts w:ascii="Times New Roman" w:hAnsi="Times New Roman" w:cs="Times New Roman"/>
          <w:sz w:val="24"/>
          <w:szCs w:val="24"/>
        </w:rPr>
        <w:t xml:space="preserve"> collection period in 2021 is suggesting that the management of Sweets Plc has been able to collect money from its credit customer on average 5 days earlier in 2021, thus demonstrating the effective and efficient </w:t>
      </w:r>
      <w:r w:rsidR="00D07D29" w:rsidRPr="00E22F29">
        <w:rPr>
          <w:rFonts w:ascii="Times New Roman" w:hAnsi="Times New Roman" w:cs="Times New Roman"/>
          <w:sz w:val="24"/>
          <w:szCs w:val="24"/>
        </w:rPr>
        <w:t>receivable</w:t>
      </w:r>
      <w:r w:rsidRPr="00E22F29">
        <w:rPr>
          <w:rFonts w:ascii="Times New Roman" w:hAnsi="Times New Roman" w:cs="Times New Roman"/>
          <w:sz w:val="24"/>
          <w:szCs w:val="24"/>
        </w:rPr>
        <w:t xml:space="preserve"> management policy adopted by the management of Sweets Plc. </w:t>
      </w:r>
    </w:p>
    <w:p w14:paraId="1B61931E" w14:textId="70216E0F" w:rsidR="00FC13E7" w:rsidRPr="00D07D29" w:rsidRDefault="00FC13E7" w:rsidP="005470D1">
      <w:pPr>
        <w:pStyle w:val="ListParagraph"/>
        <w:numPr>
          <w:ilvl w:val="0"/>
          <w:numId w:val="4"/>
        </w:numPr>
        <w:spacing w:line="360" w:lineRule="auto"/>
        <w:jc w:val="both"/>
        <w:rPr>
          <w:rFonts w:ascii="Times New Roman" w:hAnsi="Times New Roman" w:cs="Times New Roman"/>
          <w:b/>
          <w:bCs/>
          <w:sz w:val="24"/>
          <w:szCs w:val="24"/>
        </w:rPr>
      </w:pPr>
      <w:r w:rsidRPr="00D07D29">
        <w:rPr>
          <w:rFonts w:ascii="Times New Roman" w:hAnsi="Times New Roman" w:cs="Times New Roman"/>
          <w:b/>
          <w:bCs/>
          <w:sz w:val="24"/>
          <w:szCs w:val="24"/>
        </w:rPr>
        <w:t>Solvency position of Sweets Plc:</w:t>
      </w:r>
    </w:p>
    <w:p w14:paraId="4D882983" w14:textId="478777DC" w:rsidR="00FC13E7" w:rsidRPr="00E22F29" w:rsidRDefault="00194EC6"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The </w:t>
      </w:r>
      <w:r w:rsidR="00D07D29" w:rsidRPr="00E22F29">
        <w:rPr>
          <w:rFonts w:ascii="Times New Roman" w:hAnsi="Times New Roman" w:cs="Times New Roman"/>
          <w:sz w:val="24"/>
          <w:szCs w:val="24"/>
        </w:rPr>
        <w:t>long-term</w:t>
      </w:r>
      <w:r w:rsidRPr="00E22F29">
        <w:rPr>
          <w:rFonts w:ascii="Times New Roman" w:hAnsi="Times New Roman" w:cs="Times New Roman"/>
          <w:sz w:val="24"/>
          <w:szCs w:val="24"/>
        </w:rPr>
        <w:t xml:space="preserve"> solvency of Sweet Plc will be evaluated based on the gearing ratio and the interest coverage ratio</w:t>
      </w:r>
    </w:p>
    <w:p w14:paraId="22E0E2B7" w14:textId="03EB606D" w:rsidR="00194EC6" w:rsidRPr="004B72E1" w:rsidRDefault="00194EC6" w:rsidP="005470D1">
      <w:pPr>
        <w:pStyle w:val="ListParagraph"/>
        <w:numPr>
          <w:ilvl w:val="0"/>
          <w:numId w:val="3"/>
        </w:numPr>
        <w:spacing w:line="360" w:lineRule="auto"/>
        <w:jc w:val="both"/>
        <w:rPr>
          <w:rFonts w:ascii="Times New Roman" w:hAnsi="Times New Roman" w:cs="Times New Roman"/>
          <w:b/>
          <w:bCs/>
          <w:sz w:val="24"/>
          <w:szCs w:val="24"/>
        </w:rPr>
      </w:pPr>
      <w:r w:rsidRPr="004B72E1">
        <w:rPr>
          <w:rFonts w:ascii="Times New Roman" w:hAnsi="Times New Roman" w:cs="Times New Roman"/>
          <w:b/>
          <w:bCs/>
          <w:sz w:val="24"/>
          <w:szCs w:val="24"/>
        </w:rPr>
        <w:t>Gearing Ratio:</w:t>
      </w:r>
    </w:p>
    <w:p w14:paraId="476FD594" w14:textId="51B0458F" w:rsidR="00FC13E7" w:rsidRPr="00E22F29" w:rsidRDefault="00FC13E7" w:rsidP="005470D1">
      <w:pPr>
        <w:spacing w:line="360" w:lineRule="auto"/>
        <w:ind w:firstLine="720"/>
        <w:jc w:val="center"/>
        <w:rPr>
          <w:rFonts w:ascii="Times New Roman" w:hAnsi="Times New Roman" w:cs="Times New Roman"/>
          <w:noProof/>
          <w:sz w:val="24"/>
          <w:szCs w:val="24"/>
        </w:rPr>
      </w:pPr>
      <w:r w:rsidRPr="00E22F29">
        <w:rPr>
          <w:rFonts w:ascii="Times New Roman" w:hAnsi="Times New Roman" w:cs="Times New Roman"/>
          <w:noProof/>
          <w:sz w:val="24"/>
          <w:szCs w:val="24"/>
        </w:rPr>
        <w:drawing>
          <wp:inline distT="0" distB="0" distL="0" distR="0" wp14:anchorId="4122A243" wp14:editId="504AFC52">
            <wp:extent cx="3554083" cy="2113472"/>
            <wp:effectExtent l="0" t="0" r="8890" b="127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2696227" w14:textId="710C4B91" w:rsidR="00FC13E7" w:rsidRPr="004B72E1" w:rsidRDefault="00D07D29" w:rsidP="005470D1">
      <w:pPr>
        <w:spacing w:line="360" w:lineRule="auto"/>
        <w:jc w:val="both"/>
        <w:rPr>
          <w:rFonts w:ascii="Times New Roman" w:hAnsi="Times New Roman" w:cs="Times New Roman"/>
          <w:b/>
          <w:bCs/>
          <w:noProof/>
          <w:sz w:val="24"/>
          <w:szCs w:val="24"/>
        </w:rPr>
      </w:pPr>
      <w:r w:rsidRPr="004B72E1">
        <w:rPr>
          <w:rFonts w:ascii="Times New Roman" w:hAnsi="Times New Roman" w:cs="Times New Roman"/>
          <w:b/>
          <w:bCs/>
          <w:noProof/>
          <w:sz w:val="24"/>
          <w:szCs w:val="24"/>
        </w:rPr>
        <w:t>Figure-08: Gearing ratio of Sweets Plc</w:t>
      </w:r>
    </w:p>
    <w:p w14:paraId="7A3019E1" w14:textId="498C9062" w:rsidR="00FC13E7" w:rsidRPr="00E22F29" w:rsidRDefault="00194EC6" w:rsidP="005470D1">
      <w:pPr>
        <w:tabs>
          <w:tab w:val="left" w:pos="1644"/>
        </w:tabs>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Based on the figure 8, a </w:t>
      </w:r>
      <w:r w:rsidR="002F7683" w:rsidRPr="00E22F29">
        <w:rPr>
          <w:rFonts w:ascii="Times New Roman" w:hAnsi="Times New Roman" w:cs="Times New Roman"/>
          <w:sz w:val="24"/>
          <w:szCs w:val="24"/>
        </w:rPr>
        <w:t>declining</w:t>
      </w:r>
      <w:r w:rsidRPr="00E22F29">
        <w:rPr>
          <w:rFonts w:ascii="Times New Roman" w:hAnsi="Times New Roman" w:cs="Times New Roman"/>
          <w:sz w:val="24"/>
          <w:szCs w:val="24"/>
        </w:rPr>
        <w:t xml:space="preserve"> trend can be </w:t>
      </w:r>
      <w:r w:rsidR="00D07D29" w:rsidRPr="00E22F29">
        <w:rPr>
          <w:rFonts w:ascii="Times New Roman" w:hAnsi="Times New Roman" w:cs="Times New Roman"/>
          <w:sz w:val="24"/>
          <w:szCs w:val="24"/>
        </w:rPr>
        <w:t>observed</w:t>
      </w:r>
      <w:r w:rsidRPr="00E22F29">
        <w:rPr>
          <w:rFonts w:ascii="Times New Roman" w:hAnsi="Times New Roman" w:cs="Times New Roman"/>
          <w:sz w:val="24"/>
          <w:szCs w:val="24"/>
        </w:rPr>
        <w:t xml:space="preserve"> in the </w:t>
      </w:r>
      <w:r w:rsidR="002F7683" w:rsidRPr="00E22F29">
        <w:rPr>
          <w:rFonts w:ascii="Times New Roman" w:hAnsi="Times New Roman" w:cs="Times New Roman"/>
          <w:sz w:val="24"/>
          <w:szCs w:val="24"/>
        </w:rPr>
        <w:t xml:space="preserve">gearing ratio of Sweets Plc in the last two financial years. Despite the decline, the gearing ratio has remained over 2.0 in the last two financial years which indicating that the capital structure of Sweets Plc is highly levered as </w:t>
      </w:r>
      <w:proofErr w:type="gramStart"/>
      <w:r w:rsidR="002F7683" w:rsidRPr="00E22F29">
        <w:rPr>
          <w:rFonts w:ascii="Times New Roman" w:hAnsi="Times New Roman" w:cs="Times New Roman"/>
          <w:sz w:val="24"/>
          <w:szCs w:val="24"/>
        </w:rPr>
        <w:t xml:space="preserve">it </w:t>
      </w:r>
      <w:r w:rsidR="007301FF">
        <w:rPr>
          <w:rFonts w:ascii="Times New Roman" w:hAnsi="Times New Roman" w:cs="Times New Roman"/>
          <w:sz w:val="24"/>
          <w:szCs w:val="24"/>
        </w:rPr>
        <w:t xml:space="preserve">can be seen </w:t>
      </w:r>
      <w:r w:rsidR="002F7683" w:rsidRPr="00E22F29">
        <w:rPr>
          <w:rFonts w:ascii="Times New Roman" w:hAnsi="Times New Roman" w:cs="Times New Roman"/>
          <w:sz w:val="24"/>
          <w:szCs w:val="24"/>
        </w:rPr>
        <w:t xml:space="preserve">that </w:t>
      </w:r>
      <w:r w:rsidR="007301FF">
        <w:rPr>
          <w:rFonts w:ascii="Times New Roman" w:hAnsi="Times New Roman" w:cs="Times New Roman"/>
          <w:sz w:val="24"/>
          <w:szCs w:val="24"/>
        </w:rPr>
        <w:t>for</w:t>
      </w:r>
      <w:proofErr w:type="gramEnd"/>
      <w:r w:rsidR="007301FF">
        <w:rPr>
          <w:rFonts w:ascii="Times New Roman" w:hAnsi="Times New Roman" w:cs="Times New Roman"/>
          <w:sz w:val="24"/>
          <w:szCs w:val="24"/>
        </w:rPr>
        <w:t xml:space="preserve"> </w:t>
      </w:r>
      <w:r w:rsidR="002F7683" w:rsidRPr="00E22F29">
        <w:rPr>
          <w:rFonts w:ascii="Times New Roman" w:hAnsi="Times New Roman" w:cs="Times New Roman"/>
          <w:sz w:val="24"/>
          <w:szCs w:val="24"/>
        </w:rPr>
        <w:t xml:space="preserve">every £1000 in equity financing raised by the firm in the last two financial </w:t>
      </w:r>
      <w:r w:rsidR="00D07D29">
        <w:rPr>
          <w:rFonts w:ascii="Times New Roman" w:hAnsi="Times New Roman" w:cs="Times New Roman"/>
          <w:sz w:val="24"/>
          <w:szCs w:val="24"/>
        </w:rPr>
        <w:t>years</w:t>
      </w:r>
      <w:r w:rsidR="002F7683" w:rsidRPr="00E22F29">
        <w:rPr>
          <w:rFonts w:ascii="Times New Roman" w:hAnsi="Times New Roman" w:cs="Times New Roman"/>
          <w:sz w:val="24"/>
          <w:szCs w:val="24"/>
        </w:rPr>
        <w:t xml:space="preserve">, debt borrowing on average </w:t>
      </w:r>
      <w:r w:rsidR="00D07D29" w:rsidRPr="00E22F29">
        <w:rPr>
          <w:rFonts w:ascii="Times New Roman" w:hAnsi="Times New Roman" w:cs="Times New Roman"/>
          <w:sz w:val="24"/>
          <w:szCs w:val="24"/>
        </w:rPr>
        <w:t>totalled</w:t>
      </w:r>
      <w:r w:rsidR="002F7683" w:rsidRPr="00E22F29">
        <w:rPr>
          <w:rFonts w:ascii="Times New Roman" w:hAnsi="Times New Roman" w:cs="Times New Roman"/>
          <w:sz w:val="24"/>
          <w:szCs w:val="24"/>
        </w:rPr>
        <w:t xml:space="preserve"> £2305 in 2020 and 2021. Thus, the management of Sweet Plc should maintain this declining trend in the future through improved equity base supported by consistency in profitability and the timely repayment of debt </w:t>
      </w:r>
      <w:r w:rsidR="0090142D" w:rsidRPr="00E22F29">
        <w:rPr>
          <w:rFonts w:ascii="Times New Roman" w:hAnsi="Times New Roman" w:cs="Times New Roman"/>
          <w:sz w:val="24"/>
          <w:szCs w:val="24"/>
        </w:rPr>
        <w:t>obligations to ensure long term financial solvency of the business.</w:t>
      </w:r>
      <w:r w:rsidR="00FC13E7" w:rsidRPr="00E22F29">
        <w:rPr>
          <w:rFonts w:ascii="Times New Roman" w:hAnsi="Times New Roman" w:cs="Times New Roman"/>
          <w:sz w:val="24"/>
          <w:szCs w:val="24"/>
        </w:rPr>
        <w:tab/>
      </w:r>
    </w:p>
    <w:p w14:paraId="26A43B43" w14:textId="1E0A95DE" w:rsidR="00FC13E7" w:rsidRPr="004B72E1" w:rsidRDefault="0090142D" w:rsidP="005470D1">
      <w:pPr>
        <w:pStyle w:val="ListParagraph"/>
        <w:numPr>
          <w:ilvl w:val="0"/>
          <w:numId w:val="3"/>
        </w:numPr>
        <w:tabs>
          <w:tab w:val="left" w:pos="1644"/>
        </w:tabs>
        <w:spacing w:line="360" w:lineRule="auto"/>
        <w:jc w:val="both"/>
        <w:rPr>
          <w:rFonts w:ascii="Times New Roman" w:hAnsi="Times New Roman" w:cs="Times New Roman"/>
          <w:b/>
          <w:bCs/>
          <w:sz w:val="24"/>
          <w:szCs w:val="24"/>
        </w:rPr>
      </w:pPr>
      <w:r w:rsidRPr="004B72E1">
        <w:rPr>
          <w:rFonts w:ascii="Times New Roman" w:hAnsi="Times New Roman" w:cs="Times New Roman"/>
          <w:b/>
          <w:bCs/>
          <w:sz w:val="24"/>
          <w:szCs w:val="24"/>
        </w:rPr>
        <w:t>Interest Coverage Ratio:</w:t>
      </w:r>
    </w:p>
    <w:p w14:paraId="73A11EAC" w14:textId="7F542FF0" w:rsidR="00FC13E7" w:rsidRPr="00E22F29" w:rsidRDefault="00FC13E7" w:rsidP="005470D1">
      <w:pPr>
        <w:tabs>
          <w:tab w:val="left" w:pos="1644"/>
        </w:tabs>
        <w:spacing w:line="360" w:lineRule="auto"/>
        <w:jc w:val="center"/>
        <w:rPr>
          <w:rFonts w:ascii="Times New Roman" w:hAnsi="Times New Roman" w:cs="Times New Roman"/>
          <w:noProof/>
          <w:sz w:val="24"/>
          <w:szCs w:val="24"/>
        </w:rPr>
      </w:pPr>
      <w:r w:rsidRPr="00E22F29">
        <w:rPr>
          <w:rFonts w:ascii="Times New Roman" w:hAnsi="Times New Roman" w:cs="Times New Roman"/>
          <w:noProof/>
          <w:sz w:val="24"/>
          <w:szCs w:val="24"/>
        </w:rPr>
        <w:drawing>
          <wp:inline distT="0" distB="0" distL="0" distR="0" wp14:anchorId="58A3A98B" wp14:editId="4F613C80">
            <wp:extent cx="4120738" cy="2571008"/>
            <wp:effectExtent l="0" t="0" r="13335" b="127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BBFFF39" w14:textId="0E1653B8" w:rsidR="00FC13E7" w:rsidRPr="004B72E1" w:rsidRDefault="00D07D29" w:rsidP="005470D1">
      <w:pPr>
        <w:spacing w:line="360" w:lineRule="auto"/>
        <w:jc w:val="both"/>
        <w:rPr>
          <w:rFonts w:ascii="Times New Roman" w:hAnsi="Times New Roman" w:cs="Times New Roman"/>
          <w:b/>
          <w:bCs/>
          <w:noProof/>
          <w:sz w:val="24"/>
          <w:szCs w:val="24"/>
        </w:rPr>
      </w:pPr>
      <w:r w:rsidRPr="004B72E1">
        <w:rPr>
          <w:rFonts w:ascii="Times New Roman" w:hAnsi="Times New Roman" w:cs="Times New Roman"/>
          <w:b/>
          <w:bCs/>
          <w:noProof/>
          <w:sz w:val="24"/>
          <w:szCs w:val="24"/>
        </w:rPr>
        <w:t>Figure-09: Interest coverage ratio of Sweets Plc</w:t>
      </w:r>
    </w:p>
    <w:p w14:paraId="386F4FCC" w14:textId="0DDB8687" w:rsidR="00D07D29" w:rsidRPr="00E22F29" w:rsidRDefault="0090142D" w:rsidP="005470D1">
      <w:pPr>
        <w:tabs>
          <w:tab w:val="left" w:pos="951"/>
        </w:tabs>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The interest coverage ratio is showing a declining trend in 2021 as the ratio had declined from 3.86x in 2020 to 3.56x in 2021. This marginal decline in 2021 can be attributed to the 24.9% increase in financial expenses of the business in 2021 which has surpassed the 15.2% increase in the </w:t>
      </w:r>
      <w:r w:rsidR="00D07D29" w:rsidRPr="00E22F29">
        <w:rPr>
          <w:rFonts w:ascii="Times New Roman" w:hAnsi="Times New Roman" w:cs="Times New Roman"/>
          <w:sz w:val="24"/>
          <w:szCs w:val="24"/>
        </w:rPr>
        <w:t>operating</w:t>
      </w:r>
      <w:r w:rsidRPr="00E22F29">
        <w:rPr>
          <w:rFonts w:ascii="Times New Roman" w:hAnsi="Times New Roman" w:cs="Times New Roman"/>
          <w:sz w:val="24"/>
          <w:szCs w:val="24"/>
        </w:rPr>
        <w:t xml:space="preserve"> profit in 2021. Despite the marginal decline, the ratio had remained above the </w:t>
      </w:r>
      <w:r w:rsidR="00D07D29" w:rsidRPr="00E22F29">
        <w:rPr>
          <w:rFonts w:ascii="Times New Roman" w:hAnsi="Times New Roman" w:cs="Times New Roman"/>
          <w:sz w:val="24"/>
          <w:szCs w:val="24"/>
        </w:rPr>
        <w:t>satisfactory</w:t>
      </w:r>
      <w:r w:rsidRPr="00E22F29">
        <w:rPr>
          <w:rFonts w:ascii="Times New Roman" w:hAnsi="Times New Roman" w:cs="Times New Roman"/>
          <w:sz w:val="24"/>
          <w:szCs w:val="24"/>
        </w:rPr>
        <w:t xml:space="preserve"> threshold of 2.0x in the last two financial years, thus suggesting that Sweets Plc's management has produced enough revenue to generate adequate operating profit to cover the interest costs of its debt financing in the last two financial years.</w:t>
      </w:r>
    </w:p>
    <w:p w14:paraId="344A9B37" w14:textId="59335BCF" w:rsidR="00FC13E7" w:rsidRPr="00D07D29" w:rsidRDefault="00FC13E7" w:rsidP="005470D1">
      <w:pPr>
        <w:pStyle w:val="ListParagraph"/>
        <w:numPr>
          <w:ilvl w:val="0"/>
          <w:numId w:val="4"/>
        </w:numPr>
        <w:tabs>
          <w:tab w:val="left" w:pos="951"/>
        </w:tabs>
        <w:spacing w:line="360" w:lineRule="auto"/>
        <w:jc w:val="both"/>
        <w:rPr>
          <w:rFonts w:ascii="Times New Roman" w:hAnsi="Times New Roman" w:cs="Times New Roman"/>
          <w:b/>
          <w:bCs/>
          <w:sz w:val="24"/>
          <w:szCs w:val="24"/>
        </w:rPr>
      </w:pPr>
      <w:r w:rsidRPr="00D07D29">
        <w:rPr>
          <w:rFonts w:ascii="Times New Roman" w:hAnsi="Times New Roman" w:cs="Times New Roman"/>
          <w:b/>
          <w:bCs/>
          <w:sz w:val="24"/>
          <w:szCs w:val="24"/>
        </w:rPr>
        <w:t>Market Valuation Ratio:</w:t>
      </w:r>
    </w:p>
    <w:p w14:paraId="2256027F" w14:textId="2741BB25" w:rsidR="00FC13E7" w:rsidRPr="00D07D29" w:rsidRDefault="00E22F29" w:rsidP="005470D1">
      <w:pPr>
        <w:pStyle w:val="ListParagraph"/>
        <w:numPr>
          <w:ilvl w:val="0"/>
          <w:numId w:val="3"/>
        </w:numPr>
        <w:tabs>
          <w:tab w:val="left" w:pos="951"/>
        </w:tabs>
        <w:spacing w:line="360" w:lineRule="auto"/>
        <w:jc w:val="both"/>
        <w:rPr>
          <w:rFonts w:ascii="Times New Roman" w:hAnsi="Times New Roman" w:cs="Times New Roman"/>
          <w:b/>
          <w:bCs/>
          <w:sz w:val="24"/>
          <w:szCs w:val="24"/>
        </w:rPr>
      </w:pPr>
      <w:r w:rsidRPr="00D07D29">
        <w:rPr>
          <w:rFonts w:ascii="Times New Roman" w:hAnsi="Times New Roman" w:cs="Times New Roman"/>
          <w:b/>
          <w:bCs/>
          <w:sz w:val="24"/>
          <w:szCs w:val="24"/>
        </w:rPr>
        <w:t>EPS:</w:t>
      </w:r>
    </w:p>
    <w:p w14:paraId="2096C0E1" w14:textId="1FB53410" w:rsidR="00FC13E7" w:rsidRPr="00E22F29" w:rsidRDefault="00FC13E7" w:rsidP="005470D1">
      <w:pPr>
        <w:tabs>
          <w:tab w:val="left" w:pos="951"/>
        </w:tabs>
        <w:spacing w:line="360" w:lineRule="auto"/>
        <w:jc w:val="both"/>
        <w:rPr>
          <w:rFonts w:ascii="Times New Roman" w:hAnsi="Times New Roman" w:cs="Times New Roman"/>
          <w:noProof/>
          <w:sz w:val="24"/>
          <w:szCs w:val="24"/>
        </w:rPr>
      </w:pPr>
      <w:r w:rsidRPr="00E22F29">
        <w:rPr>
          <w:rFonts w:ascii="Times New Roman" w:hAnsi="Times New Roman" w:cs="Times New Roman"/>
          <w:noProof/>
          <w:sz w:val="24"/>
          <w:szCs w:val="24"/>
        </w:rPr>
        <w:drawing>
          <wp:inline distT="0" distB="0" distL="0" distR="0" wp14:anchorId="0307569A" wp14:editId="25F32CDC">
            <wp:extent cx="3692105" cy="2061713"/>
            <wp:effectExtent l="0" t="0" r="3810" b="1524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59B1771" w14:textId="02D0C71D" w:rsidR="00E22F29" w:rsidRPr="004B72E1" w:rsidRDefault="00D07D29" w:rsidP="005470D1">
      <w:pPr>
        <w:spacing w:line="360" w:lineRule="auto"/>
        <w:jc w:val="both"/>
        <w:rPr>
          <w:rFonts w:ascii="Times New Roman" w:hAnsi="Times New Roman" w:cs="Times New Roman"/>
          <w:b/>
          <w:bCs/>
          <w:noProof/>
          <w:sz w:val="24"/>
          <w:szCs w:val="24"/>
        </w:rPr>
      </w:pPr>
      <w:r w:rsidRPr="004B72E1">
        <w:rPr>
          <w:rFonts w:ascii="Times New Roman" w:hAnsi="Times New Roman" w:cs="Times New Roman"/>
          <w:b/>
          <w:bCs/>
          <w:noProof/>
          <w:sz w:val="24"/>
          <w:szCs w:val="24"/>
        </w:rPr>
        <w:t>Figure-10: EPS of Sweets Plc</w:t>
      </w:r>
    </w:p>
    <w:p w14:paraId="6BB969D1" w14:textId="031E3353" w:rsidR="00E22F29" w:rsidRDefault="00E22F29" w:rsidP="005470D1">
      <w:pPr>
        <w:spacing w:line="360" w:lineRule="auto"/>
        <w:jc w:val="both"/>
        <w:rPr>
          <w:rFonts w:ascii="Times New Roman" w:hAnsi="Times New Roman" w:cs="Times New Roman"/>
          <w:sz w:val="24"/>
          <w:szCs w:val="24"/>
        </w:rPr>
      </w:pPr>
      <w:r w:rsidRPr="00E22F29">
        <w:rPr>
          <w:rFonts w:ascii="Times New Roman" w:hAnsi="Times New Roman" w:cs="Times New Roman"/>
          <w:sz w:val="24"/>
          <w:szCs w:val="24"/>
        </w:rPr>
        <w:t xml:space="preserve">The assessment of EPS is showing a rising trend during the studied period as the ratio has increased from </w:t>
      </w:r>
      <w:r w:rsidR="007301FF" w:rsidRPr="00E22F29">
        <w:rPr>
          <w:rFonts w:ascii="Times New Roman" w:eastAsia="Times New Roman" w:hAnsi="Times New Roman" w:cs="Times New Roman"/>
          <w:color w:val="000000"/>
          <w:sz w:val="24"/>
          <w:szCs w:val="24"/>
        </w:rPr>
        <w:t>£</w:t>
      </w:r>
      <w:r w:rsidRPr="00E22F29">
        <w:rPr>
          <w:rFonts w:ascii="Times New Roman" w:hAnsi="Times New Roman" w:cs="Times New Roman"/>
          <w:sz w:val="24"/>
          <w:szCs w:val="24"/>
        </w:rPr>
        <w:t xml:space="preserve">0.61 per share in 2020 to </w:t>
      </w:r>
      <w:r w:rsidR="007301FF" w:rsidRPr="00E22F29">
        <w:rPr>
          <w:rFonts w:ascii="Times New Roman" w:eastAsia="Times New Roman" w:hAnsi="Times New Roman" w:cs="Times New Roman"/>
          <w:color w:val="000000"/>
          <w:sz w:val="24"/>
          <w:szCs w:val="24"/>
        </w:rPr>
        <w:t>£</w:t>
      </w:r>
      <w:r w:rsidRPr="00E22F29">
        <w:rPr>
          <w:rFonts w:ascii="Times New Roman" w:hAnsi="Times New Roman" w:cs="Times New Roman"/>
          <w:sz w:val="24"/>
          <w:szCs w:val="24"/>
        </w:rPr>
        <w:t>0.72 per share in 2021. The rising trend is the result of 17.8% improvement in the net profitability of the business in 2021. The rising trend is suggesting that the management of Sweets Plc is generating suffi</w:t>
      </w:r>
      <w:r w:rsidR="00D07D29">
        <w:rPr>
          <w:rFonts w:ascii="Times New Roman" w:hAnsi="Times New Roman" w:cs="Times New Roman"/>
          <w:sz w:val="24"/>
          <w:szCs w:val="24"/>
        </w:rPr>
        <w:t>ci</w:t>
      </w:r>
      <w:r w:rsidRPr="00E22F29">
        <w:rPr>
          <w:rFonts w:ascii="Times New Roman" w:hAnsi="Times New Roman" w:cs="Times New Roman"/>
          <w:sz w:val="24"/>
          <w:szCs w:val="24"/>
        </w:rPr>
        <w:t xml:space="preserve">ent revenue and profit for its shareholders and the continuous rising trend in EPS will help the company to attain greater market valuation through rising share market price in the future. </w:t>
      </w:r>
    </w:p>
    <w:p w14:paraId="6A08BF84" w14:textId="6CA824DC" w:rsidR="004B72E1" w:rsidRPr="004B72E1" w:rsidRDefault="004B72E1" w:rsidP="005470D1">
      <w:pPr>
        <w:spacing w:line="360" w:lineRule="auto"/>
        <w:jc w:val="both"/>
        <w:rPr>
          <w:rFonts w:ascii="Times New Roman" w:hAnsi="Times New Roman" w:cs="Times New Roman"/>
          <w:sz w:val="24"/>
          <w:szCs w:val="24"/>
        </w:rPr>
      </w:pPr>
    </w:p>
    <w:p w14:paraId="099AFA12" w14:textId="1978389E" w:rsidR="004B72E1" w:rsidRPr="004B72E1" w:rsidRDefault="004B72E1" w:rsidP="005470D1">
      <w:pPr>
        <w:spacing w:line="360" w:lineRule="auto"/>
        <w:jc w:val="both"/>
        <w:rPr>
          <w:rFonts w:ascii="Times New Roman" w:hAnsi="Times New Roman" w:cs="Times New Roman"/>
          <w:sz w:val="24"/>
          <w:szCs w:val="24"/>
        </w:rPr>
      </w:pPr>
    </w:p>
    <w:p w14:paraId="3420C217" w14:textId="67C2CB23" w:rsidR="004B72E1" w:rsidRPr="004B72E1" w:rsidRDefault="004B72E1" w:rsidP="005470D1">
      <w:pPr>
        <w:spacing w:line="360" w:lineRule="auto"/>
        <w:jc w:val="both"/>
        <w:rPr>
          <w:rFonts w:ascii="Times New Roman" w:hAnsi="Times New Roman" w:cs="Times New Roman"/>
          <w:sz w:val="24"/>
          <w:szCs w:val="24"/>
        </w:rPr>
      </w:pPr>
    </w:p>
    <w:p w14:paraId="08861A14" w14:textId="1BA32245" w:rsidR="004B72E1" w:rsidRDefault="004B72E1" w:rsidP="005470D1">
      <w:pPr>
        <w:spacing w:line="360" w:lineRule="auto"/>
        <w:jc w:val="both"/>
        <w:rPr>
          <w:rFonts w:ascii="Times New Roman" w:hAnsi="Times New Roman" w:cs="Times New Roman"/>
          <w:sz w:val="24"/>
          <w:szCs w:val="24"/>
        </w:rPr>
      </w:pPr>
    </w:p>
    <w:p w14:paraId="5C6682F6" w14:textId="13897456" w:rsidR="004B72E1" w:rsidRPr="004B72E1" w:rsidRDefault="004B72E1" w:rsidP="005470D1">
      <w:pPr>
        <w:pStyle w:val="Heading1"/>
        <w:spacing w:line="360" w:lineRule="auto"/>
        <w:jc w:val="both"/>
        <w:rPr>
          <w:b/>
          <w:bCs/>
        </w:rPr>
      </w:pPr>
      <w:bookmarkStart w:id="8" w:name="_Toc118575981"/>
      <w:r w:rsidRPr="004B72E1">
        <w:rPr>
          <w:b/>
          <w:bCs/>
        </w:rPr>
        <w:t>Conclusion</w:t>
      </w:r>
      <w:bookmarkEnd w:id="8"/>
    </w:p>
    <w:p w14:paraId="1B40BD1E" w14:textId="5D2A5400" w:rsidR="004B72E1" w:rsidRDefault="004B72E1" w:rsidP="005470D1">
      <w:pPr>
        <w:spacing w:line="360" w:lineRule="auto"/>
        <w:jc w:val="both"/>
        <w:rPr>
          <w:rFonts w:ascii="Times New Roman" w:hAnsi="Times New Roman" w:cs="Times New Roman"/>
          <w:sz w:val="24"/>
          <w:szCs w:val="24"/>
        </w:rPr>
      </w:pPr>
      <w:r w:rsidRPr="004B72E1">
        <w:rPr>
          <w:rFonts w:ascii="Times New Roman" w:hAnsi="Times New Roman" w:cs="Times New Roman"/>
          <w:sz w:val="24"/>
          <w:szCs w:val="24"/>
        </w:rPr>
        <w:t>It is clear from this study that different managerial and financial accounting tools and techniques aid in not only optimizing organizational decision-making but also improving the accuracy and quality of management decisions by disseminating information in the most effective and efficient way possible.</w:t>
      </w:r>
    </w:p>
    <w:p w14:paraId="3BE57A50" w14:textId="6D9221A2" w:rsidR="00D66F3D" w:rsidRDefault="00D66F3D" w:rsidP="005470D1">
      <w:pPr>
        <w:spacing w:line="360" w:lineRule="auto"/>
        <w:jc w:val="both"/>
        <w:rPr>
          <w:rFonts w:ascii="Times New Roman" w:hAnsi="Times New Roman" w:cs="Times New Roman"/>
          <w:sz w:val="24"/>
          <w:szCs w:val="24"/>
        </w:rPr>
      </w:pPr>
    </w:p>
    <w:p w14:paraId="1A212423" w14:textId="047415EE" w:rsidR="00D66F3D" w:rsidRDefault="00D66F3D" w:rsidP="005470D1">
      <w:pPr>
        <w:spacing w:line="360" w:lineRule="auto"/>
        <w:jc w:val="both"/>
        <w:rPr>
          <w:rFonts w:ascii="Times New Roman" w:hAnsi="Times New Roman" w:cs="Times New Roman"/>
          <w:sz w:val="24"/>
          <w:szCs w:val="24"/>
        </w:rPr>
      </w:pPr>
    </w:p>
    <w:p w14:paraId="7479FC50" w14:textId="06D17364" w:rsidR="00D66F3D" w:rsidRDefault="00D66F3D" w:rsidP="005470D1">
      <w:pPr>
        <w:spacing w:line="360" w:lineRule="auto"/>
        <w:jc w:val="both"/>
        <w:rPr>
          <w:rFonts w:ascii="Times New Roman" w:hAnsi="Times New Roman" w:cs="Times New Roman"/>
          <w:sz w:val="24"/>
          <w:szCs w:val="24"/>
        </w:rPr>
      </w:pPr>
    </w:p>
    <w:p w14:paraId="2C446D37" w14:textId="581E9F0F" w:rsidR="00D66F3D" w:rsidRDefault="00D66F3D" w:rsidP="005470D1">
      <w:pPr>
        <w:spacing w:line="360" w:lineRule="auto"/>
        <w:jc w:val="both"/>
        <w:rPr>
          <w:rFonts w:ascii="Times New Roman" w:hAnsi="Times New Roman" w:cs="Times New Roman"/>
          <w:sz w:val="24"/>
          <w:szCs w:val="24"/>
        </w:rPr>
      </w:pPr>
    </w:p>
    <w:p w14:paraId="29C8F89D" w14:textId="1DF663AC" w:rsidR="00D66F3D" w:rsidRDefault="00D66F3D" w:rsidP="005470D1">
      <w:pPr>
        <w:spacing w:line="360" w:lineRule="auto"/>
        <w:jc w:val="both"/>
        <w:rPr>
          <w:rFonts w:ascii="Times New Roman" w:hAnsi="Times New Roman" w:cs="Times New Roman"/>
          <w:sz w:val="24"/>
          <w:szCs w:val="24"/>
        </w:rPr>
      </w:pPr>
    </w:p>
    <w:p w14:paraId="105A7FA6" w14:textId="7ADFC5B0" w:rsidR="00D66F3D" w:rsidRDefault="00D66F3D" w:rsidP="005470D1">
      <w:pPr>
        <w:spacing w:line="360" w:lineRule="auto"/>
        <w:jc w:val="both"/>
        <w:rPr>
          <w:rFonts w:ascii="Times New Roman" w:hAnsi="Times New Roman" w:cs="Times New Roman"/>
          <w:sz w:val="24"/>
          <w:szCs w:val="24"/>
        </w:rPr>
      </w:pPr>
    </w:p>
    <w:p w14:paraId="75AFEE97" w14:textId="79610838" w:rsidR="00D66F3D" w:rsidRDefault="00D66F3D" w:rsidP="005470D1">
      <w:pPr>
        <w:spacing w:line="360" w:lineRule="auto"/>
        <w:jc w:val="both"/>
        <w:rPr>
          <w:rFonts w:ascii="Times New Roman" w:hAnsi="Times New Roman" w:cs="Times New Roman"/>
          <w:sz w:val="24"/>
          <w:szCs w:val="24"/>
        </w:rPr>
      </w:pPr>
    </w:p>
    <w:p w14:paraId="1A8545CE" w14:textId="05D3B440" w:rsidR="00D66F3D" w:rsidRDefault="00D66F3D" w:rsidP="005470D1">
      <w:pPr>
        <w:spacing w:line="360" w:lineRule="auto"/>
        <w:jc w:val="both"/>
        <w:rPr>
          <w:rFonts w:ascii="Times New Roman" w:hAnsi="Times New Roman" w:cs="Times New Roman"/>
          <w:sz w:val="24"/>
          <w:szCs w:val="24"/>
        </w:rPr>
      </w:pPr>
    </w:p>
    <w:p w14:paraId="25B6A882" w14:textId="6B6B51F9" w:rsidR="00D66F3D" w:rsidRDefault="00D66F3D" w:rsidP="005470D1">
      <w:pPr>
        <w:spacing w:line="360" w:lineRule="auto"/>
        <w:jc w:val="both"/>
        <w:rPr>
          <w:rFonts w:ascii="Times New Roman" w:hAnsi="Times New Roman" w:cs="Times New Roman"/>
          <w:sz w:val="24"/>
          <w:szCs w:val="24"/>
        </w:rPr>
      </w:pPr>
    </w:p>
    <w:p w14:paraId="0F34B9FE" w14:textId="74CFF48D" w:rsidR="00D66F3D" w:rsidRDefault="00D66F3D" w:rsidP="005470D1">
      <w:pPr>
        <w:spacing w:line="360" w:lineRule="auto"/>
        <w:jc w:val="both"/>
        <w:rPr>
          <w:rFonts w:ascii="Times New Roman" w:hAnsi="Times New Roman" w:cs="Times New Roman"/>
          <w:sz w:val="24"/>
          <w:szCs w:val="24"/>
        </w:rPr>
      </w:pPr>
    </w:p>
    <w:p w14:paraId="68E5B6A9" w14:textId="4F9D71E5" w:rsidR="00D66F3D" w:rsidRDefault="00D66F3D" w:rsidP="005470D1">
      <w:pPr>
        <w:spacing w:line="360" w:lineRule="auto"/>
        <w:jc w:val="both"/>
        <w:rPr>
          <w:rFonts w:ascii="Times New Roman" w:hAnsi="Times New Roman" w:cs="Times New Roman"/>
          <w:sz w:val="24"/>
          <w:szCs w:val="24"/>
        </w:rPr>
      </w:pPr>
    </w:p>
    <w:p w14:paraId="66274BBC" w14:textId="0C915A92" w:rsidR="00D66F3D" w:rsidRDefault="00D66F3D" w:rsidP="005470D1">
      <w:pPr>
        <w:spacing w:line="360" w:lineRule="auto"/>
        <w:jc w:val="both"/>
        <w:rPr>
          <w:rFonts w:ascii="Times New Roman" w:hAnsi="Times New Roman" w:cs="Times New Roman"/>
          <w:sz w:val="24"/>
          <w:szCs w:val="24"/>
        </w:rPr>
      </w:pPr>
    </w:p>
    <w:p w14:paraId="3F4C3C66" w14:textId="6AB5F915" w:rsidR="00D66F3D" w:rsidRDefault="00D66F3D" w:rsidP="005470D1">
      <w:pPr>
        <w:spacing w:line="360" w:lineRule="auto"/>
        <w:jc w:val="both"/>
        <w:rPr>
          <w:rFonts w:ascii="Times New Roman" w:hAnsi="Times New Roman" w:cs="Times New Roman"/>
          <w:sz w:val="24"/>
          <w:szCs w:val="24"/>
        </w:rPr>
      </w:pPr>
    </w:p>
    <w:p w14:paraId="62218746" w14:textId="3B4F70CE" w:rsidR="00D66F3D" w:rsidRDefault="00D66F3D" w:rsidP="005470D1">
      <w:pPr>
        <w:spacing w:line="360" w:lineRule="auto"/>
        <w:jc w:val="both"/>
        <w:rPr>
          <w:rFonts w:ascii="Times New Roman" w:hAnsi="Times New Roman" w:cs="Times New Roman"/>
          <w:sz w:val="24"/>
          <w:szCs w:val="24"/>
        </w:rPr>
      </w:pPr>
    </w:p>
    <w:p w14:paraId="71A769A5" w14:textId="3E8CE4D7" w:rsidR="00D66F3D" w:rsidRDefault="00D66F3D" w:rsidP="005470D1">
      <w:pPr>
        <w:spacing w:line="360" w:lineRule="auto"/>
        <w:jc w:val="both"/>
        <w:rPr>
          <w:rFonts w:ascii="Times New Roman" w:hAnsi="Times New Roman" w:cs="Times New Roman"/>
          <w:sz w:val="24"/>
          <w:szCs w:val="24"/>
        </w:rPr>
      </w:pPr>
    </w:p>
    <w:p w14:paraId="3E33D65C" w14:textId="65B3617C" w:rsidR="00D66F3D" w:rsidRDefault="00D66F3D" w:rsidP="005470D1">
      <w:pPr>
        <w:spacing w:line="360" w:lineRule="auto"/>
        <w:jc w:val="both"/>
        <w:rPr>
          <w:rFonts w:ascii="Times New Roman" w:hAnsi="Times New Roman" w:cs="Times New Roman"/>
          <w:sz w:val="24"/>
          <w:szCs w:val="24"/>
        </w:rPr>
      </w:pPr>
    </w:p>
    <w:p w14:paraId="2DAFB8A0" w14:textId="494A9F27" w:rsidR="00D66F3D" w:rsidRDefault="00D66F3D" w:rsidP="005470D1">
      <w:pPr>
        <w:spacing w:line="360" w:lineRule="auto"/>
        <w:jc w:val="both"/>
        <w:rPr>
          <w:rFonts w:ascii="Times New Roman" w:hAnsi="Times New Roman" w:cs="Times New Roman"/>
          <w:sz w:val="24"/>
          <w:szCs w:val="24"/>
        </w:rPr>
      </w:pPr>
    </w:p>
    <w:p w14:paraId="4EC86A84" w14:textId="77777777" w:rsidR="00D66F3D" w:rsidRDefault="00D66F3D" w:rsidP="005470D1">
      <w:pPr>
        <w:spacing w:line="360" w:lineRule="auto"/>
        <w:jc w:val="both"/>
        <w:rPr>
          <w:rFonts w:ascii="Times New Roman" w:hAnsi="Times New Roman" w:cs="Times New Roman"/>
          <w:sz w:val="24"/>
          <w:szCs w:val="24"/>
        </w:rPr>
      </w:pPr>
    </w:p>
    <w:p w14:paraId="52DF2476" w14:textId="1A57B2C3" w:rsidR="005470D1" w:rsidRDefault="005470D1" w:rsidP="005470D1">
      <w:pPr>
        <w:pStyle w:val="Heading1"/>
        <w:spacing w:line="360" w:lineRule="auto"/>
        <w:jc w:val="both"/>
        <w:rPr>
          <w:b/>
          <w:bCs/>
        </w:rPr>
      </w:pPr>
      <w:r w:rsidRPr="005470D1">
        <w:rPr>
          <w:b/>
          <w:bCs/>
        </w:rPr>
        <w:t xml:space="preserve">References </w:t>
      </w:r>
    </w:p>
    <w:p w14:paraId="4C864AF8" w14:textId="77777777" w:rsidR="005470D1" w:rsidRPr="005470D1" w:rsidRDefault="005470D1" w:rsidP="005470D1">
      <w:pPr>
        <w:spacing w:line="360" w:lineRule="auto"/>
        <w:jc w:val="both"/>
        <w:rPr>
          <w:rFonts w:asciiTheme="majorBidi" w:hAnsiTheme="majorBidi" w:cstheme="majorBidi"/>
          <w:sz w:val="24"/>
          <w:szCs w:val="24"/>
          <w:shd w:val="clear" w:color="auto" w:fill="FFFFFF"/>
        </w:rPr>
      </w:pPr>
      <w:r w:rsidRPr="005470D1">
        <w:rPr>
          <w:rFonts w:asciiTheme="majorBidi" w:hAnsiTheme="majorBidi" w:cstheme="majorBidi"/>
          <w:sz w:val="24"/>
          <w:szCs w:val="24"/>
          <w:shd w:val="clear" w:color="auto" w:fill="FFFFFF"/>
        </w:rPr>
        <w:t xml:space="preserve">Jackson, S.B., Lopez, T.J. and </w:t>
      </w:r>
      <w:proofErr w:type="spellStart"/>
      <w:r w:rsidRPr="005470D1">
        <w:rPr>
          <w:rFonts w:asciiTheme="majorBidi" w:hAnsiTheme="majorBidi" w:cstheme="majorBidi"/>
          <w:sz w:val="24"/>
          <w:szCs w:val="24"/>
          <w:shd w:val="clear" w:color="auto" w:fill="FFFFFF"/>
        </w:rPr>
        <w:t>Reitenga</w:t>
      </w:r>
      <w:proofErr w:type="spellEnd"/>
      <w:r w:rsidRPr="005470D1">
        <w:rPr>
          <w:rFonts w:asciiTheme="majorBidi" w:hAnsiTheme="majorBidi" w:cstheme="majorBidi"/>
          <w:sz w:val="24"/>
          <w:szCs w:val="24"/>
          <w:shd w:val="clear" w:color="auto" w:fill="FFFFFF"/>
        </w:rPr>
        <w:t>, A.L., 2008. Accounting fundamentals and CEO bonus compensation. </w:t>
      </w:r>
      <w:r w:rsidRPr="005470D1">
        <w:rPr>
          <w:rFonts w:asciiTheme="majorBidi" w:hAnsiTheme="majorBidi" w:cstheme="majorBidi"/>
          <w:i/>
          <w:iCs/>
          <w:sz w:val="24"/>
          <w:szCs w:val="24"/>
          <w:shd w:val="clear" w:color="auto" w:fill="FFFFFF"/>
        </w:rPr>
        <w:t>Journal of Accounting and Public Policy</w:t>
      </w:r>
      <w:r w:rsidRPr="005470D1">
        <w:rPr>
          <w:rFonts w:asciiTheme="majorBidi" w:hAnsiTheme="majorBidi" w:cstheme="majorBidi"/>
          <w:sz w:val="24"/>
          <w:szCs w:val="24"/>
          <w:shd w:val="clear" w:color="auto" w:fill="FFFFFF"/>
        </w:rPr>
        <w:t>, </w:t>
      </w:r>
      <w:r w:rsidRPr="005470D1">
        <w:rPr>
          <w:rFonts w:asciiTheme="majorBidi" w:hAnsiTheme="majorBidi" w:cstheme="majorBidi"/>
          <w:i/>
          <w:iCs/>
          <w:sz w:val="24"/>
          <w:szCs w:val="24"/>
          <w:shd w:val="clear" w:color="auto" w:fill="FFFFFF"/>
        </w:rPr>
        <w:t>27</w:t>
      </w:r>
      <w:r w:rsidRPr="005470D1">
        <w:rPr>
          <w:rFonts w:asciiTheme="majorBidi" w:hAnsiTheme="majorBidi" w:cstheme="majorBidi"/>
          <w:sz w:val="24"/>
          <w:szCs w:val="24"/>
          <w:shd w:val="clear" w:color="auto" w:fill="FFFFFF"/>
        </w:rPr>
        <w:t>(5), pp.374-393.</w:t>
      </w:r>
    </w:p>
    <w:p w14:paraId="56F6E136" w14:textId="77777777" w:rsidR="005470D1" w:rsidRPr="005470D1" w:rsidRDefault="005470D1" w:rsidP="005470D1">
      <w:pPr>
        <w:spacing w:line="360" w:lineRule="auto"/>
        <w:jc w:val="both"/>
        <w:rPr>
          <w:rFonts w:asciiTheme="majorBidi" w:hAnsiTheme="majorBidi" w:cstheme="majorBidi"/>
          <w:sz w:val="24"/>
          <w:szCs w:val="24"/>
          <w:shd w:val="clear" w:color="auto" w:fill="FFFFFF"/>
        </w:rPr>
      </w:pPr>
      <w:proofErr w:type="spellStart"/>
      <w:r w:rsidRPr="005470D1">
        <w:rPr>
          <w:rFonts w:asciiTheme="majorBidi" w:hAnsiTheme="majorBidi" w:cstheme="majorBidi"/>
          <w:sz w:val="24"/>
          <w:szCs w:val="24"/>
          <w:shd w:val="clear" w:color="auto" w:fill="FFFFFF"/>
        </w:rPr>
        <w:t>Dosamantes</w:t>
      </w:r>
      <w:proofErr w:type="spellEnd"/>
      <w:r w:rsidRPr="005470D1">
        <w:rPr>
          <w:rFonts w:asciiTheme="majorBidi" w:hAnsiTheme="majorBidi" w:cstheme="majorBidi"/>
          <w:sz w:val="24"/>
          <w:szCs w:val="24"/>
          <w:shd w:val="clear" w:color="auto" w:fill="FFFFFF"/>
        </w:rPr>
        <w:t>, C.A.D., 2013. The relevance of using accounting fundamentals in the Mexican stock market. </w:t>
      </w:r>
      <w:r w:rsidRPr="005470D1">
        <w:rPr>
          <w:rFonts w:asciiTheme="majorBidi" w:hAnsiTheme="majorBidi" w:cstheme="majorBidi"/>
          <w:i/>
          <w:iCs/>
          <w:sz w:val="24"/>
          <w:szCs w:val="24"/>
          <w:shd w:val="clear" w:color="auto" w:fill="FFFFFF"/>
        </w:rPr>
        <w:t>Journal of Economics Finance and Administrative Science</w:t>
      </w:r>
      <w:r w:rsidRPr="005470D1">
        <w:rPr>
          <w:rFonts w:asciiTheme="majorBidi" w:hAnsiTheme="majorBidi" w:cstheme="majorBidi"/>
          <w:sz w:val="24"/>
          <w:szCs w:val="24"/>
          <w:shd w:val="clear" w:color="auto" w:fill="FFFFFF"/>
        </w:rPr>
        <w:t>, </w:t>
      </w:r>
      <w:r w:rsidRPr="005470D1">
        <w:rPr>
          <w:rFonts w:asciiTheme="majorBidi" w:hAnsiTheme="majorBidi" w:cstheme="majorBidi"/>
          <w:i/>
          <w:iCs/>
          <w:sz w:val="24"/>
          <w:szCs w:val="24"/>
          <w:shd w:val="clear" w:color="auto" w:fill="FFFFFF"/>
        </w:rPr>
        <w:t>18</w:t>
      </w:r>
      <w:r w:rsidRPr="005470D1">
        <w:rPr>
          <w:rFonts w:asciiTheme="majorBidi" w:hAnsiTheme="majorBidi" w:cstheme="majorBidi"/>
          <w:sz w:val="24"/>
          <w:szCs w:val="24"/>
          <w:shd w:val="clear" w:color="auto" w:fill="FFFFFF"/>
        </w:rPr>
        <w:t>, pp.2-10.</w:t>
      </w:r>
    </w:p>
    <w:p w14:paraId="582ABBA4" w14:textId="77777777" w:rsidR="005470D1" w:rsidRPr="005470D1" w:rsidRDefault="005470D1" w:rsidP="005470D1">
      <w:pPr>
        <w:spacing w:line="360" w:lineRule="auto"/>
        <w:jc w:val="both"/>
        <w:rPr>
          <w:rFonts w:asciiTheme="majorBidi" w:hAnsiTheme="majorBidi" w:cstheme="majorBidi"/>
          <w:sz w:val="24"/>
          <w:szCs w:val="24"/>
          <w:shd w:val="clear" w:color="auto" w:fill="FFFFFF"/>
        </w:rPr>
      </w:pPr>
      <w:proofErr w:type="spellStart"/>
      <w:r w:rsidRPr="005470D1">
        <w:rPr>
          <w:rFonts w:asciiTheme="majorBidi" w:hAnsiTheme="majorBidi" w:cstheme="majorBidi"/>
          <w:sz w:val="24"/>
          <w:szCs w:val="24"/>
          <w:shd w:val="clear" w:color="auto" w:fill="FFFFFF"/>
        </w:rPr>
        <w:t>Lanen</w:t>
      </w:r>
      <w:proofErr w:type="spellEnd"/>
      <w:r w:rsidRPr="005470D1">
        <w:rPr>
          <w:rFonts w:asciiTheme="majorBidi" w:hAnsiTheme="majorBidi" w:cstheme="majorBidi"/>
          <w:sz w:val="24"/>
          <w:szCs w:val="24"/>
          <w:shd w:val="clear" w:color="auto" w:fill="FFFFFF"/>
        </w:rPr>
        <w:t>, W., 2010. </w:t>
      </w:r>
      <w:r w:rsidRPr="005470D1">
        <w:rPr>
          <w:rFonts w:asciiTheme="majorBidi" w:hAnsiTheme="majorBidi" w:cstheme="majorBidi"/>
          <w:i/>
          <w:iCs/>
          <w:sz w:val="24"/>
          <w:szCs w:val="24"/>
          <w:shd w:val="clear" w:color="auto" w:fill="FFFFFF"/>
        </w:rPr>
        <w:t>Fundamentals of cost accounting</w:t>
      </w:r>
      <w:r w:rsidRPr="005470D1">
        <w:rPr>
          <w:rFonts w:asciiTheme="majorBidi" w:hAnsiTheme="majorBidi" w:cstheme="majorBidi"/>
          <w:sz w:val="24"/>
          <w:szCs w:val="24"/>
          <w:shd w:val="clear" w:color="auto" w:fill="FFFFFF"/>
        </w:rPr>
        <w:t>. McGraw-Hill Education.</w:t>
      </w:r>
    </w:p>
    <w:p w14:paraId="7A6D7969" w14:textId="77777777" w:rsidR="005470D1" w:rsidRPr="005470D1" w:rsidRDefault="005470D1" w:rsidP="005470D1">
      <w:pPr>
        <w:spacing w:line="360" w:lineRule="auto"/>
        <w:jc w:val="both"/>
        <w:rPr>
          <w:rFonts w:asciiTheme="majorBidi" w:hAnsiTheme="majorBidi" w:cstheme="majorBidi"/>
          <w:sz w:val="24"/>
          <w:szCs w:val="24"/>
          <w:shd w:val="clear" w:color="auto" w:fill="FFFFFF"/>
        </w:rPr>
      </w:pPr>
      <w:proofErr w:type="spellStart"/>
      <w:r w:rsidRPr="005470D1">
        <w:rPr>
          <w:rFonts w:asciiTheme="majorBidi" w:hAnsiTheme="majorBidi" w:cstheme="majorBidi"/>
          <w:sz w:val="24"/>
          <w:szCs w:val="24"/>
          <w:shd w:val="clear" w:color="auto" w:fill="FFFFFF"/>
        </w:rPr>
        <w:t>Walkshäusl</w:t>
      </w:r>
      <w:proofErr w:type="spellEnd"/>
      <w:r w:rsidRPr="005470D1">
        <w:rPr>
          <w:rFonts w:asciiTheme="majorBidi" w:hAnsiTheme="majorBidi" w:cstheme="majorBidi"/>
          <w:sz w:val="24"/>
          <w:szCs w:val="24"/>
          <w:shd w:val="clear" w:color="auto" w:fill="FFFFFF"/>
        </w:rPr>
        <w:t>, C., 2021. Predicting stock returns from the pricing and mispricing of accounting fundamentals. </w:t>
      </w:r>
      <w:r w:rsidRPr="005470D1">
        <w:rPr>
          <w:rFonts w:asciiTheme="majorBidi" w:hAnsiTheme="majorBidi" w:cstheme="majorBidi"/>
          <w:i/>
          <w:iCs/>
          <w:sz w:val="24"/>
          <w:szCs w:val="24"/>
          <w:shd w:val="clear" w:color="auto" w:fill="FFFFFF"/>
        </w:rPr>
        <w:t>The Quarterly Review of Economics and Finance</w:t>
      </w:r>
      <w:r w:rsidRPr="005470D1">
        <w:rPr>
          <w:rFonts w:asciiTheme="majorBidi" w:hAnsiTheme="majorBidi" w:cstheme="majorBidi"/>
          <w:sz w:val="24"/>
          <w:szCs w:val="24"/>
          <w:shd w:val="clear" w:color="auto" w:fill="FFFFFF"/>
        </w:rPr>
        <w:t>, </w:t>
      </w:r>
      <w:r w:rsidRPr="005470D1">
        <w:rPr>
          <w:rFonts w:asciiTheme="majorBidi" w:hAnsiTheme="majorBidi" w:cstheme="majorBidi"/>
          <w:i/>
          <w:iCs/>
          <w:sz w:val="24"/>
          <w:szCs w:val="24"/>
          <w:shd w:val="clear" w:color="auto" w:fill="FFFFFF"/>
        </w:rPr>
        <w:t>81</w:t>
      </w:r>
      <w:r w:rsidRPr="005470D1">
        <w:rPr>
          <w:rFonts w:asciiTheme="majorBidi" w:hAnsiTheme="majorBidi" w:cstheme="majorBidi"/>
          <w:sz w:val="24"/>
          <w:szCs w:val="24"/>
          <w:shd w:val="clear" w:color="auto" w:fill="FFFFFF"/>
        </w:rPr>
        <w:t>, pp.253-260. Klein, A. and Marquardt, C.A., 2006. Fundamentals of accounting losses. </w:t>
      </w:r>
      <w:r w:rsidRPr="005470D1">
        <w:rPr>
          <w:rFonts w:asciiTheme="majorBidi" w:hAnsiTheme="majorBidi" w:cstheme="majorBidi"/>
          <w:i/>
          <w:iCs/>
          <w:sz w:val="24"/>
          <w:szCs w:val="24"/>
          <w:shd w:val="clear" w:color="auto" w:fill="FFFFFF"/>
        </w:rPr>
        <w:t>The Accounting Review</w:t>
      </w:r>
      <w:r w:rsidRPr="005470D1">
        <w:rPr>
          <w:rFonts w:asciiTheme="majorBidi" w:hAnsiTheme="majorBidi" w:cstheme="majorBidi"/>
          <w:sz w:val="24"/>
          <w:szCs w:val="24"/>
          <w:shd w:val="clear" w:color="auto" w:fill="FFFFFF"/>
        </w:rPr>
        <w:t>, </w:t>
      </w:r>
      <w:r w:rsidRPr="005470D1">
        <w:rPr>
          <w:rFonts w:asciiTheme="majorBidi" w:hAnsiTheme="majorBidi" w:cstheme="majorBidi"/>
          <w:i/>
          <w:iCs/>
          <w:sz w:val="24"/>
          <w:szCs w:val="24"/>
          <w:shd w:val="clear" w:color="auto" w:fill="FFFFFF"/>
        </w:rPr>
        <w:t>81</w:t>
      </w:r>
      <w:r w:rsidRPr="005470D1">
        <w:rPr>
          <w:rFonts w:asciiTheme="majorBidi" w:hAnsiTheme="majorBidi" w:cstheme="majorBidi"/>
          <w:sz w:val="24"/>
          <w:szCs w:val="24"/>
          <w:shd w:val="clear" w:color="auto" w:fill="FFFFFF"/>
        </w:rPr>
        <w:t>(1), pp.179-206.</w:t>
      </w:r>
    </w:p>
    <w:p w14:paraId="54D7B47E" w14:textId="77777777" w:rsidR="005470D1" w:rsidRDefault="005470D1" w:rsidP="005470D1">
      <w:pPr>
        <w:spacing w:line="360" w:lineRule="auto"/>
        <w:jc w:val="both"/>
      </w:pPr>
    </w:p>
    <w:p w14:paraId="317191AC" w14:textId="77777777" w:rsidR="005470D1" w:rsidRPr="005470D1" w:rsidRDefault="005470D1" w:rsidP="005470D1">
      <w:pPr>
        <w:spacing w:line="360" w:lineRule="auto"/>
        <w:jc w:val="both"/>
      </w:pPr>
    </w:p>
    <w:p w14:paraId="3C22B3C7" w14:textId="77777777" w:rsidR="005470D1" w:rsidRPr="004B72E1" w:rsidRDefault="005470D1" w:rsidP="005470D1">
      <w:pPr>
        <w:spacing w:line="360" w:lineRule="auto"/>
        <w:jc w:val="both"/>
        <w:rPr>
          <w:rFonts w:ascii="Times New Roman" w:hAnsi="Times New Roman" w:cs="Times New Roman"/>
          <w:sz w:val="24"/>
          <w:szCs w:val="24"/>
        </w:rPr>
      </w:pPr>
    </w:p>
    <w:sectPr w:rsidR="005470D1" w:rsidRPr="004B72E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AC3CA3"/>
    <w:multiLevelType w:val="hybridMultilevel"/>
    <w:tmpl w:val="E264C368"/>
    <w:lvl w:ilvl="0" w:tplc="04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6F9685B"/>
    <w:multiLevelType w:val="hybridMultilevel"/>
    <w:tmpl w:val="25DA77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7113F2"/>
    <w:multiLevelType w:val="hybridMultilevel"/>
    <w:tmpl w:val="4DAC4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7483376">
    <w:abstractNumId w:val="0"/>
  </w:num>
  <w:num w:numId="2" w16cid:durableId="2120172894">
    <w:abstractNumId w:val="0"/>
  </w:num>
  <w:num w:numId="3" w16cid:durableId="489910147">
    <w:abstractNumId w:val="1"/>
  </w:num>
  <w:num w:numId="4" w16cid:durableId="21259964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wsjAwNjA1szCyMDFX0lEKTi0uzszPAykwqwUAxMaD0ywAAAA="/>
  </w:docVars>
  <w:rsids>
    <w:rsidRoot w:val="008A340B"/>
    <w:rsid w:val="000215EE"/>
    <w:rsid w:val="00050833"/>
    <w:rsid w:val="000652FE"/>
    <w:rsid w:val="000A0E66"/>
    <w:rsid w:val="000D0E68"/>
    <w:rsid w:val="001100BE"/>
    <w:rsid w:val="0012673D"/>
    <w:rsid w:val="001918DB"/>
    <w:rsid w:val="00194EC6"/>
    <w:rsid w:val="001D551F"/>
    <w:rsid w:val="00235343"/>
    <w:rsid w:val="002405B0"/>
    <w:rsid w:val="002C6F0D"/>
    <w:rsid w:val="002E0CDC"/>
    <w:rsid w:val="002F7683"/>
    <w:rsid w:val="00352205"/>
    <w:rsid w:val="004151C1"/>
    <w:rsid w:val="00456319"/>
    <w:rsid w:val="004B72E1"/>
    <w:rsid w:val="005118D9"/>
    <w:rsid w:val="005470D1"/>
    <w:rsid w:val="005754B2"/>
    <w:rsid w:val="00591416"/>
    <w:rsid w:val="005E002A"/>
    <w:rsid w:val="00657351"/>
    <w:rsid w:val="0071553D"/>
    <w:rsid w:val="007301FF"/>
    <w:rsid w:val="007730DF"/>
    <w:rsid w:val="008A340B"/>
    <w:rsid w:val="0090142D"/>
    <w:rsid w:val="009262F9"/>
    <w:rsid w:val="00931FF9"/>
    <w:rsid w:val="00964390"/>
    <w:rsid w:val="00A27781"/>
    <w:rsid w:val="00A42FF0"/>
    <w:rsid w:val="00A850B5"/>
    <w:rsid w:val="00B676F8"/>
    <w:rsid w:val="00B71900"/>
    <w:rsid w:val="00C3631E"/>
    <w:rsid w:val="00D03792"/>
    <w:rsid w:val="00D07D29"/>
    <w:rsid w:val="00D62DED"/>
    <w:rsid w:val="00D66F3D"/>
    <w:rsid w:val="00E22F29"/>
    <w:rsid w:val="00E771F1"/>
    <w:rsid w:val="00E83AF2"/>
    <w:rsid w:val="00EF52A1"/>
    <w:rsid w:val="00FA7934"/>
    <w:rsid w:val="00FC13E7"/>
    <w:rsid w:val="00FD2A5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E51B5"/>
  <w15:chartTrackingRefBased/>
  <w15:docId w15:val="{C2579891-5816-49E4-BE4B-A0478174A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340B"/>
    <w:pPr>
      <w:spacing w:line="256" w:lineRule="auto"/>
    </w:pPr>
    <w:rPr>
      <w:lang w:val="en-GB"/>
    </w:rPr>
  </w:style>
  <w:style w:type="paragraph" w:styleId="Heading1">
    <w:name w:val="heading 1"/>
    <w:basedOn w:val="Normal"/>
    <w:next w:val="Normal"/>
    <w:link w:val="Heading1Char"/>
    <w:uiPriority w:val="9"/>
    <w:qFormat/>
    <w:rsid w:val="00B719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72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340B"/>
    <w:pPr>
      <w:ind w:left="720"/>
      <w:contextualSpacing/>
    </w:pPr>
  </w:style>
  <w:style w:type="paragraph" w:customStyle="1" w:styleId="Default">
    <w:name w:val="Default"/>
    <w:rsid w:val="008A340B"/>
    <w:pPr>
      <w:autoSpaceDE w:val="0"/>
      <w:autoSpaceDN w:val="0"/>
      <w:adjustRightInd w:val="0"/>
      <w:spacing w:after="0" w:line="240" w:lineRule="auto"/>
    </w:pPr>
    <w:rPr>
      <w:rFonts w:ascii="Times New Roman" w:hAnsi="Times New Roman" w:cs="Times New Roman"/>
      <w:color w:val="000000"/>
      <w:sz w:val="24"/>
      <w:szCs w:val="24"/>
      <w:lang w:val="en-GB"/>
    </w:rPr>
  </w:style>
  <w:style w:type="table" w:styleId="TableGrid">
    <w:name w:val="Table Grid"/>
    <w:basedOn w:val="TableNormal"/>
    <w:uiPriority w:val="39"/>
    <w:rsid w:val="008A340B"/>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71900"/>
    <w:rPr>
      <w:rFonts w:asciiTheme="majorHAnsi" w:eastAsiaTheme="majorEastAsia" w:hAnsiTheme="majorHAnsi" w:cstheme="majorBidi"/>
      <w:color w:val="2F5496" w:themeColor="accent1" w:themeShade="BF"/>
      <w:sz w:val="32"/>
      <w:szCs w:val="32"/>
      <w:lang w:val="en-GB"/>
    </w:rPr>
  </w:style>
  <w:style w:type="table" w:styleId="GridTable4-Accent2">
    <w:name w:val="Grid Table 4 Accent 2"/>
    <w:basedOn w:val="TableNormal"/>
    <w:uiPriority w:val="49"/>
    <w:rsid w:val="00E22F2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E22F2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6">
    <w:name w:val="Grid Table 5 Dark Accent 6"/>
    <w:basedOn w:val="TableNormal"/>
    <w:uiPriority w:val="50"/>
    <w:rsid w:val="0065735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Accent1">
    <w:name w:val="Grid Table 6 Colorful Accent 1"/>
    <w:basedOn w:val="TableNormal"/>
    <w:uiPriority w:val="51"/>
    <w:rsid w:val="00657351"/>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6">
    <w:name w:val="Grid Table 6 Colorful Accent 6"/>
    <w:basedOn w:val="TableNormal"/>
    <w:uiPriority w:val="51"/>
    <w:rsid w:val="00657351"/>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5">
    <w:name w:val="Grid Table 5 Dark Accent 5"/>
    <w:basedOn w:val="TableNormal"/>
    <w:uiPriority w:val="50"/>
    <w:rsid w:val="0065735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6Colorful-Accent5">
    <w:name w:val="Grid Table 6 Colorful Accent 5"/>
    <w:basedOn w:val="TableNormal"/>
    <w:uiPriority w:val="51"/>
    <w:rsid w:val="00657351"/>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1">
    <w:name w:val="Grid Table 5 Dark Accent 1"/>
    <w:basedOn w:val="TableNormal"/>
    <w:uiPriority w:val="50"/>
    <w:rsid w:val="0065735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6">
    <w:name w:val="Grid Table 4 Accent 6"/>
    <w:basedOn w:val="TableNormal"/>
    <w:uiPriority w:val="49"/>
    <w:rsid w:val="0065735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2Char">
    <w:name w:val="Heading 2 Char"/>
    <w:basedOn w:val="DefaultParagraphFont"/>
    <w:link w:val="Heading2"/>
    <w:uiPriority w:val="9"/>
    <w:rsid w:val="004B72E1"/>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0A0E66"/>
    <w:pPr>
      <w:spacing w:line="259" w:lineRule="auto"/>
      <w:outlineLvl w:val="9"/>
    </w:pPr>
    <w:rPr>
      <w:lang w:val="en-US"/>
    </w:rPr>
  </w:style>
  <w:style w:type="paragraph" w:styleId="TOC1">
    <w:name w:val="toc 1"/>
    <w:basedOn w:val="Normal"/>
    <w:next w:val="Normal"/>
    <w:autoRedefine/>
    <w:uiPriority w:val="39"/>
    <w:unhideWhenUsed/>
    <w:rsid w:val="000A0E66"/>
    <w:pPr>
      <w:spacing w:after="100"/>
    </w:pPr>
  </w:style>
  <w:style w:type="paragraph" w:styleId="TOC2">
    <w:name w:val="toc 2"/>
    <w:basedOn w:val="Normal"/>
    <w:next w:val="Normal"/>
    <w:autoRedefine/>
    <w:uiPriority w:val="39"/>
    <w:unhideWhenUsed/>
    <w:rsid w:val="000A0E66"/>
    <w:pPr>
      <w:spacing w:after="100"/>
      <w:ind w:left="220"/>
    </w:pPr>
  </w:style>
  <w:style w:type="character" w:styleId="Hyperlink">
    <w:name w:val="Hyperlink"/>
    <w:basedOn w:val="DefaultParagraphFont"/>
    <w:uiPriority w:val="99"/>
    <w:unhideWhenUsed/>
    <w:rsid w:val="000A0E66"/>
    <w:rPr>
      <w:color w:val="0563C1" w:themeColor="hyperlink"/>
      <w:u w:val="single"/>
    </w:rPr>
  </w:style>
  <w:style w:type="paragraph" w:styleId="Caption">
    <w:name w:val="caption"/>
    <w:basedOn w:val="Normal"/>
    <w:next w:val="Normal"/>
    <w:uiPriority w:val="35"/>
    <w:unhideWhenUsed/>
    <w:qFormat/>
    <w:rsid w:val="001D551F"/>
    <w:pPr>
      <w:spacing w:after="200" w:line="240" w:lineRule="auto"/>
    </w:pPr>
    <w:rPr>
      <w:i/>
      <w:iCs/>
      <w:color w:val="44546A" w:themeColor="text2"/>
      <w:sz w:val="18"/>
      <w:szCs w:val="18"/>
    </w:rPr>
  </w:style>
  <w:style w:type="paragraph" w:customStyle="1" w:styleId="paragraph">
    <w:name w:val="paragraph"/>
    <w:basedOn w:val="Normal"/>
    <w:rsid w:val="000D0E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D0E68"/>
  </w:style>
  <w:style w:type="character" w:styleId="UnresolvedMention">
    <w:name w:val="Unresolved Mention"/>
    <w:basedOn w:val="DefaultParagraphFont"/>
    <w:uiPriority w:val="99"/>
    <w:semiHidden/>
    <w:unhideWhenUsed/>
    <w:rsid w:val="000D0E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561338">
      <w:bodyDiv w:val="1"/>
      <w:marLeft w:val="0"/>
      <w:marRight w:val="0"/>
      <w:marTop w:val="0"/>
      <w:marBottom w:val="0"/>
      <w:divBdr>
        <w:top w:val="none" w:sz="0" w:space="0" w:color="auto"/>
        <w:left w:val="none" w:sz="0" w:space="0" w:color="auto"/>
        <w:bottom w:val="none" w:sz="0" w:space="0" w:color="auto"/>
        <w:right w:val="none" w:sz="0" w:space="0" w:color="auto"/>
      </w:divBdr>
    </w:div>
    <w:div w:id="626475608">
      <w:bodyDiv w:val="1"/>
      <w:marLeft w:val="0"/>
      <w:marRight w:val="0"/>
      <w:marTop w:val="0"/>
      <w:marBottom w:val="0"/>
      <w:divBdr>
        <w:top w:val="none" w:sz="0" w:space="0" w:color="auto"/>
        <w:left w:val="none" w:sz="0" w:space="0" w:color="auto"/>
        <w:bottom w:val="none" w:sz="0" w:space="0" w:color="auto"/>
        <w:right w:val="none" w:sz="0" w:space="0" w:color="auto"/>
      </w:divBdr>
    </w:div>
    <w:div w:id="1144815545">
      <w:bodyDiv w:val="1"/>
      <w:marLeft w:val="0"/>
      <w:marRight w:val="0"/>
      <w:marTop w:val="0"/>
      <w:marBottom w:val="0"/>
      <w:divBdr>
        <w:top w:val="none" w:sz="0" w:space="0" w:color="auto"/>
        <w:left w:val="none" w:sz="0" w:space="0" w:color="auto"/>
        <w:bottom w:val="none" w:sz="0" w:space="0" w:color="auto"/>
        <w:right w:val="none" w:sz="0" w:space="0" w:color="auto"/>
      </w:divBdr>
    </w:div>
    <w:div w:id="1527671256">
      <w:bodyDiv w:val="1"/>
      <w:marLeft w:val="0"/>
      <w:marRight w:val="0"/>
      <w:marTop w:val="0"/>
      <w:marBottom w:val="0"/>
      <w:divBdr>
        <w:top w:val="none" w:sz="0" w:space="0" w:color="auto"/>
        <w:left w:val="none" w:sz="0" w:space="0" w:color="auto"/>
        <w:bottom w:val="none" w:sz="0" w:space="0" w:color="auto"/>
        <w:right w:val="none" w:sz="0" w:space="0" w:color="auto"/>
      </w:divBdr>
      <w:divsChild>
        <w:div w:id="600526776">
          <w:marLeft w:val="0"/>
          <w:marRight w:val="0"/>
          <w:marTop w:val="0"/>
          <w:marBottom w:val="0"/>
          <w:divBdr>
            <w:top w:val="none" w:sz="0" w:space="0" w:color="auto"/>
            <w:left w:val="none" w:sz="0" w:space="0" w:color="auto"/>
            <w:bottom w:val="none" w:sz="0" w:space="0" w:color="auto"/>
            <w:right w:val="none" w:sz="0" w:space="0" w:color="auto"/>
          </w:divBdr>
          <w:divsChild>
            <w:div w:id="89099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392590">
      <w:bodyDiv w:val="1"/>
      <w:marLeft w:val="0"/>
      <w:marRight w:val="0"/>
      <w:marTop w:val="0"/>
      <w:marBottom w:val="0"/>
      <w:divBdr>
        <w:top w:val="none" w:sz="0" w:space="0" w:color="auto"/>
        <w:left w:val="none" w:sz="0" w:space="0" w:color="auto"/>
        <w:bottom w:val="none" w:sz="0" w:space="0" w:color="auto"/>
        <w:right w:val="none" w:sz="0" w:space="0" w:color="auto"/>
      </w:divBdr>
      <w:divsChild>
        <w:div w:id="1897473596">
          <w:marLeft w:val="0"/>
          <w:marRight w:val="0"/>
          <w:marTop w:val="0"/>
          <w:marBottom w:val="0"/>
          <w:divBdr>
            <w:top w:val="none" w:sz="0" w:space="0" w:color="auto"/>
            <w:left w:val="none" w:sz="0" w:space="0" w:color="auto"/>
            <w:bottom w:val="none" w:sz="0" w:space="0" w:color="auto"/>
            <w:right w:val="none" w:sz="0" w:space="0" w:color="auto"/>
          </w:divBdr>
          <w:divsChild>
            <w:div w:id="618612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chart" Target="charts/chart2.xml"/><Relationship Id="rId26" Type="http://schemas.openxmlformats.org/officeDocument/2006/relationships/chart" Target="charts/chart10.xml"/><Relationship Id="rId3" Type="http://schemas.openxmlformats.org/officeDocument/2006/relationships/styles" Target="styles.xml"/><Relationship Id="rId21" Type="http://schemas.openxmlformats.org/officeDocument/2006/relationships/chart" Target="charts/chart5.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chart" Target="charts/chart1.xml"/><Relationship Id="rId25"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chart" Target="charts/chart8.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chart" Target="charts/chart7.xml"/><Relationship Id="rId28"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chart" Target="charts/chart6.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ROCE</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2020</c:v>
                </c:pt>
                <c:pt idx="1">
                  <c:v>2021</c:v>
                </c:pt>
              </c:numCache>
            </c:numRef>
          </c:cat>
          <c:val>
            <c:numRef>
              <c:f>Sheet1!$B$2:$B$3</c:f>
              <c:numCache>
                <c:formatCode>0.00%</c:formatCode>
                <c:ptCount val="2"/>
                <c:pt idx="0">
                  <c:v>9.9299999999999999E-2</c:v>
                </c:pt>
                <c:pt idx="1">
                  <c:v>0.1114</c:v>
                </c:pt>
              </c:numCache>
            </c:numRef>
          </c:val>
          <c:smooth val="0"/>
          <c:extLst>
            <c:ext xmlns:c16="http://schemas.microsoft.com/office/drawing/2014/chart" uri="{C3380CC4-5D6E-409C-BE32-E72D297353CC}">
              <c16:uniqueId val="{00000000-0E01-446D-BFBA-1271ECD3A6BA}"/>
            </c:ext>
          </c:extLst>
        </c:ser>
        <c:dLbls>
          <c:dLblPos val="ctr"/>
          <c:showLegendKey val="0"/>
          <c:showVal val="1"/>
          <c:showCatName val="0"/>
          <c:showSerName val="0"/>
          <c:showPercent val="0"/>
          <c:showBubbleSize val="0"/>
        </c:dLbls>
        <c:smooth val="0"/>
        <c:axId val="618572520"/>
        <c:axId val="618575144"/>
      </c:lineChart>
      <c:catAx>
        <c:axId val="618572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575144"/>
        <c:crosses val="autoZero"/>
        <c:auto val="1"/>
        <c:lblAlgn val="ctr"/>
        <c:lblOffset val="100"/>
        <c:noMultiLvlLbl val="0"/>
      </c:catAx>
      <c:valAx>
        <c:axId val="6185751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5725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ROE</c:v>
                </c:pt>
              </c:strCache>
            </c:strRef>
          </c:tx>
          <c:spPr>
            <a:ln w="34925" cap="rnd">
              <a:solidFill>
                <a:schemeClr val="lt1"/>
              </a:solidFill>
              <a:round/>
            </a:ln>
            <a:effectLst>
              <a:outerShdw dist="25400" dir="2700000" algn="tl" rotWithShape="0">
                <a:schemeClr val="accent1"/>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numRef>
              <c:f>Sheet1!$A$2:$A$3</c:f>
              <c:numCache>
                <c:formatCode>General</c:formatCode>
                <c:ptCount val="2"/>
                <c:pt idx="0">
                  <c:v>2020</c:v>
                </c:pt>
                <c:pt idx="1">
                  <c:v>2021</c:v>
                </c:pt>
              </c:numCache>
            </c:numRef>
          </c:cat>
          <c:val>
            <c:numRef>
              <c:f>Sheet1!$B$2:$B$3</c:f>
              <c:numCache>
                <c:formatCode>0.00%</c:formatCode>
                <c:ptCount val="2"/>
                <c:pt idx="0">
                  <c:v>0.12570000000000001</c:v>
                </c:pt>
                <c:pt idx="1">
                  <c:v>0.1396</c:v>
                </c:pt>
              </c:numCache>
            </c:numRef>
          </c:val>
          <c:smooth val="0"/>
          <c:extLst>
            <c:ext xmlns:c16="http://schemas.microsoft.com/office/drawing/2014/chart" uri="{C3380CC4-5D6E-409C-BE32-E72D297353CC}">
              <c16:uniqueId val="{00000000-0E44-4476-B2E4-380F0BCB9509}"/>
            </c:ext>
          </c:extLst>
        </c:ser>
        <c:dLbls>
          <c:dLblPos val="ctr"/>
          <c:showLegendKey val="0"/>
          <c:showVal val="1"/>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618572520"/>
        <c:axId val="618575144"/>
      </c:lineChart>
      <c:catAx>
        <c:axId val="618572520"/>
        <c:scaling>
          <c:orientation val="minMax"/>
        </c:scaling>
        <c:delete val="0"/>
        <c:axPos val="b"/>
        <c:numFmt formatCode="General" sourceLinked="1"/>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618575144"/>
        <c:crosses val="autoZero"/>
        <c:auto val="1"/>
        <c:lblAlgn val="ctr"/>
        <c:lblOffset val="100"/>
        <c:noMultiLvlLbl val="0"/>
      </c:catAx>
      <c:valAx>
        <c:axId val="618575144"/>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61857252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Net Profit Margin</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lumMod val="8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Sheet1!$A$2:$A$3</c:f>
              <c:numCache>
                <c:formatCode>General</c:formatCode>
                <c:ptCount val="2"/>
                <c:pt idx="0">
                  <c:v>2020</c:v>
                </c:pt>
                <c:pt idx="1">
                  <c:v>2021</c:v>
                </c:pt>
              </c:numCache>
            </c:numRef>
          </c:cat>
          <c:val>
            <c:numRef>
              <c:f>Sheet1!$B$2:$B$3</c:f>
              <c:numCache>
                <c:formatCode>0.00%</c:formatCode>
                <c:ptCount val="2"/>
                <c:pt idx="0">
                  <c:v>5.6800000000000003E-2</c:v>
                </c:pt>
                <c:pt idx="1">
                  <c:v>6.4000000000000001E-2</c:v>
                </c:pt>
              </c:numCache>
            </c:numRef>
          </c:val>
          <c:smooth val="0"/>
          <c:extLst>
            <c:ext xmlns:c16="http://schemas.microsoft.com/office/drawing/2014/chart" uri="{C3380CC4-5D6E-409C-BE32-E72D297353CC}">
              <c16:uniqueId val="{00000000-149F-4D56-8FD4-D94278681512}"/>
            </c:ext>
          </c:extLst>
        </c:ser>
        <c:dLbls>
          <c:dLblPos val="ctr"/>
          <c:showLegendKey val="0"/>
          <c:showVal val="1"/>
          <c:showCatName val="0"/>
          <c:showSerName val="0"/>
          <c:showPercent val="0"/>
          <c:showBubbleSize val="0"/>
        </c:dLbls>
        <c:smooth val="0"/>
        <c:axId val="618572520"/>
        <c:axId val="618575144"/>
      </c:lineChart>
      <c:catAx>
        <c:axId val="618572520"/>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18575144"/>
        <c:crosses val="autoZero"/>
        <c:auto val="1"/>
        <c:lblAlgn val="ctr"/>
        <c:lblOffset val="100"/>
        <c:noMultiLvlLbl val="0"/>
      </c:catAx>
      <c:valAx>
        <c:axId val="618575144"/>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185725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lgn="ct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Sheet1!$B$1</c:f>
              <c:strCache>
                <c:ptCount val="1"/>
                <c:pt idx="0">
                  <c:v>Current Ratio</c:v>
                </c:pt>
              </c:strCache>
            </c:strRef>
          </c:tx>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Sheet1!$A$2:$A$3</c:f>
              <c:numCache>
                <c:formatCode>General</c:formatCode>
                <c:ptCount val="2"/>
                <c:pt idx="0">
                  <c:v>2020</c:v>
                </c:pt>
                <c:pt idx="1">
                  <c:v>2021</c:v>
                </c:pt>
              </c:numCache>
            </c:numRef>
          </c:cat>
          <c:val>
            <c:numRef>
              <c:f>Sheet1!$B$2:$B$3</c:f>
              <c:numCache>
                <c:formatCode>General</c:formatCode>
                <c:ptCount val="2"/>
                <c:pt idx="0">
                  <c:v>0.77</c:v>
                </c:pt>
                <c:pt idx="1">
                  <c:v>0.92</c:v>
                </c:pt>
              </c:numCache>
            </c:numRef>
          </c:val>
          <c:smooth val="0"/>
          <c:extLst>
            <c:ext xmlns:c16="http://schemas.microsoft.com/office/drawing/2014/chart" uri="{C3380CC4-5D6E-409C-BE32-E72D297353CC}">
              <c16:uniqueId val="{00000000-D482-47DA-95EC-94584894E138}"/>
            </c:ext>
          </c:extLst>
        </c:ser>
        <c:dLbls>
          <c:dLblPos val="ctr"/>
          <c:showLegendKey val="0"/>
          <c:showVal val="1"/>
          <c:showCatName val="0"/>
          <c:showSerName val="0"/>
          <c:showPercent val="0"/>
          <c:showBubbleSize val="0"/>
        </c:dLbls>
        <c:smooth val="0"/>
        <c:axId val="618572520"/>
        <c:axId val="618575144"/>
      </c:lineChart>
      <c:catAx>
        <c:axId val="618572520"/>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18575144"/>
        <c:crosses val="autoZero"/>
        <c:auto val="1"/>
        <c:lblAlgn val="ctr"/>
        <c:lblOffset val="100"/>
        <c:noMultiLvlLbl val="0"/>
      </c:catAx>
      <c:valAx>
        <c:axId val="618575144"/>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18572520"/>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lgn="ct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Sheet1!$B$1</c:f>
              <c:strCache>
                <c:ptCount val="1"/>
                <c:pt idx="0">
                  <c:v>Asset Turnover</c:v>
                </c:pt>
              </c:strCache>
            </c:strRef>
          </c:tx>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Sheet1!$A$2:$A$3</c:f>
              <c:numCache>
                <c:formatCode>General</c:formatCode>
                <c:ptCount val="2"/>
                <c:pt idx="0">
                  <c:v>2020</c:v>
                </c:pt>
                <c:pt idx="1">
                  <c:v>2021</c:v>
                </c:pt>
              </c:numCache>
            </c:numRef>
          </c:cat>
          <c:val>
            <c:numRef>
              <c:f>Sheet1!$B$2:$B$3</c:f>
              <c:numCache>
                <c:formatCode>General</c:formatCode>
                <c:ptCount val="2"/>
                <c:pt idx="0">
                  <c:v>0.64</c:v>
                </c:pt>
                <c:pt idx="1">
                  <c:v>0.69</c:v>
                </c:pt>
              </c:numCache>
            </c:numRef>
          </c:val>
          <c:smooth val="0"/>
          <c:extLst>
            <c:ext xmlns:c16="http://schemas.microsoft.com/office/drawing/2014/chart" uri="{C3380CC4-5D6E-409C-BE32-E72D297353CC}">
              <c16:uniqueId val="{00000000-5721-4EE2-B9DB-0C547EA7AC9A}"/>
            </c:ext>
          </c:extLst>
        </c:ser>
        <c:dLbls>
          <c:dLblPos val="ctr"/>
          <c:showLegendKey val="0"/>
          <c:showVal val="1"/>
          <c:showCatName val="0"/>
          <c:showSerName val="0"/>
          <c:showPercent val="0"/>
          <c:showBubbleSize val="0"/>
        </c:dLbls>
        <c:smooth val="0"/>
        <c:axId val="618572520"/>
        <c:axId val="618575144"/>
      </c:lineChart>
      <c:catAx>
        <c:axId val="618572520"/>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18575144"/>
        <c:crosses val="autoZero"/>
        <c:auto val="1"/>
        <c:lblAlgn val="ctr"/>
        <c:lblOffset val="100"/>
        <c:noMultiLvlLbl val="0"/>
      </c:catAx>
      <c:valAx>
        <c:axId val="618575144"/>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18572520"/>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Stock</a:t>
            </a:r>
            <a:r>
              <a:rPr lang="en-US" baseline="0"/>
              <a:t> Holding Days </a:t>
            </a:r>
            <a:endParaRPr lang="en-US"/>
          </a:p>
        </c:rich>
      </c:tx>
      <c:layout>
        <c:manualLayout>
          <c:xMode val="edge"/>
          <c:yMode val="edge"/>
          <c:x val="0.37538768591426069"/>
          <c:y val="2.3809523809523808E-2"/>
        </c:manualLayout>
      </c:layout>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Sheet1!$B$1</c:f>
              <c:strCache>
                <c:ptCount val="1"/>
                <c:pt idx="0">
                  <c:v>Stock Holding Days</c:v>
                </c:pt>
              </c:strCache>
            </c:strRef>
          </c:tx>
          <c:spPr>
            <a:ln w="22225" cap="rnd">
              <a:solidFill>
                <a:schemeClr val="accent1"/>
              </a:solidFill>
              <a:round/>
            </a:ln>
            <a:effectLst/>
          </c:spPr>
          <c:marker>
            <c:symbol val="none"/>
          </c:marker>
          <c:dLbls>
            <c:dLbl>
              <c:idx val="0"/>
              <c:tx>
                <c:rich>
                  <a:bodyPr/>
                  <a:lstStyle/>
                  <a:p>
                    <a:fld id="{21B1ED6E-D9F2-48B7-945A-330888CA1A2E}" type="VALUE">
                      <a:rPr lang="en-US"/>
                      <a:pPr/>
                      <a:t>[VALUE]</a:t>
                    </a:fld>
                    <a:r>
                      <a:rPr lang="en-US"/>
                      <a:t> Days </a:t>
                    </a:r>
                  </a:p>
                </c:rich>
              </c:tx>
              <c:dLblPos val="b"/>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185E-484A-BCF5-66498FD0FB02}"/>
                </c:ext>
              </c:extLst>
            </c:dLbl>
            <c:dLbl>
              <c:idx val="1"/>
              <c:tx>
                <c:rich>
                  <a:bodyPr/>
                  <a:lstStyle/>
                  <a:p>
                    <a:fld id="{AA6EC719-C70A-49E9-B201-7E3AD9050487}" type="VALUE">
                      <a:rPr lang="en-US"/>
                      <a:pPr/>
                      <a:t>[VALUE]</a:t>
                    </a:fld>
                    <a:r>
                      <a:rPr lang="en-US"/>
                      <a:t> Days</a:t>
                    </a:r>
                  </a:p>
                </c:rich>
              </c:tx>
              <c:dLblPos val="b"/>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185E-484A-BCF5-66498FD0FB02}"/>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Sheet1!$A$2:$A$3</c:f>
              <c:numCache>
                <c:formatCode>General</c:formatCode>
                <c:ptCount val="2"/>
                <c:pt idx="0">
                  <c:v>2020</c:v>
                </c:pt>
                <c:pt idx="1">
                  <c:v>2021</c:v>
                </c:pt>
              </c:numCache>
            </c:numRef>
          </c:cat>
          <c:val>
            <c:numRef>
              <c:f>Sheet1!$B$2:$B$3</c:f>
              <c:numCache>
                <c:formatCode>General</c:formatCode>
                <c:ptCount val="2"/>
                <c:pt idx="0">
                  <c:v>78</c:v>
                </c:pt>
                <c:pt idx="1">
                  <c:v>80</c:v>
                </c:pt>
              </c:numCache>
            </c:numRef>
          </c:val>
          <c:smooth val="0"/>
          <c:extLst>
            <c:ext xmlns:c16="http://schemas.microsoft.com/office/drawing/2014/chart" uri="{C3380CC4-5D6E-409C-BE32-E72D297353CC}">
              <c16:uniqueId val="{00000000-185E-484A-BCF5-66498FD0FB02}"/>
            </c:ext>
          </c:extLst>
        </c:ser>
        <c:dLbls>
          <c:dLblPos val="ctr"/>
          <c:showLegendKey val="0"/>
          <c:showVal val="1"/>
          <c:showCatName val="0"/>
          <c:showSerName val="0"/>
          <c:showPercent val="0"/>
          <c:showBubbleSize val="0"/>
        </c:dLbls>
        <c:smooth val="0"/>
        <c:axId val="618572520"/>
        <c:axId val="618575144"/>
      </c:lineChart>
      <c:catAx>
        <c:axId val="618572520"/>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18575144"/>
        <c:crosses val="autoZero"/>
        <c:auto val="1"/>
        <c:lblAlgn val="ctr"/>
        <c:lblOffset val="100"/>
        <c:noMultiLvlLbl val="0"/>
      </c:catAx>
      <c:valAx>
        <c:axId val="618575144"/>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18572520"/>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600" b="1" i="0" u="none" strike="noStrike" kern="1200" cap="none" spc="0" normalizeH="0" baseline="0">
                <a:solidFill>
                  <a:schemeClr val="dk1">
                    <a:lumMod val="50000"/>
                    <a:lumOff val="50000"/>
                  </a:schemeClr>
                </a:solidFill>
                <a:latin typeface="+mj-lt"/>
                <a:ea typeface="+mj-ea"/>
                <a:cs typeface="+mj-cs"/>
              </a:defRPr>
            </a:pPr>
            <a:r>
              <a:rPr lang="en-US"/>
              <a:t>Debtor</a:t>
            </a:r>
            <a:r>
              <a:rPr lang="en-US" baseline="0"/>
              <a:t>s Collection Period</a:t>
            </a:r>
            <a:endParaRPr lang="en-US"/>
          </a:p>
        </c:rich>
      </c:tx>
      <c:layout>
        <c:manualLayout>
          <c:xMode val="edge"/>
          <c:yMode val="edge"/>
          <c:x val="0.25965063722443793"/>
          <c:y val="2.9795878927286142E-2"/>
        </c:manualLayout>
      </c:layout>
      <c:overlay val="0"/>
      <c:spPr>
        <a:noFill/>
        <a:ln>
          <a:noFill/>
        </a:ln>
        <a:effectLst/>
      </c:spPr>
      <c:txPr>
        <a:bodyPr rot="0" spcFirstLastPara="1" vertOverflow="ellipsis" vert="horz" wrap="square" anchor="ctr" anchorCtr="1"/>
        <a:lstStyle/>
        <a:p>
          <a:pPr algn="ct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Sheet1!$B$1</c:f>
              <c:strCache>
                <c:ptCount val="1"/>
                <c:pt idx="0">
                  <c:v>Debtors Collection Period</c:v>
                </c:pt>
              </c:strCache>
            </c:strRef>
          </c:tx>
          <c:spPr>
            <a:ln w="22225" cap="rnd">
              <a:solidFill>
                <a:schemeClr val="accent1"/>
              </a:solidFill>
              <a:round/>
            </a:ln>
            <a:effectLst/>
          </c:spPr>
          <c:marker>
            <c:symbol val="none"/>
          </c:marker>
          <c:dLbls>
            <c:dLbl>
              <c:idx val="0"/>
              <c:tx>
                <c:rich>
                  <a:bodyPr/>
                  <a:lstStyle/>
                  <a:p>
                    <a:fld id="{21B1ED6E-D9F2-48B7-945A-330888CA1A2E}" type="VALUE">
                      <a:rPr lang="en-US"/>
                      <a:pPr/>
                      <a:t>[VALUE]</a:t>
                    </a:fld>
                    <a:r>
                      <a:rPr lang="en-US"/>
                      <a:t> Days </a:t>
                    </a:r>
                  </a:p>
                </c:rich>
              </c:tx>
              <c:dLblPos val="b"/>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BA86-43CD-ABB8-3A8796E2D147}"/>
                </c:ext>
              </c:extLst>
            </c:dLbl>
            <c:dLbl>
              <c:idx val="1"/>
              <c:tx>
                <c:rich>
                  <a:bodyPr/>
                  <a:lstStyle/>
                  <a:p>
                    <a:fld id="{AA6EC719-C70A-49E9-B201-7E3AD9050487}" type="VALUE">
                      <a:rPr lang="en-US"/>
                      <a:pPr/>
                      <a:t>[VALUE]</a:t>
                    </a:fld>
                    <a:r>
                      <a:rPr lang="en-US"/>
                      <a:t> Days</a:t>
                    </a:r>
                  </a:p>
                </c:rich>
              </c:tx>
              <c:dLblPos val="b"/>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BA86-43CD-ABB8-3A8796E2D147}"/>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Sheet1!$A$2:$A$3</c:f>
              <c:numCache>
                <c:formatCode>General</c:formatCode>
                <c:ptCount val="2"/>
                <c:pt idx="0">
                  <c:v>2020</c:v>
                </c:pt>
                <c:pt idx="1">
                  <c:v>2021</c:v>
                </c:pt>
              </c:numCache>
            </c:numRef>
          </c:cat>
          <c:val>
            <c:numRef>
              <c:f>Sheet1!$B$2:$B$3</c:f>
              <c:numCache>
                <c:formatCode>General</c:formatCode>
                <c:ptCount val="2"/>
                <c:pt idx="0">
                  <c:v>73</c:v>
                </c:pt>
                <c:pt idx="1">
                  <c:v>68</c:v>
                </c:pt>
              </c:numCache>
            </c:numRef>
          </c:val>
          <c:smooth val="0"/>
          <c:extLst>
            <c:ext xmlns:c16="http://schemas.microsoft.com/office/drawing/2014/chart" uri="{C3380CC4-5D6E-409C-BE32-E72D297353CC}">
              <c16:uniqueId val="{00000002-BA86-43CD-ABB8-3A8796E2D147}"/>
            </c:ext>
          </c:extLst>
        </c:ser>
        <c:dLbls>
          <c:dLblPos val="ctr"/>
          <c:showLegendKey val="0"/>
          <c:showVal val="1"/>
          <c:showCatName val="0"/>
          <c:showSerName val="0"/>
          <c:showPercent val="0"/>
          <c:showBubbleSize val="0"/>
        </c:dLbls>
        <c:smooth val="0"/>
        <c:axId val="618572520"/>
        <c:axId val="618575144"/>
      </c:lineChart>
      <c:catAx>
        <c:axId val="618572520"/>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18575144"/>
        <c:crosses val="autoZero"/>
        <c:auto val="1"/>
        <c:lblAlgn val="ctr"/>
        <c:lblOffset val="100"/>
        <c:noMultiLvlLbl val="0"/>
      </c:catAx>
      <c:valAx>
        <c:axId val="618575144"/>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18572520"/>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Sheet1!$B$1</c:f>
              <c:strCache>
                <c:ptCount val="1"/>
                <c:pt idx="0">
                  <c:v>Gearing Ratio</c:v>
                </c:pt>
              </c:strCache>
            </c:strRef>
          </c:tx>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Sheet1!$A$2:$A$3</c:f>
              <c:numCache>
                <c:formatCode>General</c:formatCode>
                <c:ptCount val="2"/>
                <c:pt idx="0">
                  <c:v>2020</c:v>
                </c:pt>
                <c:pt idx="1">
                  <c:v>2021</c:v>
                </c:pt>
              </c:numCache>
            </c:numRef>
          </c:cat>
          <c:val>
            <c:numRef>
              <c:f>Sheet1!$B$2:$B$3</c:f>
              <c:numCache>
                <c:formatCode>General</c:formatCode>
                <c:ptCount val="2"/>
                <c:pt idx="0">
                  <c:v>2.46</c:v>
                </c:pt>
                <c:pt idx="1">
                  <c:v>2.15</c:v>
                </c:pt>
              </c:numCache>
            </c:numRef>
          </c:val>
          <c:smooth val="0"/>
          <c:extLst>
            <c:ext xmlns:c16="http://schemas.microsoft.com/office/drawing/2014/chart" uri="{C3380CC4-5D6E-409C-BE32-E72D297353CC}">
              <c16:uniqueId val="{00000000-91FA-4E47-B1F0-D7F6A1D4D86B}"/>
            </c:ext>
          </c:extLst>
        </c:ser>
        <c:dLbls>
          <c:dLblPos val="ctr"/>
          <c:showLegendKey val="0"/>
          <c:showVal val="1"/>
          <c:showCatName val="0"/>
          <c:showSerName val="0"/>
          <c:showPercent val="0"/>
          <c:showBubbleSize val="0"/>
        </c:dLbls>
        <c:smooth val="0"/>
        <c:axId val="618572520"/>
        <c:axId val="618575144"/>
      </c:lineChart>
      <c:catAx>
        <c:axId val="618572520"/>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18575144"/>
        <c:crosses val="autoZero"/>
        <c:auto val="1"/>
        <c:lblAlgn val="ctr"/>
        <c:lblOffset val="100"/>
        <c:noMultiLvlLbl val="0"/>
      </c:catAx>
      <c:valAx>
        <c:axId val="618575144"/>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18572520"/>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Sheet1!$B$1</c:f>
              <c:strCache>
                <c:ptCount val="1"/>
                <c:pt idx="0">
                  <c:v>Interest Coverage Ratio</c:v>
                </c:pt>
              </c:strCache>
            </c:strRef>
          </c:tx>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Sheet1!$A$2:$A$3</c:f>
              <c:numCache>
                <c:formatCode>General</c:formatCode>
                <c:ptCount val="2"/>
                <c:pt idx="0">
                  <c:v>2020</c:v>
                </c:pt>
                <c:pt idx="1">
                  <c:v>2021</c:v>
                </c:pt>
              </c:numCache>
            </c:numRef>
          </c:cat>
          <c:val>
            <c:numRef>
              <c:f>Sheet1!$B$2:$B$3</c:f>
              <c:numCache>
                <c:formatCode>General</c:formatCode>
                <c:ptCount val="2"/>
                <c:pt idx="0">
                  <c:v>3.86</c:v>
                </c:pt>
                <c:pt idx="1">
                  <c:v>3.56</c:v>
                </c:pt>
              </c:numCache>
            </c:numRef>
          </c:val>
          <c:smooth val="0"/>
          <c:extLst>
            <c:ext xmlns:c16="http://schemas.microsoft.com/office/drawing/2014/chart" uri="{C3380CC4-5D6E-409C-BE32-E72D297353CC}">
              <c16:uniqueId val="{00000000-4223-42AA-A5FB-4655728C6362}"/>
            </c:ext>
          </c:extLst>
        </c:ser>
        <c:dLbls>
          <c:dLblPos val="ctr"/>
          <c:showLegendKey val="0"/>
          <c:showVal val="1"/>
          <c:showCatName val="0"/>
          <c:showSerName val="0"/>
          <c:showPercent val="0"/>
          <c:showBubbleSize val="0"/>
        </c:dLbls>
        <c:smooth val="0"/>
        <c:axId val="618572520"/>
        <c:axId val="618575144"/>
      </c:lineChart>
      <c:catAx>
        <c:axId val="618572520"/>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18575144"/>
        <c:crosses val="autoZero"/>
        <c:auto val="1"/>
        <c:lblAlgn val="ctr"/>
        <c:lblOffset val="100"/>
        <c:noMultiLvlLbl val="0"/>
      </c:catAx>
      <c:valAx>
        <c:axId val="618575144"/>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18572520"/>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Sheet1!$B$1</c:f>
              <c:strCache>
                <c:ptCount val="1"/>
                <c:pt idx="0">
                  <c:v>EPS</c:v>
                </c:pt>
              </c:strCache>
            </c:strRef>
          </c:tx>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Sheet1!$A$2:$A$3</c:f>
              <c:numCache>
                <c:formatCode>General</c:formatCode>
                <c:ptCount val="2"/>
                <c:pt idx="0">
                  <c:v>2020</c:v>
                </c:pt>
                <c:pt idx="1">
                  <c:v>2021</c:v>
                </c:pt>
              </c:numCache>
            </c:numRef>
          </c:cat>
          <c:val>
            <c:numRef>
              <c:f>Sheet1!$B$2:$B$3</c:f>
              <c:numCache>
                <c:formatCode>[$£-809]#,##0.00</c:formatCode>
                <c:ptCount val="2"/>
                <c:pt idx="0">
                  <c:v>0.61</c:v>
                </c:pt>
                <c:pt idx="1">
                  <c:v>0.72</c:v>
                </c:pt>
              </c:numCache>
            </c:numRef>
          </c:val>
          <c:smooth val="0"/>
          <c:extLst>
            <c:ext xmlns:c16="http://schemas.microsoft.com/office/drawing/2014/chart" uri="{C3380CC4-5D6E-409C-BE32-E72D297353CC}">
              <c16:uniqueId val="{00000000-DF40-4EF7-A43B-84961B47F319}"/>
            </c:ext>
          </c:extLst>
        </c:ser>
        <c:dLbls>
          <c:dLblPos val="ctr"/>
          <c:showLegendKey val="0"/>
          <c:showVal val="1"/>
          <c:showCatName val="0"/>
          <c:showSerName val="0"/>
          <c:showPercent val="0"/>
          <c:showBubbleSize val="0"/>
        </c:dLbls>
        <c:smooth val="0"/>
        <c:axId val="618572520"/>
        <c:axId val="618575144"/>
      </c:lineChart>
      <c:catAx>
        <c:axId val="618572520"/>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18575144"/>
        <c:crosses val="autoZero"/>
        <c:auto val="1"/>
        <c:lblAlgn val="ctr"/>
        <c:lblOffset val="100"/>
        <c:noMultiLvlLbl val="0"/>
      </c:catAx>
      <c:valAx>
        <c:axId val="618575144"/>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809]#,##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18572520"/>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5.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6.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7.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8.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9.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0.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5FB8A9D-69E1-4558-9DD5-65935263F5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3230</Words>
  <Characters>18411</Characters>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2023-01-13T19:02:00Z</dcterms:created>
  <dcterms:modified xsi:type="dcterms:W3CDTF">2023-01-13T19:02:00Z</dcterms:modified>
</cp:coreProperties>
</file>