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8D7AE1" w:rsidR="00986B43" w:rsidRPr="00432BF5"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432BF5">
              <w:rPr>
                <w:rFonts w:ascii="Times New Roman" w:hAnsi="Times New Roman" w:cs="Times New Roman"/>
                <w:b/>
                <w:color w:val="auto"/>
                <w:sz w:val="40"/>
                <w:szCs w:val="40"/>
              </w:rPr>
              <w:t>Learner’s name:</w:t>
            </w:r>
            <w:r w:rsidR="00247265" w:rsidRPr="00432BF5">
              <w:rPr>
                <w:rFonts w:ascii="Times New Roman" w:hAnsi="Times New Roman" w:cs="Times New Roman"/>
                <w:b/>
                <w:color w:val="auto"/>
                <w:sz w:val="40"/>
                <w:szCs w:val="40"/>
              </w:rPr>
              <w:t xml:space="preserve"> </w:t>
            </w:r>
            <w:r w:rsidR="00432BF5">
              <w:rPr>
                <w:rFonts w:ascii="Times New Roman" w:hAnsi="Times New Roman" w:cs="Times New Roman"/>
                <w:b/>
                <w:color w:val="auto"/>
                <w:sz w:val="40"/>
                <w:szCs w:val="40"/>
              </w:rPr>
              <w:t>Keren Samuel</w:t>
            </w:r>
          </w:p>
          <w:p w14:paraId="0B6CD0DB" w14:textId="689515B5" w:rsidR="009C337F" w:rsidRPr="00432BF5"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03013010" w:rsidR="009C337F" w:rsidRPr="00432BF5"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432BF5">
              <w:rPr>
                <w:rFonts w:ascii="Times New Roman" w:hAnsi="Times New Roman" w:cs="Times New Roman"/>
                <w:b/>
                <w:color w:val="auto"/>
                <w:sz w:val="40"/>
                <w:szCs w:val="40"/>
              </w:rPr>
              <w:t>Email address:</w:t>
            </w:r>
            <w:r w:rsidR="00432BF5">
              <w:rPr>
                <w:rFonts w:ascii="Times New Roman" w:hAnsi="Times New Roman" w:cs="Times New Roman"/>
                <w:b/>
                <w:color w:val="auto"/>
                <w:sz w:val="40"/>
                <w:szCs w:val="40"/>
              </w:rPr>
              <w:t xml:space="preserve"> Keren.Samuel@pembrokeshire.gov.uk</w:t>
            </w:r>
          </w:p>
          <w:p w14:paraId="22E38809" w14:textId="77777777" w:rsidR="00986B43" w:rsidRPr="00432BF5"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49E74062" w:rsidR="00F927A1" w:rsidRPr="00432BF5"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432BF5">
              <w:rPr>
                <w:rFonts w:ascii="Times New Roman" w:hAnsi="Times New Roman" w:cs="Times New Roman"/>
                <w:b/>
                <w:color w:val="auto"/>
                <w:sz w:val="40"/>
                <w:szCs w:val="40"/>
              </w:rPr>
              <w:t>Learner’s University Registration</w:t>
            </w:r>
            <w:r w:rsidR="00F927A1" w:rsidRPr="00432BF5">
              <w:rPr>
                <w:rFonts w:ascii="Times New Roman" w:hAnsi="Times New Roman" w:cs="Times New Roman"/>
                <w:b/>
                <w:color w:val="auto"/>
                <w:sz w:val="40"/>
                <w:szCs w:val="40"/>
              </w:rPr>
              <w:t xml:space="preserve"> Number:</w:t>
            </w:r>
            <w:r w:rsidR="00432BF5">
              <w:rPr>
                <w:rFonts w:ascii="Times New Roman" w:hAnsi="Times New Roman" w:cs="Times New Roman"/>
                <w:b/>
                <w:color w:val="auto"/>
                <w:sz w:val="40"/>
                <w:szCs w:val="40"/>
              </w:rPr>
              <w:t>2218788</w:t>
            </w:r>
          </w:p>
          <w:p w14:paraId="622FD17A" w14:textId="77777777" w:rsidR="0085230E" w:rsidRPr="00432BF5"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432BF5">
              <w:rPr>
                <w:rFonts w:ascii="Times New Roman" w:hAnsi="Times New Roman" w:cs="Times New Roman"/>
                <w:b/>
                <w:color w:val="auto"/>
                <w:sz w:val="40"/>
                <w:szCs w:val="40"/>
              </w:rPr>
              <w:t>Cohort: 1</w:t>
            </w:r>
            <w:r w:rsidR="000F1A97" w:rsidRPr="00432BF5">
              <w:rPr>
                <w:rFonts w:ascii="Times New Roman" w:hAnsi="Times New Roman" w:cs="Times New Roman"/>
                <w:b/>
                <w:color w:val="auto"/>
                <w:sz w:val="40"/>
                <w:szCs w:val="40"/>
              </w:rPr>
              <w:t>8</w:t>
            </w:r>
            <w:r w:rsidR="00AE6231" w:rsidRPr="00432BF5">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5BC46D5A" w14:textId="1B7CCC6E" w:rsidR="00432BF5" w:rsidRDefault="00432BF5" w:rsidP="00432BF5">
            <w:pPr>
              <w:spacing w:line="360" w:lineRule="auto"/>
              <w:jc w:val="both"/>
              <w:rPr>
                <w:sz w:val="24"/>
                <w:szCs w:val="24"/>
                <w:lang w:val="en-US"/>
              </w:rPr>
            </w:pPr>
            <w:r w:rsidRPr="00432BF5">
              <w:rPr>
                <w:sz w:val="24"/>
                <w:szCs w:val="24"/>
                <w:lang w:val="en-US"/>
              </w:rPr>
              <w:t xml:space="preserve">The </w:t>
            </w:r>
            <w:r w:rsidRPr="00432BF5">
              <w:rPr>
                <w:i/>
                <w:iCs/>
                <w:sz w:val="24"/>
                <w:szCs w:val="24"/>
                <w:lang w:val="en-US"/>
              </w:rPr>
              <w:t>Social Services Well-being (Wales) Act 2014</w:t>
            </w:r>
            <w:sdt>
              <w:sdtPr>
                <w:rPr>
                  <w:i/>
                  <w:iCs/>
                  <w:sz w:val="24"/>
                  <w:szCs w:val="24"/>
                  <w:lang w:val="en-US"/>
                </w:rPr>
                <w:id w:val="-1013844974"/>
                <w:citation/>
              </w:sdtPr>
              <w:sdtContent>
                <w:r w:rsidRPr="00432BF5">
                  <w:rPr>
                    <w:i/>
                    <w:iCs/>
                    <w:sz w:val="24"/>
                    <w:szCs w:val="24"/>
                    <w:lang w:val="en-US"/>
                  </w:rPr>
                  <w:fldChar w:fldCharType="begin"/>
                </w:r>
                <w:r w:rsidRPr="00432BF5">
                  <w:rPr>
                    <w:sz w:val="24"/>
                    <w:szCs w:val="24"/>
                  </w:rPr>
                  <w:instrText xml:space="preserve"> CITATION SSW14 \l 2057 </w:instrText>
                </w:r>
                <w:r w:rsidRPr="00432BF5">
                  <w:rPr>
                    <w:i/>
                    <w:iCs/>
                    <w:sz w:val="24"/>
                    <w:szCs w:val="24"/>
                    <w:lang w:val="en-US"/>
                  </w:rPr>
                  <w:fldChar w:fldCharType="separate"/>
                </w:r>
                <w:r w:rsidRPr="00432BF5">
                  <w:rPr>
                    <w:noProof/>
                    <w:sz w:val="24"/>
                    <w:szCs w:val="24"/>
                  </w:rPr>
                  <w:t xml:space="preserve"> (SSWBA, 2014)</w:t>
                </w:r>
                <w:r w:rsidRPr="00432BF5">
                  <w:rPr>
                    <w:i/>
                    <w:iCs/>
                    <w:sz w:val="24"/>
                    <w:szCs w:val="24"/>
                    <w:lang w:val="en-US"/>
                  </w:rPr>
                  <w:fldChar w:fldCharType="end"/>
                </w:r>
              </w:sdtContent>
            </w:sdt>
            <w:r w:rsidRPr="00432BF5">
              <w:rPr>
                <w:sz w:val="24"/>
                <w:szCs w:val="24"/>
                <w:lang w:val="en-US"/>
              </w:rPr>
              <w:t xml:space="preserve"> provides the legal basis for social services provision in Wales. Safeguarding is the act’s overarching theme and Part 7 deals with safeguarding. The Children Act 1989 outlines the duty of local authorities to safeguard and promote the welfare of children. </w:t>
            </w:r>
          </w:p>
          <w:p w14:paraId="1DBB50E9" w14:textId="77777777" w:rsidR="00432BF5" w:rsidRPr="00432BF5" w:rsidRDefault="00432BF5" w:rsidP="00432BF5">
            <w:pPr>
              <w:spacing w:line="360" w:lineRule="auto"/>
              <w:jc w:val="both"/>
              <w:rPr>
                <w:sz w:val="24"/>
                <w:szCs w:val="24"/>
                <w:lang w:val="en-US"/>
              </w:rPr>
            </w:pPr>
          </w:p>
          <w:p w14:paraId="19A3E9D8" w14:textId="5CCE0559" w:rsidR="00432BF5" w:rsidRDefault="00432BF5" w:rsidP="00432BF5">
            <w:pPr>
              <w:spacing w:line="360" w:lineRule="auto"/>
              <w:jc w:val="both"/>
              <w:rPr>
                <w:sz w:val="24"/>
                <w:szCs w:val="24"/>
                <w:lang w:val="en-US"/>
              </w:rPr>
            </w:pPr>
            <w:r w:rsidRPr="00432BF5">
              <w:rPr>
                <w:sz w:val="24"/>
                <w:szCs w:val="24"/>
                <w:lang w:val="en-US"/>
              </w:rPr>
              <w:t xml:space="preserve">Underpinning the Children's safeguarding practice are two fundamental principles: 1. ‘Safeguarding and protecting is everybody’s responsibility’ - Whilst several ‘relevant partners’ are outlined in the guidance </w:t>
            </w:r>
            <w:sdt>
              <w:sdtPr>
                <w:rPr>
                  <w:sz w:val="24"/>
                  <w:szCs w:val="24"/>
                  <w:lang w:val="en-US"/>
                </w:rPr>
                <w:id w:val="918058551"/>
                <w:citation/>
              </w:sdtPr>
              <w:sdtContent>
                <w:r w:rsidRPr="00432BF5">
                  <w:rPr>
                    <w:sz w:val="24"/>
                    <w:szCs w:val="24"/>
                    <w:lang w:val="en-US"/>
                  </w:rPr>
                  <w:fldChar w:fldCharType="begin"/>
                </w:r>
                <w:r w:rsidRPr="00432BF5">
                  <w:rPr>
                    <w:sz w:val="24"/>
                    <w:szCs w:val="24"/>
                  </w:rPr>
                  <w:instrText xml:space="preserve"> CITATION Soc19 \l 2057 </w:instrText>
                </w:r>
                <w:r w:rsidRPr="00432BF5">
                  <w:rPr>
                    <w:sz w:val="24"/>
                    <w:szCs w:val="24"/>
                    <w:lang w:val="en-US"/>
                  </w:rPr>
                  <w:fldChar w:fldCharType="separate"/>
                </w:r>
                <w:r w:rsidRPr="00432BF5">
                  <w:rPr>
                    <w:noProof/>
                    <w:sz w:val="24"/>
                    <w:szCs w:val="24"/>
                  </w:rPr>
                  <w:t>((SCW), 2019)</w:t>
                </w:r>
                <w:r w:rsidRPr="00432BF5">
                  <w:rPr>
                    <w:sz w:val="24"/>
                    <w:szCs w:val="24"/>
                    <w:lang w:val="en-US"/>
                  </w:rPr>
                  <w:fldChar w:fldCharType="end"/>
                </w:r>
              </w:sdtContent>
            </w:sdt>
            <w:r w:rsidRPr="00432BF5">
              <w:rPr>
                <w:sz w:val="24"/>
                <w:szCs w:val="24"/>
                <w:lang w:val="en-US"/>
              </w:rPr>
              <w:t xml:space="preserve">, this principle emphasizes that Safeguarding is a collective responsibility and promotes multi-disciplinary approach </w:t>
            </w:r>
            <w:sdt>
              <w:sdtPr>
                <w:rPr>
                  <w:sz w:val="24"/>
                  <w:szCs w:val="24"/>
                  <w:lang w:val="en-US"/>
                </w:rPr>
                <w:id w:val="-989090278"/>
                <w:citation/>
              </w:sdtPr>
              <w:sdtContent>
                <w:r w:rsidRPr="00432BF5">
                  <w:rPr>
                    <w:sz w:val="24"/>
                    <w:szCs w:val="24"/>
                    <w:lang w:val="en-US"/>
                  </w:rPr>
                  <w:fldChar w:fldCharType="begin"/>
                </w:r>
                <w:r w:rsidRPr="00432BF5">
                  <w:rPr>
                    <w:sz w:val="24"/>
                    <w:szCs w:val="24"/>
                  </w:rPr>
                  <w:instrText xml:space="preserve"> CITATION SDi22 \l 2057 </w:instrText>
                </w:r>
                <w:r w:rsidRPr="00432BF5">
                  <w:rPr>
                    <w:sz w:val="24"/>
                    <w:szCs w:val="24"/>
                    <w:lang w:val="en-US"/>
                  </w:rPr>
                  <w:fldChar w:fldCharType="separate"/>
                </w:r>
                <w:r w:rsidRPr="00432BF5">
                  <w:rPr>
                    <w:noProof/>
                    <w:sz w:val="24"/>
                    <w:szCs w:val="24"/>
                  </w:rPr>
                  <w:t>(S. Dixon, 2022)</w:t>
                </w:r>
                <w:r w:rsidRPr="00432BF5">
                  <w:rPr>
                    <w:sz w:val="24"/>
                    <w:szCs w:val="24"/>
                    <w:lang w:val="en-US"/>
                  </w:rPr>
                  <w:fldChar w:fldCharType="end"/>
                </w:r>
              </w:sdtContent>
            </w:sdt>
            <w:r w:rsidRPr="00432BF5">
              <w:rPr>
                <w:sz w:val="24"/>
                <w:szCs w:val="24"/>
                <w:lang w:val="en-US"/>
              </w:rPr>
              <w:t xml:space="preserve">; anyone concerned about a child's safety has a duty to report. 2. ‘Child-centered approach’ – This emphasizes that the decisions should be made in the child's best interests by considering and ascertaining the child's views (Part 26. (2) </w:t>
            </w:r>
            <w:sdt>
              <w:sdtPr>
                <w:rPr>
                  <w:sz w:val="24"/>
                  <w:szCs w:val="24"/>
                  <w:lang w:val="en-US"/>
                </w:rPr>
                <w:id w:val="-239329156"/>
                <w:citation/>
              </w:sdtPr>
              <w:sdtContent>
                <w:r w:rsidRPr="00432BF5">
                  <w:rPr>
                    <w:sz w:val="24"/>
                    <w:szCs w:val="24"/>
                    <w:lang w:val="en-US"/>
                  </w:rPr>
                  <w:fldChar w:fldCharType="begin"/>
                </w:r>
                <w:r w:rsidRPr="00432BF5">
                  <w:rPr>
                    <w:sz w:val="24"/>
                    <w:szCs w:val="24"/>
                  </w:rPr>
                  <w:instrText xml:space="preserve"> CITATION SSW14 \l 2057 </w:instrText>
                </w:r>
                <w:r w:rsidRPr="00432BF5">
                  <w:rPr>
                    <w:sz w:val="24"/>
                    <w:szCs w:val="24"/>
                    <w:lang w:val="en-US"/>
                  </w:rPr>
                  <w:fldChar w:fldCharType="separate"/>
                </w:r>
                <w:r w:rsidRPr="00432BF5">
                  <w:rPr>
                    <w:noProof/>
                    <w:sz w:val="24"/>
                    <w:szCs w:val="24"/>
                  </w:rPr>
                  <w:t>(SSWBA, 2014)</w:t>
                </w:r>
                <w:r w:rsidRPr="00432BF5">
                  <w:rPr>
                    <w:sz w:val="24"/>
                    <w:szCs w:val="24"/>
                    <w:lang w:val="en-US"/>
                  </w:rPr>
                  <w:fldChar w:fldCharType="end"/>
                </w:r>
              </w:sdtContent>
            </w:sdt>
            <w:r w:rsidRPr="00432BF5">
              <w:rPr>
                <w:sz w:val="24"/>
                <w:szCs w:val="24"/>
                <w:lang w:val="en-US"/>
              </w:rPr>
              <w:t xml:space="preserve">). To promote a child-centered approach, Wales is the first and only nation to take the initiative to incorporate Children's rights grounded in the </w:t>
            </w:r>
            <w:r w:rsidRPr="00432BF5">
              <w:rPr>
                <w:i/>
                <w:iCs/>
                <w:sz w:val="24"/>
                <w:szCs w:val="24"/>
                <w:lang w:val="en-US"/>
              </w:rPr>
              <w:t>United Nations Convention on the Rights of the Child</w:t>
            </w:r>
            <w:r w:rsidRPr="00432BF5">
              <w:rPr>
                <w:sz w:val="24"/>
                <w:szCs w:val="24"/>
                <w:lang w:val="en-US"/>
              </w:rPr>
              <w:t xml:space="preserve"> </w:t>
            </w:r>
            <w:sdt>
              <w:sdtPr>
                <w:rPr>
                  <w:sz w:val="24"/>
                  <w:szCs w:val="24"/>
                  <w:lang w:val="en-US"/>
                </w:rPr>
                <w:id w:val="-1646275335"/>
                <w:citation/>
              </w:sdtPr>
              <w:sdtContent>
                <w:r w:rsidRPr="00432BF5">
                  <w:rPr>
                    <w:sz w:val="24"/>
                    <w:szCs w:val="24"/>
                    <w:lang w:val="en-US"/>
                  </w:rPr>
                  <w:fldChar w:fldCharType="begin"/>
                </w:r>
                <w:r w:rsidRPr="00432BF5">
                  <w:rPr>
                    <w:sz w:val="24"/>
                    <w:szCs w:val="24"/>
                  </w:rPr>
                  <w:instrText xml:space="preserve"> CITATION UNC89 \l 2057 </w:instrText>
                </w:r>
                <w:r w:rsidRPr="00432BF5">
                  <w:rPr>
                    <w:sz w:val="24"/>
                    <w:szCs w:val="24"/>
                    <w:lang w:val="en-US"/>
                  </w:rPr>
                  <w:fldChar w:fldCharType="separate"/>
                </w:r>
                <w:r w:rsidRPr="00432BF5">
                  <w:rPr>
                    <w:noProof/>
                    <w:sz w:val="24"/>
                    <w:szCs w:val="24"/>
                  </w:rPr>
                  <w:t>(UNCRC, 1989)</w:t>
                </w:r>
                <w:r w:rsidRPr="00432BF5">
                  <w:rPr>
                    <w:sz w:val="24"/>
                    <w:szCs w:val="24"/>
                    <w:lang w:val="en-US"/>
                  </w:rPr>
                  <w:fldChar w:fldCharType="end"/>
                </w:r>
              </w:sdtContent>
            </w:sdt>
            <w:r w:rsidRPr="00432BF5">
              <w:rPr>
                <w:sz w:val="24"/>
                <w:szCs w:val="24"/>
                <w:lang w:val="en-US"/>
              </w:rPr>
              <w:t xml:space="preserve">. </w:t>
            </w:r>
          </w:p>
          <w:p w14:paraId="66B0151A" w14:textId="77777777" w:rsidR="00432BF5" w:rsidRPr="00432BF5" w:rsidRDefault="00432BF5" w:rsidP="00432BF5">
            <w:pPr>
              <w:spacing w:line="360" w:lineRule="auto"/>
              <w:jc w:val="both"/>
              <w:rPr>
                <w:sz w:val="24"/>
                <w:szCs w:val="24"/>
                <w:lang w:val="en-US"/>
              </w:rPr>
            </w:pPr>
          </w:p>
          <w:p w14:paraId="404EB645" w14:textId="2AC2C3DE" w:rsidR="00432BF5" w:rsidRDefault="00432BF5" w:rsidP="00432BF5">
            <w:pPr>
              <w:spacing w:line="360" w:lineRule="auto"/>
              <w:jc w:val="both"/>
              <w:rPr>
                <w:sz w:val="24"/>
                <w:szCs w:val="24"/>
                <w:lang w:val="en-US"/>
              </w:rPr>
            </w:pPr>
            <w:r w:rsidRPr="00432BF5">
              <w:rPr>
                <w:sz w:val="24"/>
                <w:szCs w:val="24"/>
                <w:lang w:val="en-US"/>
              </w:rPr>
              <w:t xml:space="preserve">To provide further clarity, the legislation is accompanied by statutory guidance: </w:t>
            </w:r>
            <w:r w:rsidRPr="00432BF5">
              <w:rPr>
                <w:i/>
                <w:iCs/>
                <w:sz w:val="24"/>
                <w:szCs w:val="24"/>
                <w:lang w:val="en-US"/>
              </w:rPr>
              <w:t xml:space="preserve">The Wales Safeguarding </w:t>
            </w:r>
            <w:proofErr w:type="gramStart"/>
            <w:r w:rsidRPr="00432BF5">
              <w:rPr>
                <w:i/>
                <w:iCs/>
                <w:sz w:val="24"/>
                <w:szCs w:val="24"/>
                <w:lang w:val="en-US"/>
              </w:rPr>
              <w:t>Procedures</w:t>
            </w:r>
            <w:r w:rsidRPr="00432BF5">
              <w:rPr>
                <w:sz w:val="24"/>
                <w:szCs w:val="24"/>
                <w:lang w:val="en-US"/>
              </w:rPr>
              <w:t>(</w:t>
            </w:r>
            <w:proofErr w:type="gramEnd"/>
            <w:r w:rsidRPr="00432BF5">
              <w:rPr>
                <w:sz w:val="24"/>
                <w:szCs w:val="24"/>
                <w:lang w:val="en-US"/>
              </w:rPr>
              <w:t xml:space="preserve">(SCW), 2019), which replaced the All-Wales Child Protection Procedures (2008). Further, </w:t>
            </w:r>
            <w:r w:rsidRPr="00432BF5">
              <w:rPr>
                <w:i/>
                <w:iCs/>
                <w:sz w:val="24"/>
                <w:szCs w:val="24"/>
                <w:lang w:val="en-US"/>
              </w:rPr>
              <w:t>Working Together to Safeguard People</w:t>
            </w:r>
            <w:r w:rsidRPr="00432BF5">
              <w:rPr>
                <w:sz w:val="24"/>
                <w:szCs w:val="24"/>
                <w:lang w:val="en-US"/>
              </w:rPr>
              <w:t xml:space="preserve"> (Wales), issued under S.131 of SSWBA (SSWBA, 2014), details the duty to report the child at risk of abuse and </w:t>
            </w:r>
            <w:r w:rsidRPr="00432BF5">
              <w:rPr>
                <w:sz w:val="24"/>
                <w:szCs w:val="24"/>
                <w:lang w:val="en-US"/>
              </w:rPr>
              <w:lastRenderedPageBreak/>
              <w:t xml:space="preserve">neglect. Within SSWBA, S.130 (4) defines a child at risk as a child experiencing or at risk of abuse, neglect or other harm and needs care and support (whether the authority is meeting any of those needs). SSWBA offers a further explanation for using the terms ‘at risk’ and ‘harm’. Within the description, ‘at risk’ means that actual abuse or neglect does not need to happen; instead, early interventions should be considered to protect the child. Harm is defined as ill-treatment, which includes sexual abuse, neglect, emotional abuse, and psychological abuse. </w:t>
            </w:r>
            <w:r w:rsidRPr="00432BF5">
              <w:rPr>
                <w:i/>
                <w:iCs/>
                <w:sz w:val="24"/>
                <w:szCs w:val="24"/>
                <w:lang w:val="en-US"/>
              </w:rPr>
              <w:t xml:space="preserve">The Children (Abolition of </w:t>
            </w:r>
            <w:proofErr w:type="spellStart"/>
            <w:r w:rsidRPr="00432BF5">
              <w:rPr>
                <w:i/>
                <w:iCs/>
                <w:sz w:val="24"/>
                <w:szCs w:val="24"/>
                <w:lang w:val="en-US"/>
              </w:rPr>
              <w:t>Defence</w:t>
            </w:r>
            <w:proofErr w:type="spellEnd"/>
            <w:r w:rsidRPr="00432BF5">
              <w:rPr>
                <w:i/>
                <w:iCs/>
                <w:sz w:val="24"/>
                <w:szCs w:val="24"/>
                <w:lang w:val="en-US"/>
              </w:rPr>
              <w:t xml:space="preserve"> of Reasonable Punishment) (Wales) Act</w:t>
            </w:r>
            <w:r w:rsidRPr="00432BF5">
              <w:rPr>
                <w:sz w:val="24"/>
                <w:szCs w:val="24"/>
                <w:lang w:val="en-US"/>
              </w:rPr>
              <w:t xml:space="preserve"> </w:t>
            </w:r>
            <w:sdt>
              <w:sdtPr>
                <w:rPr>
                  <w:sz w:val="24"/>
                  <w:szCs w:val="24"/>
                  <w:lang w:val="en-US"/>
                </w:rPr>
                <w:id w:val="-1610502148"/>
                <w:citation/>
              </w:sdtPr>
              <w:sdtContent>
                <w:r w:rsidRPr="00432BF5">
                  <w:rPr>
                    <w:sz w:val="24"/>
                    <w:szCs w:val="24"/>
                    <w:lang w:val="en-US"/>
                  </w:rPr>
                  <w:fldChar w:fldCharType="begin"/>
                </w:r>
                <w:r w:rsidRPr="00432BF5">
                  <w:rPr>
                    <w:sz w:val="24"/>
                    <w:szCs w:val="24"/>
                  </w:rPr>
                  <w:instrText xml:space="preserve">CITATION Wel20 \l 2057 </w:instrText>
                </w:r>
                <w:r w:rsidRPr="00432BF5">
                  <w:rPr>
                    <w:sz w:val="24"/>
                    <w:szCs w:val="24"/>
                    <w:lang w:val="en-US"/>
                  </w:rPr>
                  <w:fldChar w:fldCharType="separate"/>
                </w:r>
                <w:r w:rsidRPr="00432BF5">
                  <w:rPr>
                    <w:noProof/>
                    <w:sz w:val="24"/>
                    <w:szCs w:val="24"/>
                  </w:rPr>
                  <w:t>((ANAW), 2020)</w:t>
                </w:r>
                <w:r w:rsidRPr="00432BF5">
                  <w:rPr>
                    <w:sz w:val="24"/>
                    <w:szCs w:val="24"/>
                    <w:lang w:val="en-US"/>
                  </w:rPr>
                  <w:fldChar w:fldCharType="end"/>
                </w:r>
              </w:sdtContent>
            </w:sdt>
            <w:r w:rsidRPr="00432BF5">
              <w:rPr>
                <w:sz w:val="24"/>
                <w:szCs w:val="24"/>
                <w:lang w:val="en-US"/>
              </w:rPr>
              <w:t xml:space="preserve"> has made ‘</w:t>
            </w:r>
            <w:proofErr w:type="spellStart"/>
            <w:r w:rsidRPr="00432BF5">
              <w:rPr>
                <w:sz w:val="24"/>
                <w:szCs w:val="24"/>
                <w:lang w:val="en-US"/>
              </w:rPr>
              <w:t>defence</w:t>
            </w:r>
            <w:proofErr w:type="spellEnd"/>
            <w:r w:rsidRPr="00432BF5">
              <w:rPr>
                <w:sz w:val="24"/>
                <w:szCs w:val="24"/>
                <w:lang w:val="en-US"/>
              </w:rPr>
              <w:t xml:space="preserve"> of reasonable punishment’ illegal from 21 March 2022. Therefore, no one in Wales can use physical punishment (smacking, hitting, slapping and shaking) as a </w:t>
            </w:r>
            <w:proofErr w:type="spellStart"/>
            <w:r w:rsidRPr="00432BF5">
              <w:rPr>
                <w:sz w:val="24"/>
                <w:szCs w:val="24"/>
                <w:lang w:val="en-US"/>
              </w:rPr>
              <w:t>defence</w:t>
            </w:r>
            <w:proofErr w:type="spellEnd"/>
            <w:r w:rsidRPr="00432BF5">
              <w:rPr>
                <w:sz w:val="24"/>
                <w:szCs w:val="24"/>
                <w:lang w:val="en-US"/>
              </w:rPr>
              <w:t xml:space="preserve"> for common assault. Additional safeguarding guidance is provided by Local Safeguarding Children Boards (LSCB)</w:t>
            </w:r>
            <w:sdt>
              <w:sdtPr>
                <w:rPr>
                  <w:sz w:val="24"/>
                  <w:szCs w:val="24"/>
                  <w:lang w:val="en-US"/>
                </w:rPr>
                <w:id w:val="1903865107"/>
                <w:citation/>
              </w:sdtPr>
              <w:sdtContent>
                <w:r w:rsidRPr="00432BF5">
                  <w:rPr>
                    <w:sz w:val="24"/>
                    <w:szCs w:val="24"/>
                    <w:lang w:val="en-US"/>
                  </w:rPr>
                  <w:fldChar w:fldCharType="begin"/>
                </w:r>
                <w:r w:rsidRPr="00432BF5">
                  <w:rPr>
                    <w:sz w:val="24"/>
                    <w:szCs w:val="24"/>
                  </w:rPr>
                  <w:instrText xml:space="preserve"> CITATION CA04 \l 2057 </w:instrText>
                </w:r>
                <w:r w:rsidRPr="00432BF5">
                  <w:rPr>
                    <w:sz w:val="24"/>
                    <w:szCs w:val="24"/>
                    <w:lang w:val="en-US"/>
                  </w:rPr>
                  <w:fldChar w:fldCharType="separate"/>
                </w:r>
                <w:r w:rsidRPr="00432BF5">
                  <w:rPr>
                    <w:noProof/>
                    <w:sz w:val="24"/>
                    <w:szCs w:val="24"/>
                  </w:rPr>
                  <w:t xml:space="preserve"> (CA, 2004)</w:t>
                </w:r>
                <w:r w:rsidRPr="00432BF5">
                  <w:rPr>
                    <w:sz w:val="24"/>
                    <w:szCs w:val="24"/>
                    <w:lang w:val="en-US"/>
                  </w:rPr>
                  <w:fldChar w:fldCharType="end"/>
                </w:r>
              </w:sdtContent>
            </w:sdt>
            <w:r w:rsidRPr="00432BF5">
              <w:rPr>
                <w:sz w:val="24"/>
                <w:szCs w:val="24"/>
                <w:lang w:val="en-US"/>
              </w:rPr>
              <w:t xml:space="preserve">. </w:t>
            </w:r>
          </w:p>
          <w:p w14:paraId="0CE0D86B" w14:textId="77777777" w:rsidR="00432BF5" w:rsidRPr="00432BF5" w:rsidRDefault="00432BF5" w:rsidP="00432BF5">
            <w:pPr>
              <w:spacing w:line="360" w:lineRule="auto"/>
              <w:jc w:val="both"/>
              <w:rPr>
                <w:sz w:val="24"/>
                <w:szCs w:val="24"/>
                <w:lang w:val="en-US"/>
              </w:rPr>
            </w:pPr>
          </w:p>
          <w:p w14:paraId="26B354C0" w14:textId="4D97994B" w:rsidR="00432BF5" w:rsidRDefault="00432BF5" w:rsidP="00432BF5">
            <w:pPr>
              <w:spacing w:line="360" w:lineRule="auto"/>
              <w:jc w:val="both"/>
              <w:rPr>
                <w:sz w:val="24"/>
                <w:szCs w:val="24"/>
                <w:lang w:val="en-US"/>
              </w:rPr>
            </w:pPr>
            <w:r w:rsidRPr="00432BF5">
              <w:rPr>
                <w:sz w:val="24"/>
                <w:szCs w:val="24"/>
                <w:lang w:val="en-US"/>
              </w:rPr>
              <w:t>Each local authority in Wales has its own safeguarding policies and procedures aligned with national legislation and guidance. S.130 of SSWBA</w:t>
            </w:r>
            <w:sdt>
              <w:sdtPr>
                <w:rPr>
                  <w:sz w:val="24"/>
                  <w:szCs w:val="24"/>
                  <w:lang w:val="en-US"/>
                </w:rPr>
                <w:id w:val="-275262603"/>
                <w:citation/>
              </w:sdtPr>
              <w:sdtContent>
                <w:r w:rsidRPr="00432BF5">
                  <w:rPr>
                    <w:sz w:val="24"/>
                    <w:szCs w:val="24"/>
                    <w:lang w:val="en-US"/>
                  </w:rPr>
                  <w:fldChar w:fldCharType="begin"/>
                </w:r>
                <w:r w:rsidRPr="00432BF5">
                  <w:rPr>
                    <w:sz w:val="24"/>
                    <w:szCs w:val="24"/>
                  </w:rPr>
                  <w:instrText xml:space="preserve"> CITATION SSW14 \l 2057 </w:instrText>
                </w:r>
                <w:r w:rsidRPr="00432BF5">
                  <w:rPr>
                    <w:sz w:val="24"/>
                    <w:szCs w:val="24"/>
                    <w:lang w:val="en-US"/>
                  </w:rPr>
                  <w:fldChar w:fldCharType="separate"/>
                </w:r>
                <w:r w:rsidRPr="00432BF5">
                  <w:rPr>
                    <w:noProof/>
                    <w:sz w:val="24"/>
                    <w:szCs w:val="24"/>
                  </w:rPr>
                  <w:t xml:space="preserve"> (SSWBA, 2014)</w:t>
                </w:r>
                <w:r w:rsidRPr="00432BF5">
                  <w:rPr>
                    <w:sz w:val="24"/>
                    <w:szCs w:val="24"/>
                    <w:lang w:val="en-US"/>
                  </w:rPr>
                  <w:fldChar w:fldCharType="end"/>
                </w:r>
              </w:sdtContent>
            </w:sdt>
            <w:r w:rsidRPr="00432BF5">
              <w:rPr>
                <w:sz w:val="24"/>
                <w:szCs w:val="24"/>
                <w:lang w:val="en-US"/>
              </w:rPr>
              <w:t xml:space="preserve"> places a duty on the ‘relevant partners’ to report the safeguarding concern. Upon receiving the referral, the allegation is screened within one working day. This is followed by one of the following outcomes: if the child appears to be at risk of suffering significant harm, the local authority has a duty to investigate under S47 of the Children Act </w:t>
            </w:r>
            <w:sdt>
              <w:sdtPr>
                <w:rPr>
                  <w:sz w:val="24"/>
                  <w:szCs w:val="24"/>
                  <w:lang w:val="en-US"/>
                </w:rPr>
                <w:id w:val="969099067"/>
                <w:citation/>
              </w:sdtPr>
              <w:sdtContent>
                <w:r w:rsidRPr="00432BF5">
                  <w:rPr>
                    <w:sz w:val="24"/>
                    <w:szCs w:val="24"/>
                    <w:lang w:val="en-US"/>
                  </w:rPr>
                  <w:fldChar w:fldCharType="begin"/>
                </w:r>
                <w:r w:rsidRPr="00432BF5">
                  <w:rPr>
                    <w:sz w:val="24"/>
                    <w:szCs w:val="24"/>
                  </w:rPr>
                  <w:instrText xml:space="preserve"> CITATION The89 \l 2057 </w:instrText>
                </w:r>
                <w:r w:rsidRPr="00432BF5">
                  <w:rPr>
                    <w:sz w:val="24"/>
                    <w:szCs w:val="24"/>
                    <w:lang w:val="en-US"/>
                  </w:rPr>
                  <w:fldChar w:fldCharType="separate"/>
                </w:r>
                <w:r w:rsidRPr="00432BF5">
                  <w:rPr>
                    <w:noProof/>
                    <w:sz w:val="24"/>
                    <w:szCs w:val="24"/>
                  </w:rPr>
                  <w:t>(CA, 1989)</w:t>
                </w:r>
                <w:r w:rsidRPr="00432BF5">
                  <w:rPr>
                    <w:sz w:val="24"/>
                    <w:szCs w:val="24"/>
                    <w:lang w:val="en-US"/>
                  </w:rPr>
                  <w:fldChar w:fldCharType="end"/>
                </w:r>
              </w:sdtContent>
            </w:sdt>
            <w:r w:rsidRPr="00432BF5">
              <w:rPr>
                <w:sz w:val="24"/>
                <w:szCs w:val="24"/>
                <w:lang w:val="en-US"/>
              </w:rPr>
              <w:t xml:space="preserve">; an emergency protection order can be issued to remove the child. If the child is not in immediate danger, they may assess the child for care and support to formulate a care and support plan under S.54 of SSWBA </w:t>
            </w:r>
            <w:sdt>
              <w:sdtPr>
                <w:rPr>
                  <w:sz w:val="24"/>
                  <w:szCs w:val="24"/>
                  <w:lang w:val="en-US"/>
                </w:rPr>
                <w:id w:val="-1770998335"/>
                <w:citation/>
              </w:sdtPr>
              <w:sdtContent>
                <w:r w:rsidRPr="00432BF5">
                  <w:rPr>
                    <w:sz w:val="24"/>
                    <w:szCs w:val="24"/>
                    <w:lang w:val="en-US"/>
                  </w:rPr>
                  <w:fldChar w:fldCharType="begin"/>
                </w:r>
                <w:r w:rsidRPr="00432BF5">
                  <w:rPr>
                    <w:sz w:val="24"/>
                    <w:szCs w:val="24"/>
                  </w:rPr>
                  <w:instrText xml:space="preserve"> CITATION SSW14 \l 2057 </w:instrText>
                </w:r>
                <w:r w:rsidRPr="00432BF5">
                  <w:rPr>
                    <w:sz w:val="24"/>
                    <w:szCs w:val="24"/>
                    <w:lang w:val="en-US"/>
                  </w:rPr>
                  <w:fldChar w:fldCharType="separate"/>
                </w:r>
                <w:r w:rsidRPr="00432BF5">
                  <w:rPr>
                    <w:noProof/>
                    <w:sz w:val="24"/>
                    <w:szCs w:val="24"/>
                  </w:rPr>
                  <w:t>(SSWBA, 2014)</w:t>
                </w:r>
                <w:r w:rsidRPr="00432BF5">
                  <w:rPr>
                    <w:sz w:val="24"/>
                    <w:szCs w:val="24"/>
                    <w:lang w:val="en-US"/>
                  </w:rPr>
                  <w:fldChar w:fldCharType="end"/>
                </w:r>
              </w:sdtContent>
            </w:sdt>
            <w:r w:rsidRPr="00432BF5">
              <w:rPr>
                <w:sz w:val="24"/>
                <w:szCs w:val="24"/>
                <w:lang w:val="en-US"/>
              </w:rPr>
              <w:t xml:space="preserve">. </w:t>
            </w:r>
          </w:p>
          <w:p w14:paraId="4BE0B0CE" w14:textId="77777777" w:rsidR="00432BF5" w:rsidRPr="00432BF5" w:rsidRDefault="00432BF5" w:rsidP="00432BF5">
            <w:pPr>
              <w:spacing w:line="360" w:lineRule="auto"/>
              <w:jc w:val="both"/>
              <w:rPr>
                <w:sz w:val="24"/>
                <w:szCs w:val="24"/>
                <w:lang w:val="en-US"/>
              </w:rPr>
            </w:pPr>
          </w:p>
          <w:p w14:paraId="48C721DE" w14:textId="4478A0EA" w:rsidR="00432BF5" w:rsidRDefault="00432BF5" w:rsidP="00432BF5">
            <w:pPr>
              <w:spacing w:line="360" w:lineRule="auto"/>
              <w:jc w:val="both"/>
              <w:rPr>
                <w:sz w:val="24"/>
                <w:szCs w:val="24"/>
                <w:lang w:val="en-US"/>
              </w:rPr>
            </w:pPr>
            <w:r w:rsidRPr="00432BF5">
              <w:rPr>
                <w:sz w:val="24"/>
                <w:szCs w:val="24"/>
                <w:lang w:val="en-US"/>
              </w:rPr>
              <w:t xml:space="preserve">Every </w:t>
            </w:r>
            <w:proofErr w:type="spellStart"/>
            <w:r w:rsidRPr="00432BF5">
              <w:rPr>
                <w:sz w:val="24"/>
                <w:szCs w:val="24"/>
                <w:lang w:val="en-US"/>
              </w:rPr>
              <w:t>organisation</w:t>
            </w:r>
            <w:proofErr w:type="spellEnd"/>
            <w:r w:rsidRPr="00432BF5">
              <w:rPr>
                <w:sz w:val="24"/>
                <w:szCs w:val="24"/>
                <w:lang w:val="en-US"/>
              </w:rPr>
              <w:t xml:space="preserve"> that works for children has their safeguarding procedures guided by legislation.</w:t>
            </w:r>
            <w:r w:rsidRPr="00432BF5">
              <w:rPr>
                <w:i/>
                <w:iCs/>
                <w:sz w:val="24"/>
                <w:szCs w:val="24"/>
                <w:lang w:val="en-US"/>
              </w:rPr>
              <w:t xml:space="preserve"> Keeping Learners Safe</w:t>
            </w:r>
            <w:r w:rsidRPr="00432BF5">
              <w:rPr>
                <w:sz w:val="24"/>
                <w:szCs w:val="24"/>
                <w:lang w:val="en-US"/>
              </w:rPr>
              <w:t xml:space="preserve"> under S.175 of the Education Act 2002 guides all education settings to have an effective safeguarding system in place.</w:t>
            </w:r>
          </w:p>
          <w:p w14:paraId="62C2048D" w14:textId="77777777" w:rsidR="00432BF5" w:rsidRPr="00432BF5" w:rsidRDefault="00432BF5" w:rsidP="00432BF5">
            <w:pPr>
              <w:spacing w:line="360" w:lineRule="auto"/>
              <w:jc w:val="both"/>
              <w:rPr>
                <w:sz w:val="24"/>
                <w:szCs w:val="24"/>
                <w:lang w:val="en-US"/>
              </w:rPr>
            </w:pPr>
          </w:p>
          <w:p w14:paraId="1A6B0C81" w14:textId="77777777" w:rsidR="00432BF5" w:rsidRPr="00432BF5" w:rsidRDefault="00432BF5" w:rsidP="00432BF5">
            <w:pPr>
              <w:spacing w:line="360" w:lineRule="auto"/>
              <w:jc w:val="both"/>
              <w:rPr>
                <w:sz w:val="24"/>
                <w:szCs w:val="24"/>
                <w:lang w:val="en-US"/>
              </w:rPr>
            </w:pPr>
            <w:r w:rsidRPr="00432BF5">
              <w:rPr>
                <w:sz w:val="24"/>
                <w:szCs w:val="24"/>
                <w:lang w:val="en-US"/>
              </w:rPr>
              <w:t>Word Count: 523</w:t>
            </w:r>
          </w:p>
          <w:p w14:paraId="17CB75F3" w14:textId="77777777" w:rsidR="00432BF5" w:rsidRPr="00432BF5" w:rsidRDefault="00432BF5" w:rsidP="00432BF5">
            <w:pPr>
              <w:spacing w:line="360" w:lineRule="auto"/>
              <w:jc w:val="both"/>
              <w:rPr>
                <w:sz w:val="24"/>
                <w:szCs w:val="24"/>
                <w:lang w:val="en-US"/>
              </w:rPr>
            </w:pPr>
          </w:p>
          <w:p w14:paraId="7378B0E2" w14:textId="77777777" w:rsidR="00432BF5" w:rsidRPr="00432BF5" w:rsidRDefault="00432BF5" w:rsidP="00432BF5">
            <w:pPr>
              <w:spacing w:line="360" w:lineRule="auto"/>
              <w:jc w:val="both"/>
              <w:rPr>
                <w:sz w:val="24"/>
                <w:szCs w:val="24"/>
                <w:lang w:val="en-US"/>
              </w:rPr>
            </w:pPr>
          </w:p>
          <w:p w14:paraId="7826C47C" w14:textId="77777777" w:rsidR="00432BF5" w:rsidRDefault="00432BF5" w:rsidP="00432BF5">
            <w:pPr>
              <w:spacing w:line="360" w:lineRule="auto"/>
              <w:jc w:val="both"/>
              <w:rPr>
                <w:lang w:val="en-US"/>
              </w:rPr>
            </w:pPr>
          </w:p>
          <w:p w14:paraId="4FF8EBF3" w14:textId="31C4DDF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6E4E6C7" w14:textId="5C05F17C" w:rsidR="00432BF5" w:rsidRDefault="00432BF5" w:rsidP="00432BF5">
            <w:pPr>
              <w:spacing w:line="360" w:lineRule="auto"/>
              <w:jc w:val="both"/>
              <w:rPr>
                <w:sz w:val="24"/>
                <w:szCs w:val="24"/>
              </w:rPr>
            </w:pPr>
            <w:r w:rsidRPr="00432BF5">
              <w:rPr>
                <w:sz w:val="24"/>
                <w:szCs w:val="24"/>
              </w:rPr>
              <w:t xml:space="preserve">The </w:t>
            </w:r>
            <w:r w:rsidRPr="00432BF5">
              <w:rPr>
                <w:i/>
                <w:iCs/>
                <w:sz w:val="24"/>
                <w:szCs w:val="24"/>
              </w:rPr>
              <w:t xml:space="preserve">Social Services and Well-being (Wales) Act 2014 (SSWBA) </w:t>
            </w:r>
            <w:r w:rsidRPr="00432BF5">
              <w:rPr>
                <w:sz w:val="24"/>
                <w:szCs w:val="24"/>
              </w:rPr>
              <w:t xml:space="preserve">provides the legal framework for care and support provision for children and adults in Wales. Part 7 of the act relates explicitly to Safeguarding children and adults. This act is the statutory framework for formulating the </w:t>
            </w:r>
            <w:r w:rsidRPr="00432BF5">
              <w:rPr>
                <w:i/>
                <w:iCs/>
                <w:sz w:val="24"/>
                <w:szCs w:val="24"/>
              </w:rPr>
              <w:t>Wales Safeguarding Procedures (2019).</w:t>
            </w:r>
            <w:r w:rsidRPr="00432BF5">
              <w:rPr>
                <w:sz w:val="24"/>
                <w:szCs w:val="24"/>
              </w:rPr>
              <w:t xml:space="preserve">  The children and adults have separate safeguarding procedures.</w:t>
            </w:r>
          </w:p>
          <w:p w14:paraId="6B0E0E9E" w14:textId="77777777" w:rsidR="00432BF5" w:rsidRPr="00432BF5" w:rsidRDefault="00432BF5" w:rsidP="00432BF5">
            <w:pPr>
              <w:spacing w:line="360" w:lineRule="auto"/>
              <w:jc w:val="both"/>
              <w:rPr>
                <w:sz w:val="24"/>
                <w:szCs w:val="24"/>
              </w:rPr>
            </w:pPr>
          </w:p>
          <w:p w14:paraId="76763DE0" w14:textId="77777777" w:rsidR="00432BF5" w:rsidRPr="00432BF5" w:rsidRDefault="00432BF5" w:rsidP="00432BF5">
            <w:pPr>
              <w:spacing w:line="360" w:lineRule="auto"/>
              <w:jc w:val="both"/>
              <w:rPr>
                <w:sz w:val="24"/>
                <w:szCs w:val="24"/>
              </w:rPr>
            </w:pPr>
            <w:r w:rsidRPr="00432BF5">
              <w:rPr>
                <w:i/>
                <w:iCs/>
                <w:sz w:val="24"/>
                <w:szCs w:val="24"/>
              </w:rPr>
              <w:t xml:space="preserve">SSWBA </w:t>
            </w:r>
            <w:r w:rsidRPr="00432BF5">
              <w:rPr>
                <w:sz w:val="24"/>
                <w:szCs w:val="24"/>
              </w:rPr>
              <w:t xml:space="preserve">emphasises Safeguarding is everyone’s responsibility, and all agencies must act/report an adult or child at risk if identified. An adult at risk is defined differently from a child at risk. S.126(1) </w:t>
            </w:r>
            <w:r w:rsidRPr="00432BF5">
              <w:rPr>
                <w:i/>
                <w:iCs/>
                <w:sz w:val="24"/>
                <w:szCs w:val="24"/>
              </w:rPr>
              <w:t>SSWBA</w:t>
            </w:r>
            <w:r w:rsidRPr="00432BF5">
              <w:rPr>
                <w:sz w:val="24"/>
                <w:szCs w:val="24"/>
              </w:rPr>
              <w:t xml:space="preserve"> deems an adult at risk if they are experiencing (or at risk of experiencing) abuse or neglect, have needs of care and support, and, as a result of those needs, cannot protect themselves against the abuse and neglect. While </w:t>
            </w:r>
            <w:proofErr w:type="gramStart"/>
            <w:r w:rsidRPr="00432BF5">
              <w:rPr>
                <w:sz w:val="24"/>
                <w:szCs w:val="24"/>
              </w:rPr>
              <w:t>S.130(</w:t>
            </w:r>
            <w:proofErr w:type="gramEnd"/>
            <w:r w:rsidRPr="00432BF5">
              <w:rPr>
                <w:sz w:val="24"/>
                <w:szCs w:val="24"/>
              </w:rPr>
              <w:t xml:space="preserve">4) </w:t>
            </w:r>
            <w:r w:rsidRPr="00432BF5">
              <w:rPr>
                <w:i/>
                <w:iCs/>
                <w:sz w:val="24"/>
                <w:szCs w:val="24"/>
              </w:rPr>
              <w:t>SSWBA</w:t>
            </w:r>
            <w:r w:rsidRPr="00432BF5">
              <w:rPr>
                <w:sz w:val="24"/>
                <w:szCs w:val="24"/>
              </w:rPr>
              <w:t xml:space="preserve"> deems a child at risk if they are experiencing (or at risk of experiencing) abuse, neglect or other kinds of harm and has needs of care and support. The key difference between adult and child safeguarding is based on the following two factors: capacity and consent</w:t>
            </w:r>
            <w:sdt>
              <w:sdtPr>
                <w:rPr>
                  <w:sz w:val="24"/>
                  <w:szCs w:val="24"/>
                </w:rPr>
                <w:id w:val="1824699587"/>
                <w:citation/>
              </w:sdtPr>
              <w:sdtContent>
                <w:r w:rsidRPr="00432BF5">
                  <w:rPr>
                    <w:sz w:val="24"/>
                    <w:szCs w:val="24"/>
                  </w:rPr>
                  <w:fldChar w:fldCharType="begin"/>
                </w:r>
                <w:r w:rsidRPr="00432BF5">
                  <w:rPr>
                    <w:sz w:val="24"/>
                    <w:szCs w:val="24"/>
                    <w:lang w:val="en-US"/>
                  </w:rPr>
                  <w:instrText xml:space="preserve"> CITATION NSP19 \l 1033 </w:instrText>
                </w:r>
                <w:r w:rsidRPr="00432BF5">
                  <w:rPr>
                    <w:sz w:val="24"/>
                    <w:szCs w:val="24"/>
                  </w:rPr>
                  <w:fldChar w:fldCharType="separate"/>
                </w:r>
                <w:r w:rsidRPr="00432BF5">
                  <w:rPr>
                    <w:noProof/>
                    <w:sz w:val="24"/>
                    <w:szCs w:val="24"/>
                    <w:lang w:val="en-US"/>
                  </w:rPr>
                  <w:t xml:space="preserve"> (NSPCC, 2019)</w:t>
                </w:r>
                <w:r w:rsidRPr="00432BF5">
                  <w:rPr>
                    <w:sz w:val="24"/>
                    <w:szCs w:val="24"/>
                  </w:rPr>
                  <w:fldChar w:fldCharType="end"/>
                </w:r>
              </w:sdtContent>
            </w:sdt>
            <w:r w:rsidRPr="00432BF5">
              <w:rPr>
                <w:sz w:val="24"/>
                <w:szCs w:val="24"/>
              </w:rPr>
              <w:t>.</w:t>
            </w:r>
          </w:p>
          <w:p w14:paraId="3130B58F" w14:textId="4E514441" w:rsidR="00432BF5" w:rsidRDefault="00432BF5" w:rsidP="00432BF5">
            <w:pPr>
              <w:spacing w:line="360" w:lineRule="auto"/>
              <w:jc w:val="both"/>
              <w:rPr>
                <w:i/>
                <w:sz w:val="24"/>
                <w:szCs w:val="24"/>
              </w:rPr>
            </w:pPr>
            <w:r w:rsidRPr="00432BF5">
              <w:rPr>
                <w:sz w:val="24"/>
                <w:szCs w:val="24"/>
              </w:rPr>
              <w:t xml:space="preserve">The </w:t>
            </w:r>
            <w:r w:rsidRPr="00432BF5">
              <w:rPr>
                <w:i/>
                <w:iCs/>
                <w:sz w:val="24"/>
                <w:szCs w:val="24"/>
              </w:rPr>
              <w:t>Mental Capacity Act (2005)</w:t>
            </w:r>
            <w:r w:rsidRPr="00432BF5">
              <w:rPr>
                <w:sz w:val="24"/>
                <w:szCs w:val="24"/>
              </w:rPr>
              <w:t xml:space="preserve"> </w:t>
            </w:r>
            <w:r w:rsidRPr="00432BF5">
              <w:rPr>
                <w:i/>
                <w:iCs/>
                <w:sz w:val="24"/>
                <w:szCs w:val="24"/>
              </w:rPr>
              <w:t xml:space="preserve">(MCA) </w:t>
            </w:r>
            <w:r w:rsidRPr="00432BF5">
              <w:rPr>
                <w:sz w:val="24"/>
                <w:szCs w:val="24"/>
              </w:rPr>
              <w:t>provides the legal structure for making decisions for individuals who may lack the capacity to do so alone. An individual has the right to live a life free from any form of abuse (</w:t>
            </w:r>
            <w:r w:rsidRPr="00432BF5">
              <w:rPr>
                <w:i/>
                <w:iCs/>
                <w:sz w:val="24"/>
                <w:szCs w:val="24"/>
              </w:rPr>
              <w:t>Human Rights Act 1989)</w:t>
            </w:r>
            <w:r w:rsidRPr="00432BF5">
              <w:rPr>
                <w:sz w:val="24"/>
                <w:szCs w:val="24"/>
              </w:rPr>
              <w:t xml:space="preserve">. However, if an adult with understanding places themselves in dangerous situations and chooses not to engage with services does not show that the adult lacks capacity but has the right to make unwise decisions </w:t>
            </w:r>
            <w:r w:rsidRPr="00432BF5">
              <w:rPr>
                <w:i/>
                <w:sz w:val="24"/>
                <w:szCs w:val="24"/>
              </w:rPr>
              <w:t>(Principle 4 MCA</w:t>
            </w:r>
            <w:proofErr w:type="gramStart"/>
            <w:r w:rsidRPr="00432BF5">
              <w:rPr>
                <w:i/>
                <w:sz w:val="24"/>
                <w:szCs w:val="24"/>
              </w:rPr>
              <w:t>,2005</w:t>
            </w:r>
            <w:proofErr w:type="gramEnd"/>
            <w:r w:rsidRPr="00432BF5">
              <w:rPr>
                <w:i/>
                <w:sz w:val="24"/>
                <w:szCs w:val="24"/>
              </w:rPr>
              <w:t>).</w:t>
            </w:r>
          </w:p>
          <w:p w14:paraId="1EB44922" w14:textId="77777777" w:rsidR="00432BF5" w:rsidRPr="00432BF5" w:rsidRDefault="00432BF5" w:rsidP="00432BF5">
            <w:pPr>
              <w:spacing w:line="360" w:lineRule="auto"/>
              <w:jc w:val="both"/>
              <w:rPr>
                <w:sz w:val="24"/>
                <w:szCs w:val="24"/>
              </w:rPr>
            </w:pPr>
            <w:bookmarkStart w:id="0" w:name="_GoBack"/>
            <w:bookmarkEnd w:id="0"/>
          </w:p>
          <w:p w14:paraId="34B1FA1A" w14:textId="77777777" w:rsidR="00432BF5" w:rsidRPr="00432BF5" w:rsidRDefault="00432BF5" w:rsidP="00432BF5">
            <w:pPr>
              <w:spacing w:line="360" w:lineRule="auto"/>
              <w:jc w:val="both"/>
              <w:rPr>
                <w:sz w:val="24"/>
                <w:szCs w:val="24"/>
              </w:rPr>
            </w:pPr>
            <w:r w:rsidRPr="00432BF5">
              <w:rPr>
                <w:sz w:val="24"/>
                <w:szCs w:val="24"/>
              </w:rPr>
              <w:t xml:space="preserve">In contrast, for a child at risk, they are removed immediately from the place of risk/harm </w:t>
            </w:r>
            <w:r w:rsidRPr="00432BF5">
              <w:rPr>
                <w:i/>
                <w:iCs/>
                <w:sz w:val="24"/>
                <w:szCs w:val="24"/>
              </w:rPr>
              <w:t>(SSWBA 2014)</w:t>
            </w:r>
            <w:r w:rsidRPr="00432BF5">
              <w:rPr>
                <w:sz w:val="24"/>
                <w:szCs w:val="24"/>
              </w:rPr>
              <w:t xml:space="preserve"> and if they are found to be at significant harm then the local authority has the duty to investigate under </w:t>
            </w:r>
            <w:r w:rsidRPr="00432BF5">
              <w:rPr>
                <w:i/>
                <w:iCs/>
                <w:sz w:val="24"/>
                <w:szCs w:val="24"/>
              </w:rPr>
              <w:t xml:space="preserve">S47 of Children Act 1989. MCA </w:t>
            </w:r>
            <w:r w:rsidRPr="00432BF5">
              <w:rPr>
                <w:sz w:val="24"/>
                <w:szCs w:val="24"/>
              </w:rPr>
              <w:t xml:space="preserve">does not apply to individuals under the age of 16 and it considers an individual of 16 and above to be able to demonstrate the capacity to consent. However, according to </w:t>
            </w:r>
            <w:r w:rsidRPr="00432BF5">
              <w:rPr>
                <w:i/>
                <w:iCs/>
                <w:sz w:val="24"/>
                <w:szCs w:val="24"/>
              </w:rPr>
              <w:t>S.105 Children Act, 1989</w:t>
            </w:r>
            <w:r w:rsidRPr="00432BF5">
              <w:rPr>
                <w:sz w:val="24"/>
                <w:szCs w:val="24"/>
              </w:rPr>
              <w:t xml:space="preserve"> and </w:t>
            </w:r>
            <w:r w:rsidRPr="00432BF5">
              <w:rPr>
                <w:i/>
                <w:iCs/>
                <w:sz w:val="24"/>
                <w:szCs w:val="24"/>
              </w:rPr>
              <w:t>SSWBA</w:t>
            </w:r>
            <w:r w:rsidRPr="00432BF5">
              <w:rPr>
                <w:sz w:val="24"/>
                <w:szCs w:val="24"/>
              </w:rPr>
              <w:t xml:space="preserve"> considers a person to remain a child until 18.</w:t>
            </w:r>
            <w:r w:rsidRPr="00432BF5">
              <w:rPr>
                <w:i/>
                <w:iCs/>
                <w:sz w:val="24"/>
                <w:szCs w:val="24"/>
              </w:rPr>
              <w:t xml:space="preserve"> </w:t>
            </w:r>
            <w:r w:rsidRPr="00432BF5">
              <w:rPr>
                <w:sz w:val="24"/>
                <w:szCs w:val="24"/>
              </w:rPr>
              <w:t xml:space="preserve">This contrast can cause difficulties for professionals when </w:t>
            </w:r>
            <w:r w:rsidRPr="00432BF5">
              <w:rPr>
                <w:sz w:val="24"/>
                <w:szCs w:val="24"/>
              </w:rPr>
              <w:lastRenderedPageBreak/>
              <w:t xml:space="preserve">dealing with the capacity and consent of a child or a young person. Therefore, the </w:t>
            </w:r>
            <w:proofErr w:type="spellStart"/>
            <w:r w:rsidRPr="00432BF5">
              <w:rPr>
                <w:i/>
                <w:iCs/>
                <w:sz w:val="24"/>
                <w:szCs w:val="24"/>
              </w:rPr>
              <w:t>Gillick</w:t>
            </w:r>
            <w:proofErr w:type="spellEnd"/>
            <w:r w:rsidRPr="00432BF5">
              <w:rPr>
                <w:i/>
                <w:iCs/>
                <w:sz w:val="24"/>
                <w:szCs w:val="24"/>
              </w:rPr>
              <w:t xml:space="preserve"> competence</w:t>
            </w:r>
            <w:r w:rsidRPr="00432BF5">
              <w:rPr>
                <w:sz w:val="24"/>
                <w:szCs w:val="24"/>
              </w:rPr>
              <w:t xml:space="preserve"> assessment and </w:t>
            </w:r>
            <w:r w:rsidRPr="00432BF5">
              <w:rPr>
                <w:i/>
                <w:iCs/>
                <w:sz w:val="24"/>
                <w:szCs w:val="24"/>
              </w:rPr>
              <w:t>Fraser guidelines</w:t>
            </w:r>
            <w:r w:rsidRPr="00432BF5">
              <w:rPr>
                <w:sz w:val="24"/>
                <w:szCs w:val="24"/>
              </w:rPr>
              <w:t xml:space="preserve"> </w:t>
            </w:r>
            <w:sdt>
              <w:sdtPr>
                <w:rPr>
                  <w:sz w:val="24"/>
                  <w:szCs w:val="24"/>
                </w:rPr>
                <w:id w:val="1778986793"/>
                <w:citation/>
              </w:sdtPr>
              <w:sdtContent>
                <w:r w:rsidRPr="00432BF5">
                  <w:rPr>
                    <w:sz w:val="24"/>
                    <w:szCs w:val="24"/>
                  </w:rPr>
                  <w:fldChar w:fldCharType="begin"/>
                </w:r>
                <w:r w:rsidRPr="00432BF5">
                  <w:rPr>
                    <w:sz w:val="24"/>
                    <w:szCs w:val="24"/>
                    <w:lang w:val="en-US"/>
                  </w:rPr>
                  <w:instrText xml:space="preserve"> CITATION CQC19 \l 1033 </w:instrText>
                </w:r>
                <w:r w:rsidRPr="00432BF5">
                  <w:rPr>
                    <w:sz w:val="24"/>
                    <w:szCs w:val="24"/>
                  </w:rPr>
                  <w:fldChar w:fldCharType="separate"/>
                </w:r>
                <w:r w:rsidRPr="00432BF5">
                  <w:rPr>
                    <w:noProof/>
                    <w:sz w:val="24"/>
                    <w:szCs w:val="24"/>
                    <w:lang w:val="en-US"/>
                  </w:rPr>
                  <w:t>(CQC, 2019)</w:t>
                </w:r>
                <w:r w:rsidRPr="00432BF5">
                  <w:rPr>
                    <w:sz w:val="24"/>
                    <w:szCs w:val="24"/>
                  </w:rPr>
                  <w:fldChar w:fldCharType="end"/>
                </w:r>
              </w:sdtContent>
            </w:sdt>
            <w:r w:rsidRPr="00432BF5">
              <w:rPr>
                <w:sz w:val="24"/>
                <w:szCs w:val="24"/>
              </w:rPr>
              <w:t xml:space="preserve"> are used to aid professionals in tackling this dilemma between the legislation. Fraser Guidelines are for advice and treatment relating to contraception and sexual health, while </w:t>
            </w:r>
            <w:proofErr w:type="spellStart"/>
            <w:r w:rsidRPr="00432BF5">
              <w:rPr>
                <w:sz w:val="24"/>
                <w:szCs w:val="24"/>
              </w:rPr>
              <w:t>Gillick</w:t>
            </w:r>
            <w:proofErr w:type="spellEnd"/>
            <w:r w:rsidRPr="00432BF5">
              <w:rPr>
                <w:sz w:val="24"/>
                <w:szCs w:val="24"/>
              </w:rPr>
              <w:t xml:space="preserve"> competency assesses whether a child has the maturity to decide and understand their decisions </w:t>
            </w:r>
            <w:sdt>
              <w:sdtPr>
                <w:rPr>
                  <w:sz w:val="24"/>
                  <w:szCs w:val="24"/>
                </w:rPr>
                <w:id w:val="-261842483"/>
                <w:citation/>
              </w:sdtPr>
              <w:sdtContent>
                <w:r w:rsidRPr="00432BF5">
                  <w:rPr>
                    <w:sz w:val="24"/>
                    <w:szCs w:val="24"/>
                  </w:rPr>
                  <w:fldChar w:fldCharType="begin"/>
                </w:r>
                <w:r w:rsidRPr="00432BF5">
                  <w:rPr>
                    <w:i/>
                    <w:iCs/>
                    <w:sz w:val="24"/>
                    <w:szCs w:val="24"/>
                    <w:lang w:val="en-US"/>
                  </w:rPr>
                  <w:instrText xml:space="preserve"> CITATION NSP22 \l 1033 </w:instrText>
                </w:r>
                <w:r w:rsidRPr="00432BF5">
                  <w:rPr>
                    <w:sz w:val="24"/>
                    <w:szCs w:val="24"/>
                  </w:rPr>
                  <w:fldChar w:fldCharType="separate"/>
                </w:r>
                <w:r w:rsidRPr="00432BF5">
                  <w:rPr>
                    <w:noProof/>
                    <w:sz w:val="24"/>
                    <w:szCs w:val="24"/>
                    <w:lang w:val="en-US"/>
                  </w:rPr>
                  <w:t>(NSPCC, 2022)</w:t>
                </w:r>
                <w:r w:rsidRPr="00432BF5">
                  <w:rPr>
                    <w:sz w:val="24"/>
                    <w:szCs w:val="24"/>
                  </w:rPr>
                  <w:fldChar w:fldCharType="end"/>
                </w:r>
              </w:sdtContent>
            </w:sdt>
            <w:r w:rsidRPr="00432BF5">
              <w:rPr>
                <w:sz w:val="24"/>
                <w:szCs w:val="24"/>
              </w:rPr>
              <w:t>.</w:t>
            </w:r>
          </w:p>
          <w:p w14:paraId="2AD49867" w14:textId="77777777" w:rsidR="00432BF5" w:rsidRPr="00432BF5" w:rsidRDefault="00432BF5" w:rsidP="00432BF5">
            <w:pPr>
              <w:spacing w:line="360" w:lineRule="auto"/>
              <w:jc w:val="both"/>
              <w:rPr>
                <w:i/>
                <w:iCs/>
                <w:sz w:val="24"/>
                <w:szCs w:val="24"/>
              </w:rPr>
            </w:pPr>
            <w:r w:rsidRPr="00432BF5">
              <w:rPr>
                <w:sz w:val="24"/>
                <w:szCs w:val="24"/>
              </w:rPr>
              <w:t xml:space="preserve">Word count: 423 </w:t>
            </w:r>
          </w:p>
          <w:p w14:paraId="38E782E8" w14:textId="77777777" w:rsidR="00432BF5" w:rsidRPr="00432BF5" w:rsidRDefault="00432BF5" w:rsidP="00432BF5">
            <w:pPr>
              <w:spacing w:line="360" w:lineRule="auto"/>
              <w:jc w:val="both"/>
              <w:rPr>
                <w:i/>
                <w:iCs/>
                <w:sz w:val="24"/>
                <w:szCs w:val="24"/>
              </w:rPr>
            </w:pPr>
          </w:p>
          <w:p w14:paraId="2495CFCE" w14:textId="77777777" w:rsidR="00432BF5" w:rsidRDefault="00432BF5" w:rsidP="00432BF5">
            <w:pPr>
              <w:spacing w:line="360" w:lineRule="auto"/>
              <w:jc w:val="both"/>
            </w:pPr>
          </w:p>
          <w:p w14:paraId="7B7B4827" w14:textId="3E8BC492"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60178D" w14:textId="77777777" w:rsidR="002F5D8C" w:rsidRDefault="002F5D8C">
      <w:r>
        <w:separator/>
      </w:r>
    </w:p>
  </w:endnote>
  <w:endnote w:type="continuationSeparator" w:id="0">
    <w:p w14:paraId="2BDD7A9A" w14:textId="77777777" w:rsidR="002F5D8C" w:rsidRDefault="002F5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A59A92D" w:rsidR="00A5656A" w:rsidRDefault="00A5656A">
    <w:pPr>
      <w:pStyle w:val="Footer"/>
      <w:jc w:val="right"/>
    </w:pPr>
    <w:r>
      <w:fldChar w:fldCharType="begin"/>
    </w:r>
    <w:r>
      <w:instrText xml:space="preserve"> PAGE   \* MERGEFORMAT </w:instrText>
    </w:r>
    <w:r>
      <w:fldChar w:fldCharType="separate"/>
    </w:r>
    <w:r w:rsidR="00432BF5">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28C28E" w14:textId="77777777" w:rsidR="002F5D8C" w:rsidRDefault="002F5D8C">
      <w:r>
        <w:separator/>
      </w:r>
    </w:p>
  </w:footnote>
  <w:footnote w:type="continuationSeparator" w:id="0">
    <w:p w14:paraId="050916CF" w14:textId="77777777" w:rsidR="002F5D8C" w:rsidRDefault="002F5D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D8C"/>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2BF5"/>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D72CCEE-D8D4-4387-A725-257C92CA2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1159</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Samuel, Keren</cp:lastModifiedBy>
  <cp:revision>2</cp:revision>
  <cp:lastPrinted>2020-02-11T19:20:00Z</cp:lastPrinted>
  <dcterms:created xsi:type="dcterms:W3CDTF">2023-10-23T06:50:00Z</dcterms:created>
  <dcterms:modified xsi:type="dcterms:W3CDTF">2023-10-23T06:50:00Z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