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67084A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7185">
              <w:rPr>
                <w:b/>
                <w:color w:val="auto"/>
                <w:sz w:val="32"/>
              </w:rPr>
              <w:t>Ethan Weaver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3971B18" w:rsidR="005A1BA3" w:rsidRDefault="00667185" w:rsidP="00340E9A">
            <w:pPr>
              <w:overflowPunct/>
              <w:autoSpaceDE/>
              <w:autoSpaceDN/>
              <w:adjustRightInd/>
              <w:ind w:right="237"/>
              <w:textAlignment w:val="auto"/>
              <w:rPr>
                <w:b/>
                <w:color w:val="auto"/>
                <w:sz w:val="32"/>
              </w:rPr>
            </w:pPr>
            <w:r>
              <w:rPr>
                <w:b/>
                <w:color w:val="auto"/>
                <w:sz w:val="32"/>
              </w:rPr>
              <w:t>2320025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tcPr>
          <w:p w14:paraId="5CEC4B8B" w14:textId="460730F9" w:rsidR="0020210A" w:rsidRDefault="0020210A" w:rsidP="0020210A">
            <w:pPr>
              <w:jc w:val="both"/>
              <w:rPr>
                <w:color w:val="auto"/>
                <w:sz w:val="24"/>
                <w:szCs w:val="24"/>
              </w:rPr>
            </w:pPr>
          </w:p>
        </w:tc>
        <w:tc>
          <w:tcPr>
            <w:tcW w:w="5253" w:type="dxa"/>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tcPr>
          <w:p w14:paraId="25D7C409" w14:textId="28804229" w:rsidR="0020210A" w:rsidRPr="007B5CB2" w:rsidRDefault="0020210A" w:rsidP="0020210A">
            <w:pPr>
              <w:ind w:right="237"/>
              <w:jc w:val="both"/>
              <w:rPr>
                <w:color w:val="auto"/>
                <w:sz w:val="24"/>
                <w:szCs w:val="24"/>
              </w:rPr>
            </w:pPr>
          </w:p>
        </w:tc>
        <w:tc>
          <w:tcPr>
            <w:tcW w:w="5253" w:type="dxa"/>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7F3811BD" w14:textId="1B0B7CA6" w:rsidR="001604AB" w:rsidRPr="001604AB" w:rsidRDefault="001604AB" w:rsidP="001604AB">
      <w:pPr>
        <w:ind w:right="237"/>
        <w:jc w:val="both"/>
      </w:pPr>
      <w:r w:rsidRPr="001604AB">
        <w:t>Having achieved independent patrol status, I consider myself significantly more experienced in policing, not only response, safeguarding, and general duties but also in navigating organisational culture. Since starting my policing service, I have become very aware of the culture not just in individual teams but across policing as a whole, and I have noted its impact on my wellbeing and experience in the job. Organisational culture refers to the shared values, behaviours, and informal rules that shape how members of an organisation interact (Schein, 2017). In policing, this culture often manifests through attitudes towards risk, solidarity, and coping with the job’s stress. Wellbeing can be defined as a person’s overall health and happiness including both physical and psychological aspects (Dodge et al., 2012). Resilience is the ability to adapt and recover when facing stress and problems (APA, 2014). These concepts are the focus of this reflection, as organisational culture strongly influences wellbeing and resilience in frontline policing. In this essay, I will explore what this culture is, how it affects my personal policing experience, the risks of conforming to it, and the strategies I use to maintain health. (Word count: 188)</w:t>
      </w:r>
      <w:r w:rsidR="00EB1F79" w:rsidRPr="003242FC">
        <w:br/>
      </w:r>
    </w:p>
    <w:p w14:paraId="250D7347" w14:textId="50F02638" w:rsidR="001604AB" w:rsidRPr="001604AB" w:rsidRDefault="001604AB" w:rsidP="001604AB">
      <w:pPr>
        <w:ind w:right="237"/>
        <w:jc w:val="both"/>
      </w:pPr>
      <w:r w:rsidRPr="001604AB">
        <w:t>Before joining the police service, I was somewhat naive to the culture within it. Since then, I have seen it first-hand and took part of it to a degree. The intended culture of policing relates to performance, accountability and discipline. Since becoming independent, I have witnessed and experienced how this culture can be both supportive and challenging. On one hand, it gave me a sense of purpose and belonging whilst on the other, I observed subtle norms such as emotional suppression, the attitude of “getting on with it,” and stigma around stress and vulnerability. This “culture of silence” discourages emotional openness and contributes to stigma (Lennie, Sutton, &amp; Crozier, 2021; Brewin et al., 2020). Over time, this can harm resilience as traumatic incidents and workload stress go unspoken about from officers, which builds pressure (Burchell, 2023). (Word count: 135)</w:t>
      </w:r>
      <w:r w:rsidR="00EB1F79" w:rsidRPr="003242FC">
        <w:br/>
      </w:r>
    </w:p>
    <w:p w14:paraId="100C28C3" w14:textId="27F704D7" w:rsidR="001604AB" w:rsidRPr="001604AB" w:rsidRDefault="001604AB" w:rsidP="001604AB">
      <w:pPr>
        <w:ind w:right="237"/>
        <w:jc w:val="both"/>
      </w:pPr>
      <w:r w:rsidRPr="001604AB">
        <w:t xml:space="preserve">Since becoming independent, I have seen colleagues deal with trauma through dark humour and detachment. Initially, I followed this behaviour, believing being a good cop meant sidelining emotions. However, I now recognise that this isn’t in line with my own values of emotional awareness. Research shows that while dark humour is common in policing, it can impair personal values and harm long-term wellbeing (Maxwell, 2003; Papazoglou &amp; Tuttle, 2018). It is important to acknowledge that humour has its short-term benefits. It can bond officers and relieve pressure. However, when used as a replacement for actual processing of trauma, I find it masks deeper emotional stress. I still occasionally use humour but now balance it by acknowledging the facts of incidents, how they affect me, and how I can improve. This helps me retain values whilst also connecting with colleagues who </w:t>
      </w:r>
      <w:r w:rsidRPr="001604AB">
        <w:lastRenderedPageBreak/>
        <w:t>also use humour as a coping mechanism. (Word count: 147)</w:t>
      </w:r>
      <w:r w:rsidR="00EB1F79" w:rsidRPr="003242FC">
        <w:br/>
      </w:r>
    </w:p>
    <w:p w14:paraId="3D847CA2" w14:textId="4A81856B" w:rsidR="001604AB" w:rsidRPr="001604AB" w:rsidRDefault="001604AB" w:rsidP="001604AB">
      <w:pPr>
        <w:ind w:right="237"/>
        <w:jc w:val="both"/>
      </w:pPr>
      <w:r w:rsidRPr="001604AB">
        <w:t>In experience, there is constant pressure to conform in policing, often by adopting the coping methods of colleagues or prioritising own image over personal needs. While some adaptation is necessary, I acknowledge that conformity with ignorance of personal values risks burnout, moral conflict, and emotional detachment. For example, early in my independent patrol I dealt with a high-risk self-harm incident while single-crewed. No units were available due to demand, and I perceived this as a “just get on with it” situation. This reflects a wider culture of conformity, where officers feel pressured to fit in despite personal discomfort (Charman, 2023). At the time, I suppressed my emotions to appear “tough,” but in reflection I recognise this disconnected me from the incident and hindered processing. Such conformity risks long-term mental health. To help this, I engage with Trauma Risk Incident Management (TRiM). Evidence shows TRiM participation reduces sickness leave and improves resilience, particularly for officers early in service (Greenberg et al., 2010; Hunt et al., 2013). For me, engaging with TRiM has allowed structured conversations about difficult incidents without stigma, reinforcing that acknowledging vulnerability is part of resilience, never a weakness. (Word count: 186)</w:t>
      </w:r>
      <w:r w:rsidR="00EB1F79" w:rsidRPr="003242FC">
        <w:br/>
      </w:r>
    </w:p>
    <w:p w14:paraId="1EAE2ABF" w14:textId="65E8477D" w:rsidR="001604AB" w:rsidRPr="001604AB" w:rsidRDefault="001604AB" w:rsidP="001604AB">
      <w:pPr>
        <w:ind w:right="237"/>
        <w:jc w:val="both"/>
      </w:pPr>
      <w:r w:rsidRPr="001604AB">
        <w:t>Another risk of conformity is becoming desensitised to common incidents. When officers normalise or minimise certain calls, the quality of service and public trust can suffer. For example, repeated domestic incidents may lead to assumptions or missed warning signs (Silvestri, 2017). Early in service, I recognised that although domestic incidents are highly frequent, each one is unique. I consciously set aside previous experiences to avoid pre-judging outcomes, and in one instance this helped me identify subtle signs of coercive control that could easily have been missed. The fast-paced, demanding environment of response policing often leaves little room for reflection, with call demand unmatching unit availability. Research shows this pace increases burnout risk and mental health issues (Burchell, 2023). I manage this by temporarily suppressing incidents once safeguarding is complete. However, studies caution that long-term emotional suppression can harm resilience (Tuckey &amp; Scott, 2014). This balance is a challenge, and I have learned that suppression only works if followed by active reflection. (Word count: 165)</w:t>
      </w:r>
      <w:r w:rsidR="00EB1F79" w:rsidRPr="003242FC">
        <w:br/>
      </w:r>
    </w:p>
    <w:p w14:paraId="1AAA9756" w14:textId="62863019" w:rsidR="001604AB" w:rsidRPr="001604AB" w:rsidRDefault="001604AB" w:rsidP="001604AB">
      <w:pPr>
        <w:ind w:right="237"/>
        <w:jc w:val="both"/>
      </w:pPr>
      <w:r w:rsidRPr="001604AB">
        <w:t>To assist my wellbeing, I use several strategies. Firstly, I use reflective models such as the “What? So what? Now what?” model to process incidents. This helps me evaluate my emotions, actions, and learning in a structured way. While I cannot always reflect immediately, making time later ensures I remain aware of myself. In one example, after dealing with a sudden death, I used this model to go over my decisions as well as my emotional response. This gave me confidence in my own operational judgement and reassurance that my emotional response was normal. Secondly, I seek open conversations with colleagues and supervisors about incidents and mental health. I am fortunate to have an understanding team, who allow me to speak honestly. Research shows that supportive colleagues and leadership reduces the risk of PTSD among officers (Brewin et al., 2020). I also personally find that sharing experiences reduces stigma, reassuring colleagues that vulnerability is normal. Thirdly, I maintain boundaries between work and personal life. I try not to check work devices outside hours and prioritise time with friends and family. Recovery methods such as detachment from work and engagement in hobbies on rest days are shown to help the effects of stress (McDowall, Kinman, &amp; Cropley, 2012). Work and homelife conflict is a known part of policing, and active boundary management improves long-term mental health (Houdmont &amp; Elliott-Davies, 2016). These boundaries are not sometimes easy to maintain, but even small habits such as leaving my work phone in my locker make that difference. Finally, I prioritise physical as well as mental care. Maintaining exercise and counselling helps me manage mental health effectively. Research shows that physical activity improves wellbeing and reduces stress among officers (Dicks et al., 2023; Moreno et al., 2024). Furthermore, structured exercise routines increase vitality and provide coping strategies (Lu et al., 2023). These findings evidence my personal experience that physical and mental care are essential to resilience. (Word count: 317)</w:t>
      </w:r>
      <w:r w:rsidR="00EB1F79" w:rsidRPr="003242FC">
        <w:br/>
      </w:r>
    </w:p>
    <w:p w14:paraId="1D7C8FB1" w14:textId="77777777" w:rsidR="001604AB" w:rsidRPr="001604AB" w:rsidRDefault="001604AB" w:rsidP="001604AB">
      <w:pPr>
        <w:ind w:right="237"/>
        <w:jc w:val="both"/>
      </w:pPr>
      <w:r w:rsidRPr="001604AB">
        <w:t xml:space="preserve">In reflection, policing culture is complex as it provides positive benefits, but it also contains risks to wellbeing and resilience through conformity, emotional suppression, and desensitisation. My experience since achieving independent patrol status has demonstrated the need for me to recognise these pressures and resist certain aspects of the culture that conflict with values. Remaining authentic, while adapting to the unfortunate realities of response policing, is essential to protecting my long-term mental health. The risks of conforming are clear. Suppressing emotions, following unhealthy coping strategies, and prioritising image over wellbeing can affect both personal values </w:t>
      </w:r>
      <w:r w:rsidRPr="001604AB">
        <w:lastRenderedPageBreak/>
        <w:t>and operational effectiveness. These risks affect not only my wellbeing but also the quality of service to victims. Resilience is not about detachment but about reflecting, knowing limits, and making active choices to protect wellbeing. Looking at the key focus, my experience shows that wellbeing in policing cannot be separated from personal values, resilience requires more than simple detachment, and organisational culture must be navigated analytically rather than accepted as is. My strategies such as reflection, open communication and prioritising health back this approach. By putting them into my operational thinking, I am better able to manage the conflict between organisational culture and personal values, while contributing to a healthier environment for colleagues. (Word count: 210)</w:t>
      </w:r>
    </w:p>
    <w:p w14:paraId="670E1FB9" w14:textId="4DCC0EF1" w:rsidR="00FF7784" w:rsidRPr="00EB1F79" w:rsidRDefault="004A2275" w:rsidP="00687616">
      <w:pPr>
        <w:ind w:right="237"/>
        <w:jc w:val="both"/>
        <w:rPr>
          <w:b/>
          <w:bCs/>
          <w:sz w:val="24"/>
          <w:szCs w:val="24"/>
        </w:rPr>
      </w:pPr>
      <w:r>
        <w:rPr>
          <w:sz w:val="24"/>
          <w:szCs w:val="24"/>
        </w:rPr>
        <w:br/>
      </w:r>
      <w:r w:rsidRPr="00EB1F79">
        <w:rPr>
          <w:b/>
          <w:bCs/>
          <w:sz w:val="24"/>
          <w:szCs w:val="24"/>
        </w:rPr>
        <w:br/>
      </w:r>
      <w:r w:rsidR="00EB1F79" w:rsidRPr="00EB1F79">
        <w:rPr>
          <w:b/>
          <w:bCs/>
          <w:sz w:val="24"/>
          <w:szCs w:val="24"/>
        </w:rPr>
        <w:t>Total word count: 1348</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393C64CA" w14:textId="77777777" w:rsidR="001604AB" w:rsidRDefault="001604AB" w:rsidP="001604AB">
      <w:r w:rsidRPr="006D572B">
        <w:t xml:space="preserve">American Psychological Association. (2014). </w:t>
      </w:r>
      <w:r w:rsidRPr="006D572B">
        <w:rPr>
          <w:i/>
          <w:iCs/>
        </w:rPr>
        <w:t>The Road to Resilience</w:t>
      </w:r>
      <w:r w:rsidRPr="006D572B">
        <w:t>. Washington, DC: American Psychological Association.</w:t>
      </w:r>
      <w:r>
        <w:br/>
      </w:r>
      <w:r w:rsidRPr="006D572B">
        <w:br/>
        <w:t xml:space="preserve">Brewin, C. R., Miller, J. K., Soffia, M., Peart, A., &amp; Burchell, B. (2020). Posttraumatic stress disorder and complex posttraumatic stress disorder in UK police officers. </w:t>
      </w:r>
      <w:r w:rsidRPr="006D572B">
        <w:rPr>
          <w:i/>
          <w:iCs/>
        </w:rPr>
        <w:t>Psychological Medicine</w:t>
      </w:r>
      <w:r w:rsidRPr="006D572B">
        <w:t>, 50(10), 1692–1701.</w:t>
      </w:r>
      <w:r>
        <w:br/>
      </w:r>
      <w:r w:rsidRPr="006D572B">
        <w:br/>
        <w:t xml:space="preserve">Burchell, B. (2023). Job quality, health, and wellbeing: The impact of work on police officers. </w:t>
      </w:r>
      <w:r w:rsidRPr="006D572B">
        <w:rPr>
          <w:i/>
          <w:iCs/>
        </w:rPr>
        <w:t>Journal of Occupational Health Psychology</w:t>
      </w:r>
      <w:r w:rsidRPr="006D572B">
        <w:t>, 28(1), 1–15.</w:t>
      </w:r>
      <w:r>
        <w:br/>
      </w:r>
      <w:r w:rsidRPr="006D572B">
        <w:br/>
        <w:t xml:space="preserve">Charman, S. (2023). Police socialisation, conformity, and moral dilemmas: Understanding decision-making. </w:t>
      </w:r>
      <w:r w:rsidRPr="006D572B">
        <w:rPr>
          <w:i/>
          <w:iCs/>
        </w:rPr>
        <w:t>Policing &amp; Society</w:t>
      </w:r>
      <w:r w:rsidRPr="006D572B">
        <w:t>, 33(2), 123–140.</w:t>
      </w:r>
      <w:r>
        <w:br/>
      </w:r>
      <w:r w:rsidRPr="006D572B">
        <w:br/>
        <w:t xml:space="preserve">Dicks, N. D., Magee, C. A., &amp; Biggs, A. (2023). Physical activity, stress, and mental health outcomes in emergency service workers: A systematic review. </w:t>
      </w:r>
      <w:r w:rsidRPr="006D572B">
        <w:rPr>
          <w:i/>
          <w:iCs/>
        </w:rPr>
        <w:t>Journal of Occupational Health Psychology</w:t>
      </w:r>
      <w:r w:rsidRPr="006D572B">
        <w:t>, 28(2), 159–174.</w:t>
      </w:r>
      <w:r>
        <w:br/>
      </w:r>
      <w:r w:rsidRPr="006D572B">
        <w:br/>
        <w:t xml:space="preserve">Dodge, R., Daly, A. P., Huyton, J., &amp; Sanders, L. D. (2012). The challenge of defining wellbeing. </w:t>
      </w:r>
      <w:r w:rsidRPr="006D572B">
        <w:rPr>
          <w:i/>
          <w:iCs/>
        </w:rPr>
        <w:t>International Journal of Wellbeing</w:t>
      </w:r>
      <w:r w:rsidRPr="006D572B">
        <w:t>, 2(3), 222–235.</w:t>
      </w:r>
      <w:r>
        <w:br/>
      </w:r>
      <w:r w:rsidRPr="006D572B">
        <w:br/>
        <w:t xml:space="preserve">Greenberg, N., Langston, V., &amp; Jones, N. (2010). Trauma Risk Management (TRiM) in the UK Armed Forces. </w:t>
      </w:r>
      <w:r w:rsidRPr="006D572B">
        <w:rPr>
          <w:i/>
          <w:iCs/>
        </w:rPr>
        <w:t>Occupational Medicine</w:t>
      </w:r>
      <w:r w:rsidRPr="006D572B">
        <w:t>, 60(1), 32–37.</w:t>
      </w:r>
      <w:r>
        <w:br/>
      </w:r>
      <w:r w:rsidRPr="006D572B">
        <w:br/>
        <w:t xml:space="preserve">Houdmont, J., &amp; Elliott-Davies, M. (2016). </w:t>
      </w:r>
      <w:r w:rsidRPr="006D572B">
        <w:rPr>
          <w:i/>
          <w:iCs/>
        </w:rPr>
        <w:t>Occupational Health and Wellbeing in Policing: Addressing Work-Family Conflict</w:t>
      </w:r>
      <w:r w:rsidRPr="006D572B">
        <w:t>. London: Routledge.</w:t>
      </w:r>
      <w:r>
        <w:br/>
      </w:r>
      <w:r w:rsidRPr="006D572B">
        <w:br/>
        <w:t xml:space="preserve">Hunt, E., Jones, N., Hastings, V., &amp; Greenberg, N. (2013). TRiM: An organizational response to traumatic events in policing. </w:t>
      </w:r>
      <w:r w:rsidRPr="006D572B">
        <w:rPr>
          <w:i/>
          <w:iCs/>
        </w:rPr>
        <w:t>Policing: A Journal of Policy and Practice</w:t>
      </w:r>
      <w:r w:rsidRPr="006D572B">
        <w:t>, 7(1), 86–94.</w:t>
      </w:r>
      <w:r>
        <w:br/>
      </w:r>
      <w:r w:rsidRPr="006D572B">
        <w:br/>
        <w:t xml:space="preserve">Lennie, K., Sutton, A., &amp; Crozier, S. (2021). Police culture, silence, and wellbeing: Understanding stigma in UK policing. </w:t>
      </w:r>
      <w:r w:rsidRPr="006D572B">
        <w:rPr>
          <w:i/>
          <w:iCs/>
        </w:rPr>
        <w:t>The Police Journal</w:t>
      </w:r>
      <w:r w:rsidRPr="006D572B">
        <w:t>, 94(1), 12–29.</w:t>
      </w:r>
      <w:r w:rsidRPr="006D572B">
        <w:br/>
        <w:t xml:space="preserve">Lu, C., Sun, D., &amp; Huang, J. (2023). Exercise interventions and psychological resilience: A meta-analysis. </w:t>
      </w:r>
      <w:r w:rsidRPr="006D572B">
        <w:rPr>
          <w:i/>
          <w:iCs/>
        </w:rPr>
        <w:t>Journal of Affective Disorders</w:t>
      </w:r>
      <w:r w:rsidRPr="006D572B">
        <w:t>, 331, 150–162.</w:t>
      </w:r>
      <w:r>
        <w:br/>
      </w:r>
      <w:r w:rsidRPr="006D572B">
        <w:br/>
        <w:t xml:space="preserve">Maxwell, C. (2003). Gallows humour in policing: Dark humour as a coping mechanism. </w:t>
      </w:r>
      <w:r w:rsidRPr="006D572B">
        <w:rPr>
          <w:i/>
          <w:iCs/>
        </w:rPr>
        <w:t>Policing &amp; Society</w:t>
      </w:r>
      <w:r w:rsidRPr="006D572B">
        <w:t>, 13(1), 115–132.</w:t>
      </w:r>
      <w:r>
        <w:br/>
      </w:r>
      <w:r w:rsidRPr="006D572B">
        <w:br/>
        <w:t xml:space="preserve">McDowall, A., Kinman, G., &amp; Cropley, M. (2012). Recovery from work stress: The role of work–family boundaries. </w:t>
      </w:r>
      <w:r w:rsidRPr="006D572B">
        <w:rPr>
          <w:i/>
          <w:iCs/>
        </w:rPr>
        <w:t>Journal of Occupational Health Psychology</w:t>
      </w:r>
      <w:r w:rsidRPr="006D572B">
        <w:t>, 17(3), 341–353.</w:t>
      </w:r>
      <w:r>
        <w:br/>
      </w:r>
      <w:r w:rsidRPr="006D572B">
        <w:br/>
        <w:t xml:space="preserve">Moreno, E., Castaño, G., &amp; Salas, E. (2024). Physical exercise and resilience in high-stress occupations: A systematic review. </w:t>
      </w:r>
      <w:r w:rsidRPr="006D572B">
        <w:rPr>
          <w:i/>
          <w:iCs/>
        </w:rPr>
        <w:t>Occupational Health Science</w:t>
      </w:r>
      <w:r w:rsidRPr="006D572B">
        <w:t>, 8(1), 45–62.</w:t>
      </w:r>
      <w:r>
        <w:br/>
      </w:r>
      <w:r w:rsidRPr="006D572B">
        <w:br/>
        <w:t xml:space="preserve">Papazoglou, K., &amp; Tuttle, B. (2018). Fighting police trauma: Practical approaches to addressing psychological needs of officers. </w:t>
      </w:r>
      <w:r w:rsidRPr="006D572B">
        <w:rPr>
          <w:i/>
          <w:iCs/>
        </w:rPr>
        <w:t>Journal of Police and Criminal Psychology</w:t>
      </w:r>
      <w:r w:rsidRPr="006D572B">
        <w:t>, 33(1), 45–58.</w:t>
      </w:r>
      <w:r>
        <w:br/>
      </w:r>
      <w:r w:rsidRPr="006D572B">
        <w:br/>
      </w:r>
      <w:r w:rsidRPr="006D572B">
        <w:lastRenderedPageBreak/>
        <w:t xml:space="preserve">Schein, E. H. (2017). </w:t>
      </w:r>
      <w:r w:rsidRPr="006D572B">
        <w:rPr>
          <w:i/>
          <w:iCs/>
        </w:rPr>
        <w:t>Organizational Culture and Leadership</w:t>
      </w:r>
      <w:r w:rsidRPr="006D572B">
        <w:t xml:space="preserve"> (5th ed.). Hoboken, NJ: Wiley.</w:t>
      </w:r>
      <w:r>
        <w:br/>
      </w:r>
      <w:r w:rsidRPr="006D572B">
        <w:br/>
        <w:t xml:space="preserve">Silvestri, M. (2017). Police culture and gender: Revisiting the “cult of masculinity.” </w:t>
      </w:r>
      <w:r w:rsidRPr="006D572B">
        <w:rPr>
          <w:i/>
          <w:iCs/>
        </w:rPr>
        <w:t>Policing: A Journal of Policy and Practice</w:t>
      </w:r>
      <w:r w:rsidRPr="006D572B">
        <w:t>, 11(3), 298–310.</w:t>
      </w:r>
      <w:r>
        <w:br/>
      </w:r>
      <w:r w:rsidRPr="006D572B">
        <w:br/>
        <w:t xml:space="preserve">Tuckey, M. R., &amp; Scott, J. E. (2014). Group critical incident stress debriefing with emergency services personnel: A randomized controlled trial. </w:t>
      </w:r>
      <w:r w:rsidRPr="006D572B">
        <w:rPr>
          <w:i/>
          <w:iCs/>
        </w:rPr>
        <w:t>Anxiety, Stress, &amp; Coping</w:t>
      </w:r>
      <w:r w:rsidRPr="006D572B">
        <w:t>, 27(1), 38–54.</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4B322AF" w14:textId="0B2CAE1B" w:rsidR="00450C83" w:rsidRPr="00270EEB" w:rsidRDefault="001604AB" w:rsidP="00340E9A">
      <w:pPr>
        <w:ind w:right="237"/>
        <w:jc w:val="center"/>
        <w:rPr>
          <w:b/>
          <w:sz w:val="24"/>
          <w:szCs w:val="24"/>
        </w:rPr>
      </w:pPr>
      <w:r>
        <w:rPr>
          <w:i/>
          <w:iCs/>
          <w:sz w:val="24"/>
          <w:szCs w:val="24"/>
        </w:rPr>
        <w:br/>
      </w:r>
      <w:r>
        <w:rPr>
          <w:i/>
          <w:iCs/>
          <w:sz w:val="24"/>
          <w:szCs w:val="24"/>
        </w:rPr>
        <w:br/>
      </w:r>
      <w:r>
        <w:rPr>
          <w:i/>
          <w:iCs/>
          <w:sz w:val="24"/>
          <w:szCs w:val="24"/>
        </w:rPr>
        <w:br/>
      </w:r>
      <w:r>
        <w:rPr>
          <w:i/>
          <w:iCs/>
          <w:sz w:val="24"/>
          <w:szCs w:val="24"/>
        </w:rPr>
        <w:br/>
      </w:r>
      <w:r>
        <w:rPr>
          <w:i/>
          <w:iCs/>
          <w:sz w:val="24"/>
          <w:szCs w:val="24"/>
        </w:rPr>
        <w:br/>
      </w:r>
      <w:r>
        <w:rPr>
          <w:b/>
          <w:sz w:val="24"/>
          <w:szCs w:val="24"/>
        </w:rPr>
        <w:br/>
      </w:r>
      <w:r>
        <w:rPr>
          <w:b/>
          <w:sz w:val="24"/>
          <w:szCs w:val="24"/>
        </w:rPr>
        <w:br/>
      </w:r>
      <w:r>
        <w:rPr>
          <w:b/>
          <w:sz w:val="24"/>
          <w:szCs w:val="24"/>
        </w:rPr>
        <w:br/>
      </w:r>
      <w:r>
        <w:rPr>
          <w:b/>
          <w:sz w:val="24"/>
          <w:szCs w:val="24"/>
        </w:rPr>
        <w:br/>
      </w:r>
      <w:r>
        <w:rPr>
          <w:b/>
          <w:sz w:val="24"/>
          <w:szCs w:val="24"/>
        </w:rPr>
        <w:br/>
      </w:r>
      <w:r>
        <w:rPr>
          <w:b/>
          <w:sz w:val="24"/>
          <w:szCs w:val="24"/>
        </w:rPr>
        <w:br/>
      </w:r>
      <w:r w:rsidR="00450C83">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A46753A" w14:textId="1957115E" w:rsidR="00EB1F79" w:rsidRPr="00B950A2" w:rsidRDefault="00EB1F79" w:rsidP="00EB1F79">
      <w:pPr>
        <w:spacing w:after="160" w:line="278" w:lineRule="auto"/>
        <w:jc w:val="both"/>
      </w:pPr>
      <w:r w:rsidRPr="00B950A2">
        <w:t xml:space="preserve">In recent experience, I attended a domestic-related incident in which a Greek woman was reporting issues in her relationship with her husband of Turkish origin in which she had become a victim of controlling and coercive behaviour, which refers to a pattern of acts designed to dominate, isolate, and manipulate a victim (Stark, 2007). I attended the incident alongside a female colleague of mine and during initial disclosure, the victim began to describe incidents in which her husband had sexually assaulted her whilst in bed without consent, meaning without voluntary agreement from someone with the capacity to make that choice (SOA 2003). He would also pressure her into intercourse and became </w:t>
      </w:r>
      <w:r w:rsidRPr="00B950A2">
        <w:lastRenderedPageBreak/>
        <w:t>angry when she did not oblige. The victim explained to me that her husband came from a culture where the men feel they are entitled to sex as the man “does the work” therefore he “deserves the reward whenever he feels like it”. This led me to acknowledge that these beliefs likely stemmed from misogynistic norms in parts of Turkish society, which are cultural practices or beliefs that systematically disadvantage or devalue women and have been linked to ambivalent sexism, comprising hostile and benevolent attitudes toward women, and restrictive gender attitudes, which limit opportunities and freedoms based on gender (Sakalli-Uğurlu, 2003). I noted at the time that the presence of cultural difference added further complexity to the incident (Chowdhury, 2021).</w:t>
      </w:r>
      <w:r w:rsidRPr="00EB1F79">
        <w:t xml:space="preserve"> </w:t>
      </w:r>
      <w:r w:rsidRPr="00EB1F79">
        <w:br/>
        <w:t>(Word count: 231)</w:t>
      </w:r>
    </w:p>
    <w:p w14:paraId="5C0C101B" w14:textId="4C008E61" w:rsidR="00EB1F79" w:rsidRPr="00B950A2" w:rsidRDefault="00EB1F79" w:rsidP="00EB1F79">
      <w:pPr>
        <w:spacing w:after="160" w:line="278" w:lineRule="auto"/>
        <w:jc w:val="both"/>
      </w:pPr>
      <w:r w:rsidRPr="00B950A2">
        <w:t>My approach to this disclosure was firstly to provide support to the victim and reassure her that the perpetrator’s actions are not normal and cannot be justified in any circumstance, therefore providing the victim comfort in the fact that she did the right thing by reporting the incidents to us (Stark, 2007; Home Office, 2019). Having a female colleague with me was also an active choice to ensure full comfortability with the victim. At the time of disclosure, the victim was in the company of her friends at their house and was supported</w:t>
      </w:r>
      <w:r w:rsidRPr="00EB1F79">
        <w:t>,</w:t>
      </w:r>
      <w:r w:rsidRPr="00B950A2">
        <w:t xml:space="preserve"> however, she had told us that the child that the victim and perpetrator have together was at home with the perpetrator.</w:t>
      </w:r>
    </w:p>
    <w:p w14:paraId="55D2B413" w14:textId="445DE9F1" w:rsidR="00EB1F79" w:rsidRPr="00B950A2" w:rsidRDefault="00EB1F79" w:rsidP="00EB1F79">
      <w:pPr>
        <w:spacing w:after="160" w:line="278" w:lineRule="auto"/>
        <w:jc w:val="both"/>
      </w:pPr>
      <w:r w:rsidRPr="00B950A2">
        <w:t>Not only did this further complexify the incident, it added a further high-risk element, defined as a situation posing imminent or severe harm to a person (HM Government, 2021), as we had to act quickly to safeguard the child, which involves measures to protect children and vulnerable adults from harm (Children Act, 1989), leaving little time for regular procedures such as Domestic Abuse, Stalking and Harassment (DASH) risk assessment forms, which are standardised tools used to identify risk in domestic abuse incidents (National Police Chiefs’ Council, 2019). Therefore, due to a lack of available units, we planned to have the victim’s friends park a few streets away from the property whilst myself and my colleague moved to make entry to the property under Section 17 of the Police and Criminal Evidence Act 1984 (PACE 1984) with a key provided by the victim as she had directly identified the perpetrator as at the address. The decision to allow the victim’s friends to be present nearby was made specifically to safeguard the child with a friendly face.</w:t>
      </w:r>
      <w:r w:rsidRPr="00EB1F79">
        <w:t xml:space="preserve"> </w:t>
      </w:r>
      <w:r w:rsidRPr="00EB1F79">
        <w:br/>
      </w:r>
    </w:p>
    <w:p w14:paraId="0F5315B2" w14:textId="11218A38" w:rsidR="00EB1F79" w:rsidRPr="00B950A2" w:rsidRDefault="00EB1F79" w:rsidP="00EB1F79">
      <w:pPr>
        <w:spacing w:after="160" w:line="278" w:lineRule="auto"/>
        <w:jc w:val="both"/>
      </w:pPr>
      <w:r w:rsidRPr="00B950A2">
        <w:t>Upon entering the property, in company with my colleague, we located the perpetrator and immediately arrested him under suspicion of rape, sexual assault, and coercive and controlling behaviour in accordance with the Sexual Offences Act 2003 (SOA 2003). Once the perpetrator was removed from the property, the victim’s friends would come through with an officer and care for the child with the victim’s consent.</w:t>
      </w:r>
      <w:r w:rsidRPr="00EB1F79">
        <w:br/>
        <w:t>(Word count: 353)</w:t>
      </w:r>
    </w:p>
    <w:p w14:paraId="01740A83" w14:textId="77777777" w:rsidR="00EB1F79" w:rsidRPr="00B950A2" w:rsidRDefault="00EB1F79" w:rsidP="00EB1F79">
      <w:pPr>
        <w:spacing w:after="160" w:line="278" w:lineRule="auto"/>
        <w:jc w:val="both"/>
      </w:pPr>
      <w:r w:rsidRPr="00B950A2">
        <w:t xml:space="preserve">With the couple’s differing ethnic backgrounds, there would be obvious nuances due to the culture carried, particularly by the perpetrator but also by the victim. The victim’s Greek background demonstrated cultural beliefs in marital consent, but not as strongly as the perpetrator whose Turkish background meant his cultural beliefs in implied marital consent were clear (Gill &amp; Brah, 2014). The perpetrator’s belief in spousal entitlement </w:t>
      </w:r>
      <w:r w:rsidRPr="00EB1F79">
        <w:t xml:space="preserve">was more than concerning, </w:t>
      </w:r>
      <w:r w:rsidRPr="00B950A2">
        <w:t>however the victim saw past this and, with support, was able to apply her independence over what was right and wrong.</w:t>
      </w:r>
    </w:p>
    <w:p w14:paraId="5BC3E395" w14:textId="5608F090" w:rsidR="00EB1F79" w:rsidRPr="00B950A2" w:rsidRDefault="00EB1F79" w:rsidP="00EB1F79">
      <w:pPr>
        <w:spacing w:after="160" w:line="278" w:lineRule="auto"/>
        <w:jc w:val="both"/>
      </w:pPr>
      <w:r w:rsidRPr="00B950A2">
        <w:t>Despite the cultural differences, the law on sexual consent is clear under the Sexual Offences Act 2003, which mandates full consent regardless of marital status, and officers are legally bound to deal with any instances where consent isn’t present, even within a marriage (SOA 2003). With this being said, the incident was clearly influenced by the links to cultural values and therefore required careful consideration for said culture whilst enforcing the law.</w:t>
      </w:r>
      <w:r w:rsidRPr="00EB1F79">
        <w:br/>
        <w:t>(Word count: 162)</w:t>
      </w:r>
    </w:p>
    <w:p w14:paraId="04FEBA7A" w14:textId="77777777" w:rsidR="00EB1F79" w:rsidRPr="00B950A2" w:rsidRDefault="00EB1F79" w:rsidP="00EB1F79">
      <w:pPr>
        <w:spacing w:after="160" w:line="278" w:lineRule="auto"/>
        <w:jc w:val="both"/>
      </w:pPr>
      <w:r w:rsidRPr="00B950A2">
        <w:t xml:space="preserve">During this incident, I utilised the National Decision Model (NDM), which is a framework used by police to ensure decisions are ethical, proportionate, and legally compliant (College of Policing, 2023), to </w:t>
      </w:r>
      <w:r w:rsidRPr="00B950A2">
        <w:lastRenderedPageBreak/>
        <w:t>structure my response and ensure that every decision was informed, ethical, and proportionate. Firstly, I</w:t>
      </w:r>
      <w:r w:rsidRPr="00EB1F79">
        <w:t xml:space="preserve"> used point one of the NDM by</w:t>
      </w:r>
      <w:r w:rsidRPr="00B950A2">
        <w:t xml:space="preserve"> considered the information available, which in this instance was the victim’s account providing knowledge that serious sexual offences had occurred that required immediate action. The information also highlighted that a child was involved, further increasing the risk in the incident. By also speaking to the victim’s friends, there was additional information available to evidence disclosures made to them regarding the sexual offences as well as the disclosures of controlling behaviour (Stark, 2007).</w:t>
      </w:r>
    </w:p>
    <w:p w14:paraId="3B44961D" w14:textId="00B05EE7" w:rsidR="00EB1F79" w:rsidRPr="00B950A2" w:rsidRDefault="00EB1F79" w:rsidP="00EB1F79">
      <w:pPr>
        <w:spacing w:after="160" w:line="278" w:lineRule="auto"/>
        <w:jc w:val="both"/>
      </w:pPr>
      <w:r w:rsidRPr="00B950A2">
        <w:t>From the information gathered, I conducted a dynamic risk assessment (Home Office, 2020) and created a working strategy to resolve the incident</w:t>
      </w:r>
      <w:r w:rsidRPr="00EB1F79">
        <w:t xml:space="preserve"> line with point two of the NDM</w:t>
      </w:r>
      <w:r w:rsidRPr="00B950A2">
        <w:t>. I identified multiple risks, primarily the ongoing risk of sexual violence against the victim, evidenced by the fact that the victim felt the need to stay away from the offender until officers attended. There was also a potential risk of harm coming to the child whilst the offender was left in the child’s presence. In considering the ongoing strategy, I reviewed the powers and policies available such as PACE 1984, including Section 17 for lawful entry and Code G for arrest procedures. The necessity of the arrest was clear, as it was required to prevent harm to the victim, protect the child residing in the property, and allow a prompt and effective investigation including interview, DNA collection, and bail imposition (PACE 1984).</w:t>
      </w:r>
      <w:r w:rsidRPr="00EB1F79">
        <w:t xml:space="preserve"> </w:t>
      </w:r>
      <w:r w:rsidRPr="00B950A2">
        <w:t>To mitigate the</w:t>
      </w:r>
      <w:r w:rsidRPr="00EB1F79">
        <w:t xml:space="preserve"> identified</w:t>
      </w:r>
      <w:r w:rsidRPr="00B950A2">
        <w:t xml:space="preserve"> risks</w:t>
      </w:r>
      <w:r w:rsidRPr="00EB1F79">
        <w:t xml:space="preserve"> I utilised point four of the NDM to identify our options and therefore</w:t>
      </w:r>
      <w:r w:rsidRPr="00B950A2">
        <w:t xml:space="preserve"> arranged an arrest plan involving having an appropriate adult nearby when the arrest of the offender was made so the child could be taken care of properly (HM Government, 2021).</w:t>
      </w:r>
      <w:r w:rsidRPr="00EB1F79">
        <w:t xml:space="preserve"> </w:t>
      </w:r>
      <w:r w:rsidRPr="00B950A2">
        <w:t>In addition, I ensured that body-worn video (BWV) was activated to collect best evidence and comply with force policies (College of Policing, 2022).</w:t>
      </w:r>
      <w:r w:rsidRPr="00EB1F79">
        <w:br/>
      </w:r>
      <w:r w:rsidRPr="00EB1F79">
        <w:br/>
        <w:t xml:space="preserve">In line with point 5 of the NDM, I took action and reviewed what happened. </w:t>
      </w:r>
      <w:r w:rsidRPr="00B950A2">
        <w:t>The results of my actions were the immediate arrest of an offender presenting a high risk to the victim, safeguarding of the child to a place of safety away from said offender, and referral of the victim to organizations such as MARAC and Women's Aid (Home Office, 2019) providing long term non-police support. Despite the fact that the investigation did not lead to a conviction, the victim was provided with support and protection in with the thought to reduce the possibility of future harm should the victim and surrounding family continue to work with agencies (Stark, 2007). The reflection also highlighted areas of improvement in communication and coordination with the victim's friends and other resources that will help in future incidents (College of Policing, 2023).</w:t>
      </w:r>
      <w:r w:rsidRPr="00EB1F79">
        <w:br/>
        <w:t>(Word count: 487)</w:t>
      </w:r>
    </w:p>
    <w:p w14:paraId="513FAE6D" w14:textId="77777777" w:rsidR="00EB1F79" w:rsidRPr="00B950A2" w:rsidRDefault="00EB1F79" w:rsidP="00EB1F79">
      <w:pPr>
        <w:spacing w:after="160" w:line="278" w:lineRule="auto"/>
        <w:jc w:val="both"/>
      </w:pPr>
      <w:r w:rsidRPr="00B950A2">
        <w:t xml:space="preserve">It was </w:t>
      </w:r>
      <w:r w:rsidRPr="00EB1F79">
        <w:t xml:space="preserve">also </w:t>
      </w:r>
      <w:r w:rsidRPr="00B950A2">
        <w:t xml:space="preserve">necessary to document the incident correctly. </w:t>
      </w:r>
      <w:r w:rsidRPr="00EB1F79">
        <w:t xml:space="preserve">I recorded the full circumstances presented accurately. </w:t>
      </w:r>
      <w:r w:rsidRPr="00B950A2">
        <w:t xml:space="preserve">I completed the DASH risk assessment, Honour-Based Abuse form, and Public Protection Notification form in the presence of the victim (National Police Chiefs' Council, 2019; College of Policing, 2022). I </w:t>
      </w:r>
      <w:r w:rsidRPr="00EB1F79">
        <w:t xml:space="preserve">also </w:t>
      </w:r>
      <w:r w:rsidRPr="00B950A2">
        <w:t>obtained the consent of the victim to share information with third-party support networks such as social services and domestic abuse charities (HM Government, 2021).</w:t>
      </w:r>
    </w:p>
    <w:p w14:paraId="131367EA" w14:textId="673A7F2D" w:rsidR="00EB1F79" w:rsidRPr="00B950A2" w:rsidRDefault="00EB1F79" w:rsidP="00EB1F79">
      <w:pPr>
        <w:spacing w:after="160" w:line="278" w:lineRule="auto"/>
        <w:jc w:val="both"/>
      </w:pPr>
      <w:r w:rsidRPr="00B950A2">
        <w:t>This incident demonstrated the importance of combining legal action, ethical practice, and cultural awareness in informed and continuous decision-making process in unpredictable and dynamic circumstances. By using legislation, risk assessment tools, and codes of ethics, I was able to protect the victim and child, uphold the law, and provide a professional, empathetic and proportionate police response.</w:t>
      </w:r>
      <w:r w:rsidRPr="00EB1F79">
        <w:br/>
        <w:t>(Word count: 127)</w:t>
      </w:r>
    </w:p>
    <w:p w14:paraId="6A862717" w14:textId="77777777" w:rsidR="00EB1F79" w:rsidRPr="00B950A2" w:rsidRDefault="00EB1F79" w:rsidP="00EB1F79">
      <w:pPr>
        <w:spacing w:after="160" w:line="278" w:lineRule="auto"/>
        <w:jc w:val="both"/>
      </w:pPr>
      <w:r w:rsidRPr="00B950A2">
        <w:t>Ethically, I upheld the autonomous rights of the victim by acting quickly to arrest the offender and remove any potential of further harm (HM Government, 2019). I remained impartial whilst treating the offender the same as any other regardless of cultural belief and treated the victim with respect and empathy (Gill &amp; Brah, 2014). Cultural beliefs were considered to understand the situation but did not affect how the law was enforced (SOA 2003).</w:t>
      </w:r>
    </w:p>
    <w:p w14:paraId="37968834" w14:textId="77777777" w:rsidR="00EB1F79" w:rsidRPr="00B950A2" w:rsidRDefault="00EB1F79" w:rsidP="00EB1F79">
      <w:pPr>
        <w:spacing w:after="160" w:line="278" w:lineRule="auto"/>
        <w:jc w:val="both"/>
      </w:pPr>
      <w:r w:rsidRPr="00B950A2">
        <w:lastRenderedPageBreak/>
        <w:t>When looking at ethics more broadly, I followed the College of Policing Code of Ethics (2014) which is built around values such as fairness, respect, empathy and integrity. I showed respect for the victim by asking for her consent before sharing her information and by letting her choose to give her later statement to my female colleague. This gave her more control and dignity during the process. I was also aware of the cultural issues.</w:t>
      </w:r>
    </w:p>
    <w:p w14:paraId="24F40D7B" w14:textId="77777777" w:rsidR="00EB1F79" w:rsidRPr="00B950A2" w:rsidRDefault="00EB1F79" w:rsidP="00EB1F79">
      <w:pPr>
        <w:spacing w:after="160" w:line="278" w:lineRule="auto"/>
        <w:jc w:val="both"/>
      </w:pPr>
      <w:r w:rsidRPr="00B950A2">
        <w:t>The suspect’s views on marriage and consent may have come from his background, but that did not excuse his behaviour. I had to treat him the same as I would any other suspect. For me, this was about being impartial but also sensitive to the fact that culture was a factor.</w:t>
      </w:r>
    </w:p>
    <w:p w14:paraId="41B5F250" w14:textId="0A8319EC" w:rsidR="00EB1F79" w:rsidRPr="00EB1F79" w:rsidRDefault="00EB1F79" w:rsidP="00EB1F79">
      <w:pPr>
        <w:jc w:val="both"/>
        <w:rPr>
          <w:b/>
          <w:bCs/>
        </w:rPr>
      </w:pPr>
      <w:r w:rsidRPr="00B950A2">
        <w:t>The child’s safety was another ethical issue. The Children Act 1989 sets out that safeguarding of children, which involves measures to protect them from harm, must come first. I knew I could not leave the child in the house with someone who posed such a high risk. This was the key reason why I acted quickly and carried out the arrest as opposed to taking a statement and DASH form then and there.</w:t>
      </w:r>
      <w:r w:rsidRPr="00EB1F79">
        <w:br/>
        <w:t>(Word count: 272)</w:t>
      </w:r>
      <w:r w:rsidRPr="00EB1F79">
        <w:br/>
      </w:r>
      <w:r w:rsidRPr="00EB1F79">
        <w:br/>
        <w:t>In conclusion, this incident highlighted how important it is to integrate legal knowledge, cultural awareness and risk assessment in such dynamic high risk incidents. By utilising the National Decision Model, I was able to properly gather the appropriate information, assess the risks presented, identify appropriate options with available legal powers and take the clearly necessary action to protect the victim and her child. The experience showed me that despite the law being very clear, cultural beliefs can influence the behaviour of some individuals but regardless cannot excuse such serious offences. The incident reinforces that I must remain impartial even when there is clear cause for emotion. Making considerations to ethical response, including respect for the victims autonomy, safeguarding and acting within the Code of Ethics, were at the forefront of my response. Overall, this incident demonstrates that effective response to domestic abuse incidents requires balance between professional judgement and discretion as well as adherence to core legal and ethical frameworks that I as a police officer swore my oath to uphold to ensure the correct service is provided to victims of offences like those seen here.</w:t>
      </w:r>
      <w:r w:rsidRPr="00EB1F79">
        <w:br/>
        <w:t>(Word count: 186)</w:t>
      </w:r>
      <w:r w:rsidRPr="00EB1F79">
        <w:br/>
      </w:r>
      <w:r w:rsidRPr="00EB1F79">
        <w:br/>
      </w:r>
      <w:r w:rsidRPr="00EB1F79">
        <w:rPr>
          <w:b/>
          <w:bCs/>
        </w:rPr>
        <w:t>Total word count: 1818</w:t>
      </w:r>
    </w:p>
    <w:p w14:paraId="1A730B74" w14:textId="77777777" w:rsidR="008B28E7" w:rsidRPr="00EB1F79" w:rsidRDefault="008B28E7" w:rsidP="00EB1F79">
      <w:pPr>
        <w:ind w:right="237"/>
        <w:jc w:val="both"/>
        <w:rPr>
          <w:b/>
          <w:bCs/>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01029397" w:rsidR="00AA666E" w:rsidRPr="003242FC" w:rsidRDefault="003242FC" w:rsidP="00340E9A">
      <w:pPr>
        <w:ind w:right="237"/>
        <w:jc w:val="both"/>
        <w:rPr>
          <w:bCs/>
          <w:sz w:val="24"/>
          <w:szCs w:val="24"/>
        </w:rPr>
      </w:pPr>
      <w:r w:rsidRPr="003242FC">
        <w:rPr>
          <w:bCs/>
          <w:sz w:val="24"/>
          <w:szCs w:val="24"/>
        </w:rPr>
        <w:t xml:space="preserve">Stark, E. (2007) </w:t>
      </w:r>
      <w:r w:rsidRPr="003242FC">
        <w:rPr>
          <w:bCs/>
          <w:i/>
          <w:iCs/>
          <w:sz w:val="24"/>
          <w:szCs w:val="24"/>
        </w:rPr>
        <w:t>Coercive Control: How Men Entrap Women in Personal Life</w:t>
      </w:r>
      <w:r w:rsidRPr="003242FC">
        <w:rPr>
          <w:bCs/>
          <w:sz w:val="24"/>
          <w:szCs w:val="24"/>
        </w:rPr>
        <w:t>. Oxford: Oxford University Press.</w:t>
      </w:r>
      <w:r w:rsidRPr="003242FC">
        <w:rPr>
          <w:bCs/>
          <w:sz w:val="24"/>
          <w:szCs w:val="24"/>
        </w:rPr>
        <w:br/>
        <w:t xml:space="preserve">SOA 2003. </w:t>
      </w:r>
      <w:r w:rsidRPr="003242FC">
        <w:rPr>
          <w:bCs/>
          <w:i/>
          <w:iCs/>
          <w:sz w:val="24"/>
          <w:szCs w:val="24"/>
        </w:rPr>
        <w:t>Sexual Offences Act 2003</w:t>
      </w:r>
      <w:r w:rsidRPr="003242FC">
        <w:rPr>
          <w:bCs/>
          <w:sz w:val="24"/>
          <w:szCs w:val="24"/>
        </w:rPr>
        <w:t>. London: HMSO.</w:t>
      </w:r>
      <w:r w:rsidRPr="003242FC">
        <w:rPr>
          <w:bCs/>
          <w:sz w:val="24"/>
          <w:szCs w:val="24"/>
        </w:rPr>
        <w:br/>
        <w:t xml:space="preserve">Sakalli-Uğurlu, N. (2003) ‘Attitudes toward Women and Ambivalent Sexism in Turkey’, </w:t>
      </w:r>
      <w:r w:rsidRPr="003242FC">
        <w:rPr>
          <w:bCs/>
          <w:i/>
          <w:iCs/>
          <w:sz w:val="24"/>
          <w:szCs w:val="24"/>
        </w:rPr>
        <w:t>Sex Roles</w:t>
      </w:r>
      <w:r w:rsidRPr="003242FC">
        <w:rPr>
          <w:bCs/>
          <w:sz w:val="24"/>
          <w:szCs w:val="24"/>
        </w:rPr>
        <w:t>, 49, pp. 567–575.</w:t>
      </w:r>
      <w:r w:rsidRPr="003242FC">
        <w:rPr>
          <w:bCs/>
          <w:sz w:val="24"/>
          <w:szCs w:val="24"/>
        </w:rPr>
        <w:br/>
        <w:t xml:space="preserve">Chowdhury, A. (2021) </w:t>
      </w:r>
      <w:r w:rsidRPr="003242FC">
        <w:rPr>
          <w:bCs/>
          <w:i/>
          <w:iCs/>
          <w:sz w:val="24"/>
          <w:szCs w:val="24"/>
        </w:rPr>
        <w:t>Cultural Considerations in Policing Domestic Abuse</w:t>
      </w:r>
      <w:r w:rsidRPr="003242FC">
        <w:rPr>
          <w:bCs/>
          <w:sz w:val="24"/>
          <w:szCs w:val="24"/>
        </w:rPr>
        <w:t>. London: Routledge.</w:t>
      </w:r>
      <w:r w:rsidRPr="003242FC">
        <w:rPr>
          <w:bCs/>
          <w:sz w:val="24"/>
          <w:szCs w:val="24"/>
        </w:rPr>
        <w:br/>
        <w:t xml:space="preserve">Home Office (2019) </w:t>
      </w:r>
      <w:r w:rsidRPr="003242FC">
        <w:rPr>
          <w:bCs/>
          <w:i/>
          <w:iCs/>
          <w:sz w:val="24"/>
          <w:szCs w:val="24"/>
        </w:rPr>
        <w:t>Domestic Abuse: A Guide for Law Enforcement</w:t>
      </w:r>
      <w:r w:rsidRPr="003242FC">
        <w:rPr>
          <w:bCs/>
          <w:sz w:val="24"/>
          <w:szCs w:val="24"/>
        </w:rPr>
        <w:t>. London: HMSO.</w:t>
      </w:r>
      <w:r w:rsidRPr="003242FC">
        <w:rPr>
          <w:bCs/>
          <w:sz w:val="24"/>
          <w:szCs w:val="24"/>
        </w:rPr>
        <w:br/>
        <w:t xml:space="preserve">HM Government (2021) </w:t>
      </w:r>
      <w:r w:rsidRPr="003242FC">
        <w:rPr>
          <w:bCs/>
          <w:i/>
          <w:iCs/>
          <w:sz w:val="24"/>
          <w:szCs w:val="24"/>
        </w:rPr>
        <w:t>Working Together to Safeguard Children</w:t>
      </w:r>
      <w:r w:rsidRPr="003242FC">
        <w:rPr>
          <w:bCs/>
          <w:sz w:val="24"/>
          <w:szCs w:val="24"/>
        </w:rPr>
        <w:t>. London: HMSO.</w:t>
      </w:r>
      <w:r w:rsidRPr="003242FC">
        <w:rPr>
          <w:bCs/>
          <w:sz w:val="24"/>
          <w:szCs w:val="24"/>
        </w:rPr>
        <w:br/>
        <w:t>Children Act 1989. London: HMSO.</w:t>
      </w:r>
      <w:r w:rsidRPr="003242FC">
        <w:rPr>
          <w:bCs/>
          <w:sz w:val="24"/>
          <w:szCs w:val="24"/>
        </w:rPr>
        <w:br/>
        <w:t xml:space="preserve">National Police Chiefs’ Council (2019) </w:t>
      </w:r>
      <w:r w:rsidRPr="003242FC">
        <w:rPr>
          <w:bCs/>
          <w:i/>
          <w:iCs/>
          <w:sz w:val="24"/>
          <w:szCs w:val="24"/>
        </w:rPr>
        <w:t>Domestic Abuse, Stalking and Harassment (DASH) Risk Identification, Assessment and Management Model</w:t>
      </w:r>
      <w:r w:rsidRPr="003242FC">
        <w:rPr>
          <w:bCs/>
          <w:sz w:val="24"/>
          <w:szCs w:val="24"/>
        </w:rPr>
        <w:t>. London: NPCC.</w:t>
      </w:r>
      <w:r w:rsidRPr="003242FC">
        <w:rPr>
          <w:bCs/>
          <w:sz w:val="24"/>
          <w:szCs w:val="24"/>
        </w:rPr>
        <w:br/>
        <w:t xml:space="preserve">Gill, A. and Brah, A. (2014) </w:t>
      </w:r>
      <w:r w:rsidRPr="003242FC">
        <w:rPr>
          <w:bCs/>
          <w:i/>
          <w:iCs/>
          <w:sz w:val="24"/>
          <w:szCs w:val="24"/>
        </w:rPr>
        <w:t>Intersections of Gender, Culture and Law in Domestic Abuse</w:t>
      </w:r>
      <w:r w:rsidRPr="003242FC">
        <w:rPr>
          <w:bCs/>
          <w:sz w:val="24"/>
          <w:szCs w:val="24"/>
        </w:rPr>
        <w:t>. London: Routledge.</w:t>
      </w:r>
      <w:r w:rsidRPr="003242FC">
        <w:rPr>
          <w:bCs/>
          <w:sz w:val="24"/>
          <w:szCs w:val="24"/>
        </w:rPr>
        <w:br/>
        <w:t xml:space="preserve">College of Policing (2023) </w:t>
      </w:r>
      <w:r w:rsidRPr="003242FC">
        <w:rPr>
          <w:bCs/>
          <w:i/>
          <w:iCs/>
          <w:sz w:val="24"/>
          <w:szCs w:val="24"/>
        </w:rPr>
        <w:t>National Decision Model</w:t>
      </w:r>
      <w:r w:rsidRPr="003242FC">
        <w:rPr>
          <w:bCs/>
          <w:sz w:val="24"/>
          <w:szCs w:val="24"/>
        </w:rPr>
        <w:t>. London: College of Policing.</w:t>
      </w:r>
      <w:r w:rsidRPr="003242FC">
        <w:rPr>
          <w:bCs/>
          <w:sz w:val="24"/>
          <w:szCs w:val="24"/>
        </w:rPr>
        <w:br/>
        <w:t xml:space="preserve">Home Office (2020) </w:t>
      </w:r>
      <w:r w:rsidRPr="003242FC">
        <w:rPr>
          <w:bCs/>
          <w:i/>
          <w:iCs/>
          <w:sz w:val="24"/>
          <w:szCs w:val="24"/>
        </w:rPr>
        <w:t>Dynamic Risk Assessment Guidance</w:t>
      </w:r>
      <w:r w:rsidRPr="003242FC">
        <w:rPr>
          <w:bCs/>
          <w:sz w:val="24"/>
          <w:szCs w:val="24"/>
        </w:rPr>
        <w:t>. London: HMSO.</w:t>
      </w:r>
      <w:r w:rsidRPr="003242FC">
        <w:rPr>
          <w:bCs/>
          <w:sz w:val="24"/>
          <w:szCs w:val="24"/>
        </w:rPr>
        <w:br/>
        <w:t xml:space="preserve">College of Policing (2022) </w:t>
      </w:r>
      <w:r w:rsidRPr="003242FC">
        <w:rPr>
          <w:bCs/>
          <w:i/>
          <w:iCs/>
          <w:sz w:val="24"/>
          <w:szCs w:val="24"/>
        </w:rPr>
        <w:t>Body-Worn Video Guidance and Best Practice</w:t>
      </w:r>
      <w:r w:rsidRPr="003242FC">
        <w:rPr>
          <w:bCs/>
          <w:sz w:val="24"/>
          <w:szCs w:val="24"/>
        </w:rPr>
        <w:t xml:space="preserve">. London: </w:t>
      </w:r>
      <w:r w:rsidRPr="003242FC">
        <w:rPr>
          <w:bCs/>
          <w:sz w:val="24"/>
          <w:szCs w:val="24"/>
        </w:rPr>
        <w:lastRenderedPageBreak/>
        <w:t>College of Policing.</w:t>
      </w:r>
      <w:r w:rsidRPr="003242FC">
        <w:rPr>
          <w:bCs/>
          <w:sz w:val="24"/>
          <w:szCs w:val="24"/>
        </w:rPr>
        <w:br/>
        <w:t xml:space="preserve">College of Policing (2014) </w:t>
      </w:r>
      <w:r w:rsidRPr="003242FC">
        <w:rPr>
          <w:bCs/>
          <w:i/>
          <w:iCs/>
          <w:sz w:val="24"/>
          <w:szCs w:val="24"/>
        </w:rPr>
        <w:t>Code of Ethics</w:t>
      </w:r>
      <w:r w:rsidRPr="003242FC">
        <w:rPr>
          <w:bCs/>
          <w:sz w:val="24"/>
          <w:szCs w:val="24"/>
        </w:rPr>
        <w:t>. London: College of Policing.</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22E6FC2" w14:textId="77777777" w:rsidR="00B10FA2" w:rsidRPr="000660F3" w:rsidRDefault="00B10FA2" w:rsidP="00B10FA2">
      <w:pPr>
        <w:spacing w:after="160" w:line="278" w:lineRule="auto"/>
        <w:jc w:val="both"/>
      </w:pPr>
      <w:r w:rsidRPr="000660F3">
        <w:t>In modern-day policing, we are bound to serve the public to the best of our ability whilst operating within policy and procedure (College of Policing, 2014). Whenever this isn’t followed, scrutiny almost always follows in some degree, particularly in the context of response policing. As a part of ethical and effective working, operating as a team is essential in all divisions. In any context, an understanding of successful team dynamics and the psychological processes is core to allowing improvement (Tuckman, 1965). Strong team dynamics allow for proper cohesion, resilience, and ethical behaviour, and in my experience as a response police officer, trust between members can create better outcomes for incidents. This essay will be evaluating theories of team dynamics used to develop team cohesion, considering sources of inter-personal conflict and strategies for improving performance, and analysing how poor team dynamics can result in breaches of professional standards.</w:t>
      </w:r>
      <w:r>
        <w:br/>
        <w:t>(Word count: 147)</w:t>
      </w:r>
    </w:p>
    <w:p w14:paraId="0A824BAF" w14:textId="77777777" w:rsidR="00B10FA2" w:rsidRPr="000660F3" w:rsidRDefault="00B10FA2" w:rsidP="00B10FA2">
      <w:pPr>
        <w:spacing w:after="160" w:line="278" w:lineRule="auto"/>
        <w:jc w:val="both"/>
      </w:pPr>
      <w:r w:rsidRPr="000660F3">
        <w:t>Tuckman’s model of group development proposed five stages of group development described as forming, storming, norming, performing, and adjourning (Tuckman, 1965). In the context of response policing, forming would typically occur when officers are posted to new shifts or join specialist teams where initial trust building and acceptance is key. Officers may avoid conflict with existing members as to be accepted into the group. Once that “transition” stage is done, the storming element of the model follows as the officer tests boundaries, feels comfortable  to question decisions, and confront differing ideas. Following this with the existence of effective leadership, the norming phase is entered where the officer begin</w:t>
      </w:r>
      <w:r>
        <w:t>s</w:t>
      </w:r>
      <w:r w:rsidRPr="000660F3">
        <w:t xml:space="preserve"> to share expectations of other</w:t>
      </w:r>
      <w:r>
        <w:t>s</w:t>
      </w:r>
      <w:r w:rsidRPr="000660F3">
        <w:t xml:space="preserve"> and work efficiently. Similarly, the performing stage is then reached where teams evolve into effective working </w:t>
      </w:r>
      <w:r>
        <w:t xml:space="preserve">and </w:t>
      </w:r>
      <w:r w:rsidRPr="000660F3">
        <w:t>coordination. In the final stage, named “adjourning,” a team member is typically ready to leave the team, which can cause significant change to the structure of said team (Tuckman, 1965).</w:t>
      </w:r>
    </w:p>
    <w:p w14:paraId="439E22C2" w14:textId="77777777" w:rsidR="00B10FA2" w:rsidRPr="000660F3" w:rsidRDefault="00B10FA2" w:rsidP="00B10FA2">
      <w:pPr>
        <w:spacing w:after="160" w:line="278" w:lineRule="auto"/>
        <w:jc w:val="both"/>
      </w:pPr>
      <w:r w:rsidRPr="000660F3">
        <w:t>This model is a helpful way to explain the usual route a response officer may take through their career. However, the model oversimplifies the reality of response policing. Officers are regularly rotated around stations</w:t>
      </w:r>
      <w:r>
        <w:t>,</w:t>
      </w:r>
      <w:r w:rsidRPr="000660F3">
        <w:t xml:space="preserve"> spots are at times left unoccupied due to other commitments such as mutual aid for other forces, and there is always the </w:t>
      </w:r>
      <w:r>
        <w:t xml:space="preserve">common </w:t>
      </w:r>
      <w:r w:rsidRPr="000660F3">
        <w:t xml:space="preserve">case of high demand. Each of these elements can disrupt the </w:t>
      </w:r>
      <w:r w:rsidRPr="000660F3">
        <w:lastRenderedPageBreak/>
        <w:t>stages of Tuckman’s model and throw teams back into the storming phase</w:t>
      </w:r>
      <w:r>
        <w:t>. A</w:t>
      </w:r>
      <w:r w:rsidRPr="000660F3">
        <w:t>t times, teams rarely get through each stage without some form of issue arising (Tuckman, 1965). Despite the oversimplification, the model acts as solid guidance for officers to be aware of their own progression and for supervisors to monitor their officers and anticipate conflict if applied correctly.</w:t>
      </w:r>
      <w:r>
        <w:br/>
        <w:t>(Word count: 287)</w:t>
      </w:r>
    </w:p>
    <w:p w14:paraId="24A8506F" w14:textId="77777777" w:rsidR="00B10FA2" w:rsidRPr="000660F3" w:rsidRDefault="00B10FA2" w:rsidP="00B10FA2">
      <w:pPr>
        <w:spacing w:after="160" w:line="278" w:lineRule="auto"/>
        <w:jc w:val="both"/>
      </w:pPr>
      <w:r w:rsidRPr="000660F3">
        <w:t xml:space="preserve">Dr Meredith Belbin’s team roles identified nine roles necessary for effective teamwork, from plants who tend to be highly creative and effective yet unconventional at problem solving to completer finishers who are usually painstaking in searching for errors in the team’s work (Belbin, 2010). In the scope of response policing, these roles are clearly visible. Shapers thrive in the pressure of response and lead dynamic incidents usually requiring large </w:t>
      </w:r>
      <w:r>
        <w:t>resourcing</w:t>
      </w:r>
      <w:r w:rsidRPr="000660F3">
        <w:t>. Monitor evaluators bring cautious and impartial judgements to the team, which is essential in making what in policing could be life-altering decisions. Implementers ensure that the less exciting regular tasks, such as write-ups are completed, which in turn leaves little room for significant errors. Balance and recognition of these roles across a response team is vital, as too many shapers may result in conflict between the team, whilst the absence of a completer-finisher allows room for administrative errors that, in the context of policing, can be detrimental to the overbearing goals of an investigation (Belbin, 2010).</w:t>
      </w:r>
    </w:p>
    <w:p w14:paraId="682271A3" w14:textId="77777777" w:rsidR="00B10FA2" w:rsidRPr="000660F3" w:rsidRDefault="00B10FA2" w:rsidP="00B10FA2">
      <w:pPr>
        <w:jc w:val="both"/>
        <w:rPr>
          <w:rFonts w:asciiTheme="minorHAnsi" w:hAnsiTheme="minorHAnsi" w:cstheme="minorBidi"/>
        </w:rPr>
      </w:pPr>
      <w:r w:rsidRPr="000660F3">
        <w:t>Belbin’s model shows us that there is a need for varied skills in a response team. However, in my experience officers adapt to roles based on a situation. The phrase “spinning plates” is regularly associated with response policing due to the need for the individual officer to have a multitude of abilities, which in this context can be more important than having fixed roles. An officer may act as a Shaper during a multi-agency incident but later adopt a completer-finisher role in preparing a pre-prosecution casefile. Regardless, this model allows clarity on what roles an officer may focus on during tasks they apply, but also demonstrates the value in multi-skilled contributions in teams of high pressure (Belbin, 2010).</w:t>
      </w:r>
      <w:r>
        <w:br/>
        <w:t>(Word count: 284)</w:t>
      </w:r>
      <w:r>
        <w:br/>
      </w:r>
      <w:r>
        <w:br/>
      </w:r>
      <w:r w:rsidRPr="000660F3">
        <w:rPr>
          <w:rFonts w:asciiTheme="minorHAnsi" w:hAnsiTheme="minorHAnsi" w:cstheme="minorBidi"/>
        </w:rPr>
        <w:t xml:space="preserve">Social identity theory, developed by Henry Tajfel and John Turner, explains how a person’s own concept is influenced by the groups they affiliate with (Tajfel &amp; Turner, 1986). This model is highly relevant to a response policing team, as different teams often develop collective identities strengthened by shared experience of the </w:t>
      </w:r>
      <w:r w:rsidRPr="000660F3">
        <w:t>job, but</w:t>
      </w:r>
      <w:r w:rsidRPr="000660F3">
        <w:rPr>
          <w:rFonts w:asciiTheme="minorHAnsi" w:hAnsiTheme="minorHAnsi" w:cstheme="minorBidi"/>
        </w:rPr>
        <w:t xml:space="preserve"> primarily through trauma. These identities can often influence loyalty and provide cohesion between the team, which is ultimately essential during high-risk incidents. Officers should always have trust in their colleagues to provide support when needed, whether it be a serious, violent, and dynamic incident or a stop-check in a dangerous environment. With groups having collective identities, that trust can then be developed.</w:t>
      </w:r>
    </w:p>
    <w:p w14:paraId="0C6E66B7" w14:textId="77777777" w:rsidR="00B10FA2" w:rsidRPr="000660F3" w:rsidRDefault="00B10FA2" w:rsidP="00B10FA2">
      <w:pPr>
        <w:spacing w:after="160" w:line="278" w:lineRule="auto"/>
        <w:jc w:val="both"/>
      </w:pPr>
      <w:r w:rsidRPr="000660F3">
        <w:t>However, strong group identities also run the risk of developing negative cultures such as “canteen culture,” which is an unofficial organisational sub-culture where officers can develop informal norms, values, and behaviours that do not always follow the policies outlined (Reiner, 2010). In the past, this has been evidenced with groups in the policing sector conforming to canteen culture to such a degree that they grossly violated ethical and professional standards of behaviour. Whilst those incidents are rarer in day-to-day policing life, a base-level conformation may exist within a team, reinforcing cynicism or exclusionary attitudes. Within response policing, officers interact with diverse communities on a daily basis and fostering that sort of group dynamic can undermine fairness and legitimacy. Therefore, social identity must be aligned with policies and procedures, such as the Code of Ethics, professional standards of behaviour, as well as legislation such as the Police (Conduct) Regulations 2020 (Home Office, 2020).</w:t>
      </w:r>
      <w:r>
        <w:br/>
        <w:t>(Word count: 267)</w:t>
      </w:r>
    </w:p>
    <w:p w14:paraId="02672E8F" w14:textId="77777777" w:rsidR="00B10FA2" w:rsidRPr="000660F3" w:rsidRDefault="00B10FA2" w:rsidP="00B10FA2">
      <w:pPr>
        <w:spacing w:after="160" w:line="278" w:lineRule="auto"/>
        <w:jc w:val="both"/>
      </w:pPr>
      <w:r w:rsidRPr="000660F3">
        <w:t xml:space="preserve">Interpersonal conflict is common within policing teams due to the stressful and critical nature of the job (Hurst &amp; Frank, 2000). Differences in risk assessment often create tension; some officers prefer rapid intervention, whilst others may prefer careful assessment. Obscurity of an individual officer’s role can also cause disputes, as multiple officers attempting to take charge of a scenario results in clashes. Competition between officers can also arise over role opportunities, where multiple officers may want the same role opportunity posted elsewhere. Stress is arguably the most impactful factor; long shift times, exposure to trauma, criticism from the public and media, and stress over professional standards </w:t>
      </w:r>
      <w:r w:rsidRPr="000660F3">
        <w:lastRenderedPageBreak/>
        <w:t>involvement can result in reduced resilience and increased stress levels, which can put officers in a position similar to that of a coiled spring. Differing values between officers also play a large role in conflict, as officers may disagree on the balance between enforcement of legislation and discretion—for example, the issuing of a traffic offence report for a minor vehicle offence (Hurst &amp; Frank, 2000).</w:t>
      </w:r>
    </w:p>
    <w:p w14:paraId="4B71E0A4" w14:textId="77777777" w:rsidR="00B10FA2" w:rsidRPr="000660F3" w:rsidRDefault="00B10FA2" w:rsidP="00B10FA2">
      <w:pPr>
        <w:spacing w:after="160" w:line="278" w:lineRule="auto"/>
        <w:jc w:val="both"/>
      </w:pPr>
      <w:r w:rsidRPr="000660F3">
        <w:t>Conflict can be differentiated into different categories. Karen Jehn’s analysis of conflict types simplifies these categories into task conflict, relationship conflict, and process conflict (Jehn, 1995). Task conflict can occur when there is a difference in officer opinions on a decision made during an incident—for example, use of force on a subject—which can be constructive if it allows improved decision-making. Relationship conflict can occur when there is hostility between colleagues over personal issues and can undermine trust within the team. Process conflict can occur when there are disagreements over who should attend an outstanding call, which can result in delayed responses, undermining public trust and safety (Jehn, 1995).</w:t>
      </w:r>
      <w:r>
        <w:br/>
      </w:r>
      <w:r>
        <w:br/>
        <w:t>(Word count: 282)</w:t>
      </w:r>
    </w:p>
    <w:p w14:paraId="6AC3D25D" w14:textId="77777777" w:rsidR="00B10FA2" w:rsidRPr="000660F3" w:rsidRDefault="00B10FA2" w:rsidP="00B10FA2">
      <w:pPr>
        <w:spacing w:after="160" w:line="278" w:lineRule="auto"/>
        <w:jc w:val="both"/>
      </w:pPr>
      <w:r w:rsidRPr="000660F3">
        <w:t>Effective conflict management is critical for response team policing. Thomas-Kilmann’s model suggests that a collaborative approach is ideal; however, time pressure in emergency incidents may require temporary compromises (Thomas &amp; Kilmann, 1974). Emotional intelligence training emphasised in the College of Policing’s leadership frameworks can assist officers in emotional regulation and constructive dispute resolution (College of Policing, 2014). Structured communications as a part of that is vital, as daily briefings can address overall issues with line management, whilst debriefs following incidents allow for individual reflection, restorative practice, and opportunities for officers to speak about conflicting elements of a call to prevent misunderstandings. Primarily, and based on my own experience, effective leadership is key. A supportive line manager who identifies conflict can help to inspire a team and improve its cohesion. Line managers who act with understanding, kindness, and boundaries are often the most effective, whilst those who pick the authoritarian approach can risk causing frustration and further pressure in what is already a high-pressure environment (College of Policing, 2014).</w:t>
      </w:r>
      <w:r>
        <w:br/>
        <w:t>(Word count: 168)</w:t>
      </w:r>
    </w:p>
    <w:p w14:paraId="756A2202" w14:textId="77777777" w:rsidR="00B10FA2" w:rsidRPr="000660F3" w:rsidRDefault="00B10FA2" w:rsidP="00B10FA2">
      <w:pPr>
        <w:spacing w:after="160" w:line="278" w:lineRule="auto"/>
        <w:jc w:val="both"/>
      </w:pPr>
      <w:r w:rsidRPr="000660F3">
        <w:t>Police officers across England and Wales follow the Code of Ethics set by the College of Policing (accountability, fairness, honesty, integrity, leadership, and respect) (College of Policing, 2014). Officers are exposed to ethical dilemmas daily, with use of force, exercising discretion, and enforcement of legislation, all of which must align with the CoE as well as legislation such as PACE and the Human Rights Act. Team dynamics strongly influence officers’ compliance with these standards (Home Office, 2020).</w:t>
      </w:r>
    </w:p>
    <w:p w14:paraId="03A799F8" w14:textId="77777777" w:rsidR="00B10FA2" w:rsidRPr="000660F3" w:rsidRDefault="00B10FA2" w:rsidP="00B10FA2">
      <w:pPr>
        <w:spacing w:after="160" w:line="278" w:lineRule="auto"/>
        <w:jc w:val="both"/>
      </w:pPr>
      <w:r w:rsidRPr="000660F3">
        <w:t>In policing, poor team dynamics may result in serious breaches of professional standards. Groupthink and a lack of psychological safety can discourage officers from challenging unethical behaviour—for example, excessive use of force (Reiner, 2010). Group loyalty may prioritise protecting colleagues as opposed to reporting misconduct. Peer pressure from informal “canteen cultures” can normalise discriminatory attitudes, and failures in leadership, particularly by sergeants, can allow such norms to persist within a team (Reiner, 2010). These risks put public trust and legitimacy in harm’s way.</w:t>
      </w:r>
    </w:p>
    <w:p w14:paraId="4FCA80A8" w14:textId="77777777" w:rsidR="00B10FA2" w:rsidRPr="000660F3" w:rsidRDefault="00B10FA2" w:rsidP="00B10FA2">
      <w:pPr>
        <w:spacing w:after="160" w:line="278" w:lineRule="auto"/>
        <w:jc w:val="both"/>
      </w:pPr>
      <w:r w:rsidRPr="000660F3">
        <w:t xml:space="preserve">There are several strategies essential to strengthening cohesion whilst acting ethically. Leadership by sergeants is crucial, as they set boundaries for team behaviour and must constantly promote challenging unethical behaviour (College of Policing, 2014). The National Decision Model should be used in daily activities, ensuring that each decision an officer makes is justified and in line with the Code of Ethics (College of Policing, 2014). Confidential reporting channels for officer misconduct must be reinforced to allow a feeling of safety in reporting and recording unethical behaviour. Training days focusing on diversity and inclusion, in my experience, have addressed group bias in response teams. Debriefs, including reflective practice, can assist officer performance and awareness of ethical reflection, which in turn helps to encourage professional development, ensuring policy and procedure are embedded in the everyday decision-making of both the team and individual officer (College of </w:t>
      </w:r>
      <w:r w:rsidRPr="000660F3">
        <w:lastRenderedPageBreak/>
        <w:t>Policing, 2014).</w:t>
      </w:r>
      <w:r>
        <w:br/>
        <w:t>(Word count: 306)</w:t>
      </w:r>
    </w:p>
    <w:p w14:paraId="26B68466" w14:textId="77777777" w:rsidR="00B10FA2" w:rsidRPr="000660F3" w:rsidRDefault="00B10FA2" w:rsidP="00B10FA2">
      <w:pPr>
        <w:spacing w:after="160" w:line="278" w:lineRule="auto"/>
        <w:jc w:val="both"/>
      </w:pPr>
      <w:r w:rsidRPr="000660F3">
        <w:t>In conclusion, policing depends on good team dynamics. Theories such as Tuckman’s stages, Belbin’s team roles, and social identity theory provide insight into how some teams function, and some teams fail (Tuckman, 1965; Belbin, 2010; Tajfel &amp; Turner, 1986). Conflict is at times unavoidable in a policing context, but when it is managed constructively, it can allow growth, whilst the opposite is true when conflict is managed negatively, leading to increased risk of both operational and behavioural failings (Thomas &amp; Kilmann, 1974).</w:t>
      </w:r>
    </w:p>
    <w:p w14:paraId="43020EF4" w14:textId="77777777" w:rsidR="00B10FA2" w:rsidRPr="000660F3" w:rsidRDefault="00B10FA2" w:rsidP="00B10FA2">
      <w:pPr>
        <w:spacing w:after="160" w:line="278" w:lineRule="auto"/>
        <w:jc w:val="both"/>
      </w:pPr>
      <w:r w:rsidRPr="000660F3">
        <w:t>In the heavily scrutinised and demanding world of policing, poor team dynamics can lead to serious and irreparable breaches of professional standards. Historical and recent cases have demonstrated how groupthink, canteen cultures, and ineffective leadership can seriously harm public legitimacy (Reiner, 2010). To strengthen cohesion and dynamics, there is a need for leadership, strong communication avenues, protection through reporting, group bias training, and reflective practice. Ultimately, by building ethical, resilient, and cohesive teams, the maintenance of public confidence stands a much better chance at upholding the core values of policing (College of Policing, 2014).</w:t>
      </w:r>
      <w:r>
        <w:br/>
        <w:t>(Word count: 176)</w:t>
      </w:r>
      <w:r>
        <w:br/>
      </w:r>
      <w:r>
        <w:br/>
      </w:r>
      <w:r w:rsidRPr="009504BA">
        <w:rPr>
          <w:b/>
          <w:bCs/>
        </w:rPr>
        <w:t>Total word count: 1917</w:t>
      </w:r>
    </w:p>
    <w:p w14:paraId="41046E92" w14:textId="77777777" w:rsidR="00B10FA2" w:rsidRPr="00627180" w:rsidRDefault="00B10FA2" w:rsidP="00B10FA2">
      <w:pPr>
        <w:ind w:right="237"/>
        <w:jc w:val="both"/>
      </w:pPr>
      <w:r w:rsidRPr="00627180">
        <w:t xml:space="preserve">Belbin, R.M., 2010. </w:t>
      </w:r>
      <w:r w:rsidRPr="00627180">
        <w:rPr>
          <w:i/>
          <w:iCs/>
        </w:rPr>
        <w:t>Team Roles at Work</w:t>
      </w:r>
      <w:r w:rsidRPr="00627180">
        <w:t>. 2nd ed. Oxford: Butterworth-Heinemann.</w:t>
      </w:r>
      <w:r>
        <w:br/>
      </w:r>
    </w:p>
    <w:p w14:paraId="6212BF43" w14:textId="77777777" w:rsidR="00B10FA2" w:rsidRPr="00627180" w:rsidRDefault="00B10FA2" w:rsidP="00B10FA2">
      <w:pPr>
        <w:ind w:right="237"/>
        <w:jc w:val="both"/>
      </w:pPr>
      <w:r w:rsidRPr="00627180">
        <w:t xml:space="preserve">College of Policing, 2014. </w:t>
      </w:r>
      <w:r w:rsidRPr="00627180">
        <w:rPr>
          <w:i/>
          <w:iCs/>
        </w:rPr>
        <w:t xml:space="preserve">Code of Ethics: A Code of Practice for the Principles and Standards of </w:t>
      </w:r>
      <w:r>
        <w:rPr>
          <w:i/>
          <w:iCs/>
        </w:rPr>
        <w:br/>
      </w:r>
      <w:r w:rsidRPr="00627180">
        <w:rPr>
          <w:i/>
          <w:iCs/>
        </w:rPr>
        <w:t>Professional Behaviour for the Policing Profession of England and Wales</w:t>
      </w:r>
      <w:r w:rsidRPr="00627180">
        <w:t xml:space="preserve">. [online] Available at: https://www.college.police.uk/What-we-do/Ethics/Code-of-Ethics </w:t>
      </w:r>
      <w:r>
        <w:br/>
      </w:r>
    </w:p>
    <w:p w14:paraId="04406095" w14:textId="77777777" w:rsidR="00B10FA2" w:rsidRPr="00627180" w:rsidRDefault="00B10FA2" w:rsidP="00B10FA2">
      <w:pPr>
        <w:ind w:right="237"/>
        <w:jc w:val="both"/>
      </w:pPr>
      <w:r w:rsidRPr="00627180">
        <w:t xml:space="preserve">Home Office, 2020. </w:t>
      </w:r>
      <w:r w:rsidRPr="00627180">
        <w:rPr>
          <w:i/>
          <w:iCs/>
        </w:rPr>
        <w:t>The Police (Conduct) Regulations 2020</w:t>
      </w:r>
      <w:r w:rsidRPr="00627180">
        <w:t xml:space="preserve">. [online] Available at: </w:t>
      </w:r>
      <w:hyperlink r:id="rId14" w:tgtFrame="_new" w:history="1">
        <w:r w:rsidRPr="00627180">
          <w:rPr>
            <w:rStyle w:val="Hyperlink"/>
          </w:rPr>
          <w:t>https://www.legislation.gov.uk/uksi/2020/4</w:t>
        </w:r>
      </w:hyperlink>
      <w:r w:rsidRPr="00627180">
        <w:t xml:space="preserve"> </w:t>
      </w:r>
      <w:r>
        <w:br/>
      </w:r>
    </w:p>
    <w:p w14:paraId="34C5F58B" w14:textId="77777777" w:rsidR="00B10FA2" w:rsidRPr="00627180" w:rsidRDefault="00B10FA2" w:rsidP="00B10FA2">
      <w:pPr>
        <w:ind w:right="237"/>
        <w:jc w:val="both"/>
      </w:pPr>
      <w:r w:rsidRPr="00627180">
        <w:t xml:space="preserve">Hurst, Y.G. and Frank, J., 2000. 'How kids view cops: The nature of juvenile attitudes toward the police', </w:t>
      </w:r>
      <w:r w:rsidRPr="00627180">
        <w:rPr>
          <w:i/>
          <w:iCs/>
        </w:rPr>
        <w:t>Journal of Criminal Justice</w:t>
      </w:r>
      <w:r w:rsidRPr="00627180">
        <w:t>, 28(3), pp. 189–202.</w:t>
      </w:r>
      <w:r>
        <w:br/>
      </w:r>
    </w:p>
    <w:p w14:paraId="29699EED" w14:textId="77777777" w:rsidR="00B10FA2" w:rsidRPr="00627180" w:rsidRDefault="00B10FA2" w:rsidP="00B10FA2">
      <w:pPr>
        <w:ind w:right="237"/>
        <w:jc w:val="both"/>
      </w:pPr>
      <w:r w:rsidRPr="00627180">
        <w:t xml:space="preserve">Jehn, K.A., 1995. 'A multimethod examination of the benefits and detriments of intragroup conflict', </w:t>
      </w:r>
      <w:r w:rsidRPr="00627180">
        <w:rPr>
          <w:i/>
          <w:iCs/>
        </w:rPr>
        <w:t>Administrative Science Quarterly</w:t>
      </w:r>
      <w:r w:rsidRPr="00627180">
        <w:t>, 40(2), pp. 256–282.</w:t>
      </w:r>
      <w:r>
        <w:br/>
      </w:r>
    </w:p>
    <w:p w14:paraId="5402C43C" w14:textId="77777777" w:rsidR="00B10FA2" w:rsidRPr="00627180" w:rsidRDefault="00B10FA2" w:rsidP="00B10FA2">
      <w:pPr>
        <w:ind w:right="237"/>
        <w:jc w:val="both"/>
      </w:pPr>
      <w:r w:rsidRPr="00627180">
        <w:t xml:space="preserve">Reiner, R., 2010. </w:t>
      </w:r>
      <w:r w:rsidRPr="00627180">
        <w:rPr>
          <w:i/>
          <w:iCs/>
        </w:rPr>
        <w:t>The Politics of the Police</w:t>
      </w:r>
      <w:r w:rsidRPr="00627180">
        <w:t>. 4th ed. Oxford: Oxford University Press.</w:t>
      </w:r>
      <w:r>
        <w:br/>
      </w:r>
    </w:p>
    <w:p w14:paraId="092F1F59" w14:textId="77777777" w:rsidR="00B10FA2" w:rsidRPr="00627180" w:rsidRDefault="00B10FA2" w:rsidP="00B10FA2">
      <w:pPr>
        <w:ind w:right="237"/>
        <w:jc w:val="both"/>
      </w:pPr>
      <w:r w:rsidRPr="00627180">
        <w:t xml:space="preserve">Scalia, V., 2021. 'The stench of canteen culture: Cop culture and the case of Federico Aldrovandi', </w:t>
      </w:r>
      <w:r w:rsidRPr="00627180">
        <w:rPr>
          <w:i/>
          <w:iCs/>
        </w:rPr>
        <w:t>Social Justice: A Journal of Crime, Conflict &amp; World Order</w:t>
      </w:r>
      <w:r w:rsidRPr="00627180">
        <w:t>, 47(1–2), pp. 93–110.</w:t>
      </w:r>
      <w:r>
        <w:br/>
      </w:r>
    </w:p>
    <w:p w14:paraId="6FD23BDF" w14:textId="77777777" w:rsidR="00B10FA2" w:rsidRPr="00627180" w:rsidRDefault="00B10FA2" w:rsidP="00B10FA2">
      <w:pPr>
        <w:ind w:right="237"/>
        <w:jc w:val="both"/>
      </w:pPr>
      <w:r w:rsidRPr="00627180">
        <w:t xml:space="preserve">Tajfel, H. and Turner, J.C., 1986. 'The social identity theory of intergroup behavior', in S. Worchel and W.G. Austin (eds.) </w:t>
      </w:r>
      <w:r w:rsidRPr="00627180">
        <w:rPr>
          <w:i/>
          <w:iCs/>
        </w:rPr>
        <w:t>Psychology of Intergroup Relations</w:t>
      </w:r>
      <w:r w:rsidRPr="00627180">
        <w:t>. 2nd ed. Chicago: Nelson-Hall, pp. 7–24.</w:t>
      </w:r>
      <w:r>
        <w:br/>
      </w:r>
    </w:p>
    <w:p w14:paraId="6F4FD019" w14:textId="77777777" w:rsidR="00B10FA2" w:rsidRPr="00627180" w:rsidRDefault="00B10FA2" w:rsidP="00B10FA2">
      <w:pPr>
        <w:ind w:right="237"/>
        <w:jc w:val="both"/>
      </w:pPr>
      <w:r w:rsidRPr="00627180">
        <w:t xml:space="preserve">Thomas, K.W. and Kilmann, R.H., 1974. </w:t>
      </w:r>
      <w:r w:rsidRPr="00627180">
        <w:rPr>
          <w:i/>
          <w:iCs/>
        </w:rPr>
        <w:t>Thomas-Kilmann Conflict Mode Instrument</w:t>
      </w:r>
      <w:r w:rsidRPr="00627180">
        <w:t>. Tuxedo, NY: Xicom.</w:t>
      </w:r>
      <w:r>
        <w:br/>
      </w:r>
    </w:p>
    <w:p w14:paraId="63EF331C" w14:textId="77777777" w:rsidR="00B10FA2" w:rsidRPr="00627180" w:rsidRDefault="00B10FA2" w:rsidP="00B10FA2">
      <w:pPr>
        <w:ind w:right="237"/>
        <w:jc w:val="both"/>
      </w:pPr>
      <w:r w:rsidRPr="00627180">
        <w:t xml:space="preserve">Tuckman, B.W., 1965. 'Developmental sequence in small groups', </w:t>
      </w:r>
      <w:r w:rsidRPr="00627180">
        <w:rPr>
          <w:i/>
          <w:iCs/>
        </w:rPr>
        <w:t>Psychological Bulletin</w:t>
      </w:r>
      <w:r w:rsidRPr="00627180">
        <w:t>, 63(6), pp. 384–399.</w:t>
      </w:r>
    </w:p>
    <w:p w14:paraId="55885AA0" w14:textId="71B1B24B" w:rsidR="008B28E7" w:rsidRPr="00270EEB" w:rsidRDefault="00B10FA2" w:rsidP="00340E9A">
      <w:pPr>
        <w:ind w:right="237"/>
        <w:jc w:val="both"/>
        <w:rPr>
          <w:sz w:val="24"/>
          <w:szCs w:val="24"/>
        </w:rPr>
      </w:pP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lastRenderedPageBreak/>
        <w:br/>
      </w: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138DEB2" w14:textId="77777777" w:rsidR="00A44C0E" w:rsidRPr="0000297C" w:rsidRDefault="00A44C0E" w:rsidP="00A44C0E">
      <w:pPr>
        <w:spacing w:after="160" w:line="278" w:lineRule="auto"/>
        <w:jc w:val="both"/>
        <w:rPr>
          <w:rFonts w:asciiTheme="minorHAnsi" w:hAnsiTheme="minorHAnsi" w:cstheme="minorHAnsi"/>
          <w:sz w:val="24"/>
          <w:szCs w:val="24"/>
        </w:rPr>
      </w:pPr>
      <w:r w:rsidRPr="0000297C">
        <w:rPr>
          <w:rFonts w:asciiTheme="minorHAnsi" w:hAnsiTheme="minorHAnsi" w:cstheme="minorHAnsi"/>
          <w:sz w:val="24"/>
          <w:szCs w:val="24"/>
        </w:rPr>
        <w:t xml:space="preserve">The current tagline and mission statement for ANPR is “detect, disrupt, deter” which points directly to tackling both Serious Organised Acquisitive Crime and the Organised Crime Groups usually responsible. This is reflective in how ANPR can be used in a proactive, reactive and evidential capacity. Each force across England and Wales has to abide by regulations set out by the Home Office and Surveillance Camera Commissioner which fall under NASPLE - National ANPR Standards for Policing and Law Enforcement (Home Office, 2020; Surveillance Camera Commissioner, 2021). Each force now feeds into the NAS - National ANPR Service and this allows for an enhanced network of ANPR capabilities. To my knowledge this is the largest, non-military, database in Europe, capturing around 80 million vehicle hits per day across England and Wales (College of Policing, 2018). The aim of the implementation of NAS was to build on ease of information sharing, which has developed with MoPI (Management of Police Information), 5x5x5 (now 3x5x2) and other ways the police have evolved to share information, which is done sensitively and with the correct provenance. With the cohesion this brings between forces, there have been many benefits. Cameras which were on the same road either side of a force’s border now only need to have one there, saving costs and allowing for better coverage elsewhere. There is also an evidential element. Previously, if a national search on a VRM was completed on ANPR, you would not get an overview image, just a view of the number plate. This meant delays when investigations were ongoing and cloned vehicles were not always effectively identified. Plus, evidentially, the owning force had to print off the images and send a signed statement with the copy to the requesting police force. This all </w:t>
      </w:r>
      <w:r w:rsidRPr="0000297C">
        <w:rPr>
          <w:rFonts w:asciiTheme="minorHAnsi" w:hAnsiTheme="minorHAnsi" w:cstheme="minorHAnsi"/>
          <w:sz w:val="24"/>
          <w:szCs w:val="24"/>
        </w:rPr>
        <w:lastRenderedPageBreak/>
        <w:t xml:space="preserve">added delays and had a significant impact on investigations into serious crimes. </w:t>
      </w:r>
      <w:r w:rsidRPr="0000297C">
        <w:rPr>
          <w:rFonts w:asciiTheme="minorHAnsi" w:hAnsiTheme="minorHAnsi" w:cstheme="minorHAnsi"/>
          <w:b/>
          <w:bCs/>
          <w:sz w:val="24"/>
          <w:szCs w:val="24"/>
        </w:rPr>
        <w:t>(Word count: 295)</w:t>
      </w:r>
    </w:p>
    <w:p w14:paraId="0DC43B91" w14:textId="77777777" w:rsidR="00A44C0E" w:rsidRPr="0000297C" w:rsidRDefault="00A44C0E" w:rsidP="00A44C0E">
      <w:pPr>
        <w:spacing w:after="160" w:line="278" w:lineRule="auto"/>
        <w:jc w:val="both"/>
        <w:rPr>
          <w:rFonts w:asciiTheme="minorHAnsi" w:hAnsiTheme="minorHAnsi" w:cstheme="minorHAnsi"/>
          <w:sz w:val="24"/>
          <w:szCs w:val="24"/>
        </w:rPr>
      </w:pPr>
      <w:r w:rsidRPr="0000297C">
        <w:rPr>
          <w:rFonts w:asciiTheme="minorHAnsi" w:hAnsiTheme="minorHAnsi" w:cstheme="minorHAnsi"/>
          <w:sz w:val="24"/>
          <w:szCs w:val="24"/>
        </w:rPr>
        <w:t xml:space="preserve">Having a large and interconnected network of cameras doesn’t solve the problem and tackle the issues within evidential policing on its own. In order to properly put this technology into action, there needs to be clear and defined objectives when assisting the goals of policing. This isn’t just about combating crime; ANPR can be used to assist in all types of investigations without being too invasive and while being aware of legal and legislative boundaries such as the ECHR (European Convention on Human Rights) Article 8 - Respect for your private and family life. Specifically, point 2 outlines the conditions under which public authorities can interfere with these rights. Such interference must be in accordance with the law and pursue a legitimate aim (national security, public safety, and/or prevention of crime) (Council of Europe, 1950; Home Office, 2018). This means that, if able to be justified as proportionate, police can use ANPR for investigations into multiple areas, including but not limited to murders, drug and people trafficking, child sexual exploitation, serious organised acquisitive crime, anti-social behaviour, and more. </w:t>
      </w:r>
      <w:r w:rsidRPr="0000297C">
        <w:rPr>
          <w:rFonts w:asciiTheme="minorHAnsi" w:hAnsiTheme="minorHAnsi" w:cstheme="minorHAnsi"/>
          <w:b/>
          <w:bCs/>
          <w:sz w:val="24"/>
          <w:szCs w:val="24"/>
        </w:rPr>
        <w:t>(Word count: 174)</w:t>
      </w:r>
    </w:p>
    <w:p w14:paraId="3C2DE88B" w14:textId="77777777" w:rsidR="00A44C0E" w:rsidRPr="0000297C" w:rsidRDefault="00A44C0E" w:rsidP="00A44C0E">
      <w:pPr>
        <w:spacing w:after="160" w:line="278" w:lineRule="auto"/>
        <w:jc w:val="both"/>
        <w:rPr>
          <w:rFonts w:asciiTheme="minorHAnsi" w:hAnsiTheme="minorHAnsi" w:cstheme="minorHAnsi"/>
          <w:sz w:val="24"/>
          <w:szCs w:val="24"/>
        </w:rPr>
      </w:pPr>
      <w:r w:rsidRPr="0000297C">
        <w:rPr>
          <w:rFonts w:asciiTheme="minorHAnsi" w:hAnsiTheme="minorHAnsi" w:cstheme="minorHAnsi"/>
          <w:sz w:val="24"/>
          <w:szCs w:val="24"/>
        </w:rPr>
        <w:t xml:space="preserve">The clear objectives of ANPR and the newly developed infrastructure can enhance policing basics. One of the fundamental models of policing is the “Victim, Location, Offender” triangle, which illustrates that for the majority of traditional crimes all three factors need to be present for a crime to occur. If the victim or the subject isn’t at the location, then the crime won’t occur. By “traditional crime,” the specific notion is that the internet should also be counted as a location (Ratcliffe, 2008). </w:t>
      </w:r>
      <w:r w:rsidRPr="0000297C">
        <w:rPr>
          <w:rFonts w:asciiTheme="minorHAnsi" w:hAnsiTheme="minorHAnsi" w:cstheme="minorHAnsi"/>
          <w:b/>
          <w:bCs/>
          <w:sz w:val="24"/>
          <w:szCs w:val="24"/>
        </w:rPr>
        <w:t>(Word count: 82)</w:t>
      </w:r>
    </w:p>
    <w:p w14:paraId="483EDF2F" w14:textId="77777777" w:rsidR="00A44C0E" w:rsidRPr="0000297C" w:rsidRDefault="00A44C0E" w:rsidP="00A44C0E">
      <w:pPr>
        <w:spacing w:after="160" w:line="278" w:lineRule="auto"/>
        <w:jc w:val="both"/>
        <w:rPr>
          <w:rFonts w:asciiTheme="minorHAnsi" w:hAnsiTheme="minorHAnsi" w:cstheme="minorHAnsi"/>
          <w:sz w:val="24"/>
          <w:szCs w:val="24"/>
        </w:rPr>
      </w:pPr>
      <w:r w:rsidRPr="0000297C">
        <w:rPr>
          <w:rFonts w:asciiTheme="minorHAnsi" w:hAnsiTheme="minorHAnsi" w:cstheme="minorHAnsi"/>
          <w:sz w:val="24"/>
          <w:szCs w:val="24"/>
        </w:rPr>
        <w:t xml:space="preserve">Focusing on that, we should see vehicles as an enabling factor for offenders committing crime. Whilst “denying criminals the use of our roads” has been a prevalent message for years, it doesn’t factor in proactive policing beyond road traffic laws (National Police Chiefs’ Council, 2020). While there may be pool vehicles—vehicles used by groups of criminals who buy a car with cash and do not register the new keeper details, as a way of moving around the road networks with relative anonymity—picked up if they have no insurance markers or at least VEL (tax) markers, that campaign can be greatly improved by the correct use of ANPR as a proactive tool with clear operations and projects. One of these projects is Operation Tutelage, which uses ANPR cameras to capture the number plates of uninsured drivers across all forces in England and Wales (Home Office, 2022). To achieve this, there is a weekly update of all vehicles with no insurance which have activated ANPR cameras within a force area. These registrations are then sent to a set team who send letters out on behalf of the forces stating that their vehicle has been seen in that force area on the time and date. If they are seen again, their vehicle will be seized. So far, 95% of those letters sent out have resulted in the vehicle being insured in the following month. Meaning that the remaining 5% are more likely to be deliberately remaining uninsured or have incorrect registered keeper details. Once the vehicles have hit again, they have an Operation Tutelage marker added to their VRM, allowing police officers to act with the knowledge that the marker, and the intelligence behind it, have </w:t>
      </w:r>
      <w:r w:rsidRPr="0000297C">
        <w:rPr>
          <w:rFonts w:asciiTheme="minorHAnsi" w:hAnsiTheme="minorHAnsi" w:cstheme="minorHAnsi"/>
          <w:sz w:val="24"/>
          <w:szCs w:val="24"/>
        </w:rPr>
        <w:lastRenderedPageBreak/>
        <w:t xml:space="preserve">been filtered correctly. This is just one of multiple ways that ANPR can be used proactively. There are lots of regional teams that have collaborated to use ANPR to proactively prevent crime. One of these has centred around the use of cloned plates, where a legitimate vehicle has its number plate either stolen or replicated and placed on a vehicle matching the make, model, and colour. Even ANPR cameras and PNC checks might not detect this. If that vehicle is then used in a crime, the enquiries are sent to the force where the registered keeper lives, who must account for where they have been. This is again where ANPR can help, by using analytics and establishing a way of identifying cloned plates. This has been done by the West Midlands Regional Police Forces, who have route-mapped all ANPR cameras, their journey times between them, and their expected travel times. For example, Newcastle to Brighton is an approximate six-hour drive, but if a vehicle pings an ANPR camera in Newcastle and then in Brighton 30 minutes later, this is classed as an impossible journey. This allows the force where the registered keeper lives to notify them that their vehicle is cloned and for a marker to be placed on PNC to reflect this and a sensible course of action. The secondary benefit to mapping the journeys is that the police are now aware of improbable journeys too. These are journeys like Newport to Cardiff, which should take 20 minutes. If done in 10, it’s not impossible but improbable. Meaning that the likelihood of someone completing this would mean they were speeding. This allows Roads Policing Units to be given the details of where these journeys are taking place and, if habitual, they can use intelligence-led patrolling to intercept (Home Office, 2018; College of Policing, 2019). </w:t>
      </w:r>
      <w:r w:rsidRPr="0000297C">
        <w:rPr>
          <w:rFonts w:asciiTheme="minorHAnsi" w:hAnsiTheme="minorHAnsi" w:cstheme="minorHAnsi"/>
          <w:b/>
          <w:bCs/>
          <w:sz w:val="24"/>
          <w:szCs w:val="24"/>
        </w:rPr>
        <w:t>(Word count: 606)</w:t>
      </w:r>
    </w:p>
    <w:p w14:paraId="2F04DAE1" w14:textId="49B1FA47" w:rsidR="00A44C0E" w:rsidRPr="00A44C0E" w:rsidRDefault="00A44C0E" w:rsidP="00A44C0E">
      <w:pPr>
        <w:jc w:val="both"/>
        <w:rPr>
          <w:rFonts w:asciiTheme="minorHAnsi" w:hAnsiTheme="minorHAnsi" w:cstheme="minorHAnsi"/>
          <w:sz w:val="24"/>
          <w:szCs w:val="24"/>
        </w:rPr>
      </w:pPr>
      <w:r w:rsidRPr="00A44C0E">
        <w:rPr>
          <w:rFonts w:asciiTheme="minorHAnsi" w:hAnsiTheme="minorHAnsi" w:cstheme="minorHAnsi"/>
          <w:sz w:val="24"/>
          <w:szCs w:val="24"/>
        </w:rPr>
        <w:br/>
        <w:t xml:space="preserve">Another integration for using ANPR in a more targeted approach is by establishing suspicious journeys. Work carried out by the North West ROCU (Regional Organised Crime Unit) used Python to create an algorithm that identified vehicles carrying out suspicious journeys. These mainly consisted of people traveling from Liverpool to Surrey and back without stopping. The thought process behind this being that unless you were taking someone to an airport, or working as a taxi or delivery driver, it’s unlikely you would make such a trip to be in your destination for only two minutes before traveling back. A trial of this process managed to intercept both large amounts of cash (on the return journey) and drugs (on the way down if the vehicle had been highlighted previously) (North West ROCU, 2021). </w:t>
      </w:r>
      <w:r w:rsidRPr="00A44C0E">
        <w:rPr>
          <w:rFonts w:asciiTheme="minorHAnsi" w:hAnsiTheme="minorHAnsi" w:cstheme="minorHAnsi"/>
          <w:b/>
          <w:bCs/>
          <w:sz w:val="24"/>
          <w:szCs w:val="24"/>
        </w:rPr>
        <w:t>(Word count: 129)</w:t>
      </w:r>
      <w:r w:rsidRPr="00A44C0E">
        <w:rPr>
          <w:rFonts w:asciiTheme="minorHAnsi" w:hAnsiTheme="minorHAnsi" w:cstheme="minorHAnsi"/>
          <w:b/>
          <w:bCs/>
          <w:sz w:val="24"/>
          <w:szCs w:val="24"/>
        </w:rPr>
        <w:br/>
      </w:r>
    </w:p>
    <w:p w14:paraId="684DA42E" w14:textId="77777777" w:rsidR="00A44C0E" w:rsidRPr="00ED3055" w:rsidRDefault="00A44C0E" w:rsidP="00A44C0E">
      <w:pPr>
        <w:spacing w:after="160" w:line="278" w:lineRule="auto"/>
        <w:jc w:val="both"/>
        <w:rPr>
          <w:rFonts w:asciiTheme="minorHAnsi" w:hAnsiTheme="minorHAnsi" w:cstheme="minorHAnsi"/>
          <w:sz w:val="24"/>
          <w:szCs w:val="24"/>
        </w:rPr>
      </w:pPr>
      <w:r w:rsidRPr="00ED3055">
        <w:rPr>
          <w:rFonts w:asciiTheme="minorHAnsi" w:hAnsiTheme="minorHAnsi" w:cstheme="minorHAnsi"/>
          <w:sz w:val="24"/>
          <w:szCs w:val="24"/>
        </w:rPr>
        <w:t xml:space="preserve">These are all effective initiatives to combat various elements of criminality by utilising the deeper capabilities of ANPR. The benefit of ANPR cameras is that they work 24/7, unlike human counterparts. They also must meet a minimum standard, set out in NASPLE, of a 98% positive read on static cameras (Home Office, 2020). </w:t>
      </w:r>
      <w:r w:rsidRPr="00ED3055">
        <w:rPr>
          <w:rFonts w:asciiTheme="minorHAnsi" w:hAnsiTheme="minorHAnsi" w:cstheme="minorHAnsi"/>
          <w:b/>
          <w:bCs/>
          <w:sz w:val="24"/>
          <w:szCs w:val="24"/>
        </w:rPr>
        <w:t>(Word count: 69)</w:t>
      </w:r>
    </w:p>
    <w:p w14:paraId="05A06CA1" w14:textId="77777777" w:rsidR="00A44C0E" w:rsidRPr="00ED3055" w:rsidRDefault="00A44C0E" w:rsidP="00A44C0E">
      <w:pPr>
        <w:spacing w:after="160" w:line="278" w:lineRule="auto"/>
        <w:jc w:val="both"/>
        <w:rPr>
          <w:rFonts w:asciiTheme="minorHAnsi" w:hAnsiTheme="minorHAnsi" w:cstheme="minorHAnsi"/>
          <w:sz w:val="24"/>
          <w:szCs w:val="24"/>
        </w:rPr>
      </w:pPr>
      <w:r w:rsidRPr="00ED3055">
        <w:rPr>
          <w:rFonts w:asciiTheme="minorHAnsi" w:hAnsiTheme="minorHAnsi" w:cstheme="minorHAnsi"/>
          <w:sz w:val="24"/>
          <w:szCs w:val="24"/>
        </w:rPr>
        <w:t xml:space="preserve">As mentioned above, ANPR can be used proactively, reactively, and investigatively. There is also a significant benefit in the evidential impact that ANPR can have on cases. Although ANPR cameras are openly in public areas, their exact location is classed as “sensitive” because they provide low-level surveillance, and their placement is key to their effectiveness (Surveillance Camera Commissioner, 2021). </w:t>
      </w:r>
      <w:r w:rsidRPr="00ED3055">
        <w:rPr>
          <w:rFonts w:asciiTheme="minorHAnsi" w:hAnsiTheme="minorHAnsi" w:cstheme="minorHAnsi"/>
          <w:b/>
          <w:bCs/>
          <w:sz w:val="24"/>
          <w:szCs w:val="24"/>
        </w:rPr>
        <w:t>(Word count: 60)</w:t>
      </w:r>
    </w:p>
    <w:p w14:paraId="76740FE3" w14:textId="77777777" w:rsidR="00A44C0E" w:rsidRPr="00ED3055" w:rsidRDefault="00A44C0E" w:rsidP="00A44C0E">
      <w:pPr>
        <w:spacing w:after="160" w:line="278" w:lineRule="auto"/>
        <w:jc w:val="both"/>
        <w:rPr>
          <w:rFonts w:asciiTheme="minorHAnsi" w:hAnsiTheme="minorHAnsi" w:cstheme="minorHAnsi"/>
          <w:sz w:val="24"/>
          <w:szCs w:val="24"/>
        </w:rPr>
      </w:pPr>
      <w:r w:rsidRPr="00ED3055">
        <w:rPr>
          <w:rFonts w:asciiTheme="minorHAnsi" w:hAnsiTheme="minorHAnsi" w:cstheme="minorHAnsi"/>
          <w:sz w:val="24"/>
          <w:szCs w:val="24"/>
        </w:rPr>
        <w:lastRenderedPageBreak/>
        <w:t xml:space="preserve">When used in court as part of an evidential bundle, the analyst should not disclose the exact location of the ANPR camera. Instead, a generic area is indicated in a non-centralised location of the camera to show where the vehicle may have been captured. This preserves the integrity of the infrastructure whilst evidencing a vehicle being in an area at the time of an offence. The exception is when a vehicle has ANPR on board; as this is mobile and not static, its exact location can be disclosed in court (College of Policing, 2019). </w:t>
      </w:r>
      <w:r w:rsidRPr="00ED3055">
        <w:rPr>
          <w:rFonts w:asciiTheme="minorHAnsi" w:hAnsiTheme="minorHAnsi" w:cstheme="minorHAnsi"/>
          <w:b/>
          <w:bCs/>
          <w:sz w:val="24"/>
          <w:szCs w:val="24"/>
        </w:rPr>
        <w:t>(Word count: 103)</w:t>
      </w:r>
    </w:p>
    <w:p w14:paraId="5D926888" w14:textId="77777777" w:rsidR="00A44C0E" w:rsidRPr="00ED3055" w:rsidRDefault="00A44C0E" w:rsidP="00A44C0E">
      <w:pPr>
        <w:spacing w:after="160" w:line="278" w:lineRule="auto"/>
        <w:jc w:val="both"/>
        <w:rPr>
          <w:rFonts w:asciiTheme="minorHAnsi" w:hAnsiTheme="minorHAnsi" w:cstheme="minorHAnsi"/>
          <w:sz w:val="24"/>
          <w:szCs w:val="24"/>
        </w:rPr>
      </w:pPr>
      <w:r w:rsidRPr="00ED3055">
        <w:rPr>
          <w:rFonts w:asciiTheme="minorHAnsi" w:hAnsiTheme="minorHAnsi" w:cstheme="minorHAnsi"/>
          <w:sz w:val="24"/>
          <w:szCs w:val="24"/>
        </w:rPr>
        <w:t xml:space="preserve">When ANPR is used in this way and combined with other tools in the policing toolkit, such as cell site analysis, it quickly paints a picture using data and irrefutable evidence of location, often including overview images of the driver and occupants (Ratcliffe, 2008). </w:t>
      </w:r>
      <w:r w:rsidRPr="00ED3055">
        <w:rPr>
          <w:rFonts w:asciiTheme="minorHAnsi" w:hAnsiTheme="minorHAnsi" w:cstheme="minorHAnsi"/>
          <w:b/>
          <w:bCs/>
          <w:sz w:val="24"/>
          <w:szCs w:val="24"/>
        </w:rPr>
        <w:t>(Word count: 43)</w:t>
      </w:r>
    </w:p>
    <w:p w14:paraId="54C106FE" w14:textId="77777777" w:rsidR="00A44C0E" w:rsidRPr="00ED3055" w:rsidRDefault="00A44C0E" w:rsidP="00A44C0E">
      <w:pPr>
        <w:spacing w:after="160" w:line="278" w:lineRule="auto"/>
        <w:jc w:val="both"/>
        <w:rPr>
          <w:rFonts w:asciiTheme="minorHAnsi" w:hAnsiTheme="minorHAnsi" w:cstheme="minorHAnsi"/>
          <w:sz w:val="24"/>
          <w:szCs w:val="24"/>
        </w:rPr>
      </w:pPr>
      <w:r w:rsidRPr="00ED3055">
        <w:rPr>
          <w:rFonts w:asciiTheme="minorHAnsi" w:hAnsiTheme="minorHAnsi" w:cstheme="minorHAnsi"/>
          <w:sz w:val="24"/>
          <w:szCs w:val="24"/>
        </w:rPr>
        <w:t xml:space="preserve">Whilst information, intelligence, and the use of ANPR in these initiatives are effective, it is important to remember that there will always be legally mandated gaps in every ANPR infrastructure that criminals can exploit. For example, a stolen vehicle in a relatively rural area had no nearby CCTV or witnesses. Markers were placed on the vehicle’s VRM relating to theft while enquiries were completed. After exhausting other avenues, a long ANPR trawl was completed from the date the victim last confirmed driving the vehicle. Hits were recorded, revealing that the offender had likely taken the vehicle through a known rural blind spot with no coverage. With insufficient intelligence on the potential offender, the case was marked as no further action until further evidence emerged. Thus, while ANPR is proven effective, legal limitations and gaps in coverage can mean that evidence may be unavailable, and without sufficient intelligence, investigative action can be limited (Home Office, 2018; College of Policing, 2019). </w:t>
      </w:r>
      <w:r w:rsidRPr="00ED3055">
        <w:rPr>
          <w:rFonts w:asciiTheme="minorHAnsi" w:hAnsiTheme="minorHAnsi" w:cstheme="minorHAnsi"/>
          <w:b/>
          <w:bCs/>
          <w:sz w:val="24"/>
          <w:szCs w:val="24"/>
        </w:rPr>
        <w:t>(Word count: 259)</w:t>
      </w:r>
    </w:p>
    <w:p w14:paraId="0C361319" w14:textId="7521211A" w:rsidR="00A44C0E" w:rsidRPr="00ED3055" w:rsidRDefault="00A44C0E" w:rsidP="00A44C0E">
      <w:pPr>
        <w:spacing w:after="160" w:line="278" w:lineRule="auto"/>
        <w:jc w:val="both"/>
      </w:pPr>
      <w:r w:rsidRPr="00ED3055">
        <w:rPr>
          <w:rFonts w:asciiTheme="minorHAnsi" w:hAnsiTheme="minorHAnsi" w:cstheme="minorHAnsi"/>
          <w:sz w:val="24"/>
          <w:szCs w:val="24"/>
        </w:rPr>
        <w:t xml:space="preserve">In conclusion, as long as the ANPR infrastructure is preserved, local forces collaborate on camera placement, information and intelligence are shared, and forces continue pushing boundaries with new technology and innovative thinking, ANPR will remain at the forefront of detecting, disrupting, and deterring criminals. Additionally, all surveillance and ANPR activity must be legally permissible, technologically possible, and ethically acceptable. When these principles are followed and intelligence systems are used effectively, policing is significantly aided in evidencing, deterring, and detecting crime (National Police Chiefs’ Council, 2020; Surveillance Camera Commissioner, 2021). </w:t>
      </w:r>
      <w:r w:rsidRPr="00ED3055">
        <w:rPr>
          <w:rFonts w:asciiTheme="minorHAnsi" w:hAnsiTheme="minorHAnsi" w:cstheme="minorHAnsi"/>
          <w:b/>
          <w:bCs/>
          <w:sz w:val="24"/>
          <w:szCs w:val="24"/>
        </w:rPr>
        <w:t>(Word count: 105)</w:t>
      </w:r>
      <w:r w:rsidRPr="00A44C0E">
        <w:rPr>
          <w:rFonts w:asciiTheme="minorHAnsi" w:hAnsiTheme="minorHAnsi" w:cstheme="minorHAnsi"/>
          <w:b/>
          <w:bCs/>
          <w:sz w:val="24"/>
          <w:szCs w:val="24"/>
        </w:rPr>
        <w:br/>
      </w:r>
      <w:r w:rsidRPr="00A44C0E">
        <w:rPr>
          <w:rFonts w:asciiTheme="minorHAnsi" w:hAnsiTheme="minorHAnsi" w:cstheme="minorHAnsi"/>
          <w:b/>
          <w:bCs/>
          <w:sz w:val="24"/>
          <w:szCs w:val="24"/>
        </w:rPr>
        <w:br/>
      </w:r>
      <w:r>
        <w:rPr>
          <w:b/>
          <w:bCs/>
        </w:rPr>
        <w:br/>
        <w:t>Total word count: 1817</w:t>
      </w:r>
      <w:r>
        <w:rPr>
          <w:b/>
          <w:bCs/>
        </w:rPr>
        <w:br/>
      </w:r>
      <w:r>
        <w:rPr>
          <w:b/>
          <w:bCs/>
        </w:rPr>
        <w:br/>
      </w:r>
    </w:p>
    <w:p w14:paraId="11874AE0" w14:textId="77777777" w:rsidR="00A44C0E" w:rsidRPr="00ED3055" w:rsidRDefault="00A44C0E" w:rsidP="00A44C0E">
      <w:pPr>
        <w:spacing w:after="160" w:line="278" w:lineRule="auto"/>
      </w:pPr>
      <w:r w:rsidRPr="00ED3055">
        <w:t xml:space="preserve">College of Policing (2018) </w:t>
      </w:r>
      <w:r w:rsidRPr="00ED3055">
        <w:rPr>
          <w:i/>
          <w:iCs/>
        </w:rPr>
        <w:t>National ANPR Service: Overview and Standards</w:t>
      </w:r>
      <w:r w:rsidRPr="00ED3055">
        <w:t>. London: College of Policing.</w:t>
      </w:r>
    </w:p>
    <w:p w14:paraId="0E502DF9" w14:textId="77777777" w:rsidR="00A44C0E" w:rsidRPr="00ED3055" w:rsidRDefault="00A44C0E" w:rsidP="00A44C0E">
      <w:pPr>
        <w:spacing w:after="160" w:line="278" w:lineRule="auto"/>
      </w:pPr>
      <w:r w:rsidRPr="00ED3055">
        <w:t xml:space="preserve">College of Policing (2019) </w:t>
      </w:r>
      <w:r w:rsidRPr="00ED3055">
        <w:rPr>
          <w:i/>
          <w:iCs/>
        </w:rPr>
        <w:t>ANPR Guidance for Policing Operations</w:t>
      </w:r>
      <w:r w:rsidRPr="00ED3055">
        <w:t>. London: College of Policing.</w:t>
      </w:r>
    </w:p>
    <w:p w14:paraId="35005E95" w14:textId="77777777" w:rsidR="00A44C0E" w:rsidRPr="00ED3055" w:rsidRDefault="00A44C0E" w:rsidP="00A44C0E">
      <w:pPr>
        <w:spacing w:after="160" w:line="278" w:lineRule="auto"/>
      </w:pPr>
      <w:r w:rsidRPr="00ED3055">
        <w:t xml:space="preserve">Council of Europe (1950) </w:t>
      </w:r>
      <w:r w:rsidRPr="00ED3055">
        <w:rPr>
          <w:i/>
          <w:iCs/>
        </w:rPr>
        <w:t>European Convention on Human Rights</w:t>
      </w:r>
      <w:r w:rsidRPr="00ED3055">
        <w:t>. Strasbourg: Council of Europe.</w:t>
      </w:r>
    </w:p>
    <w:p w14:paraId="6A394BA6" w14:textId="77777777" w:rsidR="00A44C0E" w:rsidRPr="00ED3055" w:rsidRDefault="00A44C0E" w:rsidP="00A44C0E">
      <w:pPr>
        <w:spacing w:after="160" w:line="278" w:lineRule="auto"/>
      </w:pPr>
      <w:r w:rsidRPr="00ED3055">
        <w:lastRenderedPageBreak/>
        <w:t xml:space="preserve">Home Office (2018) </w:t>
      </w:r>
      <w:r w:rsidRPr="00ED3055">
        <w:rPr>
          <w:i/>
          <w:iCs/>
        </w:rPr>
        <w:t>Management of Police Information Code of Practice</w:t>
      </w:r>
      <w:r w:rsidRPr="00ED3055">
        <w:t>. London: Home Office.</w:t>
      </w:r>
    </w:p>
    <w:p w14:paraId="3318111F" w14:textId="77777777" w:rsidR="00A44C0E" w:rsidRPr="00ED3055" w:rsidRDefault="00A44C0E" w:rsidP="00A44C0E">
      <w:pPr>
        <w:spacing w:after="160" w:line="278" w:lineRule="auto"/>
      </w:pPr>
      <w:r w:rsidRPr="00ED3055">
        <w:t xml:space="preserve">Home Office (2020) </w:t>
      </w:r>
      <w:r w:rsidRPr="00ED3055">
        <w:rPr>
          <w:i/>
          <w:iCs/>
        </w:rPr>
        <w:t>National ANPR Standards for Policing and Law Enforcement (NASPLE)</w:t>
      </w:r>
      <w:r w:rsidRPr="00ED3055">
        <w:t>. London: Home Office.</w:t>
      </w:r>
    </w:p>
    <w:p w14:paraId="3D55A8BB" w14:textId="77777777" w:rsidR="00A44C0E" w:rsidRPr="00ED3055" w:rsidRDefault="00A44C0E" w:rsidP="00A44C0E">
      <w:pPr>
        <w:spacing w:after="160" w:line="278" w:lineRule="auto"/>
      </w:pPr>
      <w:r w:rsidRPr="00ED3055">
        <w:t xml:space="preserve">Home Office (2022) </w:t>
      </w:r>
      <w:r w:rsidRPr="00ED3055">
        <w:rPr>
          <w:i/>
          <w:iCs/>
        </w:rPr>
        <w:t>Operation Tutelage: ANPR and Uninsured Vehicles</w:t>
      </w:r>
      <w:r w:rsidRPr="00ED3055">
        <w:t>. London: Home Office.</w:t>
      </w:r>
    </w:p>
    <w:p w14:paraId="1A36D8F0" w14:textId="77777777" w:rsidR="00A44C0E" w:rsidRPr="00ED3055" w:rsidRDefault="00A44C0E" w:rsidP="00A44C0E">
      <w:pPr>
        <w:spacing w:after="160" w:line="278" w:lineRule="auto"/>
      </w:pPr>
      <w:r w:rsidRPr="00ED3055">
        <w:t xml:space="preserve">National Police Chiefs’ Council (2020) </w:t>
      </w:r>
      <w:r w:rsidRPr="00ED3055">
        <w:rPr>
          <w:i/>
          <w:iCs/>
        </w:rPr>
        <w:t>Proactive Use of ANPR and Road Safety Initiatives</w:t>
      </w:r>
      <w:r w:rsidRPr="00ED3055">
        <w:t>. London: NPCC.</w:t>
      </w:r>
    </w:p>
    <w:p w14:paraId="452D4235" w14:textId="77777777" w:rsidR="00A44C0E" w:rsidRPr="00ED3055" w:rsidRDefault="00A44C0E" w:rsidP="00A44C0E">
      <w:pPr>
        <w:spacing w:after="160" w:line="278" w:lineRule="auto"/>
      </w:pPr>
      <w:r w:rsidRPr="00ED3055">
        <w:t xml:space="preserve">North West ROCU (2021) </w:t>
      </w:r>
      <w:r w:rsidRPr="00ED3055">
        <w:rPr>
          <w:i/>
          <w:iCs/>
        </w:rPr>
        <w:t>ANPR Suspicious Journeys Initiative Report</w:t>
      </w:r>
      <w:r w:rsidRPr="00ED3055">
        <w:t>. Manchester: North West ROCU.</w:t>
      </w:r>
    </w:p>
    <w:p w14:paraId="7451CEFB" w14:textId="77777777" w:rsidR="00A44C0E" w:rsidRPr="00ED3055" w:rsidRDefault="00A44C0E" w:rsidP="00A44C0E">
      <w:pPr>
        <w:spacing w:after="160" w:line="278" w:lineRule="auto"/>
      </w:pPr>
      <w:r w:rsidRPr="00ED3055">
        <w:t xml:space="preserve">Ratcliffe, J.H. (2008) </w:t>
      </w:r>
      <w:r w:rsidRPr="00ED3055">
        <w:rPr>
          <w:i/>
          <w:iCs/>
        </w:rPr>
        <w:t>Intelligence-Led Policing</w:t>
      </w:r>
      <w:r w:rsidRPr="00ED3055">
        <w:t>. 2nd edn. Cullompton: Willan Publishing.</w:t>
      </w:r>
    </w:p>
    <w:p w14:paraId="017E6A53" w14:textId="77777777" w:rsidR="00A44C0E" w:rsidRPr="00ED3055" w:rsidRDefault="00A44C0E" w:rsidP="00A44C0E">
      <w:pPr>
        <w:spacing w:after="160" w:line="278" w:lineRule="auto"/>
      </w:pPr>
      <w:r w:rsidRPr="00ED3055">
        <w:t xml:space="preserve">Surveillance Camera Commissioner (2021) </w:t>
      </w:r>
      <w:r w:rsidRPr="00ED3055">
        <w:rPr>
          <w:i/>
          <w:iCs/>
        </w:rPr>
        <w:t>Guidance on the Use of ANPR Cameras</w:t>
      </w:r>
      <w:r w:rsidRPr="00ED3055">
        <w:t>. London: Surveillance Camera Commissioner.</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6D4386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76B4E">
              <w:rPr>
                <w:sz w:val="22"/>
                <w:szCs w:val="22"/>
                <w:lang w:eastAsia="zh-TW"/>
              </w:rPr>
              <w:br/>
            </w:r>
            <w:r w:rsidR="00B76B4E">
              <w:rPr>
                <w:sz w:val="24"/>
                <w:szCs w:val="24"/>
                <w:lang w:eastAsia="zh-TW"/>
              </w:rPr>
              <w:br/>
              <w:t>Policy and procedure</w:t>
            </w:r>
            <w:r w:rsidR="009F2292">
              <w:rPr>
                <w:sz w:val="24"/>
                <w:szCs w:val="24"/>
                <w:lang w:eastAsia="zh-TW"/>
              </w:rPr>
              <w:t xml:space="preserve"> for multi-agency incidents</w:t>
            </w:r>
          </w:p>
          <w:p w14:paraId="6FB7EF86" w14:textId="32FE18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3E7703A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lastRenderedPageBreak/>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t xml:space="preserve">Roads Policing </w:t>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p>
        </w:tc>
        <w:tc>
          <w:tcPr>
            <w:tcW w:w="705" w:type="dxa"/>
            <w:tcBorders>
              <w:top w:val="nil"/>
              <w:left w:val="nil"/>
              <w:bottom w:val="single" w:sz="6" w:space="0" w:color="auto"/>
              <w:right w:val="single" w:sz="6" w:space="0" w:color="auto"/>
            </w:tcBorders>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2A760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w:t>
            </w:r>
            <w:r w:rsidR="00D13799">
              <w:rPr>
                <w:sz w:val="22"/>
                <w:szCs w:val="22"/>
                <w:lang w:eastAsia="zh-TW"/>
              </w:rPr>
              <w:br/>
            </w:r>
            <w:r w:rsidR="00D13799">
              <w:rPr>
                <w:sz w:val="22"/>
                <w:szCs w:val="22"/>
                <w:lang w:eastAsia="zh-TW"/>
              </w:rPr>
              <w:br/>
            </w:r>
            <w:r w:rsidR="00D13799">
              <w:rPr>
                <w:sz w:val="22"/>
                <w:szCs w:val="22"/>
                <w:lang w:eastAsia="zh-TW"/>
              </w:rPr>
              <w:br/>
            </w:r>
            <w:r w:rsidRPr="00FE5420">
              <w:rPr>
                <w:sz w:val="22"/>
                <w:szCs w:val="22"/>
                <w:lang w:eastAsia="zh-TW"/>
              </w:rPr>
              <w:t> </w:t>
            </w:r>
          </w:p>
        </w:tc>
        <w:tc>
          <w:tcPr>
            <w:tcW w:w="705" w:type="dxa"/>
            <w:tcBorders>
              <w:top w:val="nil"/>
              <w:left w:val="nil"/>
              <w:bottom w:val="single" w:sz="6" w:space="0" w:color="auto"/>
              <w:right w:val="single" w:sz="6" w:space="0" w:color="auto"/>
            </w:tcBorders>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552BC1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lastRenderedPageBreak/>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r>
            <w:r w:rsidR="009F2292">
              <w:rPr>
                <w:sz w:val="24"/>
                <w:szCs w:val="24"/>
                <w:lang w:eastAsia="zh-TW"/>
              </w:rPr>
              <w:br/>
              <w:t xml:space="preserve"> 7</w:t>
            </w:r>
          </w:p>
        </w:tc>
        <w:tc>
          <w:tcPr>
            <w:tcW w:w="705" w:type="dxa"/>
            <w:tcBorders>
              <w:top w:val="nil"/>
              <w:left w:val="nil"/>
              <w:bottom w:val="single" w:sz="6" w:space="0" w:color="auto"/>
              <w:right w:val="single" w:sz="6" w:space="0" w:color="auto"/>
            </w:tcBorders>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5378880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B76B4E">
              <w:rPr>
                <w:sz w:val="22"/>
                <w:szCs w:val="22"/>
                <w:lang w:eastAsia="zh-TW"/>
              </w:rPr>
              <w:br/>
            </w:r>
            <w:r w:rsidR="00B76B4E">
              <w:rPr>
                <w:sz w:val="22"/>
                <w:szCs w:val="22"/>
                <w:lang w:eastAsia="zh-TW"/>
              </w:rPr>
              <w:br/>
            </w:r>
            <w:r w:rsidR="00B76B4E">
              <w:rPr>
                <w:sz w:val="22"/>
                <w:szCs w:val="22"/>
                <w:lang w:eastAsia="zh-TW"/>
              </w:rPr>
              <w:br/>
            </w:r>
            <w:r w:rsidR="00B76B4E">
              <w:rPr>
                <w:sz w:val="22"/>
                <w:szCs w:val="22"/>
                <w:lang w:eastAsia="zh-TW"/>
              </w:rPr>
              <w:br/>
            </w:r>
            <w:r w:rsidR="00B76B4E">
              <w:rPr>
                <w:sz w:val="22"/>
                <w:szCs w:val="22"/>
                <w:lang w:eastAsia="zh-TW"/>
              </w:rPr>
              <w:br/>
              <w:t>10</w:t>
            </w:r>
            <w:r w:rsidRPr="00FE5420">
              <w:rPr>
                <w:sz w:val="22"/>
                <w:szCs w:val="22"/>
                <w:lang w:eastAsia="zh-TW"/>
              </w:rPr>
              <w:t> </w:t>
            </w:r>
          </w:p>
        </w:tc>
        <w:tc>
          <w:tcPr>
            <w:tcW w:w="705" w:type="dxa"/>
            <w:tcBorders>
              <w:top w:val="nil"/>
              <w:left w:val="nil"/>
              <w:bottom w:val="single" w:sz="6" w:space="0" w:color="auto"/>
              <w:right w:val="single" w:sz="6" w:space="0" w:color="auto"/>
            </w:tcBorders>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5BC0CEE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lastRenderedPageBreak/>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t xml:space="preserve">  </w:t>
            </w:r>
          </w:p>
        </w:tc>
        <w:tc>
          <w:tcPr>
            <w:tcW w:w="705" w:type="dxa"/>
            <w:tcBorders>
              <w:top w:val="nil"/>
              <w:left w:val="nil"/>
              <w:bottom w:val="single" w:sz="6" w:space="0" w:color="auto"/>
              <w:right w:val="single" w:sz="6" w:space="0" w:color="auto"/>
            </w:tcBorders>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3E37D2F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r w:rsidR="009F2292">
              <w:rPr>
                <w:sz w:val="22"/>
                <w:szCs w:val="22"/>
                <w:lang w:eastAsia="zh-TW"/>
              </w:rPr>
              <w:br/>
            </w:r>
          </w:p>
        </w:tc>
        <w:tc>
          <w:tcPr>
            <w:tcW w:w="705" w:type="dxa"/>
            <w:tcBorders>
              <w:top w:val="nil"/>
              <w:left w:val="nil"/>
              <w:bottom w:val="single" w:sz="6" w:space="0" w:color="auto"/>
              <w:right w:val="single" w:sz="6" w:space="0" w:color="auto"/>
            </w:tcBorders>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1FA609E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B76B4E">
              <w:rPr>
                <w:sz w:val="22"/>
                <w:szCs w:val="22"/>
                <w:lang w:eastAsia="zh-TW"/>
              </w:rPr>
              <w:br/>
            </w:r>
            <w:r w:rsidR="00B76B4E">
              <w:rPr>
                <w:sz w:val="22"/>
                <w:szCs w:val="22"/>
                <w:lang w:eastAsia="zh-TW"/>
              </w:rPr>
              <w:br/>
            </w:r>
            <w:r w:rsidR="00B76B4E">
              <w:rPr>
                <w:sz w:val="22"/>
                <w:szCs w:val="22"/>
                <w:lang w:eastAsia="zh-TW"/>
              </w:rPr>
              <w:br/>
            </w:r>
            <w:r w:rsidR="00B76B4E">
              <w:rPr>
                <w:sz w:val="22"/>
                <w:szCs w:val="22"/>
                <w:lang w:eastAsia="zh-TW"/>
              </w:rPr>
              <w:br/>
            </w:r>
            <w:r w:rsidR="00B76B4E">
              <w:rPr>
                <w:sz w:val="22"/>
                <w:szCs w:val="22"/>
                <w:lang w:eastAsia="zh-TW"/>
              </w:rPr>
              <w:br/>
              <w:t xml:space="preserve"> 9</w:t>
            </w:r>
            <w:r w:rsidRPr="00FE5420">
              <w:rPr>
                <w:sz w:val="22"/>
                <w:szCs w:val="22"/>
                <w:lang w:eastAsia="zh-TW"/>
              </w:rPr>
              <w:t> </w:t>
            </w:r>
          </w:p>
        </w:tc>
        <w:tc>
          <w:tcPr>
            <w:tcW w:w="2520" w:type="dxa"/>
            <w:tcBorders>
              <w:top w:val="nil"/>
              <w:left w:val="nil"/>
              <w:bottom w:val="single" w:sz="6" w:space="0" w:color="auto"/>
              <w:right w:val="single" w:sz="6" w:space="0" w:color="auto"/>
            </w:tcBorders>
            <w:hideMark/>
          </w:tcPr>
          <w:p w14:paraId="0F440799" w14:textId="77777777" w:rsidR="009F2292"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76B4E">
              <w:rPr>
                <w:sz w:val="22"/>
                <w:szCs w:val="22"/>
                <w:lang w:eastAsia="zh-TW"/>
              </w:rPr>
              <w:br/>
            </w:r>
            <w:r w:rsidR="00B76B4E">
              <w:rPr>
                <w:sz w:val="24"/>
                <w:szCs w:val="24"/>
                <w:lang w:eastAsia="zh-TW"/>
              </w:rPr>
              <w:br/>
            </w:r>
            <w:r w:rsidR="00B76B4E">
              <w:rPr>
                <w:sz w:val="24"/>
                <w:szCs w:val="24"/>
                <w:lang w:eastAsia="zh-TW"/>
              </w:rPr>
              <w:br/>
            </w:r>
            <w:r w:rsidR="00B76B4E">
              <w:rPr>
                <w:sz w:val="24"/>
                <w:szCs w:val="24"/>
                <w:lang w:eastAsia="zh-TW"/>
              </w:rPr>
              <w:br/>
            </w:r>
            <w:r w:rsidR="00B76B4E">
              <w:rPr>
                <w:sz w:val="24"/>
                <w:szCs w:val="24"/>
                <w:lang w:eastAsia="zh-TW"/>
              </w:rPr>
              <w:br/>
              <w:t xml:space="preserve">  </w:t>
            </w:r>
            <w:r w:rsidR="009F2292">
              <w:rPr>
                <w:sz w:val="24"/>
                <w:szCs w:val="24"/>
                <w:lang w:eastAsia="zh-TW"/>
              </w:rPr>
              <w:t xml:space="preserve">Gather more knowledge on multi-agency working policies in relation to public protection referrals for use as safeguarding materials and evidence for future incidents involving domestic and child elements – Speak with supervision about available training and </w:t>
            </w:r>
            <w:r w:rsidR="009F2292">
              <w:rPr>
                <w:sz w:val="24"/>
                <w:szCs w:val="24"/>
                <w:lang w:eastAsia="zh-TW"/>
              </w:rPr>
              <w:lastRenderedPageBreak/>
              <w:t>plan to attend said training.</w:t>
            </w:r>
            <w:r w:rsidR="00B76B4E">
              <w:rPr>
                <w:sz w:val="24"/>
                <w:szCs w:val="24"/>
                <w:lang w:eastAsia="zh-TW"/>
              </w:rPr>
              <w:br/>
            </w:r>
            <w:r w:rsidR="00B76B4E">
              <w:rPr>
                <w:sz w:val="24"/>
                <w:szCs w:val="24"/>
                <w:lang w:eastAsia="zh-TW"/>
              </w:rPr>
              <w:br/>
            </w:r>
            <w:r w:rsidR="009F2292">
              <w:rPr>
                <w:rFonts w:ascii="Times New Roman" w:hAnsi="Times New Roman" w:cs="Times New Roman"/>
                <w:sz w:val="24"/>
                <w:szCs w:val="24"/>
                <w:lang w:eastAsia="zh-TW"/>
              </w:rPr>
              <w:br/>
            </w:r>
            <w:r w:rsidR="009F2292">
              <w:rPr>
                <w:rFonts w:ascii="Times New Roman" w:hAnsi="Times New Roman" w:cs="Times New Roman"/>
                <w:sz w:val="24"/>
                <w:szCs w:val="24"/>
                <w:lang w:eastAsia="zh-TW"/>
              </w:rPr>
              <w:br/>
            </w:r>
          </w:p>
          <w:p w14:paraId="03BEDED5" w14:textId="04AD7C99" w:rsidR="009F2292" w:rsidRDefault="009F2292" w:rsidP="009F2292">
            <w:pPr>
              <w:pStyle w:val="NormalWeb"/>
            </w:pPr>
            <w:r>
              <w:rPr>
                <w:rFonts w:ascii="Arial" w:hAnsi="Arial" w:cs="Arial"/>
                <w:color w:val="000000"/>
                <w:sz w:val="22"/>
                <w:szCs w:val="22"/>
              </w:rPr>
              <w:t>Build deeper understanding of RTA 1988, Construction &amp; Use Regs, insurance/licensing law, tachographs, driver hours. Study College of Policing APP on Roads Policing. Attend ridalongs with Roads Policing officers</w:t>
            </w:r>
            <w:r w:rsidR="00C20E99">
              <w:rPr>
                <w:rFonts w:ascii="Arial" w:hAnsi="Arial" w:cs="Arial"/>
                <w:color w:val="000000"/>
                <w:sz w:val="22"/>
                <w:szCs w:val="22"/>
              </w:rPr>
              <w:t xml:space="preserve">. </w:t>
            </w:r>
            <w:r>
              <w:t>Pra</w:t>
            </w:r>
            <w:r w:rsidR="00C20E99">
              <w:t>ctice issuing TORs</w:t>
            </w:r>
          </w:p>
          <w:p w14:paraId="29A2A56B" w14:textId="0492D00C"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59DD8B4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E4465E">
              <w:rPr>
                <w:b/>
                <w:bCs/>
                <w:sz w:val="22"/>
                <w:szCs w:val="22"/>
                <w:lang w:eastAsia="zh-TW"/>
              </w:rPr>
              <w:t>Victim Care</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2EBED8F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r>
            <w:r w:rsidR="002F16C0">
              <w:rPr>
                <w:b/>
                <w:bCs/>
                <w:sz w:val="22"/>
                <w:szCs w:val="22"/>
                <w:lang w:eastAsia="zh-TW"/>
              </w:rPr>
              <w:br/>
              <w:t xml:space="preserve">       </w:t>
            </w:r>
            <w:r w:rsidR="002F16C0">
              <w:rPr>
                <w:b/>
                <w:bCs/>
                <w:sz w:val="22"/>
                <w:szCs w:val="22"/>
                <w:lang w:eastAsia="zh-TW"/>
              </w:rPr>
              <w:br/>
              <w:t xml:space="preserve">  Communication</w:t>
            </w:r>
          </w:p>
        </w:tc>
        <w:tc>
          <w:tcPr>
            <w:tcW w:w="705" w:type="dxa"/>
            <w:tcBorders>
              <w:top w:val="nil"/>
              <w:left w:val="nil"/>
              <w:bottom w:val="single" w:sz="6" w:space="0" w:color="auto"/>
              <w:right w:val="single" w:sz="6" w:space="0" w:color="auto"/>
            </w:tcBorders>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310C6F3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r w:rsidR="002F16C0">
              <w:rPr>
                <w:sz w:val="22"/>
                <w:szCs w:val="22"/>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t xml:space="preserve"> 6</w:t>
            </w:r>
            <w:r w:rsidR="002F16C0">
              <w:rPr>
                <w:sz w:val="24"/>
                <w:szCs w:val="24"/>
                <w:lang w:eastAsia="zh-TW"/>
              </w:rPr>
              <w:br/>
            </w:r>
            <w:r w:rsidR="002F16C0">
              <w:rPr>
                <w:sz w:val="24"/>
                <w:szCs w:val="24"/>
                <w:lang w:eastAsia="zh-TW"/>
              </w:rPr>
              <w:br/>
            </w:r>
          </w:p>
        </w:tc>
        <w:tc>
          <w:tcPr>
            <w:tcW w:w="705" w:type="dxa"/>
            <w:tcBorders>
              <w:top w:val="nil"/>
              <w:left w:val="nil"/>
              <w:bottom w:val="single" w:sz="6" w:space="0" w:color="auto"/>
              <w:right w:val="single" w:sz="6" w:space="0" w:color="auto"/>
            </w:tcBorders>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208D16E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E4465E">
              <w:rPr>
                <w:sz w:val="22"/>
                <w:szCs w:val="22"/>
                <w:lang w:eastAsia="zh-TW"/>
              </w:rPr>
              <w:br/>
            </w:r>
            <w:r w:rsidR="00E4465E">
              <w:rPr>
                <w:sz w:val="22"/>
                <w:szCs w:val="22"/>
                <w:lang w:eastAsia="zh-TW"/>
              </w:rPr>
              <w:br/>
            </w:r>
            <w:r w:rsidR="00E4465E">
              <w:rPr>
                <w:sz w:val="22"/>
                <w:szCs w:val="22"/>
                <w:lang w:eastAsia="zh-TW"/>
              </w:rPr>
              <w:br/>
              <w:t>8</w:t>
            </w:r>
            <w:r w:rsidRPr="00FE5420">
              <w:rPr>
                <w:sz w:val="22"/>
                <w:szCs w:val="22"/>
                <w:lang w:eastAsia="zh-TW"/>
              </w:rPr>
              <w:t> </w:t>
            </w:r>
            <w:r w:rsidR="002F16C0">
              <w:rPr>
                <w:sz w:val="22"/>
                <w:szCs w:val="22"/>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p>
        </w:tc>
        <w:tc>
          <w:tcPr>
            <w:tcW w:w="705" w:type="dxa"/>
            <w:tcBorders>
              <w:top w:val="nil"/>
              <w:left w:val="nil"/>
              <w:bottom w:val="single" w:sz="6" w:space="0" w:color="auto"/>
              <w:right w:val="single" w:sz="6" w:space="0" w:color="auto"/>
            </w:tcBorders>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15099FA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w:t>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r>
            <w:r w:rsidR="002F16C0">
              <w:rPr>
                <w:sz w:val="22"/>
                <w:szCs w:val="22"/>
                <w:lang w:eastAsia="zh-TW"/>
              </w:rPr>
              <w:br/>
              <w:t>6</w:t>
            </w:r>
            <w:r w:rsidRPr="00FE5420">
              <w:rPr>
                <w:sz w:val="22"/>
                <w:szCs w:val="22"/>
                <w:lang w:eastAsia="zh-TW"/>
              </w:rPr>
              <w:t> </w:t>
            </w:r>
          </w:p>
        </w:tc>
        <w:tc>
          <w:tcPr>
            <w:tcW w:w="705" w:type="dxa"/>
            <w:tcBorders>
              <w:top w:val="nil"/>
              <w:left w:val="nil"/>
              <w:bottom w:val="single" w:sz="6" w:space="0" w:color="auto"/>
              <w:right w:val="single" w:sz="6" w:space="0" w:color="auto"/>
            </w:tcBorders>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3147CF3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w:t>
            </w:r>
            <w:r w:rsidR="00E4465E">
              <w:rPr>
                <w:sz w:val="22"/>
                <w:szCs w:val="22"/>
                <w:lang w:eastAsia="zh-TW"/>
              </w:rPr>
              <w:br/>
            </w:r>
            <w:r w:rsidR="00E4465E">
              <w:rPr>
                <w:sz w:val="22"/>
                <w:szCs w:val="22"/>
                <w:lang w:eastAsia="zh-TW"/>
              </w:rPr>
              <w:br/>
            </w:r>
            <w:r w:rsidR="00E4465E">
              <w:rPr>
                <w:sz w:val="22"/>
                <w:szCs w:val="22"/>
                <w:lang w:eastAsia="zh-TW"/>
              </w:rPr>
              <w:br/>
              <w:t>8</w:t>
            </w:r>
            <w:r w:rsidRPr="00FE5420">
              <w:rPr>
                <w:sz w:val="22"/>
                <w:szCs w:val="22"/>
                <w:lang w:eastAsia="zh-TW"/>
              </w:rPr>
              <w:t> </w:t>
            </w:r>
          </w:p>
        </w:tc>
        <w:tc>
          <w:tcPr>
            <w:tcW w:w="2520" w:type="dxa"/>
            <w:tcBorders>
              <w:top w:val="nil"/>
              <w:left w:val="nil"/>
              <w:bottom w:val="single" w:sz="6" w:space="0" w:color="auto"/>
              <w:right w:val="single" w:sz="6" w:space="0" w:color="auto"/>
            </w:tcBorders>
            <w:hideMark/>
          </w:tcPr>
          <w:p w14:paraId="7DF7D6E0" w14:textId="268A71C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4465E">
              <w:rPr>
                <w:sz w:val="22"/>
                <w:szCs w:val="22"/>
                <w:lang w:eastAsia="zh-TW"/>
              </w:rPr>
              <w:br/>
            </w:r>
            <w:r w:rsidR="00E4465E">
              <w:rPr>
                <w:sz w:val="24"/>
                <w:szCs w:val="24"/>
                <w:lang w:eastAsia="zh-TW"/>
              </w:rPr>
              <w:br/>
            </w:r>
            <w:r w:rsidR="00E4465E">
              <w:rPr>
                <w:sz w:val="24"/>
                <w:szCs w:val="24"/>
                <w:lang w:eastAsia="zh-TW"/>
              </w:rPr>
              <w:br/>
              <w:t xml:space="preserve"> Talk deeper with victims of crimes whilst in attendance to gather a better understanding of the effect crimes have had on said victim. Speak with line management about attachments to PPU/RIT/CID to gather a better understanding of how to best deal with victims of sexual offences, child abuse and other serious </w:t>
            </w:r>
            <w:r w:rsidR="002F16C0">
              <w:rPr>
                <w:sz w:val="24"/>
                <w:szCs w:val="24"/>
                <w:lang w:eastAsia="zh-TW"/>
              </w:rPr>
              <w:t>complex crimes as first point of contact</w:t>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t xml:space="preserve"> Listen to how others communicate via radio and practice in providing shorter communications with the relevant information. </w:t>
            </w:r>
            <w:r w:rsidR="001715E6">
              <w:rPr>
                <w:sz w:val="24"/>
                <w:szCs w:val="24"/>
                <w:lang w:eastAsia="zh-TW"/>
              </w:rPr>
              <w:t xml:space="preserve">Speak with members of the public on foot patrol more </w:t>
            </w:r>
            <w:r w:rsidR="001715E6">
              <w:rPr>
                <w:sz w:val="24"/>
                <w:szCs w:val="24"/>
                <w:lang w:eastAsia="zh-TW"/>
              </w:rPr>
              <w:lastRenderedPageBreak/>
              <w:t>often to become more comfortable in new patrol areas.</w:t>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r w:rsidR="002F16C0">
              <w:rPr>
                <w:sz w:val="24"/>
                <w:szCs w:val="24"/>
                <w:lang w:eastAsia="zh-TW"/>
              </w:rPr>
              <w:br/>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377CCF2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1715E6">
              <w:rPr>
                <w:b/>
                <w:bCs/>
                <w:sz w:val="22"/>
                <w:szCs w:val="22"/>
                <w:lang w:eastAsia="zh-TW"/>
              </w:rPr>
              <w:t>Road traffic collisions</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1282FAF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r>
            <w:r w:rsidR="00084A2F">
              <w:rPr>
                <w:b/>
                <w:bCs/>
                <w:sz w:val="22"/>
                <w:szCs w:val="22"/>
                <w:lang w:eastAsia="zh-TW"/>
              </w:rPr>
              <w:br/>
              <w:t>Conflict resolution (Neighbourhood related)</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5E280F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r w:rsidR="001715E6">
              <w:rPr>
                <w:sz w:val="22"/>
                <w:szCs w:val="22"/>
                <w:lang w:eastAsia="zh-TW"/>
              </w:rPr>
              <w:br/>
            </w:r>
            <w:r w:rsidR="001715E6">
              <w:rPr>
                <w:sz w:val="24"/>
                <w:szCs w:val="24"/>
                <w:lang w:eastAsia="zh-TW"/>
              </w:rPr>
              <w:br/>
            </w:r>
            <w:r w:rsidR="001715E6">
              <w:rPr>
                <w:sz w:val="24"/>
                <w:szCs w:val="24"/>
                <w:lang w:eastAsia="zh-TW"/>
              </w:rPr>
              <w:br/>
            </w:r>
            <w:r w:rsidR="001715E6">
              <w:rPr>
                <w:sz w:val="24"/>
                <w:szCs w:val="24"/>
                <w:lang w:eastAsia="zh-TW"/>
              </w:rPr>
              <w:br/>
            </w:r>
            <w:r w:rsidR="001715E6">
              <w:rPr>
                <w:sz w:val="24"/>
                <w:szCs w:val="24"/>
                <w:lang w:eastAsia="zh-TW"/>
              </w:rPr>
              <w:br/>
            </w:r>
            <w:r w:rsidR="001715E6">
              <w:rPr>
                <w:sz w:val="24"/>
                <w:szCs w:val="24"/>
                <w:lang w:eastAsia="zh-TW"/>
              </w:rPr>
              <w:br/>
            </w:r>
            <w:r w:rsidR="001715E6">
              <w:rPr>
                <w:sz w:val="24"/>
                <w:szCs w:val="24"/>
                <w:lang w:eastAsia="zh-TW"/>
              </w:rPr>
              <w:br/>
            </w:r>
            <w:r w:rsidR="001715E6">
              <w:rPr>
                <w:sz w:val="24"/>
                <w:szCs w:val="24"/>
                <w:lang w:eastAsia="zh-TW"/>
              </w:rPr>
              <w:br/>
              <w:t xml:space="preserve"> </w:t>
            </w:r>
          </w:p>
        </w:tc>
        <w:tc>
          <w:tcPr>
            <w:tcW w:w="705" w:type="dxa"/>
            <w:tcBorders>
              <w:top w:val="nil"/>
              <w:left w:val="nil"/>
              <w:bottom w:val="single" w:sz="6" w:space="0" w:color="auto"/>
              <w:right w:val="single" w:sz="6" w:space="0" w:color="auto"/>
            </w:tcBorders>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3022DAA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w:t>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001715E6">
              <w:rPr>
                <w:sz w:val="22"/>
                <w:szCs w:val="22"/>
                <w:lang w:eastAsia="zh-TW"/>
              </w:rPr>
              <w:br/>
            </w:r>
            <w:r w:rsidRPr="00FE5420">
              <w:rPr>
                <w:sz w:val="22"/>
                <w:szCs w:val="22"/>
                <w:lang w:eastAsia="zh-TW"/>
              </w:rPr>
              <w:t> </w:t>
            </w:r>
            <w:r w:rsidR="00084A2F">
              <w:rPr>
                <w:sz w:val="22"/>
                <w:szCs w:val="22"/>
                <w:lang w:eastAsia="zh-TW"/>
              </w:rPr>
              <w:t>6</w:t>
            </w:r>
            <w:r w:rsidR="00084A2F">
              <w:rPr>
                <w:sz w:val="22"/>
                <w:szCs w:val="22"/>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t>5</w:t>
            </w:r>
            <w:r w:rsidR="00084A2F">
              <w:rPr>
                <w:sz w:val="24"/>
                <w:szCs w:val="24"/>
                <w:lang w:eastAsia="zh-TW"/>
              </w:rPr>
              <w:br/>
            </w:r>
            <w:r w:rsidR="00084A2F">
              <w:rPr>
                <w:sz w:val="24"/>
                <w:szCs w:val="24"/>
                <w:lang w:eastAsia="zh-TW"/>
              </w:rPr>
              <w:br/>
            </w:r>
            <w:r w:rsidR="00084A2F">
              <w:rPr>
                <w:sz w:val="24"/>
                <w:szCs w:val="24"/>
                <w:lang w:eastAsia="zh-TW"/>
              </w:rPr>
              <w:br/>
              <w:t xml:space="preserve"> </w:t>
            </w:r>
            <w:r w:rsidR="00084A2F">
              <w:rPr>
                <w:sz w:val="24"/>
                <w:szCs w:val="24"/>
                <w:lang w:eastAsia="zh-TW"/>
              </w:rPr>
              <w:br/>
            </w:r>
            <w:r w:rsidR="00084A2F">
              <w:rPr>
                <w:sz w:val="24"/>
                <w:szCs w:val="24"/>
                <w:lang w:eastAsia="zh-TW"/>
              </w:rPr>
              <w:br/>
            </w:r>
          </w:p>
        </w:tc>
        <w:tc>
          <w:tcPr>
            <w:tcW w:w="705" w:type="dxa"/>
            <w:tcBorders>
              <w:top w:val="nil"/>
              <w:left w:val="nil"/>
              <w:bottom w:val="single" w:sz="6" w:space="0" w:color="auto"/>
              <w:right w:val="single" w:sz="6" w:space="0" w:color="auto"/>
            </w:tcBorders>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051C909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r w:rsidR="00084A2F">
              <w:rPr>
                <w:sz w:val="22"/>
                <w:szCs w:val="22"/>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t xml:space="preserve"> 5</w:t>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t>7</w:t>
            </w:r>
          </w:p>
        </w:tc>
        <w:tc>
          <w:tcPr>
            <w:tcW w:w="705" w:type="dxa"/>
            <w:tcBorders>
              <w:top w:val="nil"/>
              <w:left w:val="nil"/>
              <w:bottom w:val="single" w:sz="6" w:space="0" w:color="auto"/>
              <w:right w:val="single" w:sz="6" w:space="0" w:color="auto"/>
            </w:tcBorders>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hideMark/>
          </w:tcPr>
          <w:p w14:paraId="4B21BF28" w14:textId="1473799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84A2F">
              <w:rPr>
                <w:sz w:val="22"/>
                <w:szCs w:val="22"/>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t xml:space="preserve"> Similar to the knowledge section – Attend RTCs more often where possible. Speak with traffic officers about how they deal with RTCs on a daily basis. Conduct ridealongs with traffic units to experience how they investigate RTCs</w:t>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r>
            <w:r w:rsidR="00084A2F">
              <w:rPr>
                <w:sz w:val="24"/>
                <w:szCs w:val="24"/>
                <w:lang w:eastAsia="zh-TW"/>
              </w:rPr>
              <w:br/>
              <w:t>Speak with local ward managers on how to best deal with neighbour related issues whether it be crime or non-crime incidents. Conduct attachments with the neighbourhood policing team</w:t>
            </w:r>
            <w:r w:rsidR="00084A2F">
              <w:rPr>
                <w:sz w:val="24"/>
                <w:szCs w:val="24"/>
                <w:lang w:eastAsia="zh-TW"/>
              </w:rPr>
              <w:br/>
            </w:r>
            <w:r w:rsidR="00084A2F">
              <w:rPr>
                <w:sz w:val="24"/>
                <w:szCs w:val="24"/>
                <w:lang w:eastAsia="zh-TW"/>
              </w:rPr>
              <w:br/>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B74B8" w14:textId="77777777" w:rsidR="0035260D" w:rsidRDefault="0035260D">
      <w:r>
        <w:separator/>
      </w:r>
    </w:p>
  </w:endnote>
  <w:endnote w:type="continuationSeparator" w:id="0">
    <w:p w14:paraId="49D85D85" w14:textId="77777777" w:rsidR="0035260D" w:rsidRDefault="00352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D9CFD" w14:textId="77777777" w:rsidR="0035260D" w:rsidRDefault="0035260D">
      <w:r>
        <w:separator/>
      </w:r>
    </w:p>
  </w:footnote>
  <w:footnote w:type="continuationSeparator" w:id="0">
    <w:p w14:paraId="347A015F" w14:textId="77777777" w:rsidR="0035260D" w:rsidRDefault="003526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416415"/>
    <w:multiLevelType w:val="multilevel"/>
    <w:tmpl w:val="A208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8"/>
  </w:num>
  <w:num w:numId="15" w16cid:durableId="448937411">
    <w:abstractNumId w:val="17"/>
  </w:num>
  <w:num w:numId="16" w16cid:durableId="1019770326">
    <w:abstractNumId w:val="29"/>
  </w:num>
  <w:num w:numId="17" w16cid:durableId="61832867">
    <w:abstractNumId w:val="9"/>
  </w:num>
  <w:num w:numId="18" w16cid:durableId="1560827036">
    <w:abstractNumId w:val="28"/>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19"/>
  </w:num>
  <w:num w:numId="24" w16cid:durableId="1766992550">
    <w:abstractNumId w:val="15"/>
  </w:num>
  <w:num w:numId="25" w16cid:durableId="1174345900">
    <w:abstractNumId w:val="12"/>
  </w:num>
  <w:num w:numId="26" w16cid:durableId="541946934">
    <w:abstractNumId w:val="30"/>
  </w:num>
  <w:num w:numId="27" w16cid:durableId="606350794">
    <w:abstractNumId w:val="20"/>
  </w:num>
  <w:num w:numId="28" w16cid:durableId="1826583542">
    <w:abstractNumId w:val="43"/>
  </w:num>
  <w:num w:numId="29" w16cid:durableId="19673060">
    <w:abstractNumId w:val="38"/>
  </w:num>
  <w:num w:numId="30" w16cid:durableId="1779987957">
    <w:abstractNumId w:val="42"/>
  </w:num>
  <w:num w:numId="31" w16cid:durableId="1614945931">
    <w:abstractNumId w:val="21"/>
  </w:num>
  <w:num w:numId="32" w16cid:durableId="867916129">
    <w:abstractNumId w:val="45"/>
  </w:num>
  <w:num w:numId="33" w16cid:durableId="2138914238">
    <w:abstractNumId w:val="34"/>
  </w:num>
  <w:num w:numId="34" w16cid:durableId="881939660">
    <w:abstractNumId w:val="13"/>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1"/>
  </w:num>
  <w:num w:numId="50" w16cid:durableId="416168375">
    <w:abstractNumId w:val="50"/>
  </w:num>
  <w:num w:numId="51" w16cid:durableId="2106150780">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45B"/>
    <w:rsid w:val="00015901"/>
    <w:rsid w:val="00020EEC"/>
    <w:rsid w:val="00025650"/>
    <w:rsid w:val="00026FAB"/>
    <w:rsid w:val="00027B1F"/>
    <w:rsid w:val="0003088B"/>
    <w:rsid w:val="000325D9"/>
    <w:rsid w:val="00035A09"/>
    <w:rsid w:val="000372B2"/>
    <w:rsid w:val="0004079F"/>
    <w:rsid w:val="00042330"/>
    <w:rsid w:val="00044849"/>
    <w:rsid w:val="00045B87"/>
    <w:rsid w:val="00045C07"/>
    <w:rsid w:val="00055D43"/>
    <w:rsid w:val="00056FAC"/>
    <w:rsid w:val="00057751"/>
    <w:rsid w:val="00062E39"/>
    <w:rsid w:val="00080E58"/>
    <w:rsid w:val="00083D99"/>
    <w:rsid w:val="00084A2F"/>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9EB"/>
    <w:rsid w:val="000C378F"/>
    <w:rsid w:val="000C6892"/>
    <w:rsid w:val="000C6FFE"/>
    <w:rsid w:val="000D00D9"/>
    <w:rsid w:val="000D0BB6"/>
    <w:rsid w:val="000E26B0"/>
    <w:rsid w:val="000E5BC5"/>
    <w:rsid w:val="000F1599"/>
    <w:rsid w:val="000F1769"/>
    <w:rsid w:val="000F6196"/>
    <w:rsid w:val="000F7ECD"/>
    <w:rsid w:val="00102E64"/>
    <w:rsid w:val="0010312C"/>
    <w:rsid w:val="001046D8"/>
    <w:rsid w:val="00106DC7"/>
    <w:rsid w:val="00112391"/>
    <w:rsid w:val="00114F52"/>
    <w:rsid w:val="00120D55"/>
    <w:rsid w:val="0012135C"/>
    <w:rsid w:val="00126866"/>
    <w:rsid w:val="001347F8"/>
    <w:rsid w:val="00137BB5"/>
    <w:rsid w:val="00137E05"/>
    <w:rsid w:val="001447F6"/>
    <w:rsid w:val="00147DE3"/>
    <w:rsid w:val="00150794"/>
    <w:rsid w:val="0015780D"/>
    <w:rsid w:val="001604AB"/>
    <w:rsid w:val="001608C4"/>
    <w:rsid w:val="001611B6"/>
    <w:rsid w:val="00171418"/>
    <w:rsid w:val="001715E6"/>
    <w:rsid w:val="00190913"/>
    <w:rsid w:val="0019406D"/>
    <w:rsid w:val="00194EA4"/>
    <w:rsid w:val="001961CF"/>
    <w:rsid w:val="001A59BB"/>
    <w:rsid w:val="001A6A51"/>
    <w:rsid w:val="001A79C4"/>
    <w:rsid w:val="001B331A"/>
    <w:rsid w:val="001B4538"/>
    <w:rsid w:val="001BC1C4"/>
    <w:rsid w:val="001C0E74"/>
    <w:rsid w:val="001C6CEC"/>
    <w:rsid w:val="001D229F"/>
    <w:rsid w:val="001D6162"/>
    <w:rsid w:val="001E7592"/>
    <w:rsid w:val="001F2B24"/>
    <w:rsid w:val="001F3878"/>
    <w:rsid w:val="001F4552"/>
    <w:rsid w:val="002019EB"/>
    <w:rsid w:val="0020210A"/>
    <w:rsid w:val="002030F2"/>
    <w:rsid w:val="00205051"/>
    <w:rsid w:val="00211F65"/>
    <w:rsid w:val="00214426"/>
    <w:rsid w:val="0022001B"/>
    <w:rsid w:val="00220D06"/>
    <w:rsid w:val="002219BA"/>
    <w:rsid w:val="00223310"/>
    <w:rsid w:val="002246A0"/>
    <w:rsid w:val="00224AF9"/>
    <w:rsid w:val="00230439"/>
    <w:rsid w:val="0023052E"/>
    <w:rsid w:val="002319D3"/>
    <w:rsid w:val="002325D3"/>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3D81"/>
    <w:rsid w:val="00291ADD"/>
    <w:rsid w:val="00294868"/>
    <w:rsid w:val="00295CA1"/>
    <w:rsid w:val="002A291A"/>
    <w:rsid w:val="002A5604"/>
    <w:rsid w:val="002A748F"/>
    <w:rsid w:val="002B1701"/>
    <w:rsid w:val="002B1736"/>
    <w:rsid w:val="002B23C3"/>
    <w:rsid w:val="002B443A"/>
    <w:rsid w:val="002B5B35"/>
    <w:rsid w:val="002C256A"/>
    <w:rsid w:val="002C496D"/>
    <w:rsid w:val="002D0209"/>
    <w:rsid w:val="002D05EB"/>
    <w:rsid w:val="002D2F29"/>
    <w:rsid w:val="002D2FD3"/>
    <w:rsid w:val="002E1CDA"/>
    <w:rsid w:val="002E7017"/>
    <w:rsid w:val="002F16C0"/>
    <w:rsid w:val="002F4F6E"/>
    <w:rsid w:val="003015C3"/>
    <w:rsid w:val="0030504E"/>
    <w:rsid w:val="0030698D"/>
    <w:rsid w:val="003074D0"/>
    <w:rsid w:val="00310C7F"/>
    <w:rsid w:val="0031350A"/>
    <w:rsid w:val="00316815"/>
    <w:rsid w:val="003168CA"/>
    <w:rsid w:val="00320E37"/>
    <w:rsid w:val="00321255"/>
    <w:rsid w:val="0032230D"/>
    <w:rsid w:val="00322A0B"/>
    <w:rsid w:val="003242FC"/>
    <w:rsid w:val="00324625"/>
    <w:rsid w:val="00335FC5"/>
    <w:rsid w:val="00340E9A"/>
    <w:rsid w:val="003516C0"/>
    <w:rsid w:val="0035260D"/>
    <w:rsid w:val="00352E59"/>
    <w:rsid w:val="00354DBE"/>
    <w:rsid w:val="00355210"/>
    <w:rsid w:val="00360F07"/>
    <w:rsid w:val="00365DF9"/>
    <w:rsid w:val="0036668D"/>
    <w:rsid w:val="00367521"/>
    <w:rsid w:val="00372DB4"/>
    <w:rsid w:val="003745B3"/>
    <w:rsid w:val="0037490C"/>
    <w:rsid w:val="00375AF5"/>
    <w:rsid w:val="003761BD"/>
    <w:rsid w:val="003769F6"/>
    <w:rsid w:val="00384CC0"/>
    <w:rsid w:val="00385414"/>
    <w:rsid w:val="00390074"/>
    <w:rsid w:val="0039762B"/>
    <w:rsid w:val="003A0C37"/>
    <w:rsid w:val="003A1B6B"/>
    <w:rsid w:val="003A2F82"/>
    <w:rsid w:val="003A3F36"/>
    <w:rsid w:val="003A46C0"/>
    <w:rsid w:val="003A600E"/>
    <w:rsid w:val="003A6513"/>
    <w:rsid w:val="003B16C7"/>
    <w:rsid w:val="003C19F1"/>
    <w:rsid w:val="003C2364"/>
    <w:rsid w:val="003C4186"/>
    <w:rsid w:val="003C458C"/>
    <w:rsid w:val="003C6185"/>
    <w:rsid w:val="003D0D2D"/>
    <w:rsid w:val="003D4710"/>
    <w:rsid w:val="003D4855"/>
    <w:rsid w:val="003E16D7"/>
    <w:rsid w:val="003E197E"/>
    <w:rsid w:val="003F1DFF"/>
    <w:rsid w:val="004046F0"/>
    <w:rsid w:val="0040668F"/>
    <w:rsid w:val="00407F28"/>
    <w:rsid w:val="00412677"/>
    <w:rsid w:val="0041496C"/>
    <w:rsid w:val="00417925"/>
    <w:rsid w:val="00424890"/>
    <w:rsid w:val="004348AE"/>
    <w:rsid w:val="00436B35"/>
    <w:rsid w:val="004376C0"/>
    <w:rsid w:val="0044115F"/>
    <w:rsid w:val="00441FC5"/>
    <w:rsid w:val="0044223A"/>
    <w:rsid w:val="00446792"/>
    <w:rsid w:val="00446F80"/>
    <w:rsid w:val="00450C83"/>
    <w:rsid w:val="00451851"/>
    <w:rsid w:val="00453343"/>
    <w:rsid w:val="00454EAE"/>
    <w:rsid w:val="004558C2"/>
    <w:rsid w:val="004608B9"/>
    <w:rsid w:val="00460ADB"/>
    <w:rsid w:val="00461BF0"/>
    <w:rsid w:val="00465947"/>
    <w:rsid w:val="00466C54"/>
    <w:rsid w:val="00470BB1"/>
    <w:rsid w:val="004718F7"/>
    <w:rsid w:val="00473153"/>
    <w:rsid w:val="004743AF"/>
    <w:rsid w:val="00482C17"/>
    <w:rsid w:val="004911B4"/>
    <w:rsid w:val="0049196A"/>
    <w:rsid w:val="004923DA"/>
    <w:rsid w:val="00493434"/>
    <w:rsid w:val="00495EFB"/>
    <w:rsid w:val="004962F9"/>
    <w:rsid w:val="004968E2"/>
    <w:rsid w:val="004A2275"/>
    <w:rsid w:val="004A2A49"/>
    <w:rsid w:val="004B38E7"/>
    <w:rsid w:val="004B600B"/>
    <w:rsid w:val="004B6822"/>
    <w:rsid w:val="004B69F6"/>
    <w:rsid w:val="004C2D3A"/>
    <w:rsid w:val="004D03C4"/>
    <w:rsid w:val="004D0AF0"/>
    <w:rsid w:val="004D0BF1"/>
    <w:rsid w:val="004D24D2"/>
    <w:rsid w:val="004D2529"/>
    <w:rsid w:val="004D35A4"/>
    <w:rsid w:val="004D445F"/>
    <w:rsid w:val="004E087B"/>
    <w:rsid w:val="004E44A4"/>
    <w:rsid w:val="004E50EE"/>
    <w:rsid w:val="004E5166"/>
    <w:rsid w:val="004E7B8B"/>
    <w:rsid w:val="004E7BDD"/>
    <w:rsid w:val="004F1E21"/>
    <w:rsid w:val="004F69C9"/>
    <w:rsid w:val="004F740D"/>
    <w:rsid w:val="004F7B8F"/>
    <w:rsid w:val="00500748"/>
    <w:rsid w:val="005011D6"/>
    <w:rsid w:val="0050167A"/>
    <w:rsid w:val="00501BA9"/>
    <w:rsid w:val="005042F1"/>
    <w:rsid w:val="00506048"/>
    <w:rsid w:val="00513C7D"/>
    <w:rsid w:val="005169D1"/>
    <w:rsid w:val="00521123"/>
    <w:rsid w:val="00521221"/>
    <w:rsid w:val="00522412"/>
    <w:rsid w:val="00536FA9"/>
    <w:rsid w:val="005414F4"/>
    <w:rsid w:val="00546187"/>
    <w:rsid w:val="005463F1"/>
    <w:rsid w:val="005534F2"/>
    <w:rsid w:val="00557D77"/>
    <w:rsid w:val="0056258B"/>
    <w:rsid w:val="00562EAA"/>
    <w:rsid w:val="00563B58"/>
    <w:rsid w:val="005640C4"/>
    <w:rsid w:val="00564C53"/>
    <w:rsid w:val="0056684C"/>
    <w:rsid w:val="00574A0C"/>
    <w:rsid w:val="00576E4C"/>
    <w:rsid w:val="0057780F"/>
    <w:rsid w:val="00581E0A"/>
    <w:rsid w:val="00585977"/>
    <w:rsid w:val="00586D89"/>
    <w:rsid w:val="00590733"/>
    <w:rsid w:val="005916B8"/>
    <w:rsid w:val="005A1B4C"/>
    <w:rsid w:val="005A1BA3"/>
    <w:rsid w:val="005A545C"/>
    <w:rsid w:val="005A733C"/>
    <w:rsid w:val="005A7CC2"/>
    <w:rsid w:val="005B1CF8"/>
    <w:rsid w:val="005B3704"/>
    <w:rsid w:val="005B4260"/>
    <w:rsid w:val="005B6E68"/>
    <w:rsid w:val="005C1567"/>
    <w:rsid w:val="005C6CE5"/>
    <w:rsid w:val="005D3F07"/>
    <w:rsid w:val="005D583E"/>
    <w:rsid w:val="005D6594"/>
    <w:rsid w:val="005E13EA"/>
    <w:rsid w:val="005E53BD"/>
    <w:rsid w:val="006068DC"/>
    <w:rsid w:val="00606E27"/>
    <w:rsid w:val="0061019D"/>
    <w:rsid w:val="00610676"/>
    <w:rsid w:val="006108C9"/>
    <w:rsid w:val="006150A1"/>
    <w:rsid w:val="00615C23"/>
    <w:rsid w:val="00615C7E"/>
    <w:rsid w:val="00617128"/>
    <w:rsid w:val="0062158D"/>
    <w:rsid w:val="00627180"/>
    <w:rsid w:val="00627C88"/>
    <w:rsid w:val="00630F39"/>
    <w:rsid w:val="006326D1"/>
    <w:rsid w:val="00632E0A"/>
    <w:rsid w:val="00633165"/>
    <w:rsid w:val="00636B6C"/>
    <w:rsid w:val="006447DE"/>
    <w:rsid w:val="0065276E"/>
    <w:rsid w:val="00654329"/>
    <w:rsid w:val="00654CEC"/>
    <w:rsid w:val="00654FE6"/>
    <w:rsid w:val="00655507"/>
    <w:rsid w:val="00656D91"/>
    <w:rsid w:val="00656F75"/>
    <w:rsid w:val="00661E9F"/>
    <w:rsid w:val="00667185"/>
    <w:rsid w:val="006712A7"/>
    <w:rsid w:val="006733CC"/>
    <w:rsid w:val="00674FC2"/>
    <w:rsid w:val="00677E42"/>
    <w:rsid w:val="00682334"/>
    <w:rsid w:val="00684B16"/>
    <w:rsid w:val="00687616"/>
    <w:rsid w:val="00694C00"/>
    <w:rsid w:val="00696F65"/>
    <w:rsid w:val="006A450D"/>
    <w:rsid w:val="006A7A6D"/>
    <w:rsid w:val="006B5451"/>
    <w:rsid w:val="006B5E67"/>
    <w:rsid w:val="006C2EB5"/>
    <w:rsid w:val="006C3261"/>
    <w:rsid w:val="006D18A3"/>
    <w:rsid w:val="006D5970"/>
    <w:rsid w:val="006E481E"/>
    <w:rsid w:val="006E795F"/>
    <w:rsid w:val="006EBD1E"/>
    <w:rsid w:val="006F026E"/>
    <w:rsid w:val="006F3A9B"/>
    <w:rsid w:val="00700249"/>
    <w:rsid w:val="00701389"/>
    <w:rsid w:val="0070604C"/>
    <w:rsid w:val="007069CD"/>
    <w:rsid w:val="007110E6"/>
    <w:rsid w:val="00711224"/>
    <w:rsid w:val="00711A70"/>
    <w:rsid w:val="00712E6F"/>
    <w:rsid w:val="00712E90"/>
    <w:rsid w:val="00713B7E"/>
    <w:rsid w:val="007204AE"/>
    <w:rsid w:val="0072678F"/>
    <w:rsid w:val="00727C4C"/>
    <w:rsid w:val="00727E0B"/>
    <w:rsid w:val="00734809"/>
    <w:rsid w:val="007406E1"/>
    <w:rsid w:val="00743E40"/>
    <w:rsid w:val="00751263"/>
    <w:rsid w:val="00751C93"/>
    <w:rsid w:val="0075704F"/>
    <w:rsid w:val="00763B2D"/>
    <w:rsid w:val="00765DEA"/>
    <w:rsid w:val="00772924"/>
    <w:rsid w:val="0078222B"/>
    <w:rsid w:val="00784EC4"/>
    <w:rsid w:val="007872F2"/>
    <w:rsid w:val="007874BC"/>
    <w:rsid w:val="007908E0"/>
    <w:rsid w:val="00793D8C"/>
    <w:rsid w:val="00793EB3"/>
    <w:rsid w:val="00794205"/>
    <w:rsid w:val="00797012"/>
    <w:rsid w:val="007A0D81"/>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167"/>
    <w:rsid w:val="00813CEC"/>
    <w:rsid w:val="0081534C"/>
    <w:rsid w:val="008171E4"/>
    <w:rsid w:val="008208EA"/>
    <w:rsid w:val="00824E67"/>
    <w:rsid w:val="00825A64"/>
    <w:rsid w:val="00826F48"/>
    <w:rsid w:val="00827FB0"/>
    <w:rsid w:val="008308AE"/>
    <w:rsid w:val="0083166E"/>
    <w:rsid w:val="00831DC3"/>
    <w:rsid w:val="008322C7"/>
    <w:rsid w:val="00834F1D"/>
    <w:rsid w:val="00836FEC"/>
    <w:rsid w:val="008403FD"/>
    <w:rsid w:val="00841F9D"/>
    <w:rsid w:val="008420E1"/>
    <w:rsid w:val="00843D58"/>
    <w:rsid w:val="00843EBA"/>
    <w:rsid w:val="00844D98"/>
    <w:rsid w:val="00846D84"/>
    <w:rsid w:val="00847444"/>
    <w:rsid w:val="00850164"/>
    <w:rsid w:val="00851554"/>
    <w:rsid w:val="0085230E"/>
    <w:rsid w:val="0085355E"/>
    <w:rsid w:val="008550A1"/>
    <w:rsid w:val="00860D25"/>
    <w:rsid w:val="00861035"/>
    <w:rsid w:val="00861038"/>
    <w:rsid w:val="00863AF4"/>
    <w:rsid w:val="00865008"/>
    <w:rsid w:val="00865669"/>
    <w:rsid w:val="00866B50"/>
    <w:rsid w:val="00870697"/>
    <w:rsid w:val="008708F1"/>
    <w:rsid w:val="008715B8"/>
    <w:rsid w:val="00880539"/>
    <w:rsid w:val="00882CF2"/>
    <w:rsid w:val="008859E8"/>
    <w:rsid w:val="0088737B"/>
    <w:rsid w:val="008925BA"/>
    <w:rsid w:val="00892716"/>
    <w:rsid w:val="00893067"/>
    <w:rsid w:val="008933DE"/>
    <w:rsid w:val="00894509"/>
    <w:rsid w:val="00895FCE"/>
    <w:rsid w:val="00897F3E"/>
    <w:rsid w:val="008A1BA8"/>
    <w:rsid w:val="008A21B4"/>
    <w:rsid w:val="008A4576"/>
    <w:rsid w:val="008B07DE"/>
    <w:rsid w:val="008B2728"/>
    <w:rsid w:val="008B28E7"/>
    <w:rsid w:val="008C14C7"/>
    <w:rsid w:val="008C2264"/>
    <w:rsid w:val="008C2FFB"/>
    <w:rsid w:val="008C478A"/>
    <w:rsid w:val="008C6EEA"/>
    <w:rsid w:val="008C71DC"/>
    <w:rsid w:val="008D5813"/>
    <w:rsid w:val="008D634E"/>
    <w:rsid w:val="008D703E"/>
    <w:rsid w:val="008D778A"/>
    <w:rsid w:val="008E261F"/>
    <w:rsid w:val="008F22BD"/>
    <w:rsid w:val="00903426"/>
    <w:rsid w:val="009079BD"/>
    <w:rsid w:val="00912BD9"/>
    <w:rsid w:val="0092030C"/>
    <w:rsid w:val="00920E5B"/>
    <w:rsid w:val="00926436"/>
    <w:rsid w:val="0093018C"/>
    <w:rsid w:val="00932375"/>
    <w:rsid w:val="00932CCA"/>
    <w:rsid w:val="00934477"/>
    <w:rsid w:val="009352B1"/>
    <w:rsid w:val="00953E15"/>
    <w:rsid w:val="009544C0"/>
    <w:rsid w:val="00954FA4"/>
    <w:rsid w:val="00956AE9"/>
    <w:rsid w:val="00964CC6"/>
    <w:rsid w:val="00991FDA"/>
    <w:rsid w:val="0099255E"/>
    <w:rsid w:val="009927A1"/>
    <w:rsid w:val="009931AD"/>
    <w:rsid w:val="0099774D"/>
    <w:rsid w:val="009A5F3B"/>
    <w:rsid w:val="009B0B61"/>
    <w:rsid w:val="009B28C0"/>
    <w:rsid w:val="009B3E4D"/>
    <w:rsid w:val="009B7136"/>
    <w:rsid w:val="009B7806"/>
    <w:rsid w:val="009C2AE9"/>
    <w:rsid w:val="009C3AC2"/>
    <w:rsid w:val="009D25C6"/>
    <w:rsid w:val="009D4365"/>
    <w:rsid w:val="009D4E3B"/>
    <w:rsid w:val="009D7BC9"/>
    <w:rsid w:val="009E0C5A"/>
    <w:rsid w:val="009E1982"/>
    <w:rsid w:val="009E33C5"/>
    <w:rsid w:val="009E45AD"/>
    <w:rsid w:val="009E4D2C"/>
    <w:rsid w:val="009F0978"/>
    <w:rsid w:val="009F2292"/>
    <w:rsid w:val="009F3AEC"/>
    <w:rsid w:val="009F42C3"/>
    <w:rsid w:val="00A00081"/>
    <w:rsid w:val="00A015F7"/>
    <w:rsid w:val="00A10D56"/>
    <w:rsid w:val="00A12AAE"/>
    <w:rsid w:val="00A16DD1"/>
    <w:rsid w:val="00A22441"/>
    <w:rsid w:val="00A23F3B"/>
    <w:rsid w:val="00A24406"/>
    <w:rsid w:val="00A24DDA"/>
    <w:rsid w:val="00A25592"/>
    <w:rsid w:val="00A25F64"/>
    <w:rsid w:val="00A27CC2"/>
    <w:rsid w:val="00A3221B"/>
    <w:rsid w:val="00A3273B"/>
    <w:rsid w:val="00A34828"/>
    <w:rsid w:val="00A35AE3"/>
    <w:rsid w:val="00A36CF5"/>
    <w:rsid w:val="00A40BD3"/>
    <w:rsid w:val="00A40ED6"/>
    <w:rsid w:val="00A44C0E"/>
    <w:rsid w:val="00A470EE"/>
    <w:rsid w:val="00A47621"/>
    <w:rsid w:val="00A479CD"/>
    <w:rsid w:val="00A50CFC"/>
    <w:rsid w:val="00A54D67"/>
    <w:rsid w:val="00A55A3F"/>
    <w:rsid w:val="00A56BC4"/>
    <w:rsid w:val="00A652F6"/>
    <w:rsid w:val="00A732EA"/>
    <w:rsid w:val="00A7489E"/>
    <w:rsid w:val="00A8015F"/>
    <w:rsid w:val="00A80BD2"/>
    <w:rsid w:val="00A840F2"/>
    <w:rsid w:val="00A85039"/>
    <w:rsid w:val="00A851F7"/>
    <w:rsid w:val="00A906AA"/>
    <w:rsid w:val="00A94C5E"/>
    <w:rsid w:val="00AA241A"/>
    <w:rsid w:val="00AA252C"/>
    <w:rsid w:val="00AA2E98"/>
    <w:rsid w:val="00AA666E"/>
    <w:rsid w:val="00AB0360"/>
    <w:rsid w:val="00AB5518"/>
    <w:rsid w:val="00AC01D4"/>
    <w:rsid w:val="00AC4A04"/>
    <w:rsid w:val="00AD2C17"/>
    <w:rsid w:val="00AD336F"/>
    <w:rsid w:val="00AD3550"/>
    <w:rsid w:val="00AD4DB4"/>
    <w:rsid w:val="00AE2564"/>
    <w:rsid w:val="00AE301F"/>
    <w:rsid w:val="00AE3302"/>
    <w:rsid w:val="00AE3B3A"/>
    <w:rsid w:val="00AE5E6D"/>
    <w:rsid w:val="00AE7077"/>
    <w:rsid w:val="00AF61C2"/>
    <w:rsid w:val="00AF6CC6"/>
    <w:rsid w:val="00B011CD"/>
    <w:rsid w:val="00B0296A"/>
    <w:rsid w:val="00B10FA2"/>
    <w:rsid w:val="00B12295"/>
    <w:rsid w:val="00B1300A"/>
    <w:rsid w:val="00B137BE"/>
    <w:rsid w:val="00B17FA0"/>
    <w:rsid w:val="00B24344"/>
    <w:rsid w:val="00B26769"/>
    <w:rsid w:val="00B31C91"/>
    <w:rsid w:val="00B35962"/>
    <w:rsid w:val="00B367C1"/>
    <w:rsid w:val="00B3747F"/>
    <w:rsid w:val="00B43194"/>
    <w:rsid w:val="00B459FC"/>
    <w:rsid w:val="00B47734"/>
    <w:rsid w:val="00B50FBA"/>
    <w:rsid w:val="00B558EB"/>
    <w:rsid w:val="00B577D3"/>
    <w:rsid w:val="00B60466"/>
    <w:rsid w:val="00B65076"/>
    <w:rsid w:val="00B65102"/>
    <w:rsid w:val="00B6548F"/>
    <w:rsid w:val="00B67DEE"/>
    <w:rsid w:val="00B7502A"/>
    <w:rsid w:val="00B76B4E"/>
    <w:rsid w:val="00B77305"/>
    <w:rsid w:val="00B81D11"/>
    <w:rsid w:val="00B82CC2"/>
    <w:rsid w:val="00B84A89"/>
    <w:rsid w:val="00B8589F"/>
    <w:rsid w:val="00B92BEF"/>
    <w:rsid w:val="00B9689A"/>
    <w:rsid w:val="00B976F5"/>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D59"/>
    <w:rsid w:val="00BD30B1"/>
    <w:rsid w:val="00BE0F7B"/>
    <w:rsid w:val="00BE10C2"/>
    <w:rsid w:val="00BF65D8"/>
    <w:rsid w:val="00C01D14"/>
    <w:rsid w:val="00C025B4"/>
    <w:rsid w:val="00C03B8C"/>
    <w:rsid w:val="00C03BB5"/>
    <w:rsid w:val="00C06218"/>
    <w:rsid w:val="00C06E13"/>
    <w:rsid w:val="00C11F61"/>
    <w:rsid w:val="00C12380"/>
    <w:rsid w:val="00C161FD"/>
    <w:rsid w:val="00C20E99"/>
    <w:rsid w:val="00C23F17"/>
    <w:rsid w:val="00C242E8"/>
    <w:rsid w:val="00C26D0D"/>
    <w:rsid w:val="00C27C95"/>
    <w:rsid w:val="00C300D2"/>
    <w:rsid w:val="00C3270F"/>
    <w:rsid w:val="00C3278B"/>
    <w:rsid w:val="00C33375"/>
    <w:rsid w:val="00C34C23"/>
    <w:rsid w:val="00C4157F"/>
    <w:rsid w:val="00C42005"/>
    <w:rsid w:val="00C432AB"/>
    <w:rsid w:val="00C44446"/>
    <w:rsid w:val="00C4664D"/>
    <w:rsid w:val="00C472AA"/>
    <w:rsid w:val="00C50A05"/>
    <w:rsid w:val="00C54AED"/>
    <w:rsid w:val="00C55B2F"/>
    <w:rsid w:val="00C63D00"/>
    <w:rsid w:val="00C6441B"/>
    <w:rsid w:val="00C7108B"/>
    <w:rsid w:val="00C71220"/>
    <w:rsid w:val="00C8089F"/>
    <w:rsid w:val="00C836CC"/>
    <w:rsid w:val="00C86315"/>
    <w:rsid w:val="00C87A74"/>
    <w:rsid w:val="00C90A71"/>
    <w:rsid w:val="00C91574"/>
    <w:rsid w:val="00C91BC2"/>
    <w:rsid w:val="00C92C71"/>
    <w:rsid w:val="00C93F8F"/>
    <w:rsid w:val="00C960A6"/>
    <w:rsid w:val="00C97CA1"/>
    <w:rsid w:val="00CA2745"/>
    <w:rsid w:val="00CA3593"/>
    <w:rsid w:val="00CA7F4F"/>
    <w:rsid w:val="00CB258E"/>
    <w:rsid w:val="00CB3C8F"/>
    <w:rsid w:val="00CB557F"/>
    <w:rsid w:val="00CB7047"/>
    <w:rsid w:val="00CB75CE"/>
    <w:rsid w:val="00CC02F1"/>
    <w:rsid w:val="00CC11A6"/>
    <w:rsid w:val="00CC135E"/>
    <w:rsid w:val="00CC2F8D"/>
    <w:rsid w:val="00CD5D3F"/>
    <w:rsid w:val="00CE32A7"/>
    <w:rsid w:val="00CE62F0"/>
    <w:rsid w:val="00CF1E90"/>
    <w:rsid w:val="00CF3DB3"/>
    <w:rsid w:val="00D00D23"/>
    <w:rsid w:val="00D01ABB"/>
    <w:rsid w:val="00D052BC"/>
    <w:rsid w:val="00D07026"/>
    <w:rsid w:val="00D11C62"/>
    <w:rsid w:val="00D123DD"/>
    <w:rsid w:val="00D13799"/>
    <w:rsid w:val="00D22C8F"/>
    <w:rsid w:val="00D33491"/>
    <w:rsid w:val="00D376E5"/>
    <w:rsid w:val="00D44F8E"/>
    <w:rsid w:val="00D44FD0"/>
    <w:rsid w:val="00D47CAF"/>
    <w:rsid w:val="00D5733C"/>
    <w:rsid w:val="00D607EF"/>
    <w:rsid w:val="00D60F88"/>
    <w:rsid w:val="00D625E7"/>
    <w:rsid w:val="00D643CF"/>
    <w:rsid w:val="00D646BD"/>
    <w:rsid w:val="00D70239"/>
    <w:rsid w:val="00D71201"/>
    <w:rsid w:val="00D720C7"/>
    <w:rsid w:val="00D73A26"/>
    <w:rsid w:val="00D77A04"/>
    <w:rsid w:val="00D81D06"/>
    <w:rsid w:val="00D8652C"/>
    <w:rsid w:val="00D876E6"/>
    <w:rsid w:val="00DA1025"/>
    <w:rsid w:val="00DA22EC"/>
    <w:rsid w:val="00DA5860"/>
    <w:rsid w:val="00DB2767"/>
    <w:rsid w:val="00DC0301"/>
    <w:rsid w:val="00DC4729"/>
    <w:rsid w:val="00DC64A4"/>
    <w:rsid w:val="00DD2789"/>
    <w:rsid w:val="00DD7954"/>
    <w:rsid w:val="00DE2234"/>
    <w:rsid w:val="00DE341F"/>
    <w:rsid w:val="00DE556F"/>
    <w:rsid w:val="00E03B6D"/>
    <w:rsid w:val="00E04327"/>
    <w:rsid w:val="00E133F9"/>
    <w:rsid w:val="00E17160"/>
    <w:rsid w:val="00E27E98"/>
    <w:rsid w:val="00E3261E"/>
    <w:rsid w:val="00E35BEC"/>
    <w:rsid w:val="00E4465E"/>
    <w:rsid w:val="00E446C0"/>
    <w:rsid w:val="00E46C90"/>
    <w:rsid w:val="00E47B47"/>
    <w:rsid w:val="00E50821"/>
    <w:rsid w:val="00E50EF8"/>
    <w:rsid w:val="00E51F91"/>
    <w:rsid w:val="00E669AE"/>
    <w:rsid w:val="00E7086E"/>
    <w:rsid w:val="00E70921"/>
    <w:rsid w:val="00E7245B"/>
    <w:rsid w:val="00E7374A"/>
    <w:rsid w:val="00E73C41"/>
    <w:rsid w:val="00E7598F"/>
    <w:rsid w:val="00E76EC4"/>
    <w:rsid w:val="00E76F60"/>
    <w:rsid w:val="00E83D90"/>
    <w:rsid w:val="00E83F28"/>
    <w:rsid w:val="00E83F91"/>
    <w:rsid w:val="00E9107A"/>
    <w:rsid w:val="00E91F62"/>
    <w:rsid w:val="00E929FD"/>
    <w:rsid w:val="00E93240"/>
    <w:rsid w:val="00E9479B"/>
    <w:rsid w:val="00EA4D48"/>
    <w:rsid w:val="00EB17CF"/>
    <w:rsid w:val="00EB1F79"/>
    <w:rsid w:val="00EB2173"/>
    <w:rsid w:val="00EB28DC"/>
    <w:rsid w:val="00EB36A8"/>
    <w:rsid w:val="00EB3812"/>
    <w:rsid w:val="00EB3E2F"/>
    <w:rsid w:val="00EB43BE"/>
    <w:rsid w:val="00EB62E6"/>
    <w:rsid w:val="00EC30DB"/>
    <w:rsid w:val="00EC6EAC"/>
    <w:rsid w:val="00ED1B30"/>
    <w:rsid w:val="00ED250E"/>
    <w:rsid w:val="00ED6535"/>
    <w:rsid w:val="00ED76C1"/>
    <w:rsid w:val="00EE1AC1"/>
    <w:rsid w:val="00EE39D6"/>
    <w:rsid w:val="00EE413C"/>
    <w:rsid w:val="00EE52AD"/>
    <w:rsid w:val="00EF6445"/>
    <w:rsid w:val="00F01F92"/>
    <w:rsid w:val="00F028F0"/>
    <w:rsid w:val="00F04C2E"/>
    <w:rsid w:val="00F05817"/>
    <w:rsid w:val="00F10A08"/>
    <w:rsid w:val="00F139CF"/>
    <w:rsid w:val="00F15F34"/>
    <w:rsid w:val="00F20680"/>
    <w:rsid w:val="00F22AC5"/>
    <w:rsid w:val="00F254D1"/>
    <w:rsid w:val="00F32B82"/>
    <w:rsid w:val="00F4043E"/>
    <w:rsid w:val="00F40CB5"/>
    <w:rsid w:val="00F41BBC"/>
    <w:rsid w:val="00F43B9D"/>
    <w:rsid w:val="00F444F0"/>
    <w:rsid w:val="00F50590"/>
    <w:rsid w:val="00F50847"/>
    <w:rsid w:val="00F5230B"/>
    <w:rsid w:val="00F53F27"/>
    <w:rsid w:val="00F546D1"/>
    <w:rsid w:val="00F6513F"/>
    <w:rsid w:val="00F66272"/>
    <w:rsid w:val="00F709C0"/>
    <w:rsid w:val="00F7360E"/>
    <w:rsid w:val="00F8737C"/>
    <w:rsid w:val="00F927A1"/>
    <w:rsid w:val="00F92E4D"/>
    <w:rsid w:val="00F972EA"/>
    <w:rsid w:val="00FA3764"/>
    <w:rsid w:val="00FA56ED"/>
    <w:rsid w:val="00FA7677"/>
    <w:rsid w:val="00FB5FA6"/>
    <w:rsid w:val="00FC1310"/>
    <w:rsid w:val="00FC19C5"/>
    <w:rsid w:val="00FC2FF3"/>
    <w:rsid w:val="00FC3263"/>
    <w:rsid w:val="00FC51F9"/>
    <w:rsid w:val="00FC5B40"/>
    <w:rsid w:val="00FC5FF8"/>
    <w:rsid w:val="00FC702B"/>
    <w:rsid w:val="00FD3D7C"/>
    <w:rsid w:val="00FD4F8F"/>
    <w:rsid w:val="00FD6D9C"/>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9F22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87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si/2020/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27</Pages>
  <Words>9603</Words>
  <Characters>54743</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Ethan Weaver</cp:lastModifiedBy>
  <cp:revision>75</cp:revision>
  <cp:lastPrinted>2014-08-26T08:55:00Z</cp:lastPrinted>
  <dcterms:created xsi:type="dcterms:W3CDTF">2025-08-19T21:32:00Z</dcterms:created>
  <dcterms:modified xsi:type="dcterms:W3CDTF">2025-09-15T22:57:00Z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2461ef24-a589-4451-bb59-4c7317b01ce5</vt:lpwstr>
  </property>
</Properties>
</file>