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451131966"/>
        <w:docPartObj>
          <w:docPartGallery w:val="Cover Pages"/>
          <w:docPartUnique/>
        </w:docPartObj>
      </w:sdtPr>
      <w:sdtEndPr>
        <w:rPr>
          <w:rFonts w:ascii="Arial" w:eastAsiaTheme="minorHAnsi" w:hAnsi="Arial" w:cs="Arial"/>
          <w:b/>
          <w:bCs/>
          <w:color w:val="auto"/>
          <w:kern w:val="2"/>
          <w:sz w:val="24"/>
          <w:szCs w:val="24"/>
          <w:u w:val="thick"/>
          <w:lang w:val="en-GB"/>
          <w14:ligatures w14:val="standardContextual"/>
        </w:rPr>
      </w:sdtEndPr>
      <w:sdtContent>
        <w:p w14:paraId="07DC5B52" w14:textId="336A3B4C" w:rsidR="00D04633" w:rsidRDefault="00D04633">
          <w:pPr>
            <w:pStyle w:val="NoSpacing"/>
            <w:spacing w:before="1540" w:after="240"/>
            <w:jc w:val="center"/>
            <w:rPr>
              <w:color w:val="156082" w:themeColor="accent1"/>
            </w:rPr>
          </w:pPr>
          <w:r>
            <w:rPr>
              <w:noProof/>
              <w:color w:val="156082" w:themeColor="accent1"/>
            </w:rPr>
            <w:drawing>
              <wp:inline distT="0" distB="0" distL="0" distR="0" wp14:anchorId="43DF7FE1" wp14:editId="61AFC987">
                <wp:extent cx="4051616" cy="750570"/>
                <wp:effectExtent l="0" t="0" r="635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067860" cy="753579"/>
                        </a:xfrm>
                        <a:prstGeom prst="rect">
                          <a:avLst/>
                        </a:prstGeom>
                        <a:noFill/>
                        <a:ln>
                          <a:noFill/>
                        </a:ln>
                      </pic:spPr>
                    </pic:pic>
                  </a:graphicData>
                </a:graphic>
              </wp:inline>
            </w:drawing>
          </w:r>
        </w:p>
        <w:sdt>
          <w:sdtPr>
            <w:rPr>
              <w:rFonts w:ascii="Arial Black" w:eastAsiaTheme="majorEastAsia" w:hAnsi="Arial Black" w:cstheme="majorBidi"/>
              <w:caps/>
              <w:color w:val="156082" w:themeColor="accent1"/>
              <w:sz w:val="72"/>
              <w:szCs w:val="72"/>
              <w:u w:val="thick"/>
            </w:rPr>
            <w:alias w:val="Title"/>
            <w:tag w:val=""/>
            <w:id w:val="1735040861"/>
            <w:placeholder>
              <w:docPart w:val="83423B22314142BE9F99164C27BB0E2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BA82092" w14:textId="30D6F24F" w:rsidR="00D04633" w:rsidRDefault="00D04633">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D04633">
                <w:rPr>
                  <w:rFonts w:ascii="Arial Black" w:eastAsiaTheme="majorEastAsia" w:hAnsi="Arial Black" w:cstheme="majorBidi"/>
                  <w:caps/>
                  <w:color w:val="156082" w:themeColor="accent1"/>
                  <w:sz w:val="72"/>
                  <w:szCs w:val="72"/>
                  <w:u w:val="thick"/>
                </w:rPr>
                <w:t xml:space="preserve">Tesco financial analysis </w:t>
              </w:r>
            </w:p>
          </w:sdtContent>
        </w:sdt>
        <w:sdt>
          <w:sdtPr>
            <w:rPr>
              <w:rFonts w:ascii="Arial Black" w:hAnsi="Arial Black"/>
              <w:color w:val="156082" w:themeColor="accent1"/>
              <w:sz w:val="56"/>
              <w:szCs w:val="56"/>
              <w:u w:val="thick"/>
            </w:rPr>
            <w:alias w:val="Subtitle"/>
            <w:tag w:val=""/>
            <w:id w:val="328029620"/>
            <w:placeholder>
              <w:docPart w:val="E684F8529D4C4A81B33C71A662E66781"/>
            </w:placeholder>
            <w:dataBinding w:prefixMappings="xmlns:ns0='http://purl.org/dc/elements/1.1/' xmlns:ns1='http://schemas.openxmlformats.org/package/2006/metadata/core-properties' " w:xpath="/ns1:coreProperties[1]/ns0:subject[1]" w:storeItemID="{6C3C8BC8-F283-45AE-878A-BAB7291924A1}"/>
            <w:text/>
          </w:sdtPr>
          <w:sdtContent>
            <w:p w14:paraId="6BF65B53" w14:textId="20DE2BCA" w:rsidR="00D04633" w:rsidRPr="00D04633" w:rsidRDefault="00D04633">
              <w:pPr>
                <w:pStyle w:val="NoSpacing"/>
                <w:jc w:val="center"/>
                <w:rPr>
                  <w:rFonts w:ascii="Arial Black" w:hAnsi="Arial Black"/>
                  <w:color w:val="156082" w:themeColor="accent1"/>
                  <w:sz w:val="56"/>
                  <w:szCs w:val="56"/>
                </w:rPr>
              </w:pPr>
              <w:r w:rsidRPr="00D04633">
                <w:rPr>
                  <w:rFonts w:ascii="Arial Black" w:hAnsi="Arial Black"/>
                  <w:color w:val="156082" w:themeColor="accent1"/>
                  <w:sz w:val="56"/>
                  <w:szCs w:val="56"/>
                  <w:u w:val="thick"/>
                </w:rPr>
                <w:t>2022-2923</w:t>
              </w:r>
            </w:p>
          </w:sdtContent>
        </w:sdt>
        <w:p w14:paraId="651A7AA2" w14:textId="77777777" w:rsidR="00D04633" w:rsidRDefault="00D04633">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6F6A139A" wp14:editId="537EE4D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4-11T00:00:00Z">
                                    <w:dateFormat w:val="MMMM d, yyyy"/>
                                    <w:lid w:val="en-US"/>
                                    <w:storeMappedDataAs w:val="dateTime"/>
                                    <w:calendar w:val="gregorian"/>
                                  </w:date>
                                </w:sdtPr>
                                <w:sdtContent>
                                  <w:p w14:paraId="69ED1AC8" w14:textId="5D81DBC2" w:rsidR="00D04633" w:rsidRPr="00084077" w:rsidRDefault="00D04633">
                                    <w:pPr>
                                      <w:pStyle w:val="NoSpacing"/>
                                      <w:spacing w:after="40"/>
                                      <w:jc w:val="center"/>
                                      <w:rPr>
                                        <w:rFonts w:ascii="Arial Black" w:hAnsi="Arial Black"/>
                                        <w:caps/>
                                        <w:color w:val="156082" w:themeColor="accent1"/>
                                        <w:sz w:val="28"/>
                                        <w:szCs w:val="28"/>
                                      </w:rPr>
                                    </w:pPr>
                                    <w:r w:rsidRPr="00084077">
                                      <w:rPr>
                                        <w:rFonts w:ascii="Arial Black" w:hAnsi="Arial Black"/>
                                        <w:caps/>
                                        <w:color w:val="156082" w:themeColor="accent1"/>
                                        <w:sz w:val="28"/>
                                        <w:szCs w:val="28"/>
                                      </w:rPr>
                                      <w:t>April 11, 2025</w:t>
                                    </w:r>
                                  </w:p>
                                </w:sdtContent>
                              </w:sdt>
                              <w:p w14:paraId="48295C8C" w14:textId="39497EE3" w:rsidR="00D04633" w:rsidRPr="00084077" w:rsidRDefault="00084077">
                                <w:pPr>
                                  <w:pStyle w:val="NoSpacing"/>
                                  <w:jc w:val="center"/>
                                  <w:rPr>
                                    <w:rFonts w:ascii="Arial Black" w:hAnsi="Arial Black"/>
                                    <w:color w:val="156082" w:themeColor="accent1"/>
                                  </w:rPr>
                                </w:pPr>
                                <w:sdt>
                                  <w:sdtPr>
                                    <w:rPr>
                                      <w:rFonts w:ascii="Arial Black" w:hAnsi="Arial Black"/>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084077">
                                      <w:rPr>
                                        <w:rFonts w:ascii="Arial Black" w:hAnsi="Arial Black"/>
                                        <w:caps/>
                                        <w:color w:val="156082" w:themeColor="accent1"/>
                                      </w:rPr>
                                      <w:t>Financial Management For Business Sustainability</w:t>
                                    </w:r>
                                  </w:sdtContent>
                                </w:sdt>
                              </w:p>
                              <w:p w14:paraId="75D0444B" w14:textId="03A08F9A" w:rsidR="00D04633" w:rsidRPr="00084077" w:rsidRDefault="00D04633">
                                <w:pPr>
                                  <w:pStyle w:val="NoSpacing"/>
                                  <w:jc w:val="center"/>
                                  <w:rPr>
                                    <w:rFonts w:ascii="Arial Black" w:hAnsi="Arial Black"/>
                                    <w:color w:val="156082" w:themeColor="accent1"/>
                                  </w:rPr>
                                </w:pPr>
                                <w:sdt>
                                  <w:sdtPr>
                                    <w:rPr>
                                      <w:rFonts w:ascii="Arial Black" w:hAnsi="Arial Black"/>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084077" w:rsidRPr="00084077">
                                      <w:rPr>
                                        <w:rFonts w:ascii="Arial Black" w:hAnsi="Arial Black"/>
                                        <w:color w:val="156082" w:themeColor="accent1"/>
                                      </w:rPr>
                                      <w:t xml:space="preserve">Student name: Cristina Tocila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F6A139A"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Black" w:hAnsi="Arial Black"/>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4-11T00:00:00Z">
                              <w:dateFormat w:val="MMMM d, yyyy"/>
                              <w:lid w:val="en-US"/>
                              <w:storeMappedDataAs w:val="dateTime"/>
                              <w:calendar w:val="gregorian"/>
                            </w:date>
                          </w:sdtPr>
                          <w:sdtContent>
                            <w:p w14:paraId="69ED1AC8" w14:textId="5D81DBC2" w:rsidR="00D04633" w:rsidRPr="00084077" w:rsidRDefault="00D04633">
                              <w:pPr>
                                <w:pStyle w:val="NoSpacing"/>
                                <w:spacing w:after="40"/>
                                <w:jc w:val="center"/>
                                <w:rPr>
                                  <w:rFonts w:ascii="Arial Black" w:hAnsi="Arial Black"/>
                                  <w:caps/>
                                  <w:color w:val="156082" w:themeColor="accent1"/>
                                  <w:sz w:val="28"/>
                                  <w:szCs w:val="28"/>
                                </w:rPr>
                              </w:pPr>
                              <w:r w:rsidRPr="00084077">
                                <w:rPr>
                                  <w:rFonts w:ascii="Arial Black" w:hAnsi="Arial Black"/>
                                  <w:caps/>
                                  <w:color w:val="156082" w:themeColor="accent1"/>
                                  <w:sz w:val="28"/>
                                  <w:szCs w:val="28"/>
                                </w:rPr>
                                <w:t>April 11, 2025</w:t>
                              </w:r>
                            </w:p>
                          </w:sdtContent>
                        </w:sdt>
                        <w:p w14:paraId="48295C8C" w14:textId="39497EE3" w:rsidR="00D04633" w:rsidRPr="00084077" w:rsidRDefault="00084077">
                          <w:pPr>
                            <w:pStyle w:val="NoSpacing"/>
                            <w:jc w:val="center"/>
                            <w:rPr>
                              <w:rFonts w:ascii="Arial Black" w:hAnsi="Arial Black"/>
                              <w:color w:val="156082" w:themeColor="accent1"/>
                            </w:rPr>
                          </w:pPr>
                          <w:sdt>
                            <w:sdtPr>
                              <w:rPr>
                                <w:rFonts w:ascii="Arial Black" w:hAnsi="Arial Black"/>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084077">
                                <w:rPr>
                                  <w:rFonts w:ascii="Arial Black" w:hAnsi="Arial Black"/>
                                  <w:caps/>
                                  <w:color w:val="156082" w:themeColor="accent1"/>
                                </w:rPr>
                                <w:t>Financial Management For Business Sustainability</w:t>
                              </w:r>
                            </w:sdtContent>
                          </w:sdt>
                        </w:p>
                        <w:p w14:paraId="75D0444B" w14:textId="03A08F9A" w:rsidR="00D04633" w:rsidRPr="00084077" w:rsidRDefault="00D04633">
                          <w:pPr>
                            <w:pStyle w:val="NoSpacing"/>
                            <w:jc w:val="center"/>
                            <w:rPr>
                              <w:rFonts w:ascii="Arial Black" w:hAnsi="Arial Black"/>
                              <w:color w:val="156082" w:themeColor="accent1"/>
                            </w:rPr>
                          </w:pPr>
                          <w:sdt>
                            <w:sdtPr>
                              <w:rPr>
                                <w:rFonts w:ascii="Arial Black" w:hAnsi="Arial Black"/>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084077" w:rsidRPr="00084077">
                                <w:rPr>
                                  <w:rFonts w:ascii="Arial Black" w:hAnsi="Arial Black"/>
                                  <w:color w:val="156082" w:themeColor="accent1"/>
                                </w:rPr>
                                <w:t xml:space="preserve">Student name: Cristina Tocila </w:t>
                              </w:r>
                            </w:sdtContent>
                          </w:sdt>
                        </w:p>
                      </w:txbxContent>
                    </v:textbox>
                    <w10:wrap anchorx="margin" anchory="page"/>
                  </v:shape>
                </w:pict>
              </mc:Fallback>
            </mc:AlternateContent>
          </w:r>
          <w:r>
            <w:rPr>
              <w:noProof/>
              <w:color w:val="156082" w:themeColor="accent1"/>
            </w:rPr>
            <w:drawing>
              <wp:inline distT="0" distB="0" distL="0" distR="0" wp14:anchorId="461D1917" wp14:editId="1EC5B028">
                <wp:extent cx="2864253" cy="478790"/>
                <wp:effectExtent l="0" t="0" r="0"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882524" cy="481844"/>
                        </a:xfrm>
                        <a:prstGeom prst="rect">
                          <a:avLst/>
                        </a:prstGeom>
                      </pic:spPr>
                    </pic:pic>
                  </a:graphicData>
                </a:graphic>
              </wp:inline>
            </w:drawing>
          </w:r>
        </w:p>
        <w:p w14:paraId="3D17FA80" w14:textId="722203DC" w:rsidR="00D04633" w:rsidRDefault="00D04633">
          <w:pPr>
            <w:rPr>
              <w:rFonts w:ascii="Arial" w:hAnsi="Arial" w:cs="Arial"/>
              <w:b/>
              <w:bCs/>
              <w:u w:val="thick"/>
            </w:rPr>
          </w:pPr>
          <w:r>
            <w:rPr>
              <w:rFonts w:ascii="Arial" w:hAnsi="Arial" w:cs="Arial"/>
              <w:b/>
              <w:bCs/>
              <w:u w:val="thick"/>
            </w:rPr>
            <w:br w:type="page"/>
          </w:r>
        </w:p>
      </w:sdtContent>
    </w:sdt>
    <w:p w14:paraId="0F69F562" w14:textId="4CAA51FB" w:rsidR="00870F44" w:rsidRPr="00D144E9" w:rsidRDefault="00870F44" w:rsidP="00870F44">
      <w:pPr>
        <w:spacing w:line="480" w:lineRule="auto"/>
        <w:rPr>
          <w:rFonts w:ascii="Arial" w:hAnsi="Arial" w:cs="Arial"/>
          <w:b/>
          <w:bCs/>
          <w:u w:val="thick"/>
        </w:rPr>
      </w:pPr>
      <w:r w:rsidRPr="00D144E9">
        <w:rPr>
          <w:rFonts w:ascii="Arial" w:hAnsi="Arial" w:cs="Arial"/>
          <w:b/>
          <w:bCs/>
          <w:u w:val="thick"/>
        </w:rPr>
        <w:lastRenderedPageBreak/>
        <w:t>Introduction</w:t>
      </w:r>
    </w:p>
    <w:p w14:paraId="62523748" w14:textId="77777777" w:rsidR="00870F44" w:rsidRDefault="00870F44" w:rsidP="00870F44">
      <w:pPr>
        <w:spacing w:line="480" w:lineRule="auto"/>
        <w:rPr>
          <w:rFonts w:ascii="Arial" w:hAnsi="Arial" w:cs="Arial"/>
        </w:rPr>
      </w:pPr>
      <w:r w:rsidRPr="00870F44">
        <w:rPr>
          <w:rFonts w:ascii="Arial" w:hAnsi="Arial" w:cs="Arial"/>
        </w:rPr>
        <w:t xml:space="preserve">Tesco PLC is a significant competitor in the UK market of grocery retailing and exemplifies one of the market's leaders in combining cost control and pricing policies. The following report's performance of Tesco in 2022 and 2023 will use various financial ratios. The review of the profitability, liquidity, efficiency, will indicate how the financial position of Tesco has changed over the last two years. Using the assessments of the ratio analysis method together with previous literature and real-life research (Bright &amp; Herbert, 1990; Attrill &amp; McLaney, 2015) this report will describe the reasons Tesco's performance has improved or decreased in this time frame. The report will also explain economic pressures on the outside, price shifts and consumer behaviour </w:t>
      </w:r>
      <w:r>
        <w:rPr>
          <w:rFonts w:ascii="Arial" w:hAnsi="Arial" w:cs="Arial"/>
        </w:rPr>
        <w:t>changes</w:t>
      </w:r>
      <w:r w:rsidRPr="00870F44">
        <w:rPr>
          <w:rFonts w:ascii="Arial" w:hAnsi="Arial" w:cs="Arial"/>
        </w:rPr>
        <w:t xml:space="preserve"> (Dragun, 2007), and internal cost decision factors have all impacted the financial performance. The report will provide recommendations for better margins and sustainability to Tesco, with the conclusion discussing how ratio analysis provided a more detailed understanding of the performance payoff of Tesco.</w:t>
      </w:r>
    </w:p>
    <w:p w14:paraId="65065894" w14:textId="77777777" w:rsidR="00870F44" w:rsidRDefault="00870F44" w:rsidP="00870F44">
      <w:pPr>
        <w:spacing w:line="480" w:lineRule="auto"/>
        <w:rPr>
          <w:rFonts w:ascii="Arial" w:hAnsi="Arial" w:cs="Arial"/>
        </w:rPr>
      </w:pPr>
    </w:p>
    <w:p w14:paraId="584430A5" w14:textId="77777777" w:rsidR="00870F44" w:rsidRDefault="00870F44" w:rsidP="00870F44">
      <w:pPr>
        <w:spacing w:line="480" w:lineRule="auto"/>
        <w:rPr>
          <w:rFonts w:ascii="Arial" w:hAnsi="Arial" w:cs="Arial"/>
        </w:rPr>
      </w:pPr>
    </w:p>
    <w:p w14:paraId="01D3535D" w14:textId="77777777" w:rsidR="00870F44" w:rsidRDefault="00870F44" w:rsidP="00870F44">
      <w:pPr>
        <w:spacing w:line="480" w:lineRule="auto"/>
        <w:rPr>
          <w:rFonts w:ascii="Arial" w:hAnsi="Arial" w:cs="Arial"/>
        </w:rPr>
      </w:pPr>
    </w:p>
    <w:p w14:paraId="4A626468" w14:textId="77777777" w:rsidR="00870F44" w:rsidRDefault="00870F44" w:rsidP="00870F44">
      <w:pPr>
        <w:spacing w:line="480" w:lineRule="auto"/>
        <w:rPr>
          <w:rFonts w:ascii="Arial" w:hAnsi="Arial" w:cs="Arial"/>
        </w:rPr>
      </w:pPr>
    </w:p>
    <w:p w14:paraId="55DC075A" w14:textId="77777777" w:rsidR="00870F44" w:rsidRDefault="00870F44" w:rsidP="00870F44">
      <w:pPr>
        <w:spacing w:line="480" w:lineRule="auto"/>
        <w:rPr>
          <w:rFonts w:ascii="Arial" w:hAnsi="Arial" w:cs="Arial"/>
        </w:rPr>
      </w:pPr>
    </w:p>
    <w:p w14:paraId="732356C1" w14:textId="77777777" w:rsidR="00870F44" w:rsidRDefault="00870F44" w:rsidP="00870F44">
      <w:pPr>
        <w:spacing w:line="480" w:lineRule="auto"/>
        <w:rPr>
          <w:rFonts w:ascii="Arial" w:hAnsi="Arial" w:cs="Arial"/>
        </w:rPr>
      </w:pPr>
    </w:p>
    <w:p w14:paraId="57B54CE6" w14:textId="77777777" w:rsidR="00870F44" w:rsidRDefault="00870F44" w:rsidP="00870F44">
      <w:pPr>
        <w:spacing w:line="480" w:lineRule="auto"/>
        <w:rPr>
          <w:rFonts w:ascii="Arial" w:hAnsi="Arial" w:cs="Arial"/>
        </w:rPr>
      </w:pPr>
    </w:p>
    <w:p w14:paraId="6D061F01" w14:textId="77777777" w:rsidR="00870F44" w:rsidRDefault="00870F44" w:rsidP="00870F44">
      <w:pPr>
        <w:spacing w:line="480" w:lineRule="auto"/>
        <w:rPr>
          <w:rFonts w:ascii="Arial" w:hAnsi="Arial" w:cs="Arial"/>
        </w:rPr>
      </w:pPr>
    </w:p>
    <w:p w14:paraId="7E61EA1F" w14:textId="77777777" w:rsidR="00870F44" w:rsidRPr="00D144E9" w:rsidRDefault="00870F44" w:rsidP="00870F44">
      <w:pPr>
        <w:spacing w:line="480" w:lineRule="auto"/>
        <w:rPr>
          <w:rFonts w:ascii="Arial" w:hAnsi="Arial" w:cs="Arial"/>
          <w:b/>
          <w:bCs/>
          <w:u w:val="thick"/>
        </w:rPr>
      </w:pPr>
      <w:r w:rsidRPr="00D144E9">
        <w:rPr>
          <w:rFonts w:ascii="Arial" w:hAnsi="Arial" w:cs="Arial"/>
          <w:b/>
          <w:bCs/>
          <w:u w:val="thick"/>
        </w:rPr>
        <w:lastRenderedPageBreak/>
        <w:t xml:space="preserve">Profitability Analysis </w:t>
      </w:r>
    </w:p>
    <w:p w14:paraId="5C567D24" w14:textId="479C8159" w:rsidR="00870F44" w:rsidRDefault="00870F44" w:rsidP="00870F44">
      <w:pPr>
        <w:spacing w:line="480" w:lineRule="auto"/>
        <w:rPr>
          <w:rFonts w:ascii="Arial" w:hAnsi="Arial" w:cs="Arial"/>
        </w:rPr>
      </w:pPr>
      <w:r w:rsidRPr="00870F44">
        <w:rPr>
          <w:rFonts w:ascii="Arial" w:hAnsi="Arial" w:cs="Arial"/>
        </w:rPr>
        <w:t>Profitability remains one of the most significant measures of a company's ability to generate profit in relation to sales and capital invested in the company. The highlighted ratios in this study will be Net Pr</w:t>
      </w:r>
      <w:r>
        <w:rPr>
          <w:rFonts w:ascii="Arial" w:hAnsi="Arial" w:cs="Arial"/>
        </w:rPr>
        <w:t>ofit</w:t>
      </w:r>
      <w:r w:rsidRPr="00870F44">
        <w:rPr>
          <w:rFonts w:ascii="Arial" w:hAnsi="Arial" w:cs="Arial"/>
        </w:rPr>
        <w:t xml:space="preserve"> Margin and Return on Capital Employed (ROCE)</w:t>
      </w:r>
      <w:r>
        <w:rPr>
          <w:rFonts w:ascii="Arial" w:hAnsi="Arial" w:cs="Arial"/>
        </w:rPr>
        <w:t>.</w:t>
      </w:r>
    </w:p>
    <w:p w14:paraId="7E80B6F4" w14:textId="77777777" w:rsidR="00D144E9" w:rsidRPr="00D144E9" w:rsidRDefault="00870F44" w:rsidP="00870F44">
      <w:pPr>
        <w:spacing w:line="480" w:lineRule="auto"/>
        <w:rPr>
          <w:rFonts w:ascii="Arial" w:hAnsi="Arial" w:cs="Arial"/>
          <w:b/>
          <w:bCs/>
          <w:u w:val="thick"/>
        </w:rPr>
      </w:pPr>
      <w:r w:rsidRPr="00D144E9">
        <w:rPr>
          <w:rFonts w:ascii="Arial" w:hAnsi="Arial" w:cs="Arial"/>
          <w:b/>
          <w:bCs/>
          <w:u w:val="thick"/>
        </w:rPr>
        <w:t>Net Profit Margin</w:t>
      </w:r>
    </w:p>
    <w:p w14:paraId="218C4EA2" w14:textId="0B600A88" w:rsidR="00870F44" w:rsidRDefault="00870F44" w:rsidP="00870F44">
      <w:pPr>
        <w:spacing w:line="480" w:lineRule="auto"/>
        <w:rPr>
          <w:rFonts w:ascii="Arial" w:hAnsi="Arial" w:cs="Arial"/>
        </w:rPr>
      </w:pPr>
      <w:r w:rsidRPr="00870F44">
        <w:rPr>
          <w:rFonts w:ascii="Arial" w:hAnsi="Arial" w:cs="Arial"/>
        </w:rPr>
        <w:t>Tesco's net profit margin was near 2.4% for 2022 based on net profit of around £1.48 billion with revenue of £61.3 billion. In 2023 the net profit margin sharply decreased to around 1.1% with revenue of £65.9 billion.</w:t>
      </w:r>
      <w:r>
        <w:rPr>
          <w:rFonts w:ascii="Arial" w:hAnsi="Arial" w:cs="Arial"/>
        </w:rPr>
        <w:t xml:space="preserve"> </w:t>
      </w:r>
      <w:r w:rsidRPr="00870F44">
        <w:rPr>
          <w:rFonts w:ascii="Arial" w:hAnsi="Arial" w:cs="Arial"/>
        </w:rPr>
        <w:t>The decline in margins is mainly due to increased operating costs, along with one-off impairment charges on property assets, which materially impaired the net profit margin (Lawson, 2014). This reduction in profitability is in line with previous academic literature that indicated lower profit margins attributable to rising costs in the retail sector, which are not entirely passed on to customers, particularly in competitive sectors (Dragun, 200</w:t>
      </w:r>
      <w:r>
        <w:rPr>
          <w:rFonts w:ascii="Arial" w:hAnsi="Arial" w:cs="Arial"/>
        </w:rPr>
        <w:t>7</w:t>
      </w:r>
      <w:r w:rsidRPr="00870F44">
        <w:rPr>
          <w:rFonts w:ascii="Arial" w:hAnsi="Arial" w:cs="Arial"/>
        </w:rPr>
        <w:t xml:space="preserve">).   </w:t>
      </w:r>
    </w:p>
    <w:p w14:paraId="13860DA4" w14:textId="77777777" w:rsidR="00870F44" w:rsidRPr="00D144E9" w:rsidRDefault="00870F44" w:rsidP="00870F44">
      <w:pPr>
        <w:spacing w:line="480" w:lineRule="auto"/>
        <w:rPr>
          <w:rFonts w:ascii="Arial" w:hAnsi="Arial" w:cs="Arial"/>
          <w:b/>
          <w:bCs/>
          <w:u w:val="thick"/>
        </w:rPr>
      </w:pPr>
      <w:r w:rsidRPr="00D144E9">
        <w:rPr>
          <w:rFonts w:ascii="Arial" w:hAnsi="Arial" w:cs="Arial"/>
          <w:b/>
          <w:bCs/>
          <w:u w:val="thick"/>
        </w:rPr>
        <w:t xml:space="preserve">Return on Capital Employed (ROCE)   </w:t>
      </w:r>
    </w:p>
    <w:p w14:paraId="5A868A5A" w14:textId="77777777" w:rsidR="00870F44" w:rsidRDefault="00870F44" w:rsidP="00870F44">
      <w:pPr>
        <w:spacing w:line="480" w:lineRule="auto"/>
        <w:rPr>
          <w:rFonts w:ascii="Arial" w:hAnsi="Arial" w:cs="Arial"/>
        </w:rPr>
      </w:pPr>
      <w:r w:rsidRPr="00870F44">
        <w:rPr>
          <w:rFonts w:ascii="Arial" w:hAnsi="Arial" w:cs="Arial"/>
        </w:rPr>
        <w:t>ROCE, which indicates how well Tesco is utili</w:t>
      </w:r>
      <w:r>
        <w:rPr>
          <w:rFonts w:ascii="Arial" w:hAnsi="Arial" w:cs="Arial"/>
        </w:rPr>
        <w:t>s</w:t>
      </w:r>
      <w:r w:rsidRPr="00870F44">
        <w:rPr>
          <w:rFonts w:ascii="Arial" w:hAnsi="Arial" w:cs="Arial"/>
        </w:rPr>
        <w:t>ing its capital to generate a return, also worsened in 2023. Statutory measures suggest that ROCE decreased from 9-10% in 2022 to 6-7% in 2023. Underlying EBIT in 2023 is considerably below the 2022 figures, although some adjusted measures indicate minor improvements due to shrinking the asset base (Li, 2023).</w:t>
      </w:r>
      <w:r>
        <w:rPr>
          <w:rFonts w:ascii="Arial" w:hAnsi="Arial" w:cs="Arial"/>
        </w:rPr>
        <w:t xml:space="preserve"> T</w:t>
      </w:r>
      <w:r w:rsidRPr="00870F44">
        <w:rPr>
          <w:rFonts w:ascii="Arial" w:hAnsi="Arial" w:cs="Arial"/>
        </w:rPr>
        <w:t>he decline in ROCE demonstrates that the reduction in equity -</w:t>
      </w:r>
      <w:r>
        <w:rPr>
          <w:rFonts w:ascii="Arial" w:hAnsi="Arial" w:cs="Arial"/>
        </w:rPr>
        <w:t xml:space="preserve"> </w:t>
      </w:r>
      <w:r w:rsidRPr="00870F44">
        <w:rPr>
          <w:rFonts w:ascii="Arial" w:hAnsi="Arial" w:cs="Arial"/>
        </w:rPr>
        <w:t>because of</w:t>
      </w:r>
      <w:r w:rsidRPr="00870F44">
        <w:rPr>
          <w:rFonts w:ascii="Arial" w:hAnsi="Arial" w:cs="Arial"/>
        </w:rPr>
        <w:t xml:space="preserve"> dividends and pension revaluations (Wood, 2015) - has, in fact, negatively impacted the company's performance</w:t>
      </w:r>
      <w:r>
        <w:rPr>
          <w:rFonts w:ascii="Arial" w:hAnsi="Arial" w:cs="Arial"/>
        </w:rPr>
        <w:t xml:space="preserve"> </w:t>
      </w:r>
      <w:r w:rsidRPr="00870F44">
        <w:rPr>
          <w:rFonts w:ascii="Arial" w:hAnsi="Arial" w:cs="Arial"/>
        </w:rPr>
        <w:t xml:space="preserve">(Bamber &amp; Parry, 2014).   </w:t>
      </w:r>
    </w:p>
    <w:p w14:paraId="5068FAB3" w14:textId="77777777" w:rsidR="00870F44" w:rsidRDefault="00870F44" w:rsidP="00870F44">
      <w:pPr>
        <w:spacing w:line="480" w:lineRule="auto"/>
        <w:rPr>
          <w:rFonts w:ascii="Arial" w:hAnsi="Arial" w:cs="Arial"/>
        </w:rPr>
      </w:pPr>
    </w:p>
    <w:p w14:paraId="3D538AE7" w14:textId="490498DC" w:rsidR="00870F44" w:rsidRPr="00D144E9" w:rsidRDefault="00870F44" w:rsidP="00870F44">
      <w:pPr>
        <w:spacing w:line="480" w:lineRule="auto"/>
        <w:rPr>
          <w:rFonts w:ascii="Arial" w:hAnsi="Arial" w:cs="Arial"/>
          <w:b/>
          <w:bCs/>
          <w:u w:val="thick"/>
        </w:rPr>
      </w:pPr>
      <w:r w:rsidRPr="00D144E9">
        <w:rPr>
          <w:rFonts w:ascii="Arial" w:hAnsi="Arial" w:cs="Arial"/>
          <w:b/>
          <w:bCs/>
          <w:u w:val="thick"/>
        </w:rPr>
        <w:lastRenderedPageBreak/>
        <w:t xml:space="preserve">Analysis of liquidity </w:t>
      </w:r>
    </w:p>
    <w:p w14:paraId="3699A2BB" w14:textId="2AF7ADA5" w:rsidR="00870F44" w:rsidRDefault="00870F44" w:rsidP="00870F44">
      <w:pPr>
        <w:spacing w:line="480" w:lineRule="auto"/>
        <w:rPr>
          <w:rFonts w:ascii="Arial" w:hAnsi="Arial" w:cs="Arial"/>
        </w:rPr>
      </w:pPr>
      <w:r w:rsidRPr="00870F44">
        <w:rPr>
          <w:rFonts w:ascii="Arial" w:hAnsi="Arial" w:cs="Arial"/>
        </w:rPr>
        <w:t>Liquidity ratios measure the ability of the business to satisfy short-term obligations. This report utili</w:t>
      </w:r>
      <w:r>
        <w:rPr>
          <w:rFonts w:ascii="Arial" w:hAnsi="Arial" w:cs="Arial"/>
        </w:rPr>
        <w:t>s</w:t>
      </w:r>
      <w:r w:rsidRPr="00870F44">
        <w:rPr>
          <w:rFonts w:ascii="Arial" w:hAnsi="Arial" w:cs="Arial"/>
        </w:rPr>
        <w:t>es the current ratio and quick ratio.</w:t>
      </w:r>
    </w:p>
    <w:p w14:paraId="31078D3E" w14:textId="19605581" w:rsidR="00870F44" w:rsidRPr="0098190C" w:rsidRDefault="00870F44" w:rsidP="00870F44">
      <w:pPr>
        <w:spacing w:line="480" w:lineRule="auto"/>
        <w:rPr>
          <w:rFonts w:ascii="Arial" w:hAnsi="Arial" w:cs="Arial"/>
          <w:b/>
          <w:bCs/>
          <w:u w:val="thick"/>
        </w:rPr>
      </w:pPr>
      <w:r w:rsidRPr="0098190C">
        <w:rPr>
          <w:rFonts w:ascii="Arial" w:hAnsi="Arial" w:cs="Arial"/>
          <w:b/>
          <w:bCs/>
          <w:u w:val="thick"/>
        </w:rPr>
        <w:t>Current Ratio</w:t>
      </w:r>
    </w:p>
    <w:p w14:paraId="69ED08F0" w14:textId="47225C80" w:rsidR="00726B64" w:rsidRDefault="00870F44" w:rsidP="00870F44">
      <w:pPr>
        <w:spacing w:line="480" w:lineRule="auto"/>
        <w:rPr>
          <w:rFonts w:ascii="Arial" w:hAnsi="Arial" w:cs="Arial"/>
        </w:rPr>
      </w:pPr>
      <w:r w:rsidRPr="00870F44">
        <w:rPr>
          <w:rFonts w:ascii="Arial" w:hAnsi="Arial" w:cs="Arial"/>
        </w:rPr>
        <w:t xml:space="preserve">In 2022, Tesco's current ratio was approximately 0.73, which indicates the retailer's operating means low working </w:t>
      </w:r>
      <w:r w:rsidR="00726B64" w:rsidRPr="00870F44">
        <w:rPr>
          <w:rFonts w:ascii="Arial" w:hAnsi="Arial" w:cs="Arial"/>
        </w:rPr>
        <w:t>capital,</w:t>
      </w:r>
      <w:r w:rsidRPr="00870F44">
        <w:rPr>
          <w:rFonts w:ascii="Arial" w:hAnsi="Arial" w:cs="Arial"/>
        </w:rPr>
        <w:t xml:space="preserve"> and its business model benefits from high turnover of stock along with favourable credit terms extended by suppliers. In 2023, this ratio decreased slightly to 0.71. A current ratio of below 1 would suggest there are liquidity concerns from another industry that runs a positive working capital cycle, meaning the company has cash inflows in the short term from sales but cash outflows or supplier settlements are extended longer than sales in cash (Weetman, 2016). </w:t>
      </w:r>
    </w:p>
    <w:p w14:paraId="110713F9" w14:textId="2E6558DC" w:rsidR="00726B64" w:rsidRDefault="00870F44" w:rsidP="00870F44">
      <w:pPr>
        <w:spacing w:line="480" w:lineRule="auto"/>
        <w:rPr>
          <w:rFonts w:ascii="Arial" w:hAnsi="Arial" w:cs="Arial"/>
        </w:rPr>
      </w:pPr>
      <w:r w:rsidRPr="00870F44">
        <w:rPr>
          <w:rFonts w:ascii="Arial" w:hAnsi="Arial" w:cs="Arial"/>
        </w:rPr>
        <w:t xml:space="preserve">The current financial scenarios despite the slight reduction in ratio, supports the cash flow report to indicate strong operational cash generation (Lawson, 2014) secondly, and as such Tesco has sufficient resources to meet its </w:t>
      </w:r>
      <w:r w:rsidR="00726B64" w:rsidRPr="00870F44">
        <w:rPr>
          <w:rFonts w:ascii="Arial" w:hAnsi="Arial" w:cs="Arial"/>
        </w:rPr>
        <w:t>short-term</w:t>
      </w:r>
      <w:r w:rsidRPr="00870F44">
        <w:rPr>
          <w:rFonts w:ascii="Arial" w:hAnsi="Arial" w:cs="Arial"/>
        </w:rPr>
        <w:t xml:space="preserve"> liabilities and has a structure like normal in the highly competitive grocery market (Choi &amp; Wang, 2009).</w:t>
      </w:r>
    </w:p>
    <w:p w14:paraId="2B76BC85" w14:textId="1FBD07FD" w:rsidR="00726B64" w:rsidRPr="0098190C" w:rsidRDefault="00870F44" w:rsidP="00870F44">
      <w:pPr>
        <w:spacing w:line="480" w:lineRule="auto"/>
        <w:rPr>
          <w:rFonts w:ascii="Arial" w:hAnsi="Arial" w:cs="Arial"/>
          <w:b/>
          <w:bCs/>
          <w:u w:val="thick"/>
        </w:rPr>
      </w:pPr>
      <w:r w:rsidRPr="0098190C">
        <w:rPr>
          <w:rFonts w:ascii="Arial" w:hAnsi="Arial" w:cs="Arial"/>
          <w:b/>
          <w:bCs/>
          <w:u w:val="thick"/>
        </w:rPr>
        <w:t>Quick Ratio</w:t>
      </w:r>
    </w:p>
    <w:p w14:paraId="38E45293" w14:textId="7BA23A56" w:rsidR="00726B64" w:rsidRDefault="00870F44" w:rsidP="00870F44">
      <w:pPr>
        <w:spacing w:line="480" w:lineRule="auto"/>
        <w:rPr>
          <w:rFonts w:ascii="Arial" w:hAnsi="Arial" w:cs="Arial"/>
        </w:rPr>
      </w:pPr>
      <w:r w:rsidRPr="00870F44">
        <w:rPr>
          <w:rFonts w:ascii="Arial" w:hAnsi="Arial" w:cs="Arial"/>
        </w:rPr>
        <w:t xml:space="preserve">Tesco's quick ratio, which excludes the inventory of current assets states a similar reliance on perpetual cash flow to sell the goods. The quick ratio in 2022 was roughly </w:t>
      </w:r>
      <w:r w:rsidR="00726B64" w:rsidRPr="00870F44">
        <w:rPr>
          <w:rFonts w:ascii="Arial" w:hAnsi="Arial" w:cs="Arial"/>
        </w:rPr>
        <w:t>0.58 and</w:t>
      </w:r>
      <w:r w:rsidRPr="00870F44">
        <w:rPr>
          <w:rFonts w:ascii="Arial" w:hAnsi="Arial" w:cs="Arial"/>
        </w:rPr>
        <w:t xml:space="preserve"> slightly decreased to around 0.56 in 2023. The small reduction reflected the increase of inventory value based on inflation of the costs. </w:t>
      </w:r>
      <w:r w:rsidR="00726B64">
        <w:rPr>
          <w:rFonts w:ascii="Arial" w:hAnsi="Arial" w:cs="Arial"/>
        </w:rPr>
        <w:t>L</w:t>
      </w:r>
      <w:r w:rsidRPr="00870F44">
        <w:rPr>
          <w:rFonts w:ascii="Arial" w:hAnsi="Arial" w:cs="Arial"/>
        </w:rPr>
        <w:t>iquidity in the grocery sector will typically be managed based on operational efficiency via use of turnover rather than high cash reserves</w:t>
      </w:r>
      <w:r w:rsidR="00726B64">
        <w:rPr>
          <w:rFonts w:ascii="Arial" w:hAnsi="Arial" w:cs="Arial"/>
        </w:rPr>
        <w:t xml:space="preserve"> (</w:t>
      </w:r>
      <w:r w:rsidR="00726B64" w:rsidRPr="00726B64">
        <w:rPr>
          <w:rFonts w:ascii="Arial" w:hAnsi="Arial" w:cs="Arial"/>
        </w:rPr>
        <w:t>Dyson</w:t>
      </w:r>
      <w:r w:rsidR="00726B64">
        <w:rPr>
          <w:rFonts w:ascii="Arial" w:hAnsi="Arial" w:cs="Arial"/>
        </w:rPr>
        <w:t xml:space="preserve">, </w:t>
      </w:r>
      <w:r w:rsidR="00726B64" w:rsidRPr="00726B64">
        <w:rPr>
          <w:rFonts w:ascii="Arial" w:hAnsi="Arial" w:cs="Arial"/>
        </w:rPr>
        <w:t>2010</w:t>
      </w:r>
      <w:r w:rsidR="00726B64">
        <w:rPr>
          <w:rFonts w:ascii="Arial" w:hAnsi="Arial" w:cs="Arial"/>
        </w:rPr>
        <w:t xml:space="preserve">). </w:t>
      </w:r>
      <w:r w:rsidRPr="00870F44">
        <w:rPr>
          <w:rFonts w:ascii="Arial" w:hAnsi="Arial" w:cs="Arial"/>
        </w:rPr>
        <w:t xml:space="preserve">The drop in liquidity ratios from 2022 and 2023 was </w:t>
      </w:r>
      <w:r w:rsidR="00D144E9" w:rsidRPr="00870F44">
        <w:rPr>
          <w:rFonts w:ascii="Arial" w:hAnsi="Arial" w:cs="Arial"/>
        </w:rPr>
        <w:t>small but</w:t>
      </w:r>
      <w:r w:rsidRPr="00870F44">
        <w:rPr>
          <w:rFonts w:ascii="Arial" w:hAnsi="Arial" w:cs="Arial"/>
        </w:rPr>
        <w:t xml:space="preserve"> should still demonstrate a need for management </w:t>
      </w:r>
      <w:r w:rsidRPr="00870F44">
        <w:rPr>
          <w:rFonts w:ascii="Arial" w:hAnsi="Arial" w:cs="Arial"/>
        </w:rPr>
        <w:lastRenderedPageBreak/>
        <w:t xml:space="preserve">of </w:t>
      </w:r>
      <w:r w:rsidR="00726B64" w:rsidRPr="00870F44">
        <w:rPr>
          <w:rFonts w:ascii="Arial" w:hAnsi="Arial" w:cs="Arial"/>
        </w:rPr>
        <w:t>short-term</w:t>
      </w:r>
      <w:r w:rsidRPr="00870F44">
        <w:rPr>
          <w:rFonts w:ascii="Arial" w:hAnsi="Arial" w:cs="Arial"/>
        </w:rPr>
        <w:t xml:space="preserve"> liabilities </w:t>
      </w:r>
      <w:r w:rsidR="00726B64" w:rsidRPr="00870F44">
        <w:rPr>
          <w:rFonts w:ascii="Arial" w:hAnsi="Arial" w:cs="Arial"/>
        </w:rPr>
        <w:t>under</w:t>
      </w:r>
      <w:r w:rsidRPr="00870F44">
        <w:rPr>
          <w:rFonts w:ascii="Arial" w:hAnsi="Arial" w:cs="Arial"/>
        </w:rPr>
        <w:t xml:space="preserve"> conditions where operational cost or inventory valuation are increasing (Britton, 2013).</w:t>
      </w:r>
    </w:p>
    <w:p w14:paraId="0CDFE33B" w14:textId="77777777" w:rsidR="00726B64" w:rsidRPr="0098190C" w:rsidRDefault="00870F44" w:rsidP="00870F44">
      <w:pPr>
        <w:spacing w:line="480" w:lineRule="auto"/>
        <w:rPr>
          <w:rFonts w:ascii="Arial" w:hAnsi="Arial" w:cs="Arial"/>
          <w:b/>
          <w:bCs/>
          <w:u w:val="thick"/>
        </w:rPr>
      </w:pPr>
      <w:r w:rsidRPr="0098190C">
        <w:rPr>
          <w:rFonts w:ascii="Arial" w:hAnsi="Arial" w:cs="Arial"/>
          <w:b/>
          <w:bCs/>
          <w:u w:val="thick"/>
        </w:rPr>
        <w:t>Efficiency Analysis</w:t>
      </w:r>
    </w:p>
    <w:p w14:paraId="24904EBD" w14:textId="77777777" w:rsidR="00726B64" w:rsidRDefault="00870F44" w:rsidP="00870F44">
      <w:pPr>
        <w:spacing w:line="480" w:lineRule="auto"/>
        <w:rPr>
          <w:rFonts w:ascii="Arial" w:hAnsi="Arial" w:cs="Arial"/>
        </w:rPr>
      </w:pPr>
      <w:r w:rsidRPr="00870F44">
        <w:rPr>
          <w:rFonts w:ascii="Arial" w:hAnsi="Arial" w:cs="Arial"/>
        </w:rPr>
        <w:t>Efficiency ratios measure how well various degrees of the cash position is utili</w:t>
      </w:r>
      <w:r w:rsidR="00726B64">
        <w:rPr>
          <w:rFonts w:ascii="Arial" w:hAnsi="Arial" w:cs="Arial"/>
        </w:rPr>
        <w:t>s</w:t>
      </w:r>
      <w:r w:rsidRPr="00870F44">
        <w:rPr>
          <w:rFonts w:ascii="Arial" w:hAnsi="Arial" w:cs="Arial"/>
        </w:rPr>
        <w:t>ed against the asset and inventory turnover in revenue produced from the sale of goods. The two primary ratios are inventory turnover and asset turnover.</w:t>
      </w:r>
    </w:p>
    <w:p w14:paraId="0310A1C0" w14:textId="31E82B62" w:rsidR="00726B64" w:rsidRPr="0098190C" w:rsidRDefault="00870F44" w:rsidP="00870F44">
      <w:pPr>
        <w:spacing w:line="480" w:lineRule="auto"/>
        <w:rPr>
          <w:rFonts w:ascii="Arial" w:hAnsi="Arial" w:cs="Arial"/>
          <w:b/>
          <w:bCs/>
          <w:u w:val="thick"/>
        </w:rPr>
      </w:pPr>
      <w:r w:rsidRPr="0098190C">
        <w:rPr>
          <w:rFonts w:ascii="Arial" w:hAnsi="Arial" w:cs="Arial"/>
          <w:b/>
          <w:bCs/>
          <w:u w:val="thick"/>
        </w:rPr>
        <w:t>Inventory Turnover</w:t>
      </w:r>
    </w:p>
    <w:p w14:paraId="1A7AB2FA" w14:textId="77777777" w:rsidR="00726B64" w:rsidRDefault="00870F44" w:rsidP="00870F44">
      <w:pPr>
        <w:spacing w:line="480" w:lineRule="auto"/>
        <w:rPr>
          <w:rFonts w:ascii="Arial" w:hAnsi="Arial" w:cs="Arial"/>
        </w:rPr>
      </w:pPr>
      <w:r w:rsidRPr="00870F44">
        <w:rPr>
          <w:rFonts w:ascii="Arial" w:hAnsi="Arial" w:cs="Arial"/>
        </w:rPr>
        <w:t>Inventory turnover is determined by taking the cost of goods sold and dividing that by average inventory. In 2022, Tesco's inventory turned over about 24 times per year, and in 2023, it turned over a little more than 25 times per year. The increase in inventory turnover signals Tesco has improved inventory management which could be attributed to supply chain improvements, as well as the desire to minimi</w:t>
      </w:r>
      <w:r w:rsidR="00726B64">
        <w:rPr>
          <w:rFonts w:ascii="Arial" w:hAnsi="Arial" w:cs="Arial"/>
        </w:rPr>
        <w:t>s</w:t>
      </w:r>
      <w:r w:rsidRPr="00870F44">
        <w:rPr>
          <w:rFonts w:ascii="Arial" w:hAnsi="Arial" w:cs="Arial"/>
        </w:rPr>
        <w:t xml:space="preserve">e holding costs in an inflationary environment (Attrill &amp; McLaney, 2015). </w:t>
      </w:r>
      <w:r w:rsidR="00726B64">
        <w:rPr>
          <w:rFonts w:ascii="Arial" w:hAnsi="Arial" w:cs="Arial"/>
        </w:rPr>
        <w:t>E</w:t>
      </w:r>
      <w:r w:rsidRPr="00870F44">
        <w:rPr>
          <w:rFonts w:ascii="Arial" w:hAnsi="Arial" w:cs="Arial"/>
        </w:rPr>
        <w:t>ffective management of inventory is one of the ways to maintained margins in a low margin industry. Additionally, although inventory was costing more due to inflation, Tesco was able to turn its inventory into sales very quickly, which is a sign of efficient operations. Moreover, as noted by Lucey (2009), management inventory efficiently is critical for minimi</w:t>
      </w:r>
      <w:r w:rsidR="00726B64">
        <w:rPr>
          <w:rFonts w:ascii="Arial" w:hAnsi="Arial" w:cs="Arial"/>
        </w:rPr>
        <w:t>s</w:t>
      </w:r>
      <w:r w:rsidRPr="00870F44">
        <w:rPr>
          <w:rFonts w:ascii="Arial" w:hAnsi="Arial" w:cs="Arial"/>
        </w:rPr>
        <w:t>ing waste, especially within food retailers.</w:t>
      </w:r>
    </w:p>
    <w:p w14:paraId="20B9C654" w14:textId="32D52A77" w:rsidR="00726B64" w:rsidRPr="0098190C" w:rsidRDefault="00870F44" w:rsidP="00870F44">
      <w:pPr>
        <w:spacing w:line="480" w:lineRule="auto"/>
        <w:rPr>
          <w:rFonts w:ascii="Arial" w:hAnsi="Arial" w:cs="Arial"/>
          <w:b/>
          <w:bCs/>
          <w:u w:val="thick"/>
        </w:rPr>
      </w:pPr>
      <w:r w:rsidRPr="0098190C">
        <w:rPr>
          <w:rFonts w:ascii="Arial" w:hAnsi="Arial" w:cs="Arial"/>
          <w:b/>
          <w:bCs/>
          <w:u w:val="thick"/>
        </w:rPr>
        <w:t>Asset Turnover</w:t>
      </w:r>
    </w:p>
    <w:p w14:paraId="60A7AC21" w14:textId="77777777" w:rsidR="00726B64" w:rsidRDefault="00870F44" w:rsidP="00870F44">
      <w:pPr>
        <w:spacing w:line="480" w:lineRule="auto"/>
        <w:rPr>
          <w:rFonts w:ascii="Arial" w:hAnsi="Arial" w:cs="Arial"/>
        </w:rPr>
      </w:pPr>
      <w:r w:rsidRPr="00870F44">
        <w:rPr>
          <w:rFonts w:ascii="Arial" w:hAnsi="Arial" w:cs="Arial"/>
        </w:rPr>
        <w:t>Asset turnover is revenue divided by total assets. It is a measure of how effectively a company generates revenue relative to its asset base. In 2023, Tesco's asset turnover improved from approximately 1.24 to 1.43, suggesting Tesco improved sales in 2023 compared to its asset base. While it is true part of the improvement is due to a reduction of total assets from the pension revaluations and property write-</w:t>
      </w:r>
      <w:r w:rsidRPr="00870F44">
        <w:rPr>
          <w:rFonts w:ascii="Arial" w:hAnsi="Arial" w:cs="Arial"/>
        </w:rPr>
        <w:lastRenderedPageBreak/>
        <w:t>downs (Li, 2023), nevertheless, the greater efficiency is indicated in the ability to generate sales compared to its asset base.</w:t>
      </w:r>
      <w:r w:rsidR="00726B64">
        <w:rPr>
          <w:rFonts w:ascii="Arial" w:hAnsi="Arial" w:cs="Arial"/>
        </w:rPr>
        <w:t xml:space="preserve"> </w:t>
      </w:r>
      <w:r w:rsidRPr="00870F44">
        <w:rPr>
          <w:rFonts w:ascii="Arial" w:hAnsi="Arial" w:cs="Arial"/>
        </w:rPr>
        <w:t>This discovery aligns with accounting theory models that argue that asset turnover is an indicator of operational efficiency and productivity of assets (Kothari, 2001; Weetman, 2016).</w:t>
      </w:r>
    </w:p>
    <w:p w14:paraId="1E53B07C" w14:textId="36CAE53B" w:rsidR="00726B64" w:rsidRPr="0098190C" w:rsidRDefault="00726B64" w:rsidP="00870F44">
      <w:pPr>
        <w:spacing w:line="480" w:lineRule="auto"/>
        <w:rPr>
          <w:rFonts w:ascii="Arial" w:hAnsi="Arial" w:cs="Arial"/>
          <w:b/>
          <w:bCs/>
          <w:u w:val="thick"/>
        </w:rPr>
      </w:pPr>
      <w:r w:rsidRPr="0098190C">
        <w:rPr>
          <w:rFonts w:ascii="Arial" w:hAnsi="Arial" w:cs="Arial"/>
          <w:b/>
          <w:bCs/>
          <w:u w:val="thick"/>
        </w:rPr>
        <w:t>Solvency</w:t>
      </w:r>
      <w:r w:rsidR="00870F44" w:rsidRPr="0098190C">
        <w:rPr>
          <w:rFonts w:ascii="Arial" w:hAnsi="Arial" w:cs="Arial"/>
          <w:b/>
          <w:bCs/>
          <w:u w:val="thick"/>
        </w:rPr>
        <w:t xml:space="preserve"> Analysis</w:t>
      </w:r>
    </w:p>
    <w:p w14:paraId="7DD62694" w14:textId="6F3E1D42" w:rsidR="00726B64" w:rsidRDefault="00726B64" w:rsidP="00870F44">
      <w:pPr>
        <w:spacing w:line="480" w:lineRule="auto"/>
        <w:rPr>
          <w:rFonts w:ascii="Arial" w:hAnsi="Arial" w:cs="Arial"/>
        </w:rPr>
      </w:pPr>
      <w:r>
        <w:rPr>
          <w:rFonts w:ascii="Arial" w:hAnsi="Arial" w:cs="Arial"/>
        </w:rPr>
        <w:t>Solvency</w:t>
      </w:r>
      <w:r w:rsidR="00870F44" w:rsidRPr="00870F44">
        <w:rPr>
          <w:rFonts w:ascii="Arial" w:hAnsi="Arial" w:cs="Arial"/>
        </w:rPr>
        <w:t xml:space="preserve"> ratios </w:t>
      </w:r>
      <w:r w:rsidRPr="00870F44">
        <w:rPr>
          <w:rFonts w:ascii="Arial" w:hAnsi="Arial" w:cs="Arial"/>
        </w:rPr>
        <w:t>give</w:t>
      </w:r>
      <w:r w:rsidR="00870F44" w:rsidRPr="00870F44">
        <w:rPr>
          <w:rFonts w:ascii="Arial" w:hAnsi="Arial" w:cs="Arial"/>
        </w:rPr>
        <w:t xml:space="preserve"> insight into the composition of Tesco’s finances in which debt is compared with equity.</w:t>
      </w:r>
    </w:p>
    <w:p w14:paraId="2AAD1A9A" w14:textId="20C8E5A6" w:rsidR="00726B64" w:rsidRDefault="00870F44" w:rsidP="00870F44">
      <w:pPr>
        <w:spacing w:line="480" w:lineRule="auto"/>
        <w:rPr>
          <w:rFonts w:ascii="Arial" w:hAnsi="Arial" w:cs="Arial"/>
        </w:rPr>
      </w:pPr>
      <w:r w:rsidRPr="0098190C">
        <w:rPr>
          <w:rFonts w:ascii="Arial" w:hAnsi="Arial" w:cs="Arial"/>
          <w:b/>
          <w:bCs/>
          <w:u w:val="thick"/>
        </w:rPr>
        <w:t>Debt-to-Equity Ratio</w:t>
      </w:r>
    </w:p>
    <w:p w14:paraId="087AE620" w14:textId="77777777" w:rsidR="00726B64" w:rsidRDefault="00870F44" w:rsidP="00870F44">
      <w:pPr>
        <w:spacing w:line="480" w:lineRule="auto"/>
        <w:rPr>
          <w:rFonts w:ascii="Arial" w:hAnsi="Arial" w:cs="Arial"/>
        </w:rPr>
      </w:pPr>
      <w:r w:rsidRPr="00870F44">
        <w:rPr>
          <w:rFonts w:ascii="Arial" w:hAnsi="Arial" w:cs="Arial"/>
        </w:rPr>
        <w:t xml:space="preserve">In 2022 Tesco had a debt-to-equity ratio of about 0.47 however in 2023 this increased to approximate to a 0.60. This increased ratio is realistically due to a reduction in the shareholders’ equity from a decrease in the distribution of dividends, share buybacks, and a significant pension revaluation. An increase in the debt-to-equity ratio shows that the firm has become more reliant on finance and will risk its financial risk (Drury, 2020). Such findings have been seen in corporate finance studies (Ohlson, 1995; SANGWA, 2017), where higher </w:t>
      </w:r>
      <w:r w:rsidR="00726B64">
        <w:rPr>
          <w:rFonts w:ascii="Arial" w:hAnsi="Arial" w:cs="Arial"/>
        </w:rPr>
        <w:t>solvency</w:t>
      </w:r>
      <w:r w:rsidRPr="00870F44">
        <w:rPr>
          <w:rFonts w:ascii="Arial" w:hAnsi="Arial" w:cs="Arial"/>
        </w:rPr>
        <w:t xml:space="preserve"> reduce the financial flexibility in times of turbulence.</w:t>
      </w:r>
      <w:r w:rsidR="00726B64">
        <w:rPr>
          <w:rFonts w:ascii="Arial" w:hAnsi="Arial" w:cs="Arial"/>
        </w:rPr>
        <w:t xml:space="preserve"> </w:t>
      </w:r>
    </w:p>
    <w:p w14:paraId="0895247B" w14:textId="561EC348" w:rsidR="00726B64" w:rsidRPr="0098190C" w:rsidRDefault="00870F44" w:rsidP="00870F44">
      <w:pPr>
        <w:spacing w:line="480" w:lineRule="auto"/>
        <w:rPr>
          <w:rFonts w:ascii="Arial" w:hAnsi="Arial" w:cs="Arial"/>
          <w:b/>
          <w:bCs/>
          <w:u w:val="thick"/>
        </w:rPr>
      </w:pPr>
      <w:r w:rsidRPr="0098190C">
        <w:rPr>
          <w:rFonts w:ascii="Arial" w:hAnsi="Arial" w:cs="Arial"/>
          <w:b/>
          <w:bCs/>
          <w:u w:val="thick"/>
        </w:rPr>
        <w:t>Interest Cover</w:t>
      </w:r>
    </w:p>
    <w:p w14:paraId="2CA9FDB0" w14:textId="77777777" w:rsidR="00726B64" w:rsidRDefault="00870F44" w:rsidP="00870F44">
      <w:pPr>
        <w:spacing w:line="480" w:lineRule="auto"/>
        <w:rPr>
          <w:rFonts w:ascii="Arial" w:hAnsi="Arial" w:cs="Arial"/>
        </w:rPr>
      </w:pPr>
      <w:r w:rsidRPr="00870F44">
        <w:rPr>
          <w:rFonts w:ascii="Arial" w:hAnsi="Arial" w:cs="Arial"/>
        </w:rPr>
        <w:t xml:space="preserve">Interest cover has decreased also in 2023. In 2022, Tesco’s operating profit was about 4.6 times the level of interest cover meaning the company could comfortably pay the interest. In 2023, this level of coverage dropped to about 2.5 times demonstrating that declining operating profit </w:t>
      </w:r>
      <w:r w:rsidR="00726B64" w:rsidRPr="00870F44">
        <w:rPr>
          <w:rFonts w:ascii="Arial" w:hAnsi="Arial" w:cs="Arial"/>
        </w:rPr>
        <w:t>because of</w:t>
      </w:r>
      <w:r w:rsidRPr="00870F44">
        <w:rPr>
          <w:rFonts w:ascii="Arial" w:hAnsi="Arial" w:cs="Arial"/>
        </w:rPr>
        <w:t xml:space="preserve"> higher costs and exceptional charges resulted in the deteriorating functional aspect of equity financing debt.</w:t>
      </w:r>
      <w:r w:rsidR="00726B64">
        <w:rPr>
          <w:rFonts w:ascii="Arial" w:hAnsi="Arial" w:cs="Arial"/>
        </w:rPr>
        <w:t xml:space="preserve"> </w:t>
      </w:r>
      <w:r w:rsidRPr="00870F44">
        <w:rPr>
          <w:rFonts w:ascii="Arial" w:hAnsi="Arial" w:cs="Arial"/>
        </w:rPr>
        <w:t xml:space="preserve">Low interest coverage indicates, a warning sign, which if the trend were to continue could indicate possible difficulties in managing the risks associated with high leveraging </w:t>
      </w:r>
      <w:r w:rsidRPr="00870F44">
        <w:rPr>
          <w:rFonts w:ascii="Arial" w:hAnsi="Arial" w:cs="Arial"/>
        </w:rPr>
        <w:lastRenderedPageBreak/>
        <w:t>(Walls et al., 2012; Choi &amp; Wang, 2009). Hence there is a need for Tesco to manage its capital structure wisely while trying to enhance earnings.</w:t>
      </w:r>
    </w:p>
    <w:p w14:paraId="1F4AB1C5" w14:textId="77777777" w:rsidR="00726B64" w:rsidRPr="0098190C" w:rsidRDefault="00870F44" w:rsidP="00870F44">
      <w:pPr>
        <w:spacing w:line="480" w:lineRule="auto"/>
        <w:rPr>
          <w:rFonts w:ascii="Arial" w:hAnsi="Arial" w:cs="Arial"/>
          <w:b/>
          <w:bCs/>
          <w:u w:val="thick"/>
        </w:rPr>
      </w:pPr>
      <w:r w:rsidRPr="0098190C">
        <w:rPr>
          <w:rFonts w:ascii="Arial" w:hAnsi="Arial" w:cs="Arial"/>
          <w:b/>
          <w:bCs/>
          <w:u w:val="thick"/>
        </w:rPr>
        <w:t>Recommendations for</w:t>
      </w:r>
      <w:r w:rsidR="00726B64" w:rsidRPr="0098190C">
        <w:rPr>
          <w:rFonts w:ascii="Arial" w:hAnsi="Arial" w:cs="Arial"/>
          <w:b/>
          <w:bCs/>
          <w:u w:val="thick"/>
        </w:rPr>
        <w:t xml:space="preserve"> </w:t>
      </w:r>
      <w:r w:rsidRPr="0098190C">
        <w:rPr>
          <w:rFonts w:ascii="Arial" w:hAnsi="Arial" w:cs="Arial"/>
          <w:b/>
          <w:bCs/>
          <w:u w:val="thick"/>
        </w:rPr>
        <w:t xml:space="preserve">Improvements </w:t>
      </w:r>
    </w:p>
    <w:p w14:paraId="1B89DECC" w14:textId="1334E897" w:rsidR="00D144E9" w:rsidRDefault="00870F44" w:rsidP="00870F44">
      <w:pPr>
        <w:spacing w:line="480" w:lineRule="auto"/>
        <w:rPr>
          <w:rFonts w:ascii="Arial" w:hAnsi="Arial" w:cs="Arial"/>
        </w:rPr>
      </w:pPr>
      <w:r w:rsidRPr="00870F44">
        <w:rPr>
          <w:rFonts w:ascii="Arial" w:hAnsi="Arial" w:cs="Arial"/>
        </w:rPr>
        <w:t xml:space="preserve">From this analysis </w:t>
      </w:r>
      <w:r w:rsidR="00D144E9" w:rsidRPr="00870F44">
        <w:rPr>
          <w:rFonts w:ascii="Arial" w:hAnsi="Arial" w:cs="Arial"/>
        </w:rPr>
        <w:t>several</w:t>
      </w:r>
      <w:r w:rsidRPr="00870F44">
        <w:rPr>
          <w:rFonts w:ascii="Arial" w:hAnsi="Arial" w:cs="Arial"/>
        </w:rPr>
        <w:t xml:space="preserve"> recommendations can be made to help capture better financial performance and sustainability for Tesco in the future:</w:t>
      </w:r>
    </w:p>
    <w:p w14:paraId="3EF87D7F" w14:textId="77777777" w:rsidR="00D144E9" w:rsidRPr="0098190C" w:rsidRDefault="00D144E9" w:rsidP="00870F44">
      <w:pPr>
        <w:spacing w:line="480" w:lineRule="auto"/>
        <w:rPr>
          <w:rFonts w:ascii="Arial" w:hAnsi="Arial" w:cs="Arial"/>
          <w:b/>
          <w:bCs/>
          <w:u w:val="thick"/>
        </w:rPr>
      </w:pPr>
      <w:r w:rsidRPr="0098190C">
        <w:rPr>
          <w:rFonts w:ascii="Arial" w:hAnsi="Arial" w:cs="Arial"/>
          <w:b/>
          <w:bCs/>
          <w:u w:val="thick"/>
        </w:rPr>
        <w:t>I</w:t>
      </w:r>
      <w:r w:rsidR="00870F44" w:rsidRPr="0098190C">
        <w:rPr>
          <w:rFonts w:ascii="Arial" w:hAnsi="Arial" w:cs="Arial"/>
          <w:b/>
          <w:bCs/>
          <w:u w:val="thick"/>
        </w:rPr>
        <w:t>mprove Cost Efficiency and Control</w:t>
      </w:r>
    </w:p>
    <w:p w14:paraId="493B1DCF" w14:textId="77777777" w:rsidR="00D144E9" w:rsidRDefault="00870F44" w:rsidP="00870F44">
      <w:pPr>
        <w:spacing w:line="480" w:lineRule="auto"/>
        <w:rPr>
          <w:rFonts w:ascii="Arial" w:hAnsi="Arial" w:cs="Arial"/>
        </w:rPr>
      </w:pPr>
      <w:r w:rsidRPr="00870F44">
        <w:rPr>
          <w:rFonts w:ascii="Arial" w:hAnsi="Arial" w:cs="Arial"/>
        </w:rPr>
        <w:t xml:space="preserve">Tesco should invest more in automation and in the lean process to enhance efficiency in its supply chain and stores. This would help cushion the effects of rising operating </w:t>
      </w:r>
      <w:r w:rsidR="00D144E9" w:rsidRPr="00870F44">
        <w:rPr>
          <w:rFonts w:ascii="Arial" w:hAnsi="Arial" w:cs="Arial"/>
        </w:rPr>
        <w:t>costs and</w:t>
      </w:r>
      <w:r w:rsidRPr="00870F44">
        <w:rPr>
          <w:rFonts w:ascii="Arial" w:hAnsi="Arial" w:cs="Arial"/>
        </w:rPr>
        <w:t xml:space="preserve"> potentially allow for the reduction in effect of inflation (Drury, 2020; Attrill &amp; McLaney, 2015). Energy efficiency and waste reduction initiatives will contribute </w:t>
      </w:r>
      <w:r w:rsidR="00D144E9" w:rsidRPr="00870F44">
        <w:rPr>
          <w:rFonts w:ascii="Arial" w:hAnsi="Arial" w:cs="Arial"/>
        </w:rPr>
        <w:t>to</w:t>
      </w:r>
      <w:r w:rsidRPr="00870F44">
        <w:rPr>
          <w:rFonts w:ascii="Arial" w:hAnsi="Arial" w:cs="Arial"/>
        </w:rPr>
        <w:t xml:space="preserve"> the reduction of overheads (Lawson, 2014).</w:t>
      </w:r>
    </w:p>
    <w:p w14:paraId="7459480D" w14:textId="77777777" w:rsidR="00D144E9" w:rsidRPr="0098190C" w:rsidRDefault="00870F44" w:rsidP="00870F44">
      <w:pPr>
        <w:spacing w:line="480" w:lineRule="auto"/>
        <w:rPr>
          <w:rFonts w:ascii="Arial" w:hAnsi="Arial" w:cs="Arial"/>
          <w:b/>
          <w:bCs/>
          <w:u w:val="thick"/>
        </w:rPr>
      </w:pPr>
      <w:r w:rsidRPr="0098190C">
        <w:rPr>
          <w:rFonts w:ascii="Arial" w:hAnsi="Arial" w:cs="Arial"/>
          <w:b/>
          <w:bCs/>
          <w:u w:val="thick"/>
        </w:rPr>
        <w:t>Improve</w:t>
      </w:r>
      <w:r w:rsidR="00D144E9" w:rsidRPr="0098190C">
        <w:rPr>
          <w:rFonts w:ascii="Arial" w:hAnsi="Arial" w:cs="Arial"/>
          <w:b/>
          <w:bCs/>
          <w:u w:val="thick"/>
        </w:rPr>
        <w:t xml:space="preserve"> </w:t>
      </w:r>
      <w:r w:rsidRPr="0098190C">
        <w:rPr>
          <w:rFonts w:ascii="Arial" w:hAnsi="Arial" w:cs="Arial"/>
          <w:b/>
          <w:bCs/>
          <w:u w:val="thick"/>
        </w:rPr>
        <w:t>Product and Pricing Strategies</w:t>
      </w:r>
    </w:p>
    <w:p w14:paraId="0BB6536B" w14:textId="729BA21B" w:rsidR="00D144E9" w:rsidRDefault="00870F44" w:rsidP="00870F44">
      <w:pPr>
        <w:spacing w:line="480" w:lineRule="auto"/>
        <w:rPr>
          <w:rFonts w:ascii="Arial" w:hAnsi="Arial" w:cs="Arial"/>
        </w:rPr>
      </w:pPr>
      <w:r w:rsidRPr="00870F44">
        <w:rPr>
          <w:rFonts w:ascii="Arial" w:hAnsi="Arial" w:cs="Arial"/>
        </w:rPr>
        <w:t xml:space="preserve">By focusing on encouraging the sale of high margin items, with </w:t>
      </w:r>
      <w:r w:rsidR="00D144E9" w:rsidRPr="00870F44">
        <w:rPr>
          <w:rFonts w:ascii="Arial" w:hAnsi="Arial" w:cs="Arial"/>
        </w:rPr>
        <w:t>analysis-based</w:t>
      </w:r>
      <w:r w:rsidRPr="00870F44">
        <w:rPr>
          <w:rFonts w:ascii="Arial" w:hAnsi="Arial" w:cs="Arial"/>
        </w:rPr>
        <w:t xml:space="preserve"> customer segments, promotional and targeted marketing audience</w:t>
      </w:r>
      <w:r w:rsidR="00D144E9">
        <w:rPr>
          <w:rFonts w:ascii="Arial" w:hAnsi="Arial" w:cs="Arial"/>
        </w:rPr>
        <w:t xml:space="preserve"> (</w:t>
      </w:r>
      <w:proofErr w:type="spellStart"/>
      <w:r w:rsidRPr="00870F44">
        <w:rPr>
          <w:rFonts w:ascii="Arial" w:hAnsi="Arial" w:cs="Arial"/>
        </w:rPr>
        <w:t>Drangin</w:t>
      </w:r>
      <w:proofErr w:type="spellEnd"/>
      <w:r w:rsidRPr="00870F44">
        <w:rPr>
          <w:rFonts w:ascii="Arial" w:hAnsi="Arial" w:cs="Arial"/>
        </w:rPr>
        <w:t xml:space="preserve">, 2007) </w:t>
      </w:r>
      <w:r w:rsidR="00D144E9">
        <w:rPr>
          <w:rFonts w:ascii="Arial" w:hAnsi="Arial" w:cs="Arial"/>
        </w:rPr>
        <w:t>Tesco</w:t>
      </w:r>
      <w:r w:rsidRPr="00870F44">
        <w:rPr>
          <w:rFonts w:ascii="Arial" w:hAnsi="Arial" w:cs="Arial"/>
        </w:rPr>
        <w:t xml:space="preserve"> can improve its profitability with the intention to not engineer an unfavourable position with price sensitive consumers. Data analysis systems will underpin such initiatives as Tesco relies on dynamic and sustainable pricing and promotional initiatives of products (Kumar et al., 2014; Choi &amp; Wang, 2009). </w:t>
      </w:r>
    </w:p>
    <w:p w14:paraId="365A6F4A" w14:textId="77777777" w:rsidR="00D144E9" w:rsidRPr="0098190C" w:rsidRDefault="00870F44" w:rsidP="00870F44">
      <w:pPr>
        <w:spacing w:line="480" w:lineRule="auto"/>
        <w:rPr>
          <w:rFonts w:ascii="Arial" w:hAnsi="Arial" w:cs="Arial"/>
          <w:b/>
          <w:bCs/>
          <w:u w:val="thick"/>
        </w:rPr>
      </w:pPr>
      <w:r w:rsidRPr="0098190C">
        <w:rPr>
          <w:rFonts w:ascii="Arial" w:hAnsi="Arial" w:cs="Arial"/>
          <w:b/>
          <w:bCs/>
          <w:u w:val="thick"/>
        </w:rPr>
        <w:t xml:space="preserve">Improving Capital structure Management </w:t>
      </w:r>
    </w:p>
    <w:p w14:paraId="211B406E" w14:textId="77777777" w:rsidR="00D144E9" w:rsidRDefault="00870F44" w:rsidP="00870F44">
      <w:pPr>
        <w:spacing w:line="480" w:lineRule="auto"/>
        <w:rPr>
          <w:rFonts w:ascii="Arial" w:hAnsi="Arial" w:cs="Arial"/>
        </w:rPr>
      </w:pPr>
      <w:r w:rsidRPr="00870F44">
        <w:rPr>
          <w:rFonts w:ascii="Arial" w:hAnsi="Arial" w:cs="Arial"/>
        </w:rPr>
        <w:t xml:space="preserve">Tesco may consider lessening dividend pay-out and share buybacks until profits stabilise to manage rising </w:t>
      </w:r>
      <w:r w:rsidR="00D144E9">
        <w:rPr>
          <w:rFonts w:ascii="Arial" w:hAnsi="Arial" w:cs="Arial"/>
        </w:rPr>
        <w:t>solvency</w:t>
      </w:r>
      <w:r w:rsidRPr="00870F44">
        <w:rPr>
          <w:rFonts w:ascii="Arial" w:hAnsi="Arial" w:cs="Arial"/>
        </w:rPr>
        <w:t>. Less debt equals lower debt to equity and better interest cover thus reducing financial risk (Ohlson, 1995; SANGWA, 2017).</w:t>
      </w:r>
    </w:p>
    <w:p w14:paraId="78ADF76C" w14:textId="77777777" w:rsidR="00D144E9" w:rsidRDefault="00D144E9" w:rsidP="00870F44">
      <w:pPr>
        <w:spacing w:line="480" w:lineRule="auto"/>
        <w:rPr>
          <w:rFonts w:ascii="Arial" w:hAnsi="Arial" w:cs="Arial"/>
        </w:rPr>
      </w:pPr>
    </w:p>
    <w:p w14:paraId="28EC0F9E" w14:textId="031FDEAB" w:rsidR="00D144E9" w:rsidRPr="0098190C" w:rsidRDefault="00870F44" w:rsidP="00870F44">
      <w:pPr>
        <w:spacing w:line="480" w:lineRule="auto"/>
        <w:rPr>
          <w:rFonts w:ascii="Arial" w:hAnsi="Arial" w:cs="Arial"/>
          <w:b/>
          <w:bCs/>
          <w:u w:val="thick"/>
        </w:rPr>
      </w:pPr>
      <w:r w:rsidRPr="0098190C">
        <w:rPr>
          <w:rFonts w:ascii="Arial" w:hAnsi="Arial" w:cs="Arial"/>
          <w:b/>
          <w:bCs/>
          <w:u w:val="thick"/>
        </w:rPr>
        <w:lastRenderedPageBreak/>
        <w:t>Sustainability and Operating Efficiency</w:t>
      </w:r>
    </w:p>
    <w:p w14:paraId="3FE0932D" w14:textId="77777777" w:rsidR="00D144E9" w:rsidRDefault="00870F44" w:rsidP="00870F44">
      <w:pPr>
        <w:spacing w:line="480" w:lineRule="auto"/>
        <w:rPr>
          <w:rFonts w:ascii="Arial" w:hAnsi="Arial" w:cs="Arial"/>
        </w:rPr>
      </w:pPr>
      <w:r w:rsidRPr="00870F44">
        <w:rPr>
          <w:rFonts w:ascii="Arial" w:hAnsi="Arial" w:cs="Arial"/>
        </w:rPr>
        <w:t xml:space="preserve">Continued investment in sustainable technologies for long-term, cost and income savings will ultimately improve the brand perception over time. Energy management improvements, in stores and food waste reduction objectives should be prioritised to help with positive environmental and firm performance objectives (Walls et al., 2012; Lucey, 2009). </w:t>
      </w:r>
    </w:p>
    <w:p w14:paraId="69A239FD" w14:textId="77777777" w:rsidR="00D144E9" w:rsidRDefault="00D144E9" w:rsidP="00870F44">
      <w:pPr>
        <w:spacing w:line="480" w:lineRule="auto"/>
        <w:rPr>
          <w:rFonts w:ascii="Arial" w:hAnsi="Arial" w:cs="Arial"/>
        </w:rPr>
      </w:pPr>
    </w:p>
    <w:p w14:paraId="429B3CEE" w14:textId="77777777" w:rsidR="00D144E9" w:rsidRDefault="00D144E9" w:rsidP="00870F44">
      <w:pPr>
        <w:spacing w:line="480" w:lineRule="auto"/>
        <w:rPr>
          <w:rFonts w:ascii="Arial" w:hAnsi="Arial" w:cs="Arial"/>
        </w:rPr>
      </w:pPr>
    </w:p>
    <w:p w14:paraId="58596458" w14:textId="77777777" w:rsidR="00D144E9" w:rsidRDefault="00D144E9" w:rsidP="00870F44">
      <w:pPr>
        <w:spacing w:line="480" w:lineRule="auto"/>
        <w:rPr>
          <w:rFonts w:ascii="Arial" w:hAnsi="Arial" w:cs="Arial"/>
        </w:rPr>
      </w:pPr>
    </w:p>
    <w:p w14:paraId="4CE31E60" w14:textId="77777777" w:rsidR="00D144E9" w:rsidRDefault="00D144E9" w:rsidP="00870F44">
      <w:pPr>
        <w:spacing w:line="480" w:lineRule="auto"/>
        <w:rPr>
          <w:rFonts w:ascii="Arial" w:hAnsi="Arial" w:cs="Arial"/>
        </w:rPr>
      </w:pPr>
    </w:p>
    <w:p w14:paraId="6D64CD07" w14:textId="77777777" w:rsidR="00D144E9" w:rsidRDefault="00D144E9" w:rsidP="00870F44">
      <w:pPr>
        <w:spacing w:line="480" w:lineRule="auto"/>
        <w:rPr>
          <w:rFonts w:ascii="Arial" w:hAnsi="Arial" w:cs="Arial"/>
        </w:rPr>
      </w:pPr>
    </w:p>
    <w:p w14:paraId="4619D2B0" w14:textId="77777777" w:rsidR="00D144E9" w:rsidRDefault="00D144E9" w:rsidP="00870F44">
      <w:pPr>
        <w:spacing w:line="480" w:lineRule="auto"/>
        <w:rPr>
          <w:rFonts w:ascii="Arial" w:hAnsi="Arial" w:cs="Arial"/>
        </w:rPr>
      </w:pPr>
    </w:p>
    <w:p w14:paraId="12BA6045" w14:textId="77777777" w:rsidR="00D144E9" w:rsidRDefault="00D144E9" w:rsidP="00870F44">
      <w:pPr>
        <w:spacing w:line="480" w:lineRule="auto"/>
        <w:rPr>
          <w:rFonts w:ascii="Arial" w:hAnsi="Arial" w:cs="Arial"/>
        </w:rPr>
      </w:pPr>
    </w:p>
    <w:p w14:paraId="4D736E2C" w14:textId="77777777" w:rsidR="00D144E9" w:rsidRDefault="00D144E9" w:rsidP="00870F44">
      <w:pPr>
        <w:spacing w:line="480" w:lineRule="auto"/>
        <w:rPr>
          <w:rFonts w:ascii="Arial" w:hAnsi="Arial" w:cs="Arial"/>
        </w:rPr>
      </w:pPr>
    </w:p>
    <w:p w14:paraId="70216112" w14:textId="77777777" w:rsidR="00D144E9" w:rsidRDefault="00D144E9" w:rsidP="00870F44">
      <w:pPr>
        <w:spacing w:line="480" w:lineRule="auto"/>
        <w:rPr>
          <w:rFonts w:ascii="Arial" w:hAnsi="Arial" w:cs="Arial"/>
        </w:rPr>
      </w:pPr>
    </w:p>
    <w:p w14:paraId="4D66B3E2" w14:textId="77777777" w:rsidR="00D144E9" w:rsidRDefault="00D144E9" w:rsidP="00870F44">
      <w:pPr>
        <w:spacing w:line="480" w:lineRule="auto"/>
        <w:rPr>
          <w:rFonts w:ascii="Arial" w:hAnsi="Arial" w:cs="Arial"/>
        </w:rPr>
      </w:pPr>
    </w:p>
    <w:p w14:paraId="0F1A155B" w14:textId="77777777" w:rsidR="00D144E9" w:rsidRDefault="00D144E9" w:rsidP="00870F44">
      <w:pPr>
        <w:spacing w:line="480" w:lineRule="auto"/>
        <w:rPr>
          <w:rFonts w:ascii="Arial" w:hAnsi="Arial" w:cs="Arial"/>
        </w:rPr>
      </w:pPr>
    </w:p>
    <w:p w14:paraId="2501CDFA" w14:textId="77777777" w:rsidR="00D144E9" w:rsidRDefault="00D144E9" w:rsidP="00870F44">
      <w:pPr>
        <w:spacing w:line="480" w:lineRule="auto"/>
        <w:rPr>
          <w:rFonts w:ascii="Arial" w:hAnsi="Arial" w:cs="Arial"/>
        </w:rPr>
      </w:pPr>
    </w:p>
    <w:p w14:paraId="47DCC36A" w14:textId="77777777" w:rsidR="00D144E9" w:rsidRDefault="00D144E9" w:rsidP="00870F44">
      <w:pPr>
        <w:spacing w:line="480" w:lineRule="auto"/>
        <w:rPr>
          <w:rFonts w:ascii="Arial" w:hAnsi="Arial" w:cs="Arial"/>
        </w:rPr>
      </w:pPr>
    </w:p>
    <w:p w14:paraId="1DFDCC29" w14:textId="77777777" w:rsidR="00D144E9" w:rsidRDefault="00D144E9" w:rsidP="00870F44">
      <w:pPr>
        <w:spacing w:line="480" w:lineRule="auto"/>
        <w:rPr>
          <w:rFonts w:ascii="Arial" w:hAnsi="Arial" w:cs="Arial"/>
        </w:rPr>
      </w:pPr>
    </w:p>
    <w:p w14:paraId="198E7A58" w14:textId="77777777" w:rsidR="00D144E9" w:rsidRDefault="00D144E9" w:rsidP="00870F44">
      <w:pPr>
        <w:spacing w:line="480" w:lineRule="auto"/>
        <w:rPr>
          <w:rFonts w:ascii="Arial" w:hAnsi="Arial" w:cs="Arial"/>
        </w:rPr>
      </w:pPr>
    </w:p>
    <w:p w14:paraId="607C88CC" w14:textId="2498EB7A" w:rsidR="00D144E9" w:rsidRPr="0098190C" w:rsidRDefault="00870F44" w:rsidP="00870F44">
      <w:pPr>
        <w:spacing w:line="480" w:lineRule="auto"/>
        <w:rPr>
          <w:rFonts w:ascii="Arial" w:hAnsi="Arial" w:cs="Arial"/>
          <w:b/>
          <w:bCs/>
          <w:u w:val="thick"/>
        </w:rPr>
      </w:pPr>
      <w:r w:rsidRPr="0098190C">
        <w:rPr>
          <w:rFonts w:ascii="Arial" w:hAnsi="Arial" w:cs="Arial"/>
          <w:b/>
          <w:bCs/>
          <w:u w:val="thick"/>
        </w:rPr>
        <w:lastRenderedPageBreak/>
        <w:t xml:space="preserve">Conclusion </w:t>
      </w:r>
    </w:p>
    <w:p w14:paraId="0A16B198" w14:textId="77777777" w:rsidR="00D144E9" w:rsidRDefault="00870F44" w:rsidP="00870F44">
      <w:pPr>
        <w:spacing w:line="480" w:lineRule="auto"/>
        <w:rPr>
          <w:rFonts w:ascii="Arial" w:hAnsi="Arial" w:cs="Arial"/>
        </w:rPr>
      </w:pPr>
      <w:r w:rsidRPr="00870F44">
        <w:rPr>
          <w:rFonts w:ascii="Arial" w:hAnsi="Arial" w:cs="Arial"/>
        </w:rPr>
        <w:t xml:space="preserve">The ratio analysis of Tesco’s performance in (2022 and 2023) presents a mixed scenario. However, performance efficiency ratios (inventory and assets turnover) have improved, suggesting a strong management operational, whilst profitability and liquidity ratios have declined with increased operating costs; inflationary costs and strategic decision to absorb some costs to preserve market share (Bright &amp; Herbert, 1990; Dragun, 2007). Increased gearing and decreasing interest coverage performance also demonstrates financial pressure that could prove challenging to firm sustainability if they persist indefinitely. Based on the above analysis, it certainly will take strategic enhancement in </w:t>
      </w:r>
      <w:r w:rsidR="00D144E9" w:rsidRPr="00870F44">
        <w:rPr>
          <w:rFonts w:ascii="Arial" w:hAnsi="Arial" w:cs="Arial"/>
        </w:rPr>
        <w:t>managing</w:t>
      </w:r>
      <w:r w:rsidRPr="00870F44">
        <w:rPr>
          <w:rFonts w:ascii="Arial" w:hAnsi="Arial" w:cs="Arial"/>
        </w:rPr>
        <w:t xml:space="preserve"> cost, capital and sustainability factors for Tesco to remain competitive in the medium and longer term. </w:t>
      </w:r>
    </w:p>
    <w:p w14:paraId="65A8FBF9" w14:textId="486D6B9A" w:rsidR="00870F44" w:rsidRDefault="00870F44" w:rsidP="00870F44">
      <w:pPr>
        <w:spacing w:line="480" w:lineRule="auto"/>
        <w:rPr>
          <w:rFonts w:ascii="Arial" w:hAnsi="Arial" w:cs="Arial"/>
        </w:rPr>
      </w:pPr>
      <w:r w:rsidRPr="00870F44">
        <w:rPr>
          <w:rFonts w:ascii="Arial" w:hAnsi="Arial" w:cs="Arial"/>
        </w:rPr>
        <w:t>This ratio analysis has proven a useful tool to help navigate a complex finance environment, and systematically analysis into information that is financially sound to drivers operational and strategic decision making (</w:t>
      </w:r>
      <w:proofErr w:type="spellStart"/>
      <w:r w:rsidRPr="00870F44">
        <w:rPr>
          <w:rFonts w:ascii="Arial" w:hAnsi="Arial" w:cs="Arial"/>
        </w:rPr>
        <w:t>Yhip</w:t>
      </w:r>
      <w:proofErr w:type="spellEnd"/>
      <w:r w:rsidRPr="00870F44">
        <w:rPr>
          <w:rFonts w:ascii="Arial" w:hAnsi="Arial" w:cs="Arial"/>
        </w:rPr>
        <w:t xml:space="preserve"> et al., 2020; Weetman, 2016). In summary, managing cost efficiencies, improving product mix, managing capital structure, and maintaining an ongoing investment in sustainability will enable </w:t>
      </w:r>
      <w:r w:rsidR="00D144E9">
        <w:rPr>
          <w:rFonts w:ascii="Arial" w:hAnsi="Arial" w:cs="Arial"/>
        </w:rPr>
        <w:t>Tesco</w:t>
      </w:r>
      <w:r w:rsidRPr="00870F44">
        <w:rPr>
          <w:rFonts w:ascii="Arial" w:hAnsi="Arial" w:cs="Arial"/>
        </w:rPr>
        <w:t xml:space="preserve"> to recover profitability marginals while retaining its operational flexibility throughout challenging economic conditions</w:t>
      </w:r>
      <w:r w:rsidR="00D144E9">
        <w:rPr>
          <w:rFonts w:ascii="Arial" w:hAnsi="Arial" w:cs="Arial"/>
        </w:rPr>
        <w:t>.</w:t>
      </w:r>
    </w:p>
    <w:p w14:paraId="46FC7017" w14:textId="77777777" w:rsidR="0098190C" w:rsidRDefault="0098190C" w:rsidP="00870F44">
      <w:pPr>
        <w:spacing w:line="480" w:lineRule="auto"/>
        <w:rPr>
          <w:rFonts w:ascii="Arial" w:hAnsi="Arial" w:cs="Arial"/>
        </w:rPr>
      </w:pPr>
    </w:p>
    <w:p w14:paraId="09117A79" w14:textId="77777777" w:rsidR="0098190C" w:rsidRDefault="0098190C" w:rsidP="00870F44">
      <w:pPr>
        <w:spacing w:line="480" w:lineRule="auto"/>
        <w:rPr>
          <w:rFonts w:ascii="Arial" w:hAnsi="Arial" w:cs="Arial"/>
        </w:rPr>
      </w:pPr>
    </w:p>
    <w:p w14:paraId="164C0CE5" w14:textId="77777777" w:rsidR="0098190C" w:rsidRDefault="0098190C" w:rsidP="00870F44">
      <w:pPr>
        <w:spacing w:line="480" w:lineRule="auto"/>
        <w:rPr>
          <w:rFonts w:ascii="Arial" w:hAnsi="Arial" w:cs="Arial"/>
        </w:rPr>
      </w:pPr>
    </w:p>
    <w:p w14:paraId="101F54E6" w14:textId="77777777" w:rsidR="0098190C" w:rsidRDefault="0098190C" w:rsidP="00870F44">
      <w:pPr>
        <w:spacing w:line="480" w:lineRule="auto"/>
        <w:rPr>
          <w:rFonts w:ascii="Arial" w:hAnsi="Arial" w:cs="Arial"/>
        </w:rPr>
      </w:pPr>
    </w:p>
    <w:p w14:paraId="214A99FC" w14:textId="77777777" w:rsidR="0098190C" w:rsidRDefault="0098190C" w:rsidP="00870F44">
      <w:pPr>
        <w:spacing w:line="480" w:lineRule="auto"/>
        <w:rPr>
          <w:rFonts w:ascii="Arial" w:hAnsi="Arial" w:cs="Arial"/>
        </w:rPr>
      </w:pPr>
    </w:p>
    <w:p w14:paraId="5A2C15FA" w14:textId="57C61F8B" w:rsidR="0098190C" w:rsidRPr="00D04633" w:rsidRDefault="0098190C" w:rsidP="00870F44">
      <w:pPr>
        <w:spacing w:line="480" w:lineRule="auto"/>
        <w:rPr>
          <w:rFonts w:ascii="Arial" w:hAnsi="Arial" w:cs="Arial"/>
          <w:b/>
          <w:bCs/>
          <w:u w:val="thick"/>
        </w:rPr>
      </w:pPr>
      <w:r w:rsidRPr="00D04633">
        <w:rPr>
          <w:rFonts w:ascii="Arial" w:hAnsi="Arial" w:cs="Arial"/>
          <w:b/>
          <w:bCs/>
          <w:u w:val="thick"/>
        </w:rPr>
        <w:lastRenderedPageBreak/>
        <w:t xml:space="preserve">References </w:t>
      </w:r>
    </w:p>
    <w:p w14:paraId="64033004" w14:textId="77777777" w:rsidR="00D04633" w:rsidRDefault="00D04633" w:rsidP="00D04633">
      <w:pPr>
        <w:spacing w:line="480" w:lineRule="auto"/>
        <w:rPr>
          <w:rFonts w:ascii="Arial" w:hAnsi="Arial" w:cs="Arial"/>
        </w:rPr>
      </w:pPr>
      <w:r w:rsidRPr="00D04633">
        <w:rPr>
          <w:rFonts w:ascii="Arial" w:hAnsi="Arial" w:cs="Arial"/>
        </w:rPr>
        <w:t xml:space="preserve">Attrill, P., &amp; McLaney, E. (2015). </w:t>
      </w:r>
      <w:r w:rsidRPr="00D04633">
        <w:rPr>
          <w:rFonts w:ascii="Arial" w:hAnsi="Arial" w:cs="Arial"/>
          <w:i/>
          <w:iCs/>
        </w:rPr>
        <w:t xml:space="preserve">Management accounting for decision makers </w:t>
      </w:r>
      <w:r w:rsidRPr="00D04633">
        <w:rPr>
          <w:rFonts w:ascii="Arial" w:hAnsi="Arial" w:cs="Arial"/>
        </w:rPr>
        <w:t>(8th ed.). Cengage Learning.</w:t>
      </w:r>
    </w:p>
    <w:p w14:paraId="451492FB" w14:textId="02F3F4CE" w:rsidR="00D04633" w:rsidRPr="00D04633" w:rsidRDefault="00D04633" w:rsidP="00D04633">
      <w:pPr>
        <w:spacing w:line="480" w:lineRule="auto"/>
        <w:rPr>
          <w:rFonts w:ascii="Arial" w:hAnsi="Arial" w:cs="Arial"/>
        </w:rPr>
      </w:pPr>
      <w:proofErr w:type="spellStart"/>
      <w:r w:rsidRPr="00D04633">
        <w:rPr>
          <w:rFonts w:ascii="Arial" w:hAnsi="Arial" w:cs="Arial"/>
        </w:rPr>
        <w:t>Athanassopoulos</w:t>
      </w:r>
      <w:proofErr w:type="spellEnd"/>
      <w:r w:rsidRPr="00D04633">
        <w:rPr>
          <w:rFonts w:ascii="Arial" w:hAnsi="Arial" w:cs="Arial"/>
        </w:rPr>
        <w:t xml:space="preserve">, A. D., &amp; Ballantine, J. A. (1995). Ratio and frontier analysis for assessing corporate performance: Evidence from the grocery industry in the UK. </w:t>
      </w:r>
      <w:r w:rsidRPr="00D04633">
        <w:rPr>
          <w:rFonts w:ascii="Arial" w:hAnsi="Arial" w:cs="Arial"/>
          <w:i/>
          <w:iCs/>
        </w:rPr>
        <w:t>Journal of the Operational Research Society, 46</w:t>
      </w:r>
      <w:r w:rsidRPr="00D04633">
        <w:rPr>
          <w:rFonts w:ascii="Arial" w:hAnsi="Arial" w:cs="Arial"/>
        </w:rPr>
        <w:t>(4), 427–440.</w:t>
      </w:r>
    </w:p>
    <w:p w14:paraId="541D5EF0" w14:textId="77777777" w:rsidR="00D04633" w:rsidRPr="00D04633" w:rsidRDefault="00D04633" w:rsidP="00D04633">
      <w:pPr>
        <w:spacing w:line="480" w:lineRule="auto"/>
        <w:rPr>
          <w:rFonts w:ascii="Arial" w:hAnsi="Arial" w:cs="Arial"/>
        </w:rPr>
      </w:pPr>
      <w:r w:rsidRPr="00D04633">
        <w:rPr>
          <w:rFonts w:ascii="Arial" w:hAnsi="Arial" w:cs="Arial"/>
        </w:rPr>
        <w:t xml:space="preserve">Bamber, M., &amp; Parry, S. (2014). </w:t>
      </w:r>
      <w:r w:rsidRPr="00D04633">
        <w:rPr>
          <w:rFonts w:ascii="Arial" w:hAnsi="Arial" w:cs="Arial"/>
          <w:i/>
          <w:iCs/>
        </w:rPr>
        <w:t xml:space="preserve">Accounting and finance for managers: A decision-making approach. </w:t>
      </w:r>
      <w:r w:rsidRPr="00D04633">
        <w:rPr>
          <w:rFonts w:ascii="Arial" w:hAnsi="Arial" w:cs="Arial"/>
        </w:rPr>
        <w:t>Kogan Page Publishers.</w:t>
      </w:r>
    </w:p>
    <w:p w14:paraId="186100E7" w14:textId="77777777" w:rsidR="00D04633" w:rsidRPr="00D04633" w:rsidRDefault="00D04633" w:rsidP="00D04633">
      <w:pPr>
        <w:spacing w:line="480" w:lineRule="auto"/>
        <w:rPr>
          <w:rFonts w:ascii="Arial" w:hAnsi="Arial" w:cs="Arial"/>
        </w:rPr>
      </w:pPr>
      <w:r w:rsidRPr="00D04633">
        <w:rPr>
          <w:rFonts w:ascii="Arial" w:hAnsi="Arial" w:cs="Arial"/>
        </w:rPr>
        <w:t xml:space="preserve">Bright, G., &amp; Herbert, M. (1990). </w:t>
      </w:r>
      <w:r w:rsidRPr="00D04633">
        <w:rPr>
          <w:rFonts w:ascii="Arial" w:hAnsi="Arial" w:cs="Arial"/>
          <w:i/>
          <w:iCs/>
        </w:rPr>
        <w:t>Ratio Analysis</w:t>
      </w:r>
      <w:r w:rsidRPr="00D04633">
        <w:rPr>
          <w:rFonts w:ascii="Arial" w:hAnsi="Arial" w:cs="Arial"/>
        </w:rPr>
        <w:t>. In Mastering Accounting (pp. 213–225).</w:t>
      </w:r>
    </w:p>
    <w:p w14:paraId="470A6CDB" w14:textId="77777777" w:rsidR="00D04633" w:rsidRPr="00D04633" w:rsidRDefault="00D04633" w:rsidP="00D04633">
      <w:pPr>
        <w:spacing w:line="480" w:lineRule="auto"/>
        <w:rPr>
          <w:rFonts w:ascii="Arial" w:hAnsi="Arial" w:cs="Arial"/>
        </w:rPr>
      </w:pPr>
      <w:r w:rsidRPr="00D04633">
        <w:rPr>
          <w:rFonts w:ascii="Arial" w:hAnsi="Arial" w:cs="Arial"/>
        </w:rPr>
        <w:t xml:space="preserve">Britton, A. (2013). </w:t>
      </w:r>
      <w:r w:rsidRPr="00D04633">
        <w:rPr>
          <w:rFonts w:ascii="Arial" w:hAnsi="Arial" w:cs="Arial"/>
          <w:i/>
          <w:iCs/>
        </w:rPr>
        <w:t xml:space="preserve">What is Accounting? In The Routledge Companion to Accounting, Reporting and Regulation (pp. 3–33). </w:t>
      </w:r>
      <w:r w:rsidRPr="00D04633">
        <w:rPr>
          <w:rFonts w:ascii="Arial" w:hAnsi="Arial" w:cs="Arial"/>
        </w:rPr>
        <w:t>Routledge.</w:t>
      </w:r>
    </w:p>
    <w:p w14:paraId="5127ECE5" w14:textId="77777777" w:rsidR="00D04633" w:rsidRPr="00D04633" w:rsidRDefault="00D04633" w:rsidP="00D04633">
      <w:pPr>
        <w:spacing w:line="480" w:lineRule="auto"/>
        <w:rPr>
          <w:rFonts w:ascii="Arial" w:hAnsi="Arial" w:cs="Arial"/>
        </w:rPr>
      </w:pPr>
      <w:r w:rsidRPr="00D04633">
        <w:rPr>
          <w:rFonts w:ascii="Arial" w:hAnsi="Arial" w:cs="Arial"/>
        </w:rPr>
        <w:t>Choi, J., &amp; Wang, H. (2009). Stakeholder relations and the persistence of corporate financial performance</w:t>
      </w:r>
      <w:r w:rsidRPr="00D04633">
        <w:rPr>
          <w:rFonts w:ascii="Arial" w:hAnsi="Arial" w:cs="Arial"/>
          <w:i/>
          <w:iCs/>
        </w:rPr>
        <w:t>. Strategic Management Journal, 30</w:t>
      </w:r>
      <w:r w:rsidRPr="00D04633">
        <w:rPr>
          <w:rFonts w:ascii="Arial" w:hAnsi="Arial" w:cs="Arial"/>
        </w:rPr>
        <w:t>(8), 895–907.</w:t>
      </w:r>
    </w:p>
    <w:p w14:paraId="43435744" w14:textId="77777777" w:rsidR="00D04633" w:rsidRPr="00D04633" w:rsidRDefault="00D04633" w:rsidP="00D04633">
      <w:pPr>
        <w:spacing w:line="480" w:lineRule="auto"/>
        <w:rPr>
          <w:rFonts w:ascii="Arial" w:hAnsi="Arial" w:cs="Arial"/>
        </w:rPr>
      </w:pPr>
      <w:r w:rsidRPr="00D04633">
        <w:rPr>
          <w:rFonts w:ascii="Arial" w:hAnsi="Arial" w:cs="Arial"/>
        </w:rPr>
        <w:t xml:space="preserve">Drury, J. (2020). </w:t>
      </w:r>
      <w:r w:rsidRPr="00D04633">
        <w:rPr>
          <w:rFonts w:ascii="Arial" w:hAnsi="Arial" w:cs="Arial"/>
          <w:i/>
          <w:iCs/>
        </w:rPr>
        <w:t>Management and cost accounting</w:t>
      </w:r>
      <w:r w:rsidRPr="00D04633">
        <w:rPr>
          <w:rFonts w:ascii="Arial" w:hAnsi="Arial" w:cs="Arial"/>
        </w:rPr>
        <w:t xml:space="preserve"> (9th ed.). Cengage Learning.</w:t>
      </w:r>
    </w:p>
    <w:p w14:paraId="4CE5E4E0" w14:textId="77777777" w:rsidR="00D04633" w:rsidRPr="00D04633" w:rsidRDefault="00D04633" w:rsidP="00D04633">
      <w:pPr>
        <w:spacing w:line="480" w:lineRule="auto"/>
        <w:rPr>
          <w:rFonts w:ascii="Arial" w:hAnsi="Arial" w:cs="Arial"/>
        </w:rPr>
      </w:pPr>
      <w:r w:rsidRPr="00D04633">
        <w:rPr>
          <w:rFonts w:ascii="Arial" w:hAnsi="Arial" w:cs="Arial"/>
        </w:rPr>
        <w:t xml:space="preserve">Dragun, D. (2007). </w:t>
      </w:r>
      <w:r w:rsidRPr="00D04633">
        <w:rPr>
          <w:rFonts w:ascii="Arial" w:hAnsi="Arial" w:cs="Arial"/>
          <w:i/>
          <w:iCs/>
        </w:rPr>
        <w:t>The financial implications of retail strategy</w:t>
      </w:r>
      <w:r w:rsidRPr="00D04633">
        <w:rPr>
          <w:rFonts w:ascii="Arial" w:hAnsi="Arial" w:cs="Arial"/>
        </w:rPr>
        <w:t>. In Retail Strategy (pp. 137–169). Routledge.</w:t>
      </w:r>
    </w:p>
    <w:p w14:paraId="16CFD9D3" w14:textId="77777777" w:rsidR="00D04633" w:rsidRPr="00D04633" w:rsidRDefault="00D04633" w:rsidP="00D04633">
      <w:pPr>
        <w:spacing w:line="480" w:lineRule="auto"/>
        <w:rPr>
          <w:rFonts w:ascii="Arial" w:hAnsi="Arial" w:cs="Arial"/>
        </w:rPr>
      </w:pPr>
      <w:r w:rsidRPr="00D04633">
        <w:rPr>
          <w:rFonts w:ascii="Arial" w:hAnsi="Arial" w:cs="Arial"/>
        </w:rPr>
        <w:t xml:space="preserve">Kothari, S. P. (2001). Capital markets research in accounting. </w:t>
      </w:r>
      <w:r w:rsidRPr="00D04633">
        <w:rPr>
          <w:rFonts w:ascii="Arial" w:hAnsi="Arial" w:cs="Arial"/>
          <w:i/>
          <w:iCs/>
        </w:rPr>
        <w:t>Journal of Accounting and Economics, 31(</w:t>
      </w:r>
      <w:r w:rsidRPr="00D04633">
        <w:rPr>
          <w:rFonts w:ascii="Arial" w:hAnsi="Arial" w:cs="Arial"/>
        </w:rPr>
        <w:t>1–3), 105–253.</w:t>
      </w:r>
    </w:p>
    <w:p w14:paraId="3F03F26D" w14:textId="77777777" w:rsidR="00D04633" w:rsidRDefault="00D04633" w:rsidP="00D04633">
      <w:pPr>
        <w:spacing w:line="480" w:lineRule="auto"/>
        <w:rPr>
          <w:rFonts w:ascii="Arial" w:hAnsi="Arial" w:cs="Arial"/>
          <w:i/>
          <w:iCs/>
        </w:rPr>
      </w:pPr>
      <w:r w:rsidRPr="00D04633">
        <w:rPr>
          <w:rFonts w:ascii="Arial" w:hAnsi="Arial" w:cs="Arial"/>
        </w:rPr>
        <w:t xml:space="preserve">Kumar, G. N., Reddy, P. S., &amp; Krishna, M. S. R. </w:t>
      </w:r>
      <w:r w:rsidRPr="00D04633">
        <w:rPr>
          <w:rFonts w:ascii="Arial" w:hAnsi="Arial" w:cs="Arial"/>
          <w:i/>
          <w:iCs/>
        </w:rPr>
        <w:t>Performance analysis through financial modelling.</w:t>
      </w:r>
    </w:p>
    <w:p w14:paraId="00D90CF7" w14:textId="220899E0" w:rsidR="00D04633" w:rsidRPr="00D04633" w:rsidRDefault="00D04633" w:rsidP="00D04633">
      <w:pPr>
        <w:spacing w:line="480" w:lineRule="auto"/>
        <w:rPr>
          <w:rFonts w:ascii="Arial" w:hAnsi="Arial" w:cs="Arial"/>
          <w:i/>
          <w:iCs/>
        </w:rPr>
      </w:pPr>
      <w:r w:rsidRPr="00D04633">
        <w:rPr>
          <w:rFonts w:ascii="Arial" w:hAnsi="Arial" w:cs="Arial"/>
        </w:rPr>
        <w:lastRenderedPageBreak/>
        <w:t xml:space="preserve">Lawson, G. H. (2014). </w:t>
      </w:r>
      <w:r w:rsidRPr="00D04633">
        <w:rPr>
          <w:rFonts w:ascii="Arial" w:hAnsi="Arial" w:cs="Arial"/>
          <w:i/>
          <w:iCs/>
        </w:rPr>
        <w:t>4 The cash flow performance of UK companies1</w:t>
      </w:r>
      <w:r w:rsidRPr="00D04633">
        <w:rPr>
          <w:rFonts w:ascii="Arial" w:hAnsi="Arial" w:cs="Arial"/>
        </w:rPr>
        <w:t>. Cash Flow Reporting (RLE Accounting): A Recent History of an Accounting Practice, 4.</w:t>
      </w:r>
    </w:p>
    <w:p w14:paraId="370B0728" w14:textId="77777777" w:rsidR="00D04633" w:rsidRPr="00D04633" w:rsidRDefault="00D04633" w:rsidP="00D04633">
      <w:pPr>
        <w:spacing w:line="480" w:lineRule="auto"/>
        <w:rPr>
          <w:rFonts w:ascii="Arial" w:hAnsi="Arial" w:cs="Arial"/>
        </w:rPr>
      </w:pPr>
      <w:r w:rsidRPr="00D04633">
        <w:rPr>
          <w:rFonts w:ascii="Arial" w:hAnsi="Arial" w:cs="Arial"/>
        </w:rPr>
        <w:t xml:space="preserve">Li, Z. (2023). The effect of transition from IAS 17 to IFRS 16—Based on the case study of Tesco. </w:t>
      </w:r>
      <w:r w:rsidRPr="00D04633">
        <w:rPr>
          <w:rFonts w:ascii="Arial" w:hAnsi="Arial" w:cs="Arial"/>
          <w:i/>
          <w:iCs/>
        </w:rPr>
        <w:t>Frontiers in Management Science, 2</w:t>
      </w:r>
      <w:r w:rsidRPr="00D04633">
        <w:rPr>
          <w:rFonts w:ascii="Arial" w:hAnsi="Arial" w:cs="Arial"/>
        </w:rPr>
        <w:t>(4), 50–59.</w:t>
      </w:r>
    </w:p>
    <w:p w14:paraId="4F5771FF" w14:textId="77777777" w:rsidR="00D04633" w:rsidRPr="00D04633" w:rsidRDefault="00D04633" w:rsidP="00D04633">
      <w:pPr>
        <w:spacing w:line="480" w:lineRule="auto"/>
        <w:rPr>
          <w:rFonts w:ascii="Arial" w:hAnsi="Arial" w:cs="Arial"/>
        </w:rPr>
      </w:pPr>
      <w:r w:rsidRPr="00D04633">
        <w:rPr>
          <w:rFonts w:ascii="Arial" w:hAnsi="Arial" w:cs="Arial"/>
        </w:rPr>
        <w:t xml:space="preserve">Lucey, T. (2009). </w:t>
      </w:r>
      <w:r w:rsidRPr="00D04633">
        <w:rPr>
          <w:rFonts w:ascii="Arial" w:hAnsi="Arial" w:cs="Arial"/>
          <w:i/>
          <w:iCs/>
        </w:rPr>
        <w:t xml:space="preserve">Costing </w:t>
      </w:r>
      <w:r w:rsidRPr="00D04633">
        <w:rPr>
          <w:rFonts w:ascii="Arial" w:hAnsi="Arial" w:cs="Arial"/>
        </w:rPr>
        <w:t>(7th ed.). Cengage Learning.</w:t>
      </w:r>
    </w:p>
    <w:p w14:paraId="3A03E449" w14:textId="77777777" w:rsidR="00D04633" w:rsidRPr="00D04633" w:rsidRDefault="00D04633" w:rsidP="00D04633">
      <w:pPr>
        <w:spacing w:line="480" w:lineRule="auto"/>
        <w:rPr>
          <w:rFonts w:ascii="Arial" w:hAnsi="Arial" w:cs="Arial"/>
        </w:rPr>
      </w:pPr>
      <w:r w:rsidRPr="00D04633">
        <w:rPr>
          <w:rFonts w:ascii="Arial" w:hAnsi="Arial" w:cs="Arial"/>
        </w:rPr>
        <w:t xml:space="preserve">Ohlson, J. A. (1995). Earnings, book values and dividends in equity valuation. </w:t>
      </w:r>
      <w:r w:rsidRPr="00D04633">
        <w:rPr>
          <w:rFonts w:ascii="Arial" w:hAnsi="Arial" w:cs="Arial"/>
          <w:i/>
          <w:iCs/>
        </w:rPr>
        <w:t>Contemporary Accounting Research, 11</w:t>
      </w:r>
      <w:r w:rsidRPr="00D04633">
        <w:rPr>
          <w:rFonts w:ascii="Arial" w:hAnsi="Arial" w:cs="Arial"/>
        </w:rPr>
        <w:t>(2), 661–688.</w:t>
      </w:r>
    </w:p>
    <w:p w14:paraId="0378FCF6" w14:textId="77777777" w:rsidR="00D04633" w:rsidRPr="00D04633" w:rsidRDefault="00D04633" w:rsidP="00D04633">
      <w:pPr>
        <w:spacing w:line="480" w:lineRule="auto"/>
        <w:rPr>
          <w:rFonts w:ascii="Arial" w:hAnsi="Arial" w:cs="Arial"/>
        </w:rPr>
      </w:pPr>
      <w:r w:rsidRPr="00D04633">
        <w:rPr>
          <w:rFonts w:ascii="Arial" w:hAnsi="Arial" w:cs="Arial"/>
        </w:rPr>
        <w:t xml:space="preserve">Sangwa, D. S. (2017). </w:t>
      </w:r>
      <w:r w:rsidRPr="00D04633">
        <w:rPr>
          <w:rFonts w:ascii="Arial" w:hAnsi="Arial" w:cs="Arial"/>
          <w:i/>
          <w:iCs/>
        </w:rPr>
        <w:t xml:space="preserve">Corporate strategic financial analysis: Tesco and Benedict Co. </w:t>
      </w:r>
      <w:r w:rsidRPr="00D04633">
        <w:rPr>
          <w:rFonts w:ascii="Arial" w:hAnsi="Arial" w:cs="Arial"/>
        </w:rPr>
        <w:t>[Working paper]. SSRN.</w:t>
      </w:r>
    </w:p>
    <w:p w14:paraId="650339E2" w14:textId="77777777" w:rsidR="00D04633" w:rsidRPr="00D04633" w:rsidRDefault="00D04633" w:rsidP="00D04633">
      <w:pPr>
        <w:spacing w:line="480" w:lineRule="auto"/>
        <w:rPr>
          <w:rFonts w:ascii="Arial" w:hAnsi="Arial" w:cs="Arial"/>
        </w:rPr>
      </w:pPr>
      <w:r w:rsidRPr="00D04633">
        <w:rPr>
          <w:rFonts w:ascii="Arial" w:hAnsi="Arial" w:cs="Arial"/>
        </w:rPr>
        <w:t xml:space="preserve">Walls, J. L., Berrone, P., &amp; Phan, P. H. (2012). Corporate governance and environmental performance: Is there really a link? </w:t>
      </w:r>
      <w:r w:rsidRPr="00D04633">
        <w:rPr>
          <w:rFonts w:ascii="Arial" w:hAnsi="Arial" w:cs="Arial"/>
          <w:i/>
          <w:iCs/>
        </w:rPr>
        <w:t>Strategic Management Journal, 33</w:t>
      </w:r>
      <w:r w:rsidRPr="00D04633">
        <w:rPr>
          <w:rFonts w:ascii="Arial" w:hAnsi="Arial" w:cs="Arial"/>
        </w:rPr>
        <w:t>(8), 885–913.</w:t>
      </w:r>
    </w:p>
    <w:p w14:paraId="25EF7D2F" w14:textId="77777777" w:rsidR="00D04633" w:rsidRPr="00D04633" w:rsidRDefault="00D04633" w:rsidP="00D04633">
      <w:pPr>
        <w:spacing w:line="480" w:lineRule="auto"/>
        <w:rPr>
          <w:rFonts w:ascii="Arial" w:hAnsi="Arial" w:cs="Arial"/>
        </w:rPr>
      </w:pPr>
      <w:r w:rsidRPr="00D04633">
        <w:rPr>
          <w:rFonts w:ascii="Arial" w:hAnsi="Arial" w:cs="Arial"/>
        </w:rPr>
        <w:t xml:space="preserve">Weetman, P. (2016). </w:t>
      </w:r>
      <w:r w:rsidRPr="00D04633">
        <w:rPr>
          <w:rFonts w:ascii="Arial" w:hAnsi="Arial" w:cs="Arial"/>
          <w:i/>
          <w:iCs/>
        </w:rPr>
        <w:t>Financial accounting: An introduction</w:t>
      </w:r>
      <w:r w:rsidRPr="00D04633">
        <w:rPr>
          <w:rFonts w:ascii="Arial" w:hAnsi="Arial" w:cs="Arial"/>
        </w:rPr>
        <w:t xml:space="preserve"> (7th ed.). Pearson.</w:t>
      </w:r>
    </w:p>
    <w:p w14:paraId="3F1E2C7E" w14:textId="77777777" w:rsidR="00D04633" w:rsidRPr="00D04633" w:rsidRDefault="00D04633" w:rsidP="00D04633">
      <w:pPr>
        <w:spacing w:line="480" w:lineRule="auto"/>
        <w:rPr>
          <w:rFonts w:ascii="Arial" w:hAnsi="Arial" w:cs="Arial"/>
        </w:rPr>
      </w:pPr>
      <w:r w:rsidRPr="00D04633">
        <w:rPr>
          <w:rFonts w:ascii="Arial" w:hAnsi="Arial" w:cs="Arial"/>
        </w:rPr>
        <w:t xml:space="preserve">Wood, F. (2015). </w:t>
      </w:r>
      <w:r w:rsidRPr="00D04633">
        <w:rPr>
          <w:rFonts w:ascii="Arial" w:hAnsi="Arial" w:cs="Arial"/>
          <w:i/>
          <w:iCs/>
        </w:rPr>
        <w:t>Frank Wood’s business accounting 1</w:t>
      </w:r>
      <w:r w:rsidRPr="00D04633">
        <w:rPr>
          <w:rFonts w:ascii="Arial" w:hAnsi="Arial" w:cs="Arial"/>
        </w:rPr>
        <w:t xml:space="preserve"> (13th ed.). FT Pitman Publications.</w:t>
      </w:r>
    </w:p>
    <w:p w14:paraId="4AB192D7" w14:textId="5454D6CF" w:rsidR="0098190C" w:rsidRDefault="00D04633" w:rsidP="00D04633">
      <w:pPr>
        <w:spacing w:line="480" w:lineRule="auto"/>
        <w:rPr>
          <w:rFonts w:ascii="Arial" w:hAnsi="Arial" w:cs="Arial"/>
        </w:rPr>
      </w:pPr>
      <w:proofErr w:type="spellStart"/>
      <w:r w:rsidRPr="00D04633">
        <w:rPr>
          <w:rFonts w:ascii="Arial" w:hAnsi="Arial" w:cs="Arial"/>
        </w:rPr>
        <w:t>Yhip</w:t>
      </w:r>
      <w:proofErr w:type="spellEnd"/>
      <w:r w:rsidRPr="00D04633">
        <w:rPr>
          <w:rFonts w:ascii="Arial" w:hAnsi="Arial" w:cs="Arial"/>
        </w:rPr>
        <w:t xml:space="preserve">, T. M., </w:t>
      </w:r>
      <w:proofErr w:type="spellStart"/>
      <w:r w:rsidRPr="00D04633">
        <w:rPr>
          <w:rFonts w:ascii="Arial" w:hAnsi="Arial" w:cs="Arial"/>
        </w:rPr>
        <w:t>Alagheband</w:t>
      </w:r>
      <w:proofErr w:type="spellEnd"/>
      <w:r w:rsidRPr="00D04633">
        <w:rPr>
          <w:rFonts w:ascii="Arial" w:hAnsi="Arial" w:cs="Arial"/>
        </w:rPr>
        <w:t xml:space="preserve">, B. M., </w:t>
      </w:r>
      <w:proofErr w:type="spellStart"/>
      <w:r w:rsidRPr="00D04633">
        <w:rPr>
          <w:rFonts w:ascii="Arial" w:hAnsi="Arial" w:cs="Arial"/>
        </w:rPr>
        <w:t>Yhip</w:t>
      </w:r>
      <w:proofErr w:type="spellEnd"/>
      <w:r w:rsidRPr="00D04633">
        <w:rPr>
          <w:rFonts w:ascii="Arial" w:hAnsi="Arial" w:cs="Arial"/>
        </w:rPr>
        <w:t xml:space="preserve">, T. M., &amp; </w:t>
      </w:r>
      <w:proofErr w:type="spellStart"/>
      <w:r w:rsidRPr="00D04633">
        <w:rPr>
          <w:rFonts w:ascii="Arial" w:hAnsi="Arial" w:cs="Arial"/>
        </w:rPr>
        <w:t>Alagheband</w:t>
      </w:r>
      <w:proofErr w:type="spellEnd"/>
      <w:r w:rsidRPr="00D04633">
        <w:rPr>
          <w:rFonts w:ascii="Arial" w:hAnsi="Arial" w:cs="Arial"/>
        </w:rPr>
        <w:t xml:space="preserve">, B. M. (2020). </w:t>
      </w:r>
      <w:r w:rsidRPr="00D04633">
        <w:rPr>
          <w:rFonts w:ascii="Arial" w:hAnsi="Arial" w:cs="Arial"/>
          <w:i/>
          <w:iCs/>
        </w:rPr>
        <w:t xml:space="preserve">Financial statement analysis. </w:t>
      </w:r>
      <w:r w:rsidRPr="00D04633">
        <w:rPr>
          <w:rFonts w:ascii="Arial" w:hAnsi="Arial" w:cs="Arial"/>
        </w:rPr>
        <w:t>In The practice of lending: A guide to credit analysis and credit risk (pp. 47–94).</w:t>
      </w:r>
    </w:p>
    <w:p w14:paraId="3D8E372D" w14:textId="3F50F25A" w:rsidR="00D04633" w:rsidRDefault="00D04633" w:rsidP="00D04633">
      <w:pPr>
        <w:spacing w:line="480" w:lineRule="auto"/>
        <w:rPr>
          <w:rFonts w:ascii="Arial" w:hAnsi="Arial" w:cs="Arial"/>
        </w:rPr>
      </w:pPr>
      <w:hyperlink r:id="rId9" w:history="1">
        <w:r w:rsidRPr="00932F96">
          <w:rPr>
            <w:rStyle w:val="Hyperlink"/>
            <w:rFonts w:ascii="Arial" w:hAnsi="Arial" w:cs="Arial"/>
          </w:rPr>
          <w:t>https://www.tescoplc.com/investors/reports-results-and-presentations/annual-report-2023</w:t>
        </w:r>
      </w:hyperlink>
      <w:r>
        <w:rPr>
          <w:rFonts w:ascii="Arial" w:hAnsi="Arial" w:cs="Arial"/>
        </w:rPr>
        <w:t xml:space="preserve"> </w:t>
      </w:r>
    </w:p>
    <w:p w14:paraId="0D434DAA" w14:textId="53376053" w:rsidR="00D04633" w:rsidRPr="00870F44" w:rsidRDefault="00D04633" w:rsidP="00D04633">
      <w:pPr>
        <w:spacing w:line="480" w:lineRule="auto"/>
        <w:rPr>
          <w:rFonts w:ascii="Arial" w:hAnsi="Arial" w:cs="Arial"/>
        </w:rPr>
      </w:pPr>
      <w:hyperlink r:id="rId10" w:history="1">
        <w:r w:rsidRPr="00932F96">
          <w:rPr>
            <w:rStyle w:val="Hyperlink"/>
            <w:rFonts w:ascii="Arial" w:hAnsi="Arial" w:cs="Arial"/>
          </w:rPr>
          <w:t>https://www.tescoplc.com/investors/reports-results-and-presentations/annual-report-2022</w:t>
        </w:r>
      </w:hyperlink>
      <w:r>
        <w:rPr>
          <w:rFonts w:ascii="Arial" w:hAnsi="Arial" w:cs="Arial"/>
        </w:rPr>
        <w:t xml:space="preserve"> </w:t>
      </w:r>
    </w:p>
    <w:sectPr w:rsidR="00D04633" w:rsidRPr="00870F44" w:rsidSect="00D04633">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D132B" w14:textId="77777777" w:rsidR="006F4748" w:rsidRDefault="006F4748" w:rsidP="00D144E9">
      <w:pPr>
        <w:spacing w:after="0" w:line="240" w:lineRule="auto"/>
      </w:pPr>
      <w:r>
        <w:separator/>
      </w:r>
    </w:p>
  </w:endnote>
  <w:endnote w:type="continuationSeparator" w:id="0">
    <w:p w14:paraId="27CAF62E" w14:textId="77777777" w:rsidR="006F4748" w:rsidRDefault="006F4748" w:rsidP="00D14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710DFD" w14:textId="77777777" w:rsidR="006F4748" w:rsidRDefault="006F4748" w:rsidP="00D144E9">
      <w:pPr>
        <w:spacing w:after="0" w:line="240" w:lineRule="auto"/>
      </w:pPr>
      <w:r>
        <w:separator/>
      </w:r>
    </w:p>
  </w:footnote>
  <w:footnote w:type="continuationSeparator" w:id="0">
    <w:p w14:paraId="7F1C0A12" w14:textId="77777777" w:rsidR="006F4748" w:rsidRDefault="006F4748" w:rsidP="00D144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5434578"/>
      <w:docPartObj>
        <w:docPartGallery w:val="Page Numbers (Top of Page)"/>
        <w:docPartUnique/>
      </w:docPartObj>
    </w:sdtPr>
    <w:sdtEndPr>
      <w:rPr>
        <w:noProof/>
      </w:rPr>
    </w:sdtEndPr>
    <w:sdtContent>
      <w:p w14:paraId="19D8F170" w14:textId="19ACDF59" w:rsidR="00D144E9" w:rsidRDefault="00D144E9">
        <w:pPr>
          <w:pStyle w:val="Header"/>
        </w:pPr>
        <w:r>
          <w:fldChar w:fldCharType="begin"/>
        </w:r>
        <w:r>
          <w:instrText xml:space="preserve"> PAGE   \* MERGEFORMAT </w:instrText>
        </w:r>
        <w:r>
          <w:fldChar w:fldCharType="separate"/>
        </w:r>
        <w:r>
          <w:rPr>
            <w:noProof/>
          </w:rPr>
          <w:t>2</w:t>
        </w:r>
        <w:r>
          <w:rPr>
            <w:noProof/>
          </w:rPr>
          <w:fldChar w:fldCharType="end"/>
        </w:r>
      </w:p>
    </w:sdtContent>
  </w:sdt>
  <w:p w14:paraId="76C6DE22" w14:textId="77777777" w:rsidR="00D144E9" w:rsidRDefault="00D144E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F44"/>
    <w:rsid w:val="00084077"/>
    <w:rsid w:val="006F4748"/>
    <w:rsid w:val="00726B64"/>
    <w:rsid w:val="00734EC2"/>
    <w:rsid w:val="00870F44"/>
    <w:rsid w:val="0098190C"/>
    <w:rsid w:val="00D04633"/>
    <w:rsid w:val="00D14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AE873"/>
  <w15:chartTrackingRefBased/>
  <w15:docId w15:val="{4E9D022A-8DEF-4F32-8BB0-720C611BD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0F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0F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0F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0F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0F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0F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0F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0F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0F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0F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0F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0F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0F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0F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0F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0F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0F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0F44"/>
    <w:rPr>
      <w:rFonts w:eastAsiaTheme="majorEastAsia" w:cstheme="majorBidi"/>
      <w:color w:val="272727" w:themeColor="text1" w:themeTint="D8"/>
    </w:rPr>
  </w:style>
  <w:style w:type="paragraph" w:styleId="Title">
    <w:name w:val="Title"/>
    <w:basedOn w:val="Normal"/>
    <w:next w:val="Normal"/>
    <w:link w:val="TitleChar"/>
    <w:uiPriority w:val="10"/>
    <w:qFormat/>
    <w:rsid w:val="00870F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0F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0F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0F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0F44"/>
    <w:pPr>
      <w:spacing w:before="160"/>
      <w:jc w:val="center"/>
    </w:pPr>
    <w:rPr>
      <w:i/>
      <w:iCs/>
      <w:color w:val="404040" w:themeColor="text1" w:themeTint="BF"/>
    </w:rPr>
  </w:style>
  <w:style w:type="character" w:customStyle="1" w:styleId="QuoteChar">
    <w:name w:val="Quote Char"/>
    <w:basedOn w:val="DefaultParagraphFont"/>
    <w:link w:val="Quote"/>
    <w:uiPriority w:val="29"/>
    <w:rsid w:val="00870F44"/>
    <w:rPr>
      <w:i/>
      <w:iCs/>
      <w:color w:val="404040" w:themeColor="text1" w:themeTint="BF"/>
    </w:rPr>
  </w:style>
  <w:style w:type="paragraph" w:styleId="ListParagraph">
    <w:name w:val="List Paragraph"/>
    <w:basedOn w:val="Normal"/>
    <w:uiPriority w:val="34"/>
    <w:qFormat/>
    <w:rsid w:val="00870F44"/>
    <w:pPr>
      <w:ind w:left="720"/>
      <w:contextualSpacing/>
    </w:pPr>
  </w:style>
  <w:style w:type="character" w:styleId="IntenseEmphasis">
    <w:name w:val="Intense Emphasis"/>
    <w:basedOn w:val="DefaultParagraphFont"/>
    <w:uiPriority w:val="21"/>
    <w:qFormat/>
    <w:rsid w:val="00870F44"/>
    <w:rPr>
      <w:i/>
      <w:iCs/>
      <w:color w:val="0F4761" w:themeColor="accent1" w:themeShade="BF"/>
    </w:rPr>
  </w:style>
  <w:style w:type="paragraph" w:styleId="IntenseQuote">
    <w:name w:val="Intense Quote"/>
    <w:basedOn w:val="Normal"/>
    <w:next w:val="Normal"/>
    <w:link w:val="IntenseQuoteChar"/>
    <w:uiPriority w:val="30"/>
    <w:qFormat/>
    <w:rsid w:val="00870F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0F44"/>
    <w:rPr>
      <w:i/>
      <w:iCs/>
      <w:color w:val="0F4761" w:themeColor="accent1" w:themeShade="BF"/>
    </w:rPr>
  </w:style>
  <w:style w:type="character" w:styleId="IntenseReference">
    <w:name w:val="Intense Reference"/>
    <w:basedOn w:val="DefaultParagraphFont"/>
    <w:uiPriority w:val="32"/>
    <w:qFormat/>
    <w:rsid w:val="00870F44"/>
    <w:rPr>
      <w:b/>
      <w:bCs/>
      <w:smallCaps/>
      <w:color w:val="0F4761" w:themeColor="accent1" w:themeShade="BF"/>
      <w:spacing w:val="5"/>
    </w:rPr>
  </w:style>
  <w:style w:type="paragraph" w:styleId="Header">
    <w:name w:val="header"/>
    <w:basedOn w:val="Normal"/>
    <w:link w:val="HeaderChar"/>
    <w:uiPriority w:val="99"/>
    <w:unhideWhenUsed/>
    <w:rsid w:val="00D144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44E9"/>
  </w:style>
  <w:style w:type="paragraph" w:styleId="Footer">
    <w:name w:val="footer"/>
    <w:basedOn w:val="Normal"/>
    <w:link w:val="FooterChar"/>
    <w:uiPriority w:val="99"/>
    <w:unhideWhenUsed/>
    <w:rsid w:val="00D144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44E9"/>
  </w:style>
  <w:style w:type="character" w:styleId="Hyperlink">
    <w:name w:val="Hyperlink"/>
    <w:basedOn w:val="DefaultParagraphFont"/>
    <w:uiPriority w:val="99"/>
    <w:unhideWhenUsed/>
    <w:rsid w:val="00D04633"/>
    <w:rPr>
      <w:color w:val="467886" w:themeColor="hyperlink"/>
      <w:u w:val="single"/>
    </w:rPr>
  </w:style>
  <w:style w:type="character" w:styleId="UnresolvedMention">
    <w:name w:val="Unresolved Mention"/>
    <w:basedOn w:val="DefaultParagraphFont"/>
    <w:uiPriority w:val="99"/>
    <w:semiHidden/>
    <w:unhideWhenUsed/>
    <w:rsid w:val="00D04633"/>
    <w:rPr>
      <w:color w:val="605E5C"/>
      <w:shd w:val="clear" w:color="auto" w:fill="E1DFDD"/>
    </w:rPr>
  </w:style>
  <w:style w:type="paragraph" w:styleId="NoSpacing">
    <w:name w:val="No Spacing"/>
    <w:link w:val="NoSpacingChar"/>
    <w:uiPriority w:val="1"/>
    <w:qFormat/>
    <w:rsid w:val="00D0463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04633"/>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tescoplc.com/investors/reports-results-and-presentations/annual-report-2022" TargetMode="External"/><Relationship Id="rId4" Type="http://schemas.openxmlformats.org/officeDocument/2006/relationships/webSettings" Target="webSettings.xml"/><Relationship Id="rId9" Type="http://schemas.openxmlformats.org/officeDocument/2006/relationships/hyperlink" Target="https://www.tescoplc.com/investors/reports-results-and-presentations/annual-report-2023"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3423B22314142BE9F99164C27BB0E2F"/>
        <w:category>
          <w:name w:val="General"/>
          <w:gallery w:val="placeholder"/>
        </w:category>
        <w:types>
          <w:type w:val="bbPlcHdr"/>
        </w:types>
        <w:behaviors>
          <w:behavior w:val="content"/>
        </w:behaviors>
        <w:guid w:val="{78DD9FEE-2786-42BB-BF90-E68848733B89}"/>
      </w:docPartPr>
      <w:docPartBody>
        <w:p w:rsidR="00000000" w:rsidRDefault="00DF6EC2" w:rsidP="00DF6EC2">
          <w:pPr>
            <w:pStyle w:val="83423B22314142BE9F99164C27BB0E2F"/>
          </w:pPr>
          <w:r>
            <w:rPr>
              <w:rFonts w:asciiTheme="majorHAnsi" w:eastAsiaTheme="majorEastAsia" w:hAnsiTheme="majorHAnsi" w:cstheme="majorBidi"/>
              <w:caps/>
              <w:color w:val="156082" w:themeColor="accent1"/>
              <w:sz w:val="80"/>
              <w:szCs w:val="80"/>
            </w:rPr>
            <w:t>[Document title]</w:t>
          </w:r>
        </w:p>
      </w:docPartBody>
    </w:docPart>
    <w:docPart>
      <w:docPartPr>
        <w:name w:val="E684F8529D4C4A81B33C71A662E66781"/>
        <w:category>
          <w:name w:val="General"/>
          <w:gallery w:val="placeholder"/>
        </w:category>
        <w:types>
          <w:type w:val="bbPlcHdr"/>
        </w:types>
        <w:behaviors>
          <w:behavior w:val="content"/>
        </w:behaviors>
        <w:guid w:val="{8CF916E0-09B6-4BCF-9E6B-C05F1CD276DF}"/>
      </w:docPartPr>
      <w:docPartBody>
        <w:p w:rsidR="00000000" w:rsidRDefault="00DF6EC2" w:rsidP="00DF6EC2">
          <w:pPr>
            <w:pStyle w:val="E684F8529D4C4A81B33C71A662E66781"/>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EC2"/>
    <w:rsid w:val="00734EC2"/>
    <w:rsid w:val="00DF6EC2"/>
    <w:rsid w:val="00F315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3423B22314142BE9F99164C27BB0E2F">
    <w:name w:val="83423B22314142BE9F99164C27BB0E2F"/>
    <w:rsid w:val="00DF6EC2"/>
  </w:style>
  <w:style w:type="paragraph" w:customStyle="1" w:styleId="E684F8529D4C4A81B33C71A662E66781">
    <w:name w:val="E684F8529D4C4A81B33C71A662E66781"/>
    <w:rsid w:val="00DF6E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2025-04-11T00:00:00</PublishDate>
  <Abstract/>
  <CompanyAddress>Student name: Cristina Tocila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11</Pages>
  <Words>2071</Words>
  <Characters>11811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Financial Management For Business Sustainability</Company>
  <LinksUpToDate>false</LinksUpToDate>
  <CharactersWithSpaces>13855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 financial analysis</dc:title>
  <dc:subject>2022-2923</dc:subject>
  <dc:creator>Mirabela Voican (1907947)</dc:creator>
  <cp:keywords/>
  <dc:description/>
  <cp:lastModifiedBy>Mirabela Voican (1907947)</cp:lastModifiedBy>
  <cp:revision>1</cp:revision>
  <dcterms:created xsi:type="dcterms:W3CDTF">2025-04-08T18:20:00Z</dcterms:created>
  <dcterms:modified xsi:type="dcterms:W3CDTF">2025-04-08T19:15:00Z</dcterms:modified>
</cp:coreProperties>
</file>