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40594" w14:textId="77777777" w:rsidR="00841309" w:rsidRPr="00CF7501" w:rsidRDefault="00841309" w:rsidP="005969D7">
      <w:pPr>
        <w:jc w:val="center"/>
        <w:rPr>
          <w:sz w:val="72"/>
          <w:szCs w:val="72"/>
        </w:rPr>
      </w:pPr>
    </w:p>
    <w:p w14:paraId="2E3501B8" w14:textId="454B9CAE" w:rsidR="002B6B77" w:rsidRPr="00CF7501" w:rsidRDefault="005969D7" w:rsidP="005969D7">
      <w:pPr>
        <w:jc w:val="center"/>
        <w:rPr>
          <w:rFonts w:asciiTheme="minorBidi" w:hAnsiTheme="minorBidi" w:cstheme="minorBidi"/>
          <w:i/>
          <w:iCs/>
          <w:color w:val="0D0D0D" w:themeColor="text1" w:themeTint="F2"/>
          <w:sz w:val="52"/>
          <w:szCs w:val="52"/>
          <w:u w:val="single"/>
        </w:rPr>
      </w:pPr>
      <w:r w:rsidRPr="00CF7501">
        <w:rPr>
          <w:rFonts w:asciiTheme="minorBidi" w:hAnsiTheme="minorBidi" w:cstheme="minorBidi"/>
          <w:i/>
          <w:iCs/>
          <w:color w:val="0D0D0D" w:themeColor="text1" w:themeTint="F2"/>
          <w:sz w:val="52"/>
          <w:szCs w:val="52"/>
          <w:u w:val="single"/>
        </w:rPr>
        <w:t>Title page</w:t>
      </w:r>
    </w:p>
    <w:p w14:paraId="0015D275" w14:textId="77777777" w:rsidR="00315206" w:rsidRDefault="00315206" w:rsidP="005969D7">
      <w:pPr>
        <w:rPr>
          <w:rFonts w:asciiTheme="minorBidi" w:hAnsiTheme="minorBidi" w:cstheme="minorBidi"/>
          <w:color w:val="0D0D0D" w:themeColor="text1" w:themeTint="F2"/>
          <w:sz w:val="72"/>
          <w:szCs w:val="72"/>
        </w:rPr>
      </w:pPr>
    </w:p>
    <w:p w14:paraId="3FAAB337" w14:textId="77777777" w:rsidR="00CF7501" w:rsidRDefault="00CF7501" w:rsidP="00CF7501">
      <w:pPr>
        <w:jc w:val="center"/>
        <w:rPr>
          <w:rFonts w:asciiTheme="minorBidi" w:hAnsiTheme="minorBidi" w:cstheme="minorBidi"/>
          <w:i/>
          <w:iCs/>
          <w:color w:val="0D0D0D" w:themeColor="text1" w:themeTint="F2"/>
          <w:sz w:val="48"/>
          <w:szCs w:val="48"/>
        </w:rPr>
      </w:pPr>
    </w:p>
    <w:p w14:paraId="24F149F8" w14:textId="77777777" w:rsidR="00CF7501" w:rsidRDefault="00CF7501" w:rsidP="00CF7501">
      <w:pPr>
        <w:jc w:val="center"/>
        <w:rPr>
          <w:rFonts w:asciiTheme="minorBidi" w:hAnsiTheme="minorBidi" w:cstheme="minorBidi"/>
          <w:i/>
          <w:iCs/>
          <w:color w:val="0D0D0D" w:themeColor="text1" w:themeTint="F2"/>
          <w:sz w:val="48"/>
          <w:szCs w:val="48"/>
        </w:rPr>
      </w:pPr>
    </w:p>
    <w:p w14:paraId="6C7D27F0" w14:textId="3FA6DC29" w:rsidR="00A83ECE" w:rsidRPr="00315206" w:rsidRDefault="004B0799" w:rsidP="00CF7501">
      <w:pPr>
        <w:jc w:val="center"/>
        <w:rPr>
          <w:rFonts w:asciiTheme="minorBidi" w:hAnsiTheme="minorBidi" w:cstheme="minorBidi"/>
          <w:i/>
          <w:iCs/>
          <w:color w:val="0D0D0D" w:themeColor="text1" w:themeTint="F2"/>
          <w:sz w:val="48"/>
          <w:szCs w:val="48"/>
        </w:rPr>
      </w:pPr>
      <w:r w:rsidRPr="00315206">
        <w:rPr>
          <w:rFonts w:asciiTheme="minorBidi" w:hAnsiTheme="minorBidi" w:cstheme="minorBidi"/>
          <w:i/>
          <w:iCs/>
          <w:color w:val="0D0D0D" w:themeColor="text1" w:themeTint="F2"/>
          <w:sz w:val="48"/>
          <w:szCs w:val="48"/>
        </w:rPr>
        <w:t xml:space="preserve">Student </w:t>
      </w:r>
      <w:r w:rsidR="005969D7" w:rsidRPr="00315206">
        <w:rPr>
          <w:rFonts w:asciiTheme="minorBidi" w:hAnsiTheme="minorBidi" w:cstheme="minorBidi"/>
          <w:i/>
          <w:iCs/>
          <w:color w:val="0D0D0D" w:themeColor="text1" w:themeTint="F2"/>
          <w:sz w:val="48"/>
          <w:szCs w:val="48"/>
        </w:rPr>
        <w:t>name: M</w:t>
      </w:r>
      <w:r w:rsidR="00754D10" w:rsidRPr="00315206">
        <w:rPr>
          <w:rFonts w:asciiTheme="minorBidi" w:hAnsiTheme="minorBidi" w:cstheme="minorBidi"/>
          <w:i/>
          <w:iCs/>
          <w:color w:val="0D0D0D" w:themeColor="text1" w:themeTint="F2"/>
          <w:sz w:val="48"/>
          <w:szCs w:val="48"/>
        </w:rPr>
        <w:t xml:space="preserve">aria </w:t>
      </w:r>
      <w:r w:rsidR="005969D7" w:rsidRPr="00315206">
        <w:rPr>
          <w:rFonts w:asciiTheme="minorBidi" w:hAnsiTheme="minorBidi" w:cstheme="minorBidi"/>
          <w:i/>
          <w:iCs/>
          <w:color w:val="0D0D0D" w:themeColor="text1" w:themeTint="F2"/>
          <w:sz w:val="48"/>
          <w:szCs w:val="48"/>
        </w:rPr>
        <w:t>D</w:t>
      </w:r>
      <w:r w:rsidR="00754D10" w:rsidRPr="00315206">
        <w:rPr>
          <w:rFonts w:asciiTheme="minorBidi" w:hAnsiTheme="minorBidi" w:cstheme="minorBidi"/>
          <w:i/>
          <w:iCs/>
          <w:color w:val="0D0D0D" w:themeColor="text1" w:themeTint="F2"/>
          <w:sz w:val="48"/>
          <w:szCs w:val="48"/>
        </w:rPr>
        <w:t>oday</w:t>
      </w:r>
    </w:p>
    <w:p w14:paraId="3F6137C8" w14:textId="122BEE1E" w:rsidR="00754D10" w:rsidRPr="00315206" w:rsidRDefault="00754D10" w:rsidP="00CF7501">
      <w:pPr>
        <w:jc w:val="center"/>
        <w:rPr>
          <w:rFonts w:asciiTheme="minorBidi" w:hAnsiTheme="minorBidi" w:cstheme="minorBidi"/>
          <w:i/>
          <w:iCs/>
          <w:color w:val="0D0D0D" w:themeColor="text1" w:themeTint="F2"/>
          <w:sz w:val="48"/>
          <w:szCs w:val="48"/>
        </w:rPr>
      </w:pPr>
      <w:r w:rsidRPr="00315206">
        <w:rPr>
          <w:rFonts w:asciiTheme="minorBidi" w:hAnsiTheme="minorBidi" w:cstheme="minorBidi"/>
          <w:i/>
          <w:iCs/>
          <w:color w:val="0D0D0D" w:themeColor="text1" w:themeTint="F2"/>
          <w:sz w:val="48"/>
          <w:szCs w:val="48"/>
        </w:rPr>
        <w:t>Student number:</w:t>
      </w:r>
      <w:r w:rsidR="003E35A2">
        <w:rPr>
          <w:rFonts w:asciiTheme="minorBidi" w:hAnsiTheme="minorBidi" w:cstheme="minorBidi"/>
          <w:i/>
          <w:iCs/>
          <w:color w:val="0D0D0D" w:themeColor="text1" w:themeTint="F2"/>
          <w:sz w:val="48"/>
          <w:szCs w:val="48"/>
        </w:rPr>
        <w:t xml:space="preserve"> </w:t>
      </w:r>
      <w:r w:rsidR="005E61D8" w:rsidRPr="00315206">
        <w:rPr>
          <w:rFonts w:asciiTheme="minorBidi" w:hAnsiTheme="minorBidi" w:cstheme="minorBidi"/>
          <w:i/>
          <w:iCs/>
          <w:color w:val="0D0D0D" w:themeColor="text1" w:themeTint="F2"/>
          <w:sz w:val="48"/>
          <w:szCs w:val="48"/>
        </w:rPr>
        <w:t>2133010</w:t>
      </w:r>
    </w:p>
    <w:p w14:paraId="53EB40C7" w14:textId="77777777" w:rsidR="00315206" w:rsidRDefault="00227FF8" w:rsidP="00CF7501">
      <w:pPr>
        <w:jc w:val="center"/>
        <w:rPr>
          <w:rFonts w:asciiTheme="minorBidi" w:hAnsiTheme="minorBidi" w:cstheme="minorBidi"/>
          <w:i/>
          <w:iCs/>
          <w:color w:val="0D0D0D" w:themeColor="text1" w:themeTint="F2"/>
          <w:sz w:val="48"/>
          <w:szCs w:val="48"/>
        </w:rPr>
      </w:pPr>
      <w:r w:rsidRPr="00315206">
        <w:rPr>
          <w:rFonts w:asciiTheme="minorBidi" w:hAnsiTheme="minorBidi" w:cstheme="minorBidi"/>
          <w:i/>
          <w:iCs/>
          <w:color w:val="0D0D0D" w:themeColor="text1" w:themeTint="F2"/>
          <w:sz w:val="48"/>
          <w:szCs w:val="48"/>
        </w:rPr>
        <w:t xml:space="preserve">Module </w:t>
      </w:r>
      <w:r w:rsidR="005969D7" w:rsidRPr="00315206">
        <w:rPr>
          <w:rFonts w:asciiTheme="minorBidi" w:hAnsiTheme="minorBidi" w:cstheme="minorBidi"/>
          <w:i/>
          <w:iCs/>
          <w:color w:val="0D0D0D" w:themeColor="text1" w:themeTint="F2"/>
          <w:sz w:val="48"/>
          <w:szCs w:val="48"/>
        </w:rPr>
        <w:t>code: LCHS</w:t>
      </w:r>
      <w:r w:rsidR="003B3AE6" w:rsidRPr="00315206">
        <w:rPr>
          <w:rFonts w:asciiTheme="minorBidi" w:hAnsiTheme="minorBidi" w:cstheme="minorBidi"/>
          <w:i/>
          <w:iCs/>
          <w:color w:val="0D0D0D" w:themeColor="text1" w:themeTint="F2"/>
          <w:sz w:val="48"/>
          <w:szCs w:val="48"/>
        </w:rPr>
        <w:t>4004</w:t>
      </w:r>
    </w:p>
    <w:p w14:paraId="53BDF887" w14:textId="4F0A299D" w:rsidR="005969D7" w:rsidRPr="00315206" w:rsidRDefault="005969D7" w:rsidP="00CF7501">
      <w:pPr>
        <w:jc w:val="center"/>
        <w:rPr>
          <w:rFonts w:asciiTheme="minorBidi" w:hAnsiTheme="minorBidi" w:cstheme="minorBidi"/>
          <w:i/>
          <w:iCs/>
          <w:color w:val="0D0D0D" w:themeColor="text1" w:themeTint="F2"/>
          <w:sz w:val="48"/>
          <w:szCs w:val="48"/>
        </w:rPr>
      </w:pPr>
      <w:r w:rsidRPr="00315206">
        <w:rPr>
          <w:rFonts w:asciiTheme="minorBidi" w:hAnsiTheme="minorBidi" w:cstheme="minorBidi"/>
          <w:i/>
          <w:iCs/>
          <w:color w:val="0D0D0D" w:themeColor="text1" w:themeTint="F2"/>
          <w:sz w:val="48"/>
          <w:szCs w:val="48"/>
        </w:rPr>
        <w:t>Title: Polio Disease</w:t>
      </w:r>
    </w:p>
    <w:p w14:paraId="7FB74B30" w14:textId="77777777" w:rsidR="00315206" w:rsidRDefault="00AE246D" w:rsidP="00CF7501">
      <w:pPr>
        <w:jc w:val="center"/>
        <w:rPr>
          <w:rFonts w:asciiTheme="minorBidi" w:hAnsiTheme="minorBidi" w:cstheme="minorBidi"/>
          <w:i/>
          <w:iCs/>
          <w:color w:val="0D0D0D" w:themeColor="text1" w:themeTint="F2"/>
          <w:sz w:val="48"/>
          <w:szCs w:val="48"/>
        </w:rPr>
      </w:pPr>
      <w:r w:rsidRPr="00315206">
        <w:rPr>
          <w:rFonts w:asciiTheme="minorBidi" w:hAnsiTheme="minorBidi" w:cstheme="minorBidi"/>
          <w:i/>
          <w:iCs/>
          <w:color w:val="0D0D0D" w:themeColor="text1" w:themeTint="F2"/>
          <w:sz w:val="48"/>
          <w:szCs w:val="48"/>
        </w:rPr>
        <w:t>Lecturer</w:t>
      </w:r>
      <w:r w:rsidR="009C535E" w:rsidRPr="00315206">
        <w:rPr>
          <w:rFonts w:asciiTheme="minorBidi" w:hAnsiTheme="minorBidi" w:cstheme="minorBidi"/>
          <w:i/>
          <w:iCs/>
          <w:color w:val="0D0D0D" w:themeColor="text1" w:themeTint="F2"/>
          <w:sz w:val="48"/>
          <w:szCs w:val="48"/>
        </w:rPr>
        <w:t xml:space="preserve"> name:</w:t>
      </w:r>
      <w:r w:rsidR="00841309" w:rsidRPr="00315206">
        <w:rPr>
          <w:rFonts w:asciiTheme="minorBidi" w:hAnsiTheme="minorBidi" w:cstheme="minorBidi"/>
          <w:i/>
          <w:iCs/>
          <w:color w:val="0D0D0D" w:themeColor="text1" w:themeTint="F2"/>
          <w:sz w:val="48"/>
          <w:szCs w:val="48"/>
        </w:rPr>
        <w:t xml:space="preserve"> </w:t>
      </w:r>
      <w:r w:rsidR="009C535E" w:rsidRPr="00315206">
        <w:rPr>
          <w:rFonts w:asciiTheme="minorBidi" w:hAnsiTheme="minorBidi" w:cstheme="minorBidi"/>
          <w:i/>
          <w:iCs/>
          <w:color w:val="0D0D0D" w:themeColor="text1" w:themeTint="F2"/>
          <w:sz w:val="48"/>
          <w:szCs w:val="48"/>
        </w:rPr>
        <w:t>Laila</w:t>
      </w:r>
      <w:r w:rsidR="00243F6B" w:rsidRPr="00315206">
        <w:rPr>
          <w:rFonts w:asciiTheme="minorBidi" w:hAnsiTheme="minorBidi" w:cstheme="minorBidi"/>
          <w:i/>
          <w:iCs/>
          <w:color w:val="0D0D0D" w:themeColor="text1" w:themeTint="F2"/>
          <w:sz w:val="48"/>
          <w:szCs w:val="48"/>
        </w:rPr>
        <w:t xml:space="preserve"> </w:t>
      </w:r>
      <w:proofErr w:type="spellStart"/>
      <w:r w:rsidR="005969D7" w:rsidRPr="00315206">
        <w:rPr>
          <w:rFonts w:asciiTheme="minorBidi" w:hAnsiTheme="minorBidi" w:cstheme="minorBidi"/>
          <w:i/>
          <w:iCs/>
          <w:color w:val="0D0D0D" w:themeColor="text1" w:themeTint="F2"/>
          <w:sz w:val="48"/>
          <w:szCs w:val="48"/>
        </w:rPr>
        <w:t>S</w:t>
      </w:r>
      <w:r w:rsidR="00243F6B" w:rsidRPr="00315206">
        <w:rPr>
          <w:rFonts w:asciiTheme="minorBidi" w:hAnsiTheme="minorBidi" w:cstheme="minorBidi"/>
          <w:i/>
          <w:iCs/>
          <w:color w:val="0D0D0D" w:themeColor="text1" w:themeTint="F2"/>
          <w:sz w:val="48"/>
          <w:szCs w:val="48"/>
        </w:rPr>
        <w:t>urani</w:t>
      </w:r>
      <w:proofErr w:type="spellEnd"/>
    </w:p>
    <w:p w14:paraId="60E68CCA" w14:textId="0E2E785A" w:rsidR="00315206" w:rsidRDefault="00F4504C" w:rsidP="00CF7501">
      <w:pPr>
        <w:jc w:val="center"/>
        <w:rPr>
          <w:rFonts w:asciiTheme="minorBidi" w:hAnsiTheme="minorBidi" w:cstheme="minorBidi"/>
          <w:i/>
          <w:iCs/>
          <w:color w:val="0D0D0D" w:themeColor="text1" w:themeTint="F2"/>
          <w:sz w:val="48"/>
          <w:szCs w:val="48"/>
        </w:rPr>
      </w:pPr>
      <w:r w:rsidRPr="00315206">
        <w:rPr>
          <w:rFonts w:asciiTheme="minorBidi" w:hAnsiTheme="minorBidi" w:cstheme="minorBidi"/>
          <w:i/>
          <w:iCs/>
          <w:color w:val="0D0D0D" w:themeColor="text1" w:themeTint="F2"/>
          <w:sz w:val="48"/>
          <w:szCs w:val="48"/>
        </w:rPr>
        <w:t>Module name:</w:t>
      </w:r>
      <w:r w:rsidR="00CF7501">
        <w:rPr>
          <w:rFonts w:asciiTheme="minorBidi" w:hAnsiTheme="minorBidi" w:cstheme="minorBidi"/>
          <w:i/>
          <w:iCs/>
          <w:color w:val="0D0D0D" w:themeColor="text1" w:themeTint="F2"/>
          <w:sz w:val="48"/>
          <w:szCs w:val="48"/>
        </w:rPr>
        <w:t xml:space="preserve"> </w:t>
      </w:r>
      <w:r w:rsidR="005969D7" w:rsidRPr="00315206">
        <w:rPr>
          <w:rFonts w:asciiTheme="minorBidi" w:hAnsiTheme="minorBidi" w:cstheme="minorBidi"/>
          <w:i/>
          <w:iCs/>
          <w:color w:val="0D0D0D" w:themeColor="text1" w:themeTint="F2"/>
          <w:sz w:val="48"/>
          <w:szCs w:val="48"/>
        </w:rPr>
        <w:t>I</w:t>
      </w:r>
      <w:r w:rsidR="00C26489" w:rsidRPr="00315206">
        <w:rPr>
          <w:rFonts w:asciiTheme="minorBidi" w:hAnsiTheme="minorBidi" w:cstheme="minorBidi"/>
          <w:i/>
          <w:iCs/>
          <w:color w:val="0D0D0D" w:themeColor="text1" w:themeTint="F2"/>
          <w:sz w:val="48"/>
          <w:szCs w:val="48"/>
        </w:rPr>
        <w:t>nt</w:t>
      </w:r>
      <w:r w:rsidR="00102164" w:rsidRPr="00315206">
        <w:rPr>
          <w:rFonts w:asciiTheme="minorBidi" w:hAnsiTheme="minorBidi" w:cstheme="minorBidi"/>
          <w:i/>
          <w:iCs/>
          <w:color w:val="0D0D0D" w:themeColor="text1" w:themeTint="F2"/>
          <w:sz w:val="48"/>
          <w:szCs w:val="48"/>
        </w:rPr>
        <w:t>roduction to pu</w:t>
      </w:r>
      <w:r w:rsidR="00926204" w:rsidRPr="00315206">
        <w:rPr>
          <w:rFonts w:asciiTheme="minorBidi" w:hAnsiTheme="minorBidi" w:cstheme="minorBidi"/>
          <w:i/>
          <w:iCs/>
          <w:color w:val="0D0D0D" w:themeColor="text1" w:themeTint="F2"/>
          <w:sz w:val="48"/>
          <w:szCs w:val="48"/>
        </w:rPr>
        <w:t>blic</w:t>
      </w:r>
    </w:p>
    <w:p w14:paraId="151937F2" w14:textId="7C04D82F" w:rsidR="00391C41" w:rsidRPr="00315206" w:rsidRDefault="00926204" w:rsidP="00CF7501">
      <w:pPr>
        <w:jc w:val="center"/>
        <w:rPr>
          <w:rFonts w:asciiTheme="minorBidi" w:hAnsiTheme="minorBidi" w:cstheme="minorBidi"/>
          <w:i/>
          <w:iCs/>
          <w:color w:val="0D0D0D" w:themeColor="text1" w:themeTint="F2"/>
          <w:sz w:val="48"/>
          <w:szCs w:val="48"/>
        </w:rPr>
      </w:pPr>
      <w:r w:rsidRPr="00315206">
        <w:rPr>
          <w:rFonts w:asciiTheme="minorBidi" w:hAnsiTheme="minorBidi" w:cstheme="minorBidi"/>
          <w:i/>
          <w:iCs/>
          <w:color w:val="0D0D0D" w:themeColor="text1" w:themeTint="F2"/>
          <w:sz w:val="48"/>
          <w:szCs w:val="48"/>
        </w:rPr>
        <w:t>Health</w:t>
      </w:r>
    </w:p>
    <w:p w14:paraId="6E1224C5" w14:textId="49199785" w:rsidR="005969D7" w:rsidRPr="005969D7" w:rsidRDefault="005969D7">
      <w:pPr>
        <w:rPr>
          <w:rFonts w:asciiTheme="minorBidi" w:hAnsiTheme="minorBidi" w:cstheme="minorBidi"/>
          <w:color w:val="0D0D0D" w:themeColor="text1" w:themeTint="F2"/>
          <w:sz w:val="72"/>
          <w:szCs w:val="72"/>
        </w:rPr>
      </w:pPr>
    </w:p>
    <w:p w14:paraId="75D6B031" w14:textId="483230B3" w:rsidR="005969D7" w:rsidRPr="005969D7" w:rsidRDefault="005969D7">
      <w:pPr>
        <w:rPr>
          <w:rFonts w:asciiTheme="minorBidi" w:hAnsiTheme="minorBidi" w:cstheme="minorBidi"/>
          <w:color w:val="0D0D0D" w:themeColor="text1" w:themeTint="F2"/>
          <w:sz w:val="72"/>
          <w:szCs w:val="72"/>
        </w:rPr>
      </w:pPr>
    </w:p>
    <w:p w14:paraId="48832841" w14:textId="6AAC2EA9" w:rsidR="005969D7" w:rsidRPr="005969D7" w:rsidRDefault="005969D7">
      <w:pPr>
        <w:rPr>
          <w:rFonts w:asciiTheme="minorBidi" w:hAnsiTheme="minorBidi" w:cstheme="minorBidi"/>
          <w:color w:val="0D0D0D" w:themeColor="text1" w:themeTint="F2"/>
          <w:sz w:val="72"/>
          <w:szCs w:val="72"/>
        </w:rPr>
      </w:pPr>
    </w:p>
    <w:p w14:paraId="6A86FC8F" w14:textId="5793DAC1" w:rsidR="005969D7" w:rsidRPr="005969D7" w:rsidRDefault="005969D7">
      <w:pPr>
        <w:rPr>
          <w:rFonts w:asciiTheme="minorBidi" w:hAnsiTheme="minorBidi" w:cstheme="minorBidi"/>
          <w:color w:val="0D0D0D" w:themeColor="text1" w:themeTint="F2"/>
          <w:sz w:val="72"/>
          <w:szCs w:val="72"/>
        </w:rPr>
      </w:pPr>
    </w:p>
    <w:p w14:paraId="5E3C1207" w14:textId="418C704F" w:rsidR="005969D7" w:rsidRPr="005969D7" w:rsidRDefault="005969D7">
      <w:pPr>
        <w:rPr>
          <w:rFonts w:asciiTheme="minorBidi" w:hAnsiTheme="minorBidi" w:cstheme="minorBidi"/>
          <w:color w:val="0D0D0D" w:themeColor="text1" w:themeTint="F2"/>
          <w:sz w:val="72"/>
          <w:szCs w:val="72"/>
        </w:rPr>
      </w:pPr>
    </w:p>
    <w:p w14:paraId="43BD5167" w14:textId="50E8B9EE" w:rsidR="005969D7" w:rsidRPr="005969D7" w:rsidRDefault="005969D7">
      <w:pPr>
        <w:rPr>
          <w:rFonts w:asciiTheme="minorBidi" w:hAnsiTheme="minorBidi" w:cstheme="minorBidi"/>
          <w:color w:val="0D0D0D" w:themeColor="text1" w:themeTint="F2"/>
          <w:sz w:val="72"/>
          <w:szCs w:val="72"/>
        </w:rPr>
      </w:pPr>
    </w:p>
    <w:p w14:paraId="0B31AD51" w14:textId="6F8856AC" w:rsidR="005969D7" w:rsidRDefault="005969D7">
      <w:pPr>
        <w:rPr>
          <w:rFonts w:asciiTheme="minorBidi" w:hAnsiTheme="minorBidi"/>
          <w:color w:val="0D0D0D" w:themeColor="text1" w:themeTint="F2"/>
          <w:sz w:val="72"/>
          <w:szCs w:val="72"/>
        </w:rPr>
      </w:pPr>
    </w:p>
    <w:p w14:paraId="4341EEEB" w14:textId="77777777" w:rsidR="00C34C28" w:rsidRDefault="00C34C28" w:rsidP="00B8457E">
      <w:pPr>
        <w:spacing w:line="259" w:lineRule="auto"/>
        <w:rPr>
          <w:rFonts w:asciiTheme="minorBidi" w:hAnsiTheme="minorBidi" w:cstheme="minorBidi"/>
          <w:i/>
          <w:iCs/>
          <w:sz w:val="22"/>
          <w:szCs w:val="22"/>
          <w:u w:val="single"/>
        </w:rPr>
      </w:pPr>
    </w:p>
    <w:p w14:paraId="15DCD426" w14:textId="77777777" w:rsidR="00CF7501" w:rsidRDefault="00CF7501" w:rsidP="00315206">
      <w:pPr>
        <w:spacing w:line="360" w:lineRule="auto"/>
        <w:jc w:val="both"/>
        <w:rPr>
          <w:rFonts w:asciiTheme="minorBidi" w:hAnsiTheme="minorBidi" w:cstheme="minorBidi"/>
          <w:i/>
          <w:iCs/>
          <w:sz w:val="22"/>
          <w:szCs w:val="22"/>
          <w:u w:val="single"/>
        </w:rPr>
      </w:pPr>
    </w:p>
    <w:p w14:paraId="468D1A60" w14:textId="00CDFAFA" w:rsidR="00CF7501" w:rsidRDefault="00CF7501" w:rsidP="00315206">
      <w:pPr>
        <w:spacing w:line="360" w:lineRule="auto"/>
        <w:jc w:val="both"/>
        <w:rPr>
          <w:rFonts w:asciiTheme="minorBidi" w:hAnsiTheme="minorBidi" w:cstheme="minorBidi"/>
          <w:sz w:val="22"/>
          <w:szCs w:val="22"/>
        </w:rPr>
      </w:pPr>
    </w:p>
    <w:p w14:paraId="3DA71A08" w14:textId="7F323175" w:rsidR="00970A72" w:rsidRPr="00386DB5" w:rsidRDefault="00386DB5" w:rsidP="00315206">
      <w:pPr>
        <w:spacing w:line="360" w:lineRule="auto"/>
        <w:jc w:val="both"/>
        <w:rPr>
          <w:rFonts w:asciiTheme="minorBidi" w:hAnsiTheme="minorBidi" w:cstheme="minorBidi"/>
          <w:sz w:val="48"/>
          <w:szCs w:val="48"/>
        </w:rPr>
      </w:pPr>
      <w:r w:rsidRPr="00386DB5">
        <w:rPr>
          <w:rFonts w:asciiTheme="minorBidi" w:hAnsiTheme="minorBidi" w:cstheme="minorBidi"/>
          <w:sz w:val="48"/>
          <w:szCs w:val="48"/>
        </w:rPr>
        <w:lastRenderedPageBreak/>
        <w:t>Introduction</w:t>
      </w:r>
    </w:p>
    <w:p w14:paraId="6DF6840F" w14:textId="0D69B13D" w:rsidR="00B828E1" w:rsidRPr="00CF7501" w:rsidRDefault="00547AD2" w:rsidP="00315206">
      <w:pPr>
        <w:spacing w:line="360" w:lineRule="auto"/>
        <w:jc w:val="both"/>
        <w:rPr>
          <w:rFonts w:asciiTheme="minorBidi" w:hAnsiTheme="minorBidi" w:cstheme="minorBidi"/>
          <w:sz w:val="22"/>
          <w:szCs w:val="22"/>
        </w:rPr>
      </w:pPr>
      <w:r w:rsidRPr="00CF7501">
        <w:rPr>
          <w:rFonts w:asciiTheme="minorBidi" w:hAnsiTheme="minorBidi" w:cstheme="minorBidi"/>
          <w:sz w:val="22"/>
          <w:szCs w:val="22"/>
        </w:rPr>
        <w:t xml:space="preserve">Polio </w:t>
      </w:r>
      <w:r w:rsidR="000A3F6C" w:rsidRPr="00CF7501">
        <w:rPr>
          <w:rFonts w:asciiTheme="minorBidi" w:hAnsiTheme="minorBidi" w:cstheme="minorBidi"/>
          <w:sz w:val="22"/>
          <w:szCs w:val="22"/>
        </w:rPr>
        <w:t xml:space="preserve">also known as poliomyelitis </w:t>
      </w:r>
      <w:r w:rsidRPr="00CF7501">
        <w:rPr>
          <w:rFonts w:asciiTheme="minorBidi" w:hAnsiTheme="minorBidi" w:cstheme="minorBidi"/>
          <w:sz w:val="22"/>
          <w:szCs w:val="22"/>
        </w:rPr>
        <w:t>is an infectious disease</w:t>
      </w:r>
      <w:r w:rsidR="000A3F6C" w:rsidRPr="00CF7501">
        <w:rPr>
          <w:rFonts w:asciiTheme="minorBidi" w:hAnsiTheme="minorBidi" w:cstheme="minorBidi"/>
          <w:sz w:val="22"/>
          <w:szCs w:val="22"/>
        </w:rPr>
        <w:t xml:space="preserve"> that can be life threating and disabling as it affects various parts of the body such as the spinal cord and brain where it causes paralysis </w:t>
      </w:r>
      <w:r w:rsidR="000A3F6C" w:rsidRPr="00CF7501">
        <w:rPr>
          <w:rFonts w:asciiTheme="minorBidi" w:hAnsiTheme="minorBidi" w:cstheme="minorBidi"/>
          <w:i/>
          <w:iCs/>
          <w:sz w:val="22"/>
          <w:szCs w:val="22"/>
        </w:rPr>
        <w:t>(</w:t>
      </w:r>
      <w:r w:rsidR="00642BEE" w:rsidRPr="00CF7501">
        <w:rPr>
          <w:rFonts w:asciiTheme="minorBidi" w:hAnsiTheme="minorBidi" w:cstheme="minorBidi"/>
          <w:i/>
          <w:iCs/>
          <w:sz w:val="22"/>
          <w:szCs w:val="22"/>
        </w:rPr>
        <w:t>Adelaidean</w:t>
      </w:r>
      <w:r w:rsidR="000A3F6C" w:rsidRPr="00CF7501">
        <w:rPr>
          <w:rFonts w:asciiTheme="minorBidi" w:hAnsiTheme="minorBidi" w:cstheme="minorBidi"/>
          <w:i/>
          <w:iCs/>
          <w:sz w:val="22"/>
          <w:szCs w:val="22"/>
        </w:rPr>
        <w:t xml:space="preserve">, </w:t>
      </w:r>
      <w:r w:rsidR="00642BEE" w:rsidRPr="00CF7501">
        <w:rPr>
          <w:rFonts w:asciiTheme="minorBidi" w:hAnsiTheme="minorBidi" w:cstheme="minorBidi"/>
          <w:i/>
          <w:iCs/>
          <w:sz w:val="22"/>
          <w:szCs w:val="22"/>
        </w:rPr>
        <w:t>Kalkaska</w:t>
      </w:r>
      <w:r w:rsidR="000A3F6C" w:rsidRPr="00CF7501">
        <w:rPr>
          <w:rFonts w:asciiTheme="minorBidi" w:hAnsiTheme="minorBidi" w:cstheme="minorBidi"/>
          <w:i/>
          <w:iCs/>
          <w:sz w:val="22"/>
          <w:szCs w:val="22"/>
        </w:rPr>
        <w:t>, Thompson 2022).</w:t>
      </w:r>
      <w:r w:rsidR="00B8457E" w:rsidRPr="00CF7501">
        <w:rPr>
          <w:rFonts w:asciiTheme="minorBidi" w:hAnsiTheme="minorBidi" w:cstheme="minorBidi"/>
          <w:sz w:val="22"/>
          <w:szCs w:val="22"/>
        </w:rPr>
        <w:t xml:space="preserve"> </w:t>
      </w:r>
      <w:r w:rsidR="000A3F6C" w:rsidRPr="00CF7501">
        <w:rPr>
          <w:rFonts w:asciiTheme="minorBidi" w:hAnsiTheme="minorBidi" w:cstheme="minorBidi"/>
          <w:sz w:val="22"/>
          <w:szCs w:val="22"/>
        </w:rPr>
        <w:t>This</w:t>
      </w:r>
      <w:r w:rsidR="00B8457E" w:rsidRPr="00CF7501">
        <w:rPr>
          <w:rFonts w:asciiTheme="minorBidi" w:hAnsiTheme="minorBidi" w:cstheme="minorBidi"/>
          <w:sz w:val="22"/>
          <w:szCs w:val="22"/>
        </w:rPr>
        <w:t xml:space="preserve"> assessment aims to demonstrate</w:t>
      </w:r>
      <w:r w:rsidR="00642BEE">
        <w:rPr>
          <w:rFonts w:asciiTheme="minorBidi" w:hAnsiTheme="minorBidi" w:cstheme="minorBidi"/>
          <w:sz w:val="22"/>
          <w:szCs w:val="22"/>
        </w:rPr>
        <w:t xml:space="preserve"> that there are many </w:t>
      </w:r>
      <w:r w:rsidR="00642BEE" w:rsidRPr="00CF7501">
        <w:rPr>
          <w:rFonts w:asciiTheme="minorBidi" w:hAnsiTheme="minorBidi" w:cstheme="minorBidi"/>
          <w:sz w:val="22"/>
          <w:szCs w:val="22"/>
        </w:rPr>
        <w:t>approaches and strategies used to measure,</w:t>
      </w:r>
      <w:r w:rsidR="00642BEE">
        <w:rPr>
          <w:rFonts w:asciiTheme="minorBidi" w:hAnsiTheme="minorBidi" w:cstheme="minorBidi"/>
          <w:sz w:val="22"/>
          <w:szCs w:val="22"/>
        </w:rPr>
        <w:t xml:space="preserve"> monitor, and </w:t>
      </w:r>
      <w:r w:rsidR="00B828E1" w:rsidRPr="00CF7501">
        <w:rPr>
          <w:rFonts w:asciiTheme="minorBidi" w:hAnsiTheme="minorBidi" w:cstheme="minorBidi"/>
          <w:sz w:val="22"/>
          <w:szCs w:val="22"/>
        </w:rPr>
        <w:t xml:space="preserve">  control the incidence of diseases includes surveillance, screening, early detection, prevention, and control. Surveillance involves monitoring the occurrence of diseases, screening involves the use of diagnostic tests to find and detect diseases in the population, early detection allows for early treatment of the disease, prevention involves measures to reduce the risk of disease, and control involves strategies to reduce the spread of the disease. These strategies may involve a combination of education, policy and law enforcement, public health interventions, and access to health services</w:t>
      </w:r>
      <w:r w:rsidR="00A3172B" w:rsidRPr="00CF7501">
        <w:rPr>
          <w:rFonts w:asciiTheme="minorBidi" w:hAnsiTheme="minorBidi" w:cstheme="minorBidi"/>
          <w:sz w:val="22"/>
          <w:szCs w:val="22"/>
        </w:rPr>
        <w:t xml:space="preserve"> (</w:t>
      </w:r>
      <w:proofErr w:type="spellStart"/>
      <w:r w:rsidR="00A3172B" w:rsidRPr="00CF7501">
        <w:rPr>
          <w:rFonts w:asciiTheme="minorBidi" w:hAnsiTheme="minorBidi" w:cstheme="minorBidi"/>
          <w:sz w:val="22"/>
          <w:szCs w:val="22"/>
        </w:rPr>
        <w:t>Tebbens</w:t>
      </w:r>
      <w:proofErr w:type="spellEnd"/>
      <w:r w:rsidR="00A3172B" w:rsidRPr="00CF7501">
        <w:rPr>
          <w:rFonts w:asciiTheme="minorBidi" w:hAnsiTheme="minorBidi" w:cstheme="minorBidi"/>
          <w:sz w:val="22"/>
          <w:szCs w:val="22"/>
        </w:rPr>
        <w:t xml:space="preserve"> 2010).</w:t>
      </w:r>
    </w:p>
    <w:p w14:paraId="17D06101" w14:textId="77777777" w:rsidR="00495F36" w:rsidRPr="00CF7501" w:rsidRDefault="00495F36" w:rsidP="00315206">
      <w:pPr>
        <w:spacing w:line="360" w:lineRule="auto"/>
        <w:jc w:val="both"/>
        <w:rPr>
          <w:rFonts w:asciiTheme="minorBidi" w:hAnsiTheme="minorBidi" w:cstheme="minorBidi"/>
          <w:i/>
          <w:iCs/>
          <w:sz w:val="22"/>
          <w:szCs w:val="22"/>
          <w:u w:val="single"/>
        </w:rPr>
      </w:pPr>
    </w:p>
    <w:p w14:paraId="253516CE" w14:textId="05E08A72" w:rsidR="00B828E1" w:rsidRPr="00CF7501" w:rsidRDefault="00B828E1" w:rsidP="00315206">
      <w:pPr>
        <w:spacing w:line="360" w:lineRule="auto"/>
        <w:jc w:val="both"/>
        <w:rPr>
          <w:rFonts w:asciiTheme="minorBidi" w:hAnsiTheme="minorBidi" w:cstheme="minorBidi"/>
          <w:sz w:val="22"/>
          <w:szCs w:val="22"/>
        </w:rPr>
      </w:pPr>
      <w:r w:rsidRPr="00CF7501">
        <w:rPr>
          <w:rFonts w:asciiTheme="minorBidi" w:hAnsiTheme="minorBidi" w:cstheme="minorBidi"/>
          <w:sz w:val="22"/>
          <w:szCs w:val="22"/>
        </w:rPr>
        <w:t>Surveillance is an important tool in public health that can be used to monitor and control the spread of diseases. Surveillance systems collect data on disease trends, allowing public health authorities to track, analyse and respond to the spread of illness. By monitoring current and past trends, public health officials can better predict and prevent outbreaks of infectious diseases</w:t>
      </w:r>
      <w:r w:rsidR="00C34C28" w:rsidRPr="00CF7501">
        <w:rPr>
          <w:rFonts w:asciiTheme="minorBidi" w:hAnsiTheme="minorBidi" w:cstheme="minorBidi"/>
          <w:sz w:val="22"/>
          <w:szCs w:val="22"/>
        </w:rPr>
        <w:t xml:space="preserve"> (Barton 2021). </w:t>
      </w:r>
      <w:r w:rsidRPr="00CF7501">
        <w:rPr>
          <w:rFonts w:asciiTheme="minorBidi" w:hAnsiTheme="minorBidi" w:cstheme="minorBidi"/>
          <w:sz w:val="22"/>
          <w:szCs w:val="22"/>
        </w:rPr>
        <w:t>Surveillance can take many forms, including active and passive. Active surveillance includes collecting data on diseases from hospitals, labs, and physicians. Passive surveillance involves collecting data from sources like media reports, school records, and surveys</w:t>
      </w:r>
      <w:r w:rsidR="00C34C28" w:rsidRPr="00CF7501">
        <w:rPr>
          <w:rFonts w:asciiTheme="minorBidi" w:hAnsiTheme="minorBidi" w:cstheme="minorBidi"/>
          <w:sz w:val="22"/>
          <w:szCs w:val="22"/>
        </w:rPr>
        <w:t xml:space="preserve"> (</w:t>
      </w:r>
      <w:proofErr w:type="spellStart"/>
      <w:r w:rsidR="00C34C28" w:rsidRPr="00CF7501">
        <w:rPr>
          <w:rFonts w:asciiTheme="minorBidi" w:hAnsiTheme="minorBidi" w:cstheme="minorBidi"/>
          <w:sz w:val="22"/>
          <w:szCs w:val="22"/>
        </w:rPr>
        <w:t>Aturaliya</w:t>
      </w:r>
      <w:proofErr w:type="spellEnd"/>
      <w:r w:rsidR="00C34C28" w:rsidRPr="00CF7501">
        <w:rPr>
          <w:rFonts w:asciiTheme="minorBidi" w:hAnsiTheme="minorBidi" w:cstheme="minorBidi"/>
          <w:sz w:val="22"/>
          <w:szCs w:val="22"/>
        </w:rPr>
        <w:t xml:space="preserve"> 2021). </w:t>
      </w:r>
      <w:r w:rsidRPr="00CF7501">
        <w:rPr>
          <w:rFonts w:asciiTheme="minorBidi" w:hAnsiTheme="minorBidi" w:cstheme="minorBidi"/>
          <w:sz w:val="22"/>
          <w:szCs w:val="22"/>
        </w:rPr>
        <w:t>This data can help public health officials identify emerging trends and target areas of concern</w:t>
      </w:r>
      <w:r w:rsidR="003E35A2">
        <w:rPr>
          <w:rFonts w:asciiTheme="minorBidi" w:hAnsiTheme="minorBidi" w:cstheme="minorBidi"/>
          <w:sz w:val="22"/>
          <w:szCs w:val="22"/>
        </w:rPr>
        <w:t>, s</w:t>
      </w:r>
      <w:r w:rsidRPr="00CF7501">
        <w:rPr>
          <w:rFonts w:asciiTheme="minorBidi" w:hAnsiTheme="minorBidi" w:cstheme="minorBidi"/>
          <w:sz w:val="22"/>
          <w:szCs w:val="22"/>
        </w:rPr>
        <w:t>urveillance can be used to detect outbreaks of infectious diseases</w:t>
      </w:r>
      <w:r w:rsidR="00C34C28" w:rsidRPr="00CF7501">
        <w:rPr>
          <w:rFonts w:asciiTheme="minorBidi" w:hAnsiTheme="minorBidi" w:cstheme="minorBidi"/>
          <w:sz w:val="22"/>
          <w:szCs w:val="22"/>
        </w:rPr>
        <w:t>, b</w:t>
      </w:r>
      <w:r w:rsidRPr="00CF7501">
        <w:rPr>
          <w:rFonts w:asciiTheme="minorBidi" w:hAnsiTheme="minorBidi" w:cstheme="minorBidi"/>
          <w:sz w:val="22"/>
          <w:szCs w:val="22"/>
        </w:rPr>
        <w:t xml:space="preserve">y monitoring the spread of diseases, public health authorities can identify areas that are at risk for outbreaks and take action to prevent them. The </w:t>
      </w:r>
      <w:proofErr w:type="spellStart"/>
      <w:r w:rsidRPr="00CF7501">
        <w:rPr>
          <w:rFonts w:asciiTheme="minorBidi" w:hAnsiTheme="minorBidi" w:cstheme="minorBidi"/>
          <w:sz w:val="22"/>
          <w:szCs w:val="22"/>
        </w:rPr>
        <w:t>Centers</w:t>
      </w:r>
      <w:proofErr w:type="spellEnd"/>
      <w:r w:rsidRPr="00CF7501">
        <w:rPr>
          <w:rFonts w:asciiTheme="minorBidi" w:hAnsiTheme="minorBidi" w:cstheme="minorBidi"/>
          <w:sz w:val="22"/>
          <w:szCs w:val="22"/>
        </w:rPr>
        <w:t xml:space="preserve"> for Disease Control and Prevention (CDC) uses a variety of disease surveillance techniques, including the National Notifiable Disease Surveillance System, to monitor the spread of diseases. Surveillance can also be used to track and monitor vaccine-preventable diseases. By monitoring the rates of vaccine-preventable diseases in a population, public health officials can identify areas where vaccination coverage is insufficient and take action </w:t>
      </w:r>
      <w:r w:rsidRPr="00CF7501">
        <w:rPr>
          <w:rFonts w:asciiTheme="minorBidi" w:eastAsia="Calibri" w:hAnsiTheme="minorBidi" w:cstheme="minorBidi"/>
          <w:sz w:val="22"/>
          <w:szCs w:val="22"/>
        </w:rPr>
        <w:t>to increase rates of vaccination</w:t>
      </w:r>
      <w:r w:rsidR="00C34C28" w:rsidRPr="00CF7501">
        <w:rPr>
          <w:rFonts w:asciiTheme="minorBidi" w:eastAsia="Calibri" w:hAnsiTheme="minorBidi" w:cstheme="minorBidi"/>
          <w:sz w:val="22"/>
          <w:szCs w:val="22"/>
        </w:rPr>
        <w:t xml:space="preserve"> (Public Health 2020).</w:t>
      </w:r>
    </w:p>
    <w:p w14:paraId="5BB553AC" w14:textId="35491965" w:rsidR="00227510" w:rsidRPr="00CF7501" w:rsidRDefault="00227510" w:rsidP="00315206">
      <w:pPr>
        <w:spacing w:line="360" w:lineRule="auto"/>
        <w:jc w:val="both"/>
        <w:rPr>
          <w:rFonts w:asciiTheme="minorBidi" w:hAnsiTheme="minorBidi" w:cstheme="minorBidi"/>
          <w:i/>
          <w:iCs/>
          <w:sz w:val="22"/>
          <w:szCs w:val="22"/>
          <w:u w:val="single"/>
        </w:rPr>
      </w:pPr>
    </w:p>
    <w:p w14:paraId="32142676" w14:textId="131DCB5F" w:rsidR="00B828E1" w:rsidRPr="00CF7501" w:rsidRDefault="00B828E1" w:rsidP="00315206">
      <w:pPr>
        <w:spacing w:line="360" w:lineRule="auto"/>
        <w:jc w:val="both"/>
        <w:rPr>
          <w:rFonts w:asciiTheme="minorBidi" w:eastAsia="Calibri" w:hAnsiTheme="minorBidi" w:cstheme="minorBidi"/>
          <w:sz w:val="22"/>
          <w:szCs w:val="22"/>
        </w:rPr>
      </w:pPr>
      <w:r w:rsidRPr="00CF7501">
        <w:rPr>
          <w:rFonts w:asciiTheme="minorBidi" w:eastAsia="Calibri" w:hAnsiTheme="minorBidi" w:cstheme="minorBidi"/>
          <w:sz w:val="22"/>
          <w:szCs w:val="22"/>
        </w:rPr>
        <w:t>Screening is an important tool in controlling and monitoring diseases</w:t>
      </w:r>
      <w:r w:rsidR="008A2EBC" w:rsidRPr="00CF7501">
        <w:rPr>
          <w:rFonts w:asciiTheme="minorBidi" w:eastAsia="Calibri" w:hAnsiTheme="minorBidi" w:cstheme="minorBidi"/>
          <w:sz w:val="22"/>
          <w:szCs w:val="22"/>
        </w:rPr>
        <w:t>, s</w:t>
      </w:r>
      <w:r w:rsidRPr="00CF7501">
        <w:rPr>
          <w:rFonts w:asciiTheme="minorBidi" w:eastAsia="Calibri" w:hAnsiTheme="minorBidi" w:cstheme="minorBidi"/>
          <w:sz w:val="22"/>
          <w:szCs w:val="22"/>
        </w:rPr>
        <w:t xml:space="preserve">creening is a process of testing for diseases or other medical conditions in people who do not have any symptoms. The aim of screening is to detect diseases </w:t>
      </w:r>
      <w:r w:rsidR="008A2EBC" w:rsidRPr="00CF7501">
        <w:rPr>
          <w:rFonts w:asciiTheme="minorBidi" w:eastAsia="Calibri" w:hAnsiTheme="minorBidi" w:cstheme="minorBidi"/>
          <w:sz w:val="22"/>
          <w:szCs w:val="22"/>
        </w:rPr>
        <w:t>early, before</w:t>
      </w:r>
      <w:r w:rsidRPr="00CF7501">
        <w:rPr>
          <w:rFonts w:asciiTheme="minorBidi" w:eastAsia="Calibri" w:hAnsiTheme="minorBidi" w:cstheme="minorBidi"/>
          <w:sz w:val="22"/>
          <w:szCs w:val="22"/>
        </w:rPr>
        <w:t xml:space="preserve"> they cause symptoms, so that treatment can be started before any damage to the body has occurred</w:t>
      </w:r>
      <w:r w:rsidR="008A2EBC" w:rsidRPr="00CF7501">
        <w:rPr>
          <w:rFonts w:asciiTheme="minorBidi" w:eastAsia="Calibri" w:hAnsiTheme="minorBidi" w:cstheme="minorBidi"/>
          <w:sz w:val="22"/>
          <w:szCs w:val="22"/>
        </w:rPr>
        <w:t xml:space="preserve"> (Public Health 2020). </w:t>
      </w:r>
      <w:r w:rsidR="008A2EBC" w:rsidRPr="00CF7501">
        <w:rPr>
          <w:rFonts w:asciiTheme="minorBidi" w:eastAsia="Calibri" w:hAnsiTheme="minorBidi" w:cstheme="minorBidi"/>
          <w:sz w:val="22"/>
          <w:szCs w:val="22"/>
        </w:rPr>
        <w:lastRenderedPageBreak/>
        <w:t>Screening</w:t>
      </w:r>
      <w:r w:rsidRPr="00CF7501">
        <w:rPr>
          <w:rFonts w:asciiTheme="minorBidi" w:eastAsia="Calibri" w:hAnsiTheme="minorBidi" w:cstheme="minorBidi"/>
          <w:sz w:val="22"/>
          <w:szCs w:val="22"/>
        </w:rPr>
        <w:t xml:space="preserve"> can also help identify those at risk of developing a disease, allowing preventive measures to be </w:t>
      </w:r>
      <w:r w:rsidR="008A2EBC" w:rsidRPr="00CF7501">
        <w:rPr>
          <w:rFonts w:asciiTheme="minorBidi" w:eastAsia="Calibri" w:hAnsiTheme="minorBidi" w:cstheme="minorBidi"/>
          <w:sz w:val="22"/>
          <w:szCs w:val="22"/>
        </w:rPr>
        <w:t>taken, screening</w:t>
      </w:r>
      <w:r w:rsidRPr="00CF7501">
        <w:rPr>
          <w:rFonts w:asciiTheme="minorBidi" w:eastAsia="Calibri" w:hAnsiTheme="minorBidi" w:cstheme="minorBidi"/>
          <w:sz w:val="22"/>
          <w:szCs w:val="22"/>
        </w:rPr>
        <w:t xml:space="preserve"> for common diseases such as cancer and heart disease is widely available in many countries. Screening for these diseases involves tests such as mammograms for breast cancer, Pap smears for cervical cancer and cholesterol tests for heart disease. Screening for these diseases can help detect diseases early when they are more treatable, increasing the chances of successful treatment</w:t>
      </w:r>
      <w:r w:rsidR="008A2EBC" w:rsidRPr="00CF7501">
        <w:rPr>
          <w:rFonts w:asciiTheme="minorBidi" w:eastAsia="Calibri" w:hAnsiTheme="minorBidi" w:cstheme="minorBidi"/>
          <w:sz w:val="22"/>
          <w:szCs w:val="22"/>
        </w:rPr>
        <w:t xml:space="preserve"> s</w:t>
      </w:r>
      <w:r w:rsidRPr="00CF7501">
        <w:rPr>
          <w:rFonts w:asciiTheme="minorBidi" w:eastAsia="Calibri" w:hAnsiTheme="minorBidi" w:cstheme="minorBidi"/>
          <w:sz w:val="22"/>
          <w:szCs w:val="22"/>
        </w:rPr>
        <w:t>creening can additionally help identify those at risk of developing a disease. For example, genetic tests can be used to identify people who are at increased risk of developing cancers such as breast and colon cancer. People who are identified as being at increased risk can then be monitored more closely, allowing any changes in the disease to be detected earlier and treated more effectively. Screening can also be used to identify those who are at risk of developing certain infectious diseases</w:t>
      </w:r>
      <w:r w:rsidR="008A2EBC" w:rsidRPr="00CF7501">
        <w:rPr>
          <w:rFonts w:asciiTheme="minorBidi" w:eastAsia="Calibri" w:hAnsiTheme="minorBidi" w:cstheme="minorBidi"/>
          <w:sz w:val="22"/>
          <w:szCs w:val="22"/>
        </w:rPr>
        <w:t xml:space="preserve"> (Leon 2021).</w:t>
      </w:r>
      <w:r w:rsidRPr="00CF7501">
        <w:rPr>
          <w:rFonts w:asciiTheme="minorBidi" w:eastAsia="Calibri" w:hAnsiTheme="minorBidi" w:cstheme="minorBidi"/>
          <w:sz w:val="22"/>
          <w:szCs w:val="22"/>
        </w:rPr>
        <w:t xml:space="preserve"> For example, screening for HIV can help identify those who are infected with the virus and can then be offered treatment to reduce the risk of them developing AIDS. Similarly, screening for hepatitis C can help identify those who are infected and can then be offered treatment to reduce their risk of developing liver disease</w:t>
      </w:r>
      <w:r w:rsidR="008A2EBC" w:rsidRPr="00CF7501">
        <w:rPr>
          <w:rFonts w:asciiTheme="minorBidi" w:eastAsia="Calibri" w:hAnsiTheme="minorBidi" w:cstheme="minorBidi"/>
          <w:sz w:val="22"/>
          <w:szCs w:val="22"/>
        </w:rPr>
        <w:t xml:space="preserve"> (Gonzalez 2017).</w:t>
      </w:r>
    </w:p>
    <w:p w14:paraId="330E8692" w14:textId="70BC68EB" w:rsidR="00A3172B" w:rsidRPr="00315206" w:rsidRDefault="00A3172B" w:rsidP="00315206">
      <w:pPr>
        <w:spacing w:line="360" w:lineRule="auto"/>
        <w:jc w:val="both"/>
        <w:rPr>
          <w:rFonts w:asciiTheme="minorBidi" w:eastAsia="Calibri" w:hAnsiTheme="minorBidi" w:cstheme="minorBidi"/>
          <w:color w:val="353740"/>
          <w:sz w:val="22"/>
          <w:szCs w:val="22"/>
        </w:rPr>
      </w:pPr>
      <w:r w:rsidRPr="00315206">
        <w:rPr>
          <w:rFonts w:asciiTheme="minorBidi" w:eastAsia="Calibri" w:hAnsiTheme="minorBidi" w:cstheme="minorBidi"/>
          <w:noProof/>
          <w:color w:val="353740"/>
          <w:sz w:val="22"/>
          <w:szCs w:val="22"/>
        </w:rPr>
        <w:drawing>
          <wp:inline distT="0" distB="0" distL="0" distR="0" wp14:anchorId="58FDD8D7" wp14:editId="777F7BC7">
            <wp:extent cx="5731510" cy="47320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731510" cy="4732020"/>
                    </a:xfrm>
                    <a:prstGeom prst="rect">
                      <a:avLst/>
                    </a:prstGeom>
                  </pic:spPr>
                </pic:pic>
              </a:graphicData>
            </a:graphic>
          </wp:inline>
        </w:drawing>
      </w:r>
    </w:p>
    <w:p w14:paraId="0711E14E" w14:textId="2FB30619" w:rsidR="00A3172B" w:rsidRPr="00CF7501" w:rsidRDefault="00924D27" w:rsidP="00315206">
      <w:pPr>
        <w:spacing w:line="360" w:lineRule="auto"/>
        <w:jc w:val="both"/>
        <w:rPr>
          <w:rFonts w:asciiTheme="minorBidi" w:eastAsia="Calibri" w:hAnsiTheme="minorBidi" w:cstheme="minorBidi"/>
          <w:i/>
          <w:iCs/>
          <w:sz w:val="22"/>
          <w:szCs w:val="22"/>
        </w:rPr>
      </w:pPr>
      <w:r w:rsidRPr="00CF7501">
        <w:rPr>
          <w:rFonts w:asciiTheme="minorBidi" w:eastAsia="Calibri" w:hAnsiTheme="minorBidi" w:cstheme="minorBidi"/>
          <w:i/>
          <w:iCs/>
          <w:sz w:val="22"/>
          <w:szCs w:val="22"/>
        </w:rPr>
        <w:lastRenderedPageBreak/>
        <w:t xml:space="preserve">Exhibit A </w:t>
      </w:r>
      <w:r w:rsidR="00A3172B" w:rsidRPr="00CF7501">
        <w:rPr>
          <w:rFonts w:asciiTheme="minorBidi" w:eastAsia="Calibri" w:hAnsiTheme="minorBidi" w:cstheme="minorBidi"/>
          <w:i/>
          <w:iCs/>
          <w:sz w:val="22"/>
          <w:szCs w:val="22"/>
        </w:rPr>
        <w:t xml:space="preserve">Source: Our world in Data based on World Health Organization and adapted from </w:t>
      </w:r>
      <w:proofErr w:type="spellStart"/>
      <w:r w:rsidR="00A3172B" w:rsidRPr="00CF7501">
        <w:rPr>
          <w:rFonts w:asciiTheme="minorBidi" w:eastAsia="Calibri" w:hAnsiTheme="minorBidi" w:cstheme="minorBidi"/>
          <w:i/>
          <w:iCs/>
          <w:sz w:val="22"/>
          <w:szCs w:val="22"/>
        </w:rPr>
        <w:t>Tebbens</w:t>
      </w:r>
      <w:proofErr w:type="spellEnd"/>
      <w:r w:rsidR="00A3172B" w:rsidRPr="00CF7501">
        <w:rPr>
          <w:rFonts w:asciiTheme="minorBidi" w:eastAsia="Calibri" w:hAnsiTheme="minorBidi" w:cstheme="minorBidi"/>
          <w:i/>
          <w:iCs/>
          <w:sz w:val="22"/>
          <w:szCs w:val="22"/>
        </w:rPr>
        <w:t xml:space="preserve"> et al. (</w:t>
      </w:r>
      <w:proofErr w:type="gramStart"/>
      <w:r w:rsidR="00A3172B" w:rsidRPr="00CF7501">
        <w:rPr>
          <w:rFonts w:asciiTheme="minorBidi" w:eastAsia="Calibri" w:hAnsiTheme="minorBidi" w:cstheme="minorBidi"/>
          <w:i/>
          <w:iCs/>
          <w:sz w:val="22"/>
          <w:szCs w:val="22"/>
        </w:rPr>
        <w:t>2010)OurWorldInData.org</w:t>
      </w:r>
      <w:proofErr w:type="gramEnd"/>
      <w:r w:rsidR="00A3172B" w:rsidRPr="00CF7501">
        <w:rPr>
          <w:rFonts w:asciiTheme="minorBidi" w:eastAsia="Calibri" w:hAnsiTheme="minorBidi" w:cstheme="minorBidi"/>
          <w:i/>
          <w:iCs/>
          <w:sz w:val="22"/>
          <w:szCs w:val="22"/>
        </w:rPr>
        <w:t>/polio/CC BY</w:t>
      </w:r>
    </w:p>
    <w:p w14:paraId="7FDEFC3D" w14:textId="77777777" w:rsidR="00924D27" w:rsidRPr="00CF7501" w:rsidRDefault="00924D27" w:rsidP="00315206">
      <w:pPr>
        <w:spacing w:line="360" w:lineRule="auto"/>
        <w:jc w:val="both"/>
        <w:rPr>
          <w:rFonts w:asciiTheme="minorBidi" w:eastAsia="Calibri" w:hAnsiTheme="minorBidi" w:cstheme="minorBidi"/>
          <w:sz w:val="22"/>
          <w:szCs w:val="22"/>
        </w:rPr>
      </w:pPr>
    </w:p>
    <w:p w14:paraId="635746A0" w14:textId="0D86FF12" w:rsidR="004E0D4A" w:rsidRDefault="00B828E1" w:rsidP="00315206">
      <w:pPr>
        <w:spacing w:line="360" w:lineRule="auto"/>
        <w:jc w:val="both"/>
        <w:rPr>
          <w:rFonts w:asciiTheme="minorBidi" w:eastAsia="Calibri" w:hAnsiTheme="minorBidi" w:cstheme="minorBidi"/>
          <w:sz w:val="22"/>
          <w:szCs w:val="22"/>
        </w:rPr>
      </w:pPr>
      <w:r w:rsidRPr="00CF7501">
        <w:rPr>
          <w:rFonts w:asciiTheme="minorBidi" w:eastAsia="Calibri" w:hAnsiTheme="minorBidi" w:cstheme="minorBidi"/>
          <w:sz w:val="22"/>
          <w:szCs w:val="22"/>
        </w:rPr>
        <w:t>Preventive measures have long been recognized as an important part of controlling and monitoring diseases. For one thing, prevention often reduces and decrease the severity of a disease and can even prevent it altogether</w:t>
      </w:r>
      <w:r w:rsidR="00924D27" w:rsidRPr="00CF7501">
        <w:rPr>
          <w:rFonts w:asciiTheme="minorBidi" w:eastAsia="Calibri" w:hAnsiTheme="minorBidi" w:cstheme="minorBidi"/>
          <w:sz w:val="22"/>
          <w:szCs w:val="22"/>
        </w:rPr>
        <w:t>, t</w:t>
      </w:r>
      <w:r w:rsidRPr="00CF7501">
        <w:rPr>
          <w:rFonts w:asciiTheme="minorBidi" w:eastAsia="Calibri" w:hAnsiTheme="minorBidi" w:cstheme="minorBidi"/>
          <w:sz w:val="22"/>
          <w:szCs w:val="22"/>
        </w:rPr>
        <w:t>his is especially true for communicable diseases, which can be spread from person to person</w:t>
      </w:r>
      <w:r w:rsidR="00924D27" w:rsidRPr="00CF7501">
        <w:rPr>
          <w:rFonts w:asciiTheme="minorBidi" w:eastAsia="Calibri" w:hAnsiTheme="minorBidi" w:cstheme="minorBidi"/>
          <w:sz w:val="22"/>
          <w:szCs w:val="22"/>
        </w:rPr>
        <w:t xml:space="preserve"> (</w:t>
      </w:r>
      <w:proofErr w:type="spellStart"/>
      <w:r w:rsidR="00924D27" w:rsidRPr="00CF7501">
        <w:rPr>
          <w:rFonts w:asciiTheme="minorBidi" w:eastAsia="Calibri" w:hAnsiTheme="minorBidi" w:cstheme="minorBidi"/>
          <w:sz w:val="22"/>
          <w:szCs w:val="22"/>
        </w:rPr>
        <w:t>Kadakia</w:t>
      </w:r>
      <w:proofErr w:type="spellEnd"/>
      <w:r w:rsidR="00924D27" w:rsidRPr="00CF7501">
        <w:rPr>
          <w:rFonts w:asciiTheme="minorBidi" w:eastAsia="Calibri" w:hAnsiTheme="minorBidi" w:cstheme="minorBidi"/>
          <w:sz w:val="22"/>
          <w:szCs w:val="22"/>
        </w:rPr>
        <w:t xml:space="preserve"> 2021).</w:t>
      </w:r>
      <w:r w:rsidRPr="00CF7501">
        <w:rPr>
          <w:rFonts w:asciiTheme="minorBidi" w:eastAsia="Calibri" w:hAnsiTheme="minorBidi" w:cstheme="minorBidi"/>
          <w:sz w:val="22"/>
          <w:szCs w:val="22"/>
        </w:rPr>
        <w:t xml:space="preserve"> By taking preventive measures, such as vaccination and good hygiene, it is possible to reduce the spread of these diseases, including those caused by bacteria and viruses. In addition to preventing the spread of disease, preventive measures can also help to monitor and control the disease. For example, regular health screenings can help to detect diseases in the early stages when they are more treatable. Screening tests may include blood tests, imaging tests, and physical exams. Early detection can also lead to better treatment outcomes. Finally, preventive measures can also help to reduce the economic burden of a disease. For example, by preventing the spread of a disease, it is possible to reduce the amount of money spent on medical treatment. Additionally, preventive measures can reduce the amount of time that people must take off work due to illness, which can help to maintain productivity. In conclusion, preventive measures are an important component of controlling and monitoring diseases. These measures can help to reduce the severity of a disease and prevent its spread, as well as detect it in the early stages and reduce its economic burden. By removin</w:t>
      </w:r>
      <w:r w:rsidR="004E0D4A" w:rsidRPr="00CF7501">
        <w:rPr>
          <w:rFonts w:asciiTheme="minorBidi" w:eastAsia="Calibri" w:hAnsiTheme="minorBidi" w:cstheme="minorBidi"/>
          <w:sz w:val="22"/>
          <w:szCs w:val="22"/>
        </w:rPr>
        <w:t>g</w:t>
      </w:r>
      <w:r w:rsidRPr="00CF7501">
        <w:rPr>
          <w:rFonts w:asciiTheme="minorBidi" w:eastAsia="Calibri" w:hAnsiTheme="minorBidi" w:cstheme="minorBidi"/>
          <w:sz w:val="22"/>
          <w:szCs w:val="22"/>
        </w:rPr>
        <w:t xml:space="preserve"> the necessary steps to prevent and monitor diseases, it is possible to reduce the overall burden of the disease and improve public health</w:t>
      </w:r>
      <w:r w:rsidR="00315206" w:rsidRPr="00CF7501">
        <w:rPr>
          <w:rFonts w:asciiTheme="minorBidi" w:eastAsia="Calibri" w:hAnsiTheme="minorBidi" w:cstheme="minorBidi"/>
          <w:sz w:val="22"/>
          <w:szCs w:val="22"/>
        </w:rPr>
        <w:t xml:space="preserve"> </w:t>
      </w:r>
      <w:proofErr w:type="spellStart"/>
      <w:r w:rsidR="00315206" w:rsidRPr="00CF7501">
        <w:rPr>
          <w:rFonts w:asciiTheme="minorBidi" w:eastAsia="Calibri" w:hAnsiTheme="minorBidi" w:cstheme="minorBidi"/>
          <w:sz w:val="22"/>
          <w:szCs w:val="22"/>
        </w:rPr>
        <w:t>Dastva</w:t>
      </w:r>
      <w:r w:rsidR="00970A72">
        <w:rPr>
          <w:rFonts w:asciiTheme="minorBidi" w:eastAsia="Calibri" w:hAnsiTheme="minorBidi" w:cstheme="minorBidi"/>
          <w:sz w:val="22"/>
          <w:szCs w:val="22"/>
        </w:rPr>
        <w:t>r</w:t>
      </w:r>
      <w:proofErr w:type="spellEnd"/>
      <w:r w:rsidR="00315206" w:rsidRPr="00CF7501">
        <w:rPr>
          <w:rFonts w:asciiTheme="minorBidi" w:eastAsia="Calibri" w:hAnsiTheme="minorBidi" w:cstheme="minorBidi"/>
          <w:sz w:val="22"/>
          <w:szCs w:val="22"/>
        </w:rPr>
        <w:t xml:space="preserve"> 2021).</w:t>
      </w:r>
    </w:p>
    <w:p w14:paraId="1087AD9A" w14:textId="43A062D2" w:rsidR="00B828E1" w:rsidRPr="00970A72" w:rsidRDefault="00970A72" w:rsidP="00315206">
      <w:pPr>
        <w:spacing w:line="360" w:lineRule="auto"/>
        <w:jc w:val="both"/>
        <w:rPr>
          <w:rFonts w:asciiTheme="minorBidi" w:eastAsia="Calibri" w:hAnsiTheme="minorBidi" w:cstheme="minorBidi"/>
          <w:sz w:val="48"/>
          <w:szCs w:val="48"/>
        </w:rPr>
      </w:pPr>
      <w:r w:rsidRPr="00970A72">
        <w:rPr>
          <w:rFonts w:asciiTheme="minorBidi" w:eastAsia="Calibri" w:hAnsiTheme="minorBidi" w:cstheme="minorBidi"/>
          <w:sz w:val="48"/>
          <w:szCs w:val="48"/>
        </w:rPr>
        <w:t>C</w:t>
      </w:r>
      <w:r w:rsidR="002831A3" w:rsidRPr="00970A72">
        <w:rPr>
          <w:rFonts w:asciiTheme="minorBidi" w:eastAsia="Calibri" w:hAnsiTheme="minorBidi" w:cstheme="minorBidi"/>
          <w:sz w:val="48"/>
          <w:szCs w:val="48"/>
        </w:rPr>
        <w:t>on</w:t>
      </w:r>
      <w:r w:rsidRPr="00970A72">
        <w:rPr>
          <w:rFonts w:asciiTheme="minorBidi" w:eastAsia="Calibri" w:hAnsiTheme="minorBidi" w:cstheme="minorBidi"/>
          <w:sz w:val="48"/>
          <w:szCs w:val="48"/>
        </w:rPr>
        <w:t>clusion</w:t>
      </w:r>
    </w:p>
    <w:p w14:paraId="726823F6" w14:textId="4A061DFC" w:rsidR="00C34C28" w:rsidRPr="00CF7501" w:rsidRDefault="00B828E1" w:rsidP="00315206">
      <w:pPr>
        <w:spacing w:line="360" w:lineRule="auto"/>
        <w:jc w:val="both"/>
        <w:rPr>
          <w:rFonts w:asciiTheme="minorBidi" w:eastAsia="Calibri" w:hAnsiTheme="minorBidi" w:cstheme="minorBidi"/>
          <w:sz w:val="22"/>
          <w:szCs w:val="22"/>
        </w:rPr>
      </w:pPr>
      <w:r w:rsidRPr="00CF7501">
        <w:rPr>
          <w:rFonts w:asciiTheme="minorBidi" w:eastAsia="Calibri" w:hAnsiTheme="minorBidi" w:cstheme="minorBidi"/>
          <w:sz w:val="22"/>
          <w:szCs w:val="22"/>
        </w:rPr>
        <w:t xml:space="preserve">The main approaches and strategies used to measure, monitor and control the incidence of diseases vary depending on the disease and context. Generally, these approaches include surveillance and epidemiological studies, health education, case management, and health promotion and prevention strategies. Surveillance is the most common approach used to measure, </w:t>
      </w:r>
      <w:r w:rsidR="00924D27" w:rsidRPr="00CF7501">
        <w:rPr>
          <w:rFonts w:asciiTheme="minorBidi" w:eastAsia="Calibri" w:hAnsiTheme="minorBidi" w:cstheme="minorBidi"/>
          <w:sz w:val="22"/>
          <w:szCs w:val="22"/>
        </w:rPr>
        <w:t>monitor,</w:t>
      </w:r>
      <w:r w:rsidRPr="00CF7501">
        <w:rPr>
          <w:rFonts w:asciiTheme="minorBidi" w:eastAsia="Calibri" w:hAnsiTheme="minorBidi" w:cstheme="minorBidi"/>
          <w:sz w:val="22"/>
          <w:szCs w:val="22"/>
        </w:rPr>
        <w:t xml:space="preserve"> and control the incidence of diseases, as it provides data on the size and distribution of a disease within a population. Epidemiological studies help us to understand the cause of a disease, while health education and prevention strategies are used to reduce the risk of acquiring a disease. Finally, case management involves identifying and treating those already affected by a disease. A combination of these approaches is often used to effectively measure, </w:t>
      </w:r>
      <w:r w:rsidR="00924D27" w:rsidRPr="00CF7501">
        <w:rPr>
          <w:rFonts w:asciiTheme="minorBidi" w:eastAsia="Calibri" w:hAnsiTheme="minorBidi" w:cstheme="minorBidi"/>
          <w:sz w:val="22"/>
          <w:szCs w:val="22"/>
        </w:rPr>
        <w:t>monitor,</w:t>
      </w:r>
      <w:r w:rsidRPr="00CF7501">
        <w:rPr>
          <w:rFonts w:asciiTheme="minorBidi" w:eastAsia="Calibri" w:hAnsiTheme="minorBidi" w:cstheme="minorBidi"/>
          <w:sz w:val="22"/>
          <w:szCs w:val="22"/>
        </w:rPr>
        <w:t xml:space="preserve"> and control the incidence of diseases.</w:t>
      </w:r>
    </w:p>
    <w:p w14:paraId="34AA3E2C" w14:textId="77777777" w:rsidR="00924D27" w:rsidRPr="00CF7501" w:rsidRDefault="00924D27" w:rsidP="00315206">
      <w:pPr>
        <w:spacing w:line="360" w:lineRule="auto"/>
        <w:jc w:val="both"/>
        <w:rPr>
          <w:rFonts w:asciiTheme="minorBidi" w:eastAsia="Calibri" w:hAnsiTheme="minorBidi" w:cstheme="minorBidi"/>
          <w:sz w:val="22"/>
          <w:szCs w:val="22"/>
        </w:rPr>
      </w:pPr>
    </w:p>
    <w:p w14:paraId="6C1A2DF8" w14:textId="77777777" w:rsidR="00924D27" w:rsidRPr="00CF7501" w:rsidRDefault="00924D27" w:rsidP="00315206">
      <w:pPr>
        <w:spacing w:line="360" w:lineRule="auto"/>
        <w:rPr>
          <w:rFonts w:asciiTheme="minorBidi" w:eastAsia="Calibri" w:hAnsiTheme="minorBidi" w:cstheme="minorBidi"/>
          <w:i/>
          <w:iCs/>
          <w:sz w:val="22"/>
          <w:szCs w:val="22"/>
          <w:u w:val="single"/>
        </w:rPr>
      </w:pPr>
    </w:p>
    <w:p w14:paraId="102A3234" w14:textId="77777777" w:rsidR="00315206" w:rsidRDefault="00315206" w:rsidP="00315206">
      <w:pPr>
        <w:spacing w:line="360" w:lineRule="auto"/>
        <w:rPr>
          <w:rFonts w:asciiTheme="minorBidi" w:eastAsia="Calibri" w:hAnsiTheme="minorBidi" w:cstheme="minorBidi"/>
          <w:i/>
          <w:iCs/>
          <w:color w:val="353740"/>
          <w:sz w:val="22"/>
          <w:szCs w:val="22"/>
          <w:u w:val="single"/>
        </w:rPr>
      </w:pPr>
    </w:p>
    <w:p w14:paraId="22B92AE8" w14:textId="77777777" w:rsidR="00315206" w:rsidRDefault="00315206" w:rsidP="00315206">
      <w:pPr>
        <w:spacing w:line="360" w:lineRule="auto"/>
        <w:rPr>
          <w:rFonts w:asciiTheme="minorBidi" w:eastAsia="Calibri" w:hAnsiTheme="minorBidi" w:cstheme="minorBidi"/>
          <w:i/>
          <w:iCs/>
          <w:color w:val="353740"/>
          <w:sz w:val="22"/>
          <w:szCs w:val="22"/>
          <w:u w:val="single"/>
        </w:rPr>
      </w:pPr>
    </w:p>
    <w:p w14:paraId="1C6280E1" w14:textId="623784B0" w:rsidR="004E0D4A" w:rsidRDefault="004E0D4A" w:rsidP="00315206">
      <w:pPr>
        <w:spacing w:line="360" w:lineRule="auto"/>
        <w:rPr>
          <w:rFonts w:asciiTheme="minorBidi" w:eastAsia="Calibri" w:hAnsiTheme="minorBidi" w:cstheme="minorBidi"/>
          <w:i/>
          <w:iCs/>
          <w:color w:val="353740"/>
          <w:sz w:val="22"/>
          <w:szCs w:val="22"/>
          <w:u w:val="single"/>
        </w:rPr>
      </w:pPr>
    </w:p>
    <w:p w14:paraId="39E7ED4D" w14:textId="77777777" w:rsidR="00970A72" w:rsidRDefault="00970A72" w:rsidP="00970A72">
      <w:pPr>
        <w:spacing w:line="360" w:lineRule="auto"/>
        <w:rPr>
          <w:rFonts w:asciiTheme="minorBidi" w:eastAsia="Calibri" w:hAnsiTheme="minorBidi" w:cstheme="minorBidi"/>
          <w:i/>
          <w:iCs/>
          <w:color w:val="353740"/>
          <w:sz w:val="22"/>
          <w:szCs w:val="22"/>
          <w:u w:val="single"/>
        </w:rPr>
      </w:pPr>
    </w:p>
    <w:p w14:paraId="11876DAE" w14:textId="7AFBDBF1" w:rsidR="00970A72" w:rsidRPr="00970A72" w:rsidRDefault="00970A72" w:rsidP="00970A72">
      <w:pPr>
        <w:spacing w:line="360" w:lineRule="auto"/>
        <w:rPr>
          <w:rFonts w:asciiTheme="minorBidi" w:eastAsia="Calibri" w:hAnsiTheme="minorBidi" w:cstheme="minorBidi"/>
          <w:i/>
          <w:iCs/>
          <w:color w:val="353740"/>
          <w:sz w:val="48"/>
          <w:szCs w:val="48"/>
          <w:u w:val="single"/>
        </w:rPr>
      </w:pPr>
      <w:r w:rsidRPr="00970A72">
        <w:rPr>
          <w:rFonts w:asciiTheme="minorBidi" w:eastAsia="Calibri" w:hAnsiTheme="minorBidi" w:cstheme="minorBidi"/>
          <w:i/>
          <w:iCs/>
          <w:color w:val="353740"/>
          <w:sz w:val="48"/>
          <w:szCs w:val="48"/>
          <w:u w:val="single"/>
        </w:rPr>
        <w:t>References</w:t>
      </w:r>
    </w:p>
    <w:p w14:paraId="4AAFF777" w14:textId="77777777" w:rsidR="00970A72" w:rsidRDefault="00970A72" w:rsidP="00315206">
      <w:pPr>
        <w:spacing w:line="360" w:lineRule="auto"/>
        <w:rPr>
          <w:rFonts w:asciiTheme="minorBidi" w:eastAsia="Calibri" w:hAnsiTheme="minorBidi" w:cstheme="minorBidi"/>
          <w:i/>
          <w:iCs/>
          <w:color w:val="353740"/>
          <w:sz w:val="22"/>
          <w:szCs w:val="22"/>
          <w:u w:val="single"/>
        </w:rPr>
      </w:pPr>
    </w:p>
    <w:p w14:paraId="2C505496" w14:textId="77777777" w:rsidR="00315206" w:rsidRPr="00315206" w:rsidRDefault="00315206" w:rsidP="00315206">
      <w:pPr>
        <w:pStyle w:val="NormalWeb"/>
        <w:pBdr>
          <w:bottom w:val="single" w:sz="6" w:space="31" w:color="DBE5F0"/>
        </w:pBdr>
        <w:shd w:val="clear" w:color="auto" w:fill="FFFFFF"/>
        <w:spacing w:line="360" w:lineRule="auto"/>
        <w:rPr>
          <w:rFonts w:asciiTheme="minorBidi" w:hAnsiTheme="minorBidi" w:cstheme="minorBidi"/>
          <w:i/>
          <w:iCs/>
          <w:sz w:val="22"/>
          <w:szCs w:val="22"/>
        </w:rPr>
      </w:pPr>
      <w:proofErr w:type="spellStart"/>
      <w:r w:rsidRPr="00315206">
        <w:rPr>
          <w:rFonts w:asciiTheme="minorBidi" w:hAnsiTheme="minorBidi" w:cstheme="minorBidi"/>
          <w:i/>
          <w:iCs/>
          <w:sz w:val="22"/>
          <w:szCs w:val="22"/>
        </w:rPr>
        <w:t>Armooh</w:t>
      </w:r>
      <w:proofErr w:type="spellEnd"/>
      <w:r w:rsidRPr="00315206">
        <w:rPr>
          <w:rFonts w:asciiTheme="minorBidi" w:hAnsiTheme="minorBidi" w:cstheme="minorBidi"/>
          <w:i/>
          <w:iCs/>
          <w:sz w:val="22"/>
          <w:szCs w:val="22"/>
        </w:rPr>
        <w:t xml:space="preserve">, T., Barton, T., Castillo, G., </w:t>
      </w:r>
      <w:proofErr w:type="spellStart"/>
      <w:r w:rsidRPr="00315206">
        <w:rPr>
          <w:rFonts w:asciiTheme="minorBidi" w:hAnsiTheme="minorBidi" w:cstheme="minorBidi"/>
          <w:i/>
          <w:iCs/>
          <w:sz w:val="22"/>
          <w:szCs w:val="22"/>
        </w:rPr>
        <w:t>Cinnick</w:t>
      </w:r>
      <w:proofErr w:type="spellEnd"/>
      <w:r w:rsidRPr="00315206">
        <w:rPr>
          <w:rFonts w:asciiTheme="minorBidi" w:hAnsiTheme="minorBidi" w:cstheme="minorBidi"/>
          <w:i/>
          <w:iCs/>
          <w:sz w:val="22"/>
          <w:szCs w:val="22"/>
        </w:rPr>
        <w:t xml:space="preserve">, S., Clark, S., Giles-Cantrell, B., </w:t>
      </w:r>
      <w:proofErr w:type="spellStart"/>
      <w:r w:rsidRPr="00315206">
        <w:rPr>
          <w:rFonts w:asciiTheme="minorBidi" w:hAnsiTheme="minorBidi" w:cstheme="minorBidi"/>
          <w:i/>
          <w:iCs/>
          <w:sz w:val="22"/>
          <w:szCs w:val="22"/>
        </w:rPr>
        <w:t>Gorenflo</w:t>
      </w:r>
      <w:proofErr w:type="spellEnd"/>
      <w:r w:rsidRPr="00315206">
        <w:rPr>
          <w:rFonts w:asciiTheme="minorBidi" w:hAnsiTheme="minorBidi" w:cstheme="minorBidi"/>
          <w:i/>
          <w:iCs/>
          <w:sz w:val="22"/>
          <w:szCs w:val="22"/>
        </w:rPr>
        <w:t xml:space="preserve">, G., Hoagland, G. W., </w:t>
      </w:r>
      <w:proofErr w:type="spellStart"/>
      <w:r w:rsidRPr="00315206">
        <w:rPr>
          <w:rFonts w:asciiTheme="minorBidi" w:hAnsiTheme="minorBidi" w:cstheme="minorBidi"/>
          <w:i/>
          <w:iCs/>
          <w:sz w:val="22"/>
          <w:szCs w:val="22"/>
        </w:rPr>
        <w:t>Horneffer</w:t>
      </w:r>
      <w:proofErr w:type="spellEnd"/>
      <w:r w:rsidRPr="00315206">
        <w:rPr>
          <w:rFonts w:asciiTheme="minorBidi" w:hAnsiTheme="minorBidi" w:cstheme="minorBidi"/>
          <w:i/>
          <w:iCs/>
          <w:sz w:val="22"/>
          <w:szCs w:val="22"/>
        </w:rPr>
        <w:t xml:space="preserve">, K., </w:t>
      </w:r>
      <w:proofErr w:type="spellStart"/>
      <w:r w:rsidRPr="00315206">
        <w:rPr>
          <w:rFonts w:asciiTheme="minorBidi" w:hAnsiTheme="minorBidi" w:cstheme="minorBidi"/>
          <w:i/>
          <w:iCs/>
          <w:sz w:val="22"/>
          <w:szCs w:val="22"/>
        </w:rPr>
        <w:t>Pardal</w:t>
      </w:r>
      <w:proofErr w:type="spellEnd"/>
      <w:r w:rsidRPr="00315206">
        <w:rPr>
          <w:rFonts w:asciiTheme="minorBidi" w:hAnsiTheme="minorBidi" w:cstheme="minorBidi"/>
          <w:i/>
          <w:iCs/>
          <w:sz w:val="22"/>
          <w:szCs w:val="22"/>
        </w:rPr>
        <w:t>, A., Parekh, A., Pham, T., Resnick, B., Rice, S., Sellers, K., Shirley, L., &amp; Wu, K. (2021, December). </w:t>
      </w:r>
      <w:hyperlink r:id="rId8" w:history="1">
        <w:r w:rsidRPr="00315206">
          <w:rPr>
            <w:rStyle w:val="Emphasis"/>
            <w:rFonts w:asciiTheme="minorBidi" w:hAnsiTheme="minorBidi" w:cstheme="minorBidi"/>
            <w:sz w:val="22"/>
            <w:szCs w:val="22"/>
            <w:u w:val="single"/>
          </w:rPr>
          <w:t>Public Health Forward: Modernizing the U.S. Public Health System</w:t>
        </w:r>
      </w:hyperlink>
      <w:r w:rsidRPr="00315206">
        <w:rPr>
          <w:rFonts w:asciiTheme="minorBidi" w:hAnsiTheme="minorBidi" w:cstheme="minorBidi"/>
          <w:i/>
          <w:iCs/>
          <w:sz w:val="22"/>
          <w:szCs w:val="22"/>
        </w:rPr>
        <w:t xml:space="preserve">. The Bipartisan Policy </w:t>
      </w:r>
      <w:proofErr w:type="spellStart"/>
      <w:r w:rsidRPr="00315206">
        <w:rPr>
          <w:rFonts w:asciiTheme="minorBidi" w:hAnsiTheme="minorBidi" w:cstheme="minorBidi"/>
          <w:i/>
          <w:iCs/>
          <w:sz w:val="22"/>
          <w:szCs w:val="22"/>
        </w:rPr>
        <w:t>Center</w:t>
      </w:r>
      <w:proofErr w:type="spellEnd"/>
      <w:r w:rsidRPr="00315206">
        <w:rPr>
          <w:rFonts w:asciiTheme="minorBidi" w:hAnsiTheme="minorBidi" w:cstheme="minorBidi"/>
          <w:i/>
          <w:iCs/>
          <w:sz w:val="22"/>
          <w:szCs w:val="22"/>
        </w:rPr>
        <w:t>.</w:t>
      </w:r>
    </w:p>
    <w:p w14:paraId="20C9D410" w14:textId="77777777" w:rsidR="00315206" w:rsidRPr="00315206" w:rsidRDefault="00315206" w:rsidP="00315206">
      <w:pPr>
        <w:pStyle w:val="NormalWeb"/>
        <w:pBdr>
          <w:bottom w:val="single" w:sz="6" w:space="31" w:color="DBE5F0"/>
        </w:pBdr>
        <w:shd w:val="clear" w:color="auto" w:fill="FFFFFF"/>
        <w:spacing w:line="360" w:lineRule="auto"/>
        <w:rPr>
          <w:rFonts w:asciiTheme="minorBidi" w:hAnsiTheme="minorBidi" w:cstheme="minorBidi"/>
          <w:i/>
          <w:iCs/>
          <w:sz w:val="22"/>
          <w:szCs w:val="22"/>
        </w:rPr>
      </w:pPr>
      <w:proofErr w:type="spellStart"/>
      <w:r w:rsidRPr="00315206">
        <w:rPr>
          <w:rFonts w:asciiTheme="minorBidi" w:hAnsiTheme="minorBidi" w:cstheme="minorBidi"/>
          <w:i/>
          <w:iCs/>
          <w:sz w:val="22"/>
          <w:szCs w:val="22"/>
          <w:shd w:val="clear" w:color="auto" w:fill="FFFFFF"/>
        </w:rPr>
        <w:t>Aturaliya</w:t>
      </w:r>
      <w:proofErr w:type="spellEnd"/>
      <w:r w:rsidRPr="00315206">
        <w:rPr>
          <w:rFonts w:asciiTheme="minorBidi" w:hAnsiTheme="minorBidi" w:cstheme="minorBidi"/>
          <w:i/>
          <w:iCs/>
          <w:sz w:val="22"/>
          <w:szCs w:val="22"/>
          <w:shd w:val="clear" w:color="auto" w:fill="FFFFFF"/>
        </w:rPr>
        <w:t xml:space="preserve">, R., Espinosa, O., </w:t>
      </w:r>
      <w:proofErr w:type="spellStart"/>
      <w:r w:rsidRPr="00315206">
        <w:rPr>
          <w:rFonts w:asciiTheme="minorBidi" w:hAnsiTheme="minorBidi" w:cstheme="minorBidi"/>
          <w:i/>
          <w:iCs/>
          <w:sz w:val="22"/>
          <w:szCs w:val="22"/>
          <w:shd w:val="clear" w:color="auto" w:fill="FFFFFF"/>
        </w:rPr>
        <w:t>Lafronza</w:t>
      </w:r>
      <w:proofErr w:type="spellEnd"/>
      <w:r w:rsidRPr="00315206">
        <w:rPr>
          <w:rFonts w:asciiTheme="minorBidi" w:hAnsiTheme="minorBidi" w:cstheme="minorBidi"/>
          <w:i/>
          <w:iCs/>
          <w:sz w:val="22"/>
          <w:szCs w:val="22"/>
          <w:shd w:val="clear" w:color="auto" w:fill="FFFFFF"/>
        </w:rPr>
        <w:t xml:space="preserve">, V., Ransom, M., &amp; </w:t>
      </w:r>
      <w:proofErr w:type="spellStart"/>
      <w:r w:rsidRPr="00315206">
        <w:rPr>
          <w:rFonts w:asciiTheme="minorBidi" w:hAnsiTheme="minorBidi" w:cstheme="minorBidi"/>
          <w:i/>
          <w:iCs/>
          <w:sz w:val="22"/>
          <w:szCs w:val="22"/>
          <w:shd w:val="clear" w:color="auto" w:fill="FFFFFF"/>
        </w:rPr>
        <w:t>Bleser</w:t>
      </w:r>
      <w:proofErr w:type="spellEnd"/>
      <w:r w:rsidRPr="00315206">
        <w:rPr>
          <w:rFonts w:asciiTheme="minorBidi" w:hAnsiTheme="minorBidi" w:cstheme="minorBidi"/>
          <w:i/>
          <w:iCs/>
          <w:sz w:val="22"/>
          <w:szCs w:val="22"/>
          <w:shd w:val="clear" w:color="auto" w:fill="FFFFFF"/>
        </w:rPr>
        <w:t>, J. (2021). </w:t>
      </w:r>
      <w:hyperlink r:id="rId9" w:tgtFrame="_blank" w:history="1">
        <w:r w:rsidRPr="00315206">
          <w:rPr>
            <w:rStyle w:val="Emphasis"/>
            <w:rFonts w:asciiTheme="minorBidi" w:hAnsiTheme="minorBidi" w:cstheme="minorBidi"/>
            <w:sz w:val="22"/>
            <w:szCs w:val="22"/>
            <w:u w:val="single"/>
            <w:shd w:val="clear" w:color="auto" w:fill="FFFFFF"/>
          </w:rPr>
          <w:t>Challenges and Opportunities for Strengthening the US Public Health Infrastructure: Findings from the Scan of the Literature</w:t>
        </w:r>
      </w:hyperlink>
    </w:p>
    <w:p w14:paraId="0BCFB33B" w14:textId="77777777" w:rsidR="00315206" w:rsidRPr="00315206" w:rsidRDefault="00315206" w:rsidP="00315206">
      <w:pPr>
        <w:pStyle w:val="NormalWeb"/>
        <w:pBdr>
          <w:bottom w:val="single" w:sz="6" w:space="31" w:color="DBE5F0"/>
        </w:pBdr>
        <w:shd w:val="clear" w:color="auto" w:fill="FFFFFF"/>
        <w:spacing w:line="360" w:lineRule="auto"/>
        <w:rPr>
          <w:rFonts w:asciiTheme="minorBidi" w:hAnsiTheme="minorBidi" w:cstheme="minorBidi"/>
          <w:i/>
          <w:iCs/>
          <w:sz w:val="22"/>
          <w:szCs w:val="22"/>
        </w:rPr>
      </w:pPr>
      <w:proofErr w:type="spellStart"/>
      <w:r w:rsidRPr="00315206">
        <w:rPr>
          <w:rFonts w:asciiTheme="minorBidi" w:hAnsiTheme="minorBidi" w:cstheme="minorBidi"/>
          <w:i/>
          <w:iCs/>
          <w:sz w:val="22"/>
          <w:szCs w:val="22"/>
        </w:rPr>
        <w:t>Badizadegan</w:t>
      </w:r>
      <w:proofErr w:type="spellEnd"/>
      <w:r w:rsidRPr="00315206">
        <w:rPr>
          <w:rFonts w:asciiTheme="minorBidi" w:hAnsiTheme="minorBidi" w:cstheme="minorBidi"/>
          <w:i/>
          <w:iCs/>
          <w:sz w:val="22"/>
          <w:szCs w:val="22"/>
        </w:rPr>
        <w:t xml:space="preserve">, K., </w:t>
      </w:r>
      <w:proofErr w:type="spellStart"/>
      <w:r w:rsidRPr="00315206">
        <w:rPr>
          <w:rFonts w:asciiTheme="minorBidi" w:hAnsiTheme="minorBidi" w:cstheme="minorBidi"/>
          <w:i/>
          <w:iCs/>
          <w:sz w:val="22"/>
          <w:szCs w:val="22"/>
        </w:rPr>
        <w:t>Kalkowska</w:t>
      </w:r>
      <w:proofErr w:type="spellEnd"/>
      <w:r w:rsidRPr="00315206">
        <w:rPr>
          <w:rFonts w:asciiTheme="minorBidi" w:hAnsiTheme="minorBidi" w:cstheme="minorBidi"/>
          <w:i/>
          <w:iCs/>
          <w:sz w:val="22"/>
          <w:szCs w:val="22"/>
        </w:rPr>
        <w:t>, D. A., &amp; Thompson, K. M. (2022). Polio by the Numbers–A Global Perspective. </w:t>
      </w:r>
      <w:r w:rsidRPr="00315206">
        <w:rPr>
          <w:rStyle w:val="Emphasis"/>
          <w:rFonts w:asciiTheme="minorBidi" w:hAnsiTheme="minorBidi" w:cstheme="minorBidi"/>
          <w:sz w:val="22"/>
          <w:szCs w:val="22"/>
        </w:rPr>
        <w:t>The Journal of Infectious Diseases</w:t>
      </w:r>
      <w:r w:rsidRPr="00315206">
        <w:rPr>
          <w:rFonts w:asciiTheme="minorBidi" w:hAnsiTheme="minorBidi" w:cstheme="minorBidi"/>
          <w:i/>
          <w:iCs/>
          <w:sz w:val="22"/>
          <w:szCs w:val="22"/>
        </w:rPr>
        <w:t>.</w:t>
      </w:r>
    </w:p>
    <w:p w14:paraId="539D8265" w14:textId="77777777" w:rsidR="00315206" w:rsidRPr="00315206" w:rsidRDefault="00315206" w:rsidP="00315206">
      <w:pPr>
        <w:pStyle w:val="NormalWeb"/>
        <w:pBdr>
          <w:bottom w:val="single" w:sz="6" w:space="31" w:color="DBE5F0"/>
        </w:pBdr>
        <w:shd w:val="clear" w:color="auto" w:fill="FFFFFF"/>
        <w:spacing w:line="360" w:lineRule="auto"/>
        <w:rPr>
          <w:rFonts w:asciiTheme="minorBidi" w:hAnsiTheme="minorBidi" w:cstheme="minorBidi"/>
          <w:i/>
          <w:iCs/>
          <w:sz w:val="22"/>
          <w:szCs w:val="22"/>
          <w:shd w:val="clear" w:color="auto" w:fill="FFFFFF"/>
        </w:rPr>
      </w:pPr>
      <w:proofErr w:type="spellStart"/>
      <w:r w:rsidRPr="00315206">
        <w:rPr>
          <w:rFonts w:asciiTheme="minorBidi" w:hAnsiTheme="minorBidi" w:cstheme="minorBidi"/>
          <w:i/>
          <w:iCs/>
          <w:sz w:val="22"/>
          <w:szCs w:val="22"/>
          <w:shd w:val="clear" w:color="auto" w:fill="FFFFFF"/>
        </w:rPr>
        <w:t>Centers</w:t>
      </w:r>
      <w:proofErr w:type="spellEnd"/>
      <w:r w:rsidRPr="00315206">
        <w:rPr>
          <w:rFonts w:asciiTheme="minorBidi" w:hAnsiTheme="minorBidi" w:cstheme="minorBidi"/>
          <w:i/>
          <w:iCs/>
          <w:sz w:val="22"/>
          <w:szCs w:val="22"/>
          <w:shd w:val="clear" w:color="auto" w:fill="FFFFFF"/>
        </w:rPr>
        <w:t xml:space="preserve"> for Disease Control and Prevention. (2019). Surveillance. Retrieved from </w:t>
      </w:r>
      <w:hyperlink r:id="rId10" w:history="1">
        <w:r w:rsidRPr="00315206">
          <w:rPr>
            <w:rStyle w:val="Hyperlink"/>
            <w:rFonts w:asciiTheme="minorBidi" w:hAnsiTheme="minorBidi" w:cstheme="minorBidi"/>
            <w:i/>
            <w:iCs/>
            <w:color w:val="auto"/>
            <w:sz w:val="22"/>
            <w:szCs w:val="22"/>
            <w:shd w:val="clear" w:color="auto" w:fill="FFFFFF"/>
          </w:rPr>
          <w:t>https://www.cdc.gov/surveillance/</w:t>
        </w:r>
      </w:hyperlink>
    </w:p>
    <w:p w14:paraId="393201B4" w14:textId="4EDEC7A2" w:rsidR="00315206" w:rsidRPr="00315206" w:rsidRDefault="00315206" w:rsidP="00315206">
      <w:pPr>
        <w:pStyle w:val="NormalWeb"/>
        <w:pBdr>
          <w:bottom w:val="single" w:sz="6" w:space="31" w:color="DBE5F0"/>
        </w:pBdr>
        <w:shd w:val="clear" w:color="auto" w:fill="FFFFFF"/>
        <w:spacing w:line="360" w:lineRule="auto"/>
        <w:rPr>
          <w:rFonts w:asciiTheme="minorBidi" w:hAnsiTheme="minorBidi" w:cstheme="minorBidi"/>
          <w:i/>
          <w:iCs/>
          <w:sz w:val="22"/>
          <w:szCs w:val="22"/>
        </w:rPr>
      </w:pPr>
      <w:proofErr w:type="spellStart"/>
      <w:r w:rsidRPr="00315206">
        <w:rPr>
          <w:rFonts w:asciiTheme="minorBidi" w:eastAsia="Calibri" w:hAnsiTheme="minorBidi" w:cstheme="minorBidi"/>
          <w:i/>
          <w:iCs/>
          <w:sz w:val="22"/>
          <w:szCs w:val="22"/>
        </w:rPr>
        <w:t>Centers</w:t>
      </w:r>
      <w:proofErr w:type="spellEnd"/>
      <w:r w:rsidRPr="00315206">
        <w:rPr>
          <w:rFonts w:asciiTheme="minorBidi" w:eastAsia="Calibri" w:hAnsiTheme="minorBidi" w:cstheme="minorBidi"/>
          <w:i/>
          <w:iCs/>
          <w:sz w:val="22"/>
          <w:szCs w:val="22"/>
        </w:rPr>
        <w:t xml:space="preserve"> for Disease Control and Prevention. (2020). Prevention &amp; Treatment. Retrieved from </w:t>
      </w:r>
      <w:hyperlink r:id="rId11" w:history="1">
        <w:r w:rsidRPr="00CF7501">
          <w:rPr>
            <w:rStyle w:val="Hyperlink"/>
            <w:rFonts w:asciiTheme="minorBidi" w:eastAsia="Calibri" w:hAnsiTheme="minorBidi" w:cstheme="minorBidi"/>
            <w:i/>
            <w:iCs/>
            <w:color w:val="auto"/>
            <w:sz w:val="22"/>
            <w:szCs w:val="22"/>
          </w:rPr>
          <w:t>https://www.cdc.gov/prevention/index.html</w:t>
        </w:r>
      </w:hyperlink>
    </w:p>
    <w:p w14:paraId="4E782B0F" w14:textId="77777777" w:rsidR="00315206" w:rsidRPr="00315206" w:rsidRDefault="00315206" w:rsidP="00315206">
      <w:pPr>
        <w:pStyle w:val="NormalWeb"/>
        <w:pBdr>
          <w:bottom w:val="single" w:sz="6" w:space="31" w:color="DBE5F0"/>
        </w:pBdr>
        <w:shd w:val="clear" w:color="auto" w:fill="FFFFFF"/>
        <w:spacing w:line="360" w:lineRule="auto"/>
        <w:rPr>
          <w:rFonts w:asciiTheme="minorBidi" w:hAnsiTheme="minorBidi" w:cstheme="minorBidi"/>
          <w:i/>
          <w:iCs/>
          <w:sz w:val="22"/>
          <w:szCs w:val="22"/>
        </w:rPr>
      </w:pPr>
      <w:proofErr w:type="spellStart"/>
      <w:r w:rsidRPr="00315206">
        <w:rPr>
          <w:rFonts w:asciiTheme="minorBidi" w:hAnsiTheme="minorBidi" w:cstheme="minorBidi"/>
          <w:i/>
          <w:iCs/>
          <w:sz w:val="22"/>
          <w:szCs w:val="22"/>
          <w:shd w:val="clear" w:color="auto" w:fill="FFFFFF"/>
        </w:rPr>
        <w:t>Centers</w:t>
      </w:r>
      <w:proofErr w:type="spellEnd"/>
      <w:r w:rsidRPr="00315206">
        <w:rPr>
          <w:rFonts w:asciiTheme="minorBidi" w:hAnsiTheme="minorBidi" w:cstheme="minorBidi"/>
          <w:i/>
          <w:iCs/>
          <w:sz w:val="22"/>
          <w:szCs w:val="22"/>
          <w:shd w:val="clear" w:color="auto" w:fill="FFFFFF"/>
        </w:rPr>
        <w:t xml:space="preserve"> for Disease Control and Prevention. (2020). </w:t>
      </w:r>
      <w:hyperlink r:id="rId12" w:tgtFrame="_blank" w:history="1">
        <w:r w:rsidRPr="00315206">
          <w:rPr>
            <w:rStyle w:val="Emphasis"/>
            <w:rFonts w:asciiTheme="minorBidi" w:hAnsiTheme="minorBidi" w:cstheme="minorBidi"/>
            <w:sz w:val="22"/>
            <w:szCs w:val="22"/>
            <w:shd w:val="clear" w:color="auto" w:fill="FFFFFF"/>
          </w:rPr>
          <w:t>Public Health Data Modernization: Listening Session on Real-World Testing of 21st Century Cures Act Requirements</w:t>
        </w:r>
      </w:hyperlink>
    </w:p>
    <w:p w14:paraId="7318C207" w14:textId="77777777" w:rsidR="00315206" w:rsidRPr="00315206" w:rsidRDefault="00315206" w:rsidP="00315206">
      <w:pPr>
        <w:pStyle w:val="NormalWeb"/>
        <w:pBdr>
          <w:bottom w:val="single" w:sz="6" w:space="31" w:color="DBE5F0"/>
        </w:pBdr>
        <w:shd w:val="clear" w:color="auto" w:fill="FFFFFF"/>
        <w:spacing w:line="360" w:lineRule="auto"/>
        <w:rPr>
          <w:rFonts w:asciiTheme="minorBidi" w:hAnsiTheme="minorBidi" w:cstheme="minorBidi"/>
          <w:i/>
          <w:iCs/>
          <w:sz w:val="22"/>
          <w:szCs w:val="22"/>
        </w:rPr>
      </w:pPr>
      <w:r w:rsidRPr="00315206">
        <w:rPr>
          <w:rStyle w:val="Emphasis"/>
          <w:rFonts w:asciiTheme="minorBidi" w:hAnsiTheme="minorBidi" w:cstheme="minorBidi"/>
          <w:sz w:val="22"/>
          <w:szCs w:val="22"/>
        </w:rPr>
        <w:t>Classification and reporting of vaccine-derived polioviruses (VDPV)</w:t>
      </w:r>
      <w:r w:rsidRPr="00315206">
        <w:rPr>
          <w:rFonts w:asciiTheme="minorBidi" w:hAnsiTheme="minorBidi" w:cstheme="minorBidi"/>
          <w:i/>
          <w:iCs/>
          <w:sz w:val="22"/>
          <w:szCs w:val="22"/>
        </w:rPr>
        <w:t xml:space="preserve">. (2016). Global Polio Eradication Initiative. </w:t>
      </w:r>
      <w:hyperlink r:id="rId13" w:history="1">
        <w:r w:rsidRPr="00315206">
          <w:rPr>
            <w:rStyle w:val="Hyperlink"/>
            <w:rFonts w:asciiTheme="minorBidi" w:hAnsiTheme="minorBidi" w:cstheme="minorBidi"/>
            <w:i/>
            <w:iCs/>
            <w:color w:val="auto"/>
            <w:sz w:val="22"/>
            <w:szCs w:val="22"/>
          </w:rPr>
          <w:t>https://polioeradication.org/wp-content/uploads/2016/09/Reporting-and-Classification-of-VDPVs_Aug2016_EN.pdf</w:t>
        </w:r>
      </w:hyperlink>
    </w:p>
    <w:p w14:paraId="17D86FBF" w14:textId="77777777" w:rsidR="00315206" w:rsidRPr="00315206" w:rsidRDefault="00315206" w:rsidP="00315206">
      <w:pPr>
        <w:pStyle w:val="NormalWeb"/>
        <w:pBdr>
          <w:bottom w:val="single" w:sz="6" w:space="31" w:color="DBE5F0"/>
        </w:pBdr>
        <w:shd w:val="clear" w:color="auto" w:fill="FFFFFF"/>
        <w:spacing w:line="360" w:lineRule="auto"/>
        <w:rPr>
          <w:rFonts w:asciiTheme="minorBidi" w:eastAsia="Calibri" w:hAnsiTheme="minorBidi" w:cstheme="minorBidi"/>
          <w:i/>
          <w:iCs/>
          <w:sz w:val="22"/>
          <w:szCs w:val="22"/>
        </w:rPr>
      </w:pPr>
      <w:proofErr w:type="spellStart"/>
      <w:r w:rsidRPr="00315206">
        <w:rPr>
          <w:rFonts w:asciiTheme="minorBidi" w:hAnsiTheme="minorBidi" w:cstheme="minorBidi"/>
          <w:i/>
          <w:iCs/>
          <w:sz w:val="22"/>
          <w:szCs w:val="22"/>
          <w:shd w:val="clear" w:color="auto" w:fill="FFFFFF"/>
        </w:rPr>
        <w:t>Dastvar</w:t>
      </w:r>
      <w:proofErr w:type="spellEnd"/>
      <w:r w:rsidRPr="00315206">
        <w:rPr>
          <w:rFonts w:asciiTheme="minorBidi" w:hAnsiTheme="minorBidi" w:cstheme="minorBidi"/>
          <w:i/>
          <w:iCs/>
          <w:sz w:val="22"/>
          <w:szCs w:val="22"/>
          <w:shd w:val="clear" w:color="auto" w:fill="FFFFFF"/>
        </w:rPr>
        <w:t>, D., &amp; Averill, D. (2021). </w:t>
      </w:r>
      <w:hyperlink r:id="rId14" w:history="1">
        <w:r w:rsidRPr="00315206">
          <w:rPr>
            <w:rStyle w:val="Emphasis"/>
            <w:rFonts w:asciiTheme="minorBidi" w:hAnsiTheme="minorBidi" w:cstheme="minorBidi"/>
            <w:sz w:val="22"/>
            <w:szCs w:val="22"/>
            <w:shd w:val="clear" w:color="auto" w:fill="FFFFFF"/>
          </w:rPr>
          <w:t>The National Public Health Data System: The case for an aggregated national healthcare database</w:t>
        </w:r>
      </w:hyperlink>
    </w:p>
    <w:p w14:paraId="6543A6C2" w14:textId="77777777" w:rsidR="00315206" w:rsidRPr="00315206" w:rsidRDefault="00315206" w:rsidP="00315206">
      <w:pPr>
        <w:pStyle w:val="NormalWeb"/>
        <w:pBdr>
          <w:bottom w:val="single" w:sz="6" w:space="31" w:color="DBE5F0"/>
        </w:pBdr>
        <w:shd w:val="clear" w:color="auto" w:fill="FFFFFF"/>
        <w:spacing w:line="360" w:lineRule="auto"/>
        <w:rPr>
          <w:rFonts w:asciiTheme="minorBidi" w:eastAsia="Calibri" w:hAnsiTheme="minorBidi" w:cstheme="minorBidi"/>
          <w:i/>
          <w:iCs/>
          <w:sz w:val="22"/>
          <w:szCs w:val="22"/>
        </w:rPr>
      </w:pPr>
      <w:r w:rsidRPr="00315206">
        <w:rPr>
          <w:rFonts w:asciiTheme="minorBidi" w:eastAsia="Calibri" w:hAnsiTheme="minorBidi" w:cstheme="minorBidi"/>
          <w:i/>
          <w:iCs/>
          <w:sz w:val="22"/>
          <w:szCs w:val="22"/>
        </w:rPr>
        <w:t xml:space="preserve">Exhibit A: Our world in Data based on World Health Organization and adapted from </w:t>
      </w:r>
      <w:proofErr w:type="spellStart"/>
      <w:r w:rsidRPr="00315206">
        <w:rPr>
          <w:rFonts w:asciiTheme="minorBidi" w:eastAsia="Calibri" w:hAnsiTheme="minorBidi" w:cstheme="minorBidi"/>
          <w:i/>
          <w:iCs/>
          <w:sz w:val="22"/>
          <w:szCs w:val="22"/>
        </w:rPr>
        <w:t>Tebbens</w:t>
      </w:r>
      <w:proofErr w:type="spellEnd"/>
      <w:r w:rsidRPr="00315206">
        <w:rPr>
          <w:rFonts w:asciiTheme="minorBidi" w:eastAsia="Calibri" w:hAnsiTheme="minorBidi" w:cstheme="minorBidi"/>
          <w:i/>
          <w:iCs/>
          <w:sz w:val="22"/>
          <w:szCs w:val="22"/>
        </w:rPr>
        <w:t xml:space="preserve"> et al. (</w:t>
      </w:r>
      <w:proofErr w:type="gramStart"/>
      <w:r w:rsidRPr="00315206">
        <w:rPr>
          <w:rFonts w:asciiTheme="minorBidi" w:eastAsia="Calibri" w:hAnsiTheme="minorBidi" w:cstheme="minorBidi"/>
          <w:i/>
          <w:iCs/>
          <w:sz w:val="22"/>
          <w:szCs w:val="22"/>
        </w:rPr>
        <w:t>2010)OurWorldInData.org</w:t>
      </w:r>
      <w:proofErr w:type="gramEnd"/>
      <w:r w:rsidRPr="00315206">
        <w:rPr>
          <w:rFonts w:asciiTheme="minorBidi" w:eastAsia="Calibri" w:hAnsiTheme="minorBidi" w:cstheme="minorBidi"/>
          <w:i/>
          <w:iCs/>
          <w:sz w:val="22"/>
          <w:szCs w:val="22"/>
        </w:rPr>
        <w:t>/polio/CC BY</w:t>
      </w:r>
    </w:p>
    <w:p w14:paraId="6F615F67" w14:textId="08561CB9" w:rsidR="00315206" w:rsidRPr="00315206" w:rsidRDefault="00315206" w:rsidP="00315206">
      <w:pPr>
        <w:pStyle w:val="NormalWeb"/>
        <w:pBdr>
          <w:bottom w:val="single" w:sz="6" w:space="31" w:color="DBE5F0"/>
        </w:pBdr>
        <w:shd w:val="clear" w:color="auto" w:fill="FFFFFF"/>
        <w:spacing w:line="360" w:lineRule="auto"/>
        <w:rPr>
          <w:rFonts w:asciiTheme="minorBidi" w:hAnsiTheme="minorBidi" w:cstheme="minorBidi"/>
          <w:i/>
          <w:iCs/>
          <w:sz w:val="22"/>
          <w:szCs w:val="22"/>
        </w:rPr>
      </w:pPr>
      <w:proofErr w:type="spellStart"/>
      <w:r w:rsidRPr="00315206">
        <w:rPr>
          <w:rFonts w:asciiTheme="minorBidi" w:hAnsiTheme="minorBidi" w:cstheme="minorBidi"/>
          <w:i/>
          <w:iCs/>
          <w:sz w:val="22"/>
          <w:szCs w:val="22"/>
        </w:rPr>
        <w:lastRenderedPageBreak/>
        <w:t>Kadakia</w:t>
      </w:r>
      <w:proofErr w:type="spellEnd"/>
      <w:r w:rsidRPr="00315206">
        <w:rPr>
          <w:rFonts w:asciiTheme="minorBidi" w:hAnsiTheme="minorBidi" w:cstheme="minorBidi"/>
          <w:i/>
          <w:iCs/>
          <w:sz w:val="22"/>
          <w:szCs w:val="22"/>
        </w:rPr>
        <w:t>, K. T., Howell, M. D., &amp; DeSalvo, K. B. (2021). </w:t>
      </w:r>
      <w:hyperlink r:id="rId15" w:history="1">
        <w:r w:rsidRPr="00315206">
          <w:rPr>
            <w:rStyle w:val="Hyperlink"/>
            <w:rFonts w:asciiTheme="minorBidi" w:hAnsiTheme="minorBidi" w:cstheme="minorBidi"/>
            <w:i/>
            <w:iCs/>
            <w:color w:val="auto"/>
            <w:sz w:val="22"/>
            <w:szCs w:val="22"/>
          </w:rPr>
          <w:t>Modernizing Public Health Data Systems: Lessons from the Health Information Technology for Economic and Clinical Health (HITECH) Act</w:t>
        </w:r>
      </w:hyperlink>
      <w:r w:rsidRPr="00315206">
        <w:rPr>
          <w:rFonts w:asciiTheme="minorBidi" w:hAnsiTheme="minorBidi" w:cstheme="minorBidi"/>
          <w:i/>
          <w:iCs/>
          <w:sz w:val="22"/>
          <w:szCs w:val="22"/>
        </w:rPr>
        <w:t>. </w:t>
      </w:r>
      <w:r w:rsidRPr="00315206">
        <w:rPr>
          <w:rStyle w:val="Emphasis"/>
          <w:rFonts w:asciiTheme="minorBidi" w:hAnsiTheme="minorBidi" w:cstheme="minorBidi"/>
          <w:sz w:val="22"/>
          <w:szCs w:val="22"/>
        </w:rPr>
        <w:t>JAMA: The Journal of the American Medical Association, 326</w:t>
      </w:r>
      <w:r w:rsidRPr="00315206">
        <w:rPr>
          <w:rFonts w:asciiTheme="minorBidi" w:hAnsiTheme="minorBidi" w:cstheme="minorBidi"/>
          <w:i/>
          <w:iCs/>
          <w:sz w:val="22"/>
          <w:szCs w:val="22"/>
        </w:rPr>
        <w:t>(5), 385-386. DOI: 10.1001/jama.2021.12000</w:t>
      </w:r>
    </w:p>
    <w:p w14:paraId="0595E716" w14:textId="77777777" w:rsidR="00315206" w:rsidRPr="00315206" w:rsidRDefault="00315206" w:rsidP="00315206">
      <w:pPr>
        <w:spacing w:line="360" w:lineRule="auto"/>
        <w:rPr>
          <w:rFonts w:asciiTheme="minorBidi" w:eastAsia="Calibri" w:hAnsiTheme="minorBidi" w:cstheme="minorBidi"/>
          <w:i/>
          <w:iCs/>
          <w:sz w:val="22"/>
          <w:szCs w:val="22"/>
        </w:rPr>
      </w:pPr>
      <w:r w:rsidRPr="00315206">
        <w:rPr>
          <w:rFonts w:asciiTheme="minorBidi" w:eastAsia="Calibri" w:hAnsiTheme="minorBidi" w:cstheme="minorBidi"/>
          <w:i/>
          <w:iCs/>
          <w:sz w:val="22"/>
          <w:szCs w:val="22"/>
        </w:rPr>
        <w:t>National Cancer Institute. (2020). What is Genetic Testing? Retrieved from https://www.cancer.gov/about-cancer/causes-prevention/genetics/genetic-testing-fact-sheet</w:t>
      </w:r>
    </w:p>
    <w:p w14:paraId="62CEE36C" w14:textId="77777777" w:rsidR="00315206" w:rsidRPr="00315206" w:rsidRDefault="00315206" w:rsidP="00315206">
      <w:pPr>
        <w:pStyle w:val="NormalWeb"/>
        <w:pBdr>
          <w:bottom w:val="single" w:sz="6" w:space="31" w:color="DBE5F0"/>
        </w:pBdr>
        <w:shd w:val="clear" w:color="auto" w:fill="FFFFFF"/>
        <w:spacing w:line="360" w:lineRule="auto"/>
        <w:rPr>
          <w:rFonts w:asciiTheme="minorBidi" w:hAnsiTheme="minorBidi" w:cstheme="minorBidi"/>
          <w:i/>
          <w:iCs/>
          <w:sz w:val="22"/>
          <w:szCs w:val="22"/>
        </w:rPr>
      </w:pPr>
      <w:r w:rsidRPr="00315206">
        <w:rPr>
          <w:rFonts w:asciiTheme="minorBidi" w:hAnsiTheme="minorBidi" w:cstheme="minorBidi"/>
          <w:i/>
          <w:iCs/>
          <w:sz w:val="22"/>
          <w:szCs w:val="22"/>
        </w:rPr>
        <w:t xml:space="preserve">Ramirez Gonzalez, A., Farrell, M., </w:t>
      </w:r>
      <w:proofErr w:type="spellStart"/>
      <w:r w:rsidRPr="00315206">
        <w:rPr>
          <w:rFonts w:asciiTheme="minorBidi" w:hAnsiTheme="minorBidi" w:cstheme="minorBidi"/>
          <w:i/>
          <w:iCs/>
          <w:sz w:val="22"/>
          <w:szCs w:val="22"/>
        </w:rPr>
        <w:t>Menning</w:t>
      </w:r>
      <w:proofErr w:type="spellEnd"/>
      <w:r w:rsidRPr="00315206">
        <w:rPr>
          <w:rFonts w:asciiTheme="minorBidi" w:hAnsiTheme="minorBidi" w:cstheme="minorBidi"/>
          <w:i/>
          <w:iCs/>
          <w:sz w:val="22"/>
          <w:szCs w:val="22"/>
        </w:rPr>
        <w:t xml:space="preserve">, L., </w:t>
      </w:r>
      <w:proofErr w:type="spellStart"/>
      <w:r w:rsidRPr="00315206">
        <w:rPr>
          <w:rFonts w:asciiTheme="minorBidi" w:hAnsiTheme="minorBidi" w:cstheme="minorBidi"/>
          <w:i/>
          <w:iCs/>
          <w:sz w:val="22"/>
          <w:szCs w:val="22"/>
        </w:rPr>
        <w:t>Garon</w:t>
      </w:r>
      <w:proofErr w:type="spellEnd"/>
      <w:r w:rsidRPr="00315206">
        <w:rPr>
          <w:rFonts w:asciiTheme="minorBidi" w:hAnsiTheme="minorBidi" w:cstheme="minorBidi"/>
          <w:i/>
          <w:iCs/>
          <w:sz w:val="22"/>
          <w:szCs w:val="22"/>
        </w:rPr>
        <w:t>, J., Everts, H., Hampton, L. M., … &amp; Patel, M. (2017). Implementing the synchronized global switch from trivalent to bivalent oral polio vaccines—lessons learned from the global perspective. </w:t>
      </w:r>
      <w:r w:rsidRPr="00315206">
        <w:rPr>
          <w:rStyle w:val="Emphasis"/>
          <w:rFonts w:asciiTheme="minorBidi" w:hAnsiTheme="minorBidi" w:cstheme="minorBidi"/>
          <w:sz w:val="22"/>
          <w:szCs w:val="22"/>
        </w:rPr>
        <w:t>The journal of infectious diseases</w:t>
      </w:r>
      <w:r w:rsidRPr="00315206">
        <w:rPr>
          <w:rFonts w:asciiTheme="minorBidi" w:hAnsiTheme="minorBidi" w:cstheme="minorBidi"/>
          <w:i/>
          <w:iCs/>
          <w:sz w:val="22"/>
          <w:szCs w:val="22"/>
        </w:rPr>
        <w:t>, </w:t>
      </w:r>
      <w:r w:rsidRPr="00315206">
        <w:rPr>
          <w:rStyle w:val="Emphasis"/>
          <w:rFonts w:asciiTheme="minorBidi" w:hAnsiTheme="minorBidi" w:cstheme="minorBidi"/>
          <w:sz w:val="22"/>
          <w:szCs w:val="22"/>
        </w:rPr>
        <w:t>216</w:t>
      </w:r>
      <w:r w:rsidRPr="00315206">
        <w:rPr>
          <w:rFonts w:asciiTheme="minorBidi" w:hAnsiTheme="minorBidi" w:cstheme="minorBidi"/>
          <w:i/>
          <w:iCs/>
          <w:sz w:val="22"/>
          <w:szCs w:val="22"/>
        </w:rPr>
        <w:t>(suppl_1), S183-S192.</w:t>
      </w:r>
    </w:p>
    <w:p w14:paraId="35F79B6C" w14:textId="77777777" w:rsidR="00315206" w:rsidRPr="00315206" w:rsidRDefault="00315206" w:rsidP="00315206">
      <w:pPr>
        <w:pStyle w:val="NormalWeb"/>
        <w:pBdr>
          <w:bottom w:val="single" w:sz="6" w:space="31" w:color="DBE5F0"/>
        </w:pBdr>
        <w:shd w:val="clear" w:color="auto" w:fill="FFFFFF"/>
        <w:spacing w:line="360" w:lineRule="auto"/>
        <w:rPr>
          <w:rFonts w:asciiTheme="minorBidi" w:eastAsia="Calibri" w:hAnsiTheme="minorBidi" w:cstheme="minorBidi"/>
          <w:i/>
          <w:iCs/>
          <w:sz w:val="22"/>
          <w:szCs w:val="22"/>
        </w:rPr>
      </w:pPr>
      <w:proofErr w:type="spellStart"/>
      <w:r w:rsidRPr="00315206">
        <w:rPr>
          <w:rFonts w:asciiTheme="minorBidi" w:hAnsiTheme="minorBidi" w:cstheme="minorBidi"/>
          <w:i/>
          <w:iCs/>
          <w:sz w:val="22"/>
          <w:szCs w:val="22"/>
        </w:rPr>
        <w:t>Sáez-Llorens</w:t>
      </w:r>
      <w:proofErr w:type="spellEnd"/>
      <w:r w:rsidRPr="00315206">
        <w:rPr>
          <w:rFonts w:asciiTheme="minorBidi" w:hAnsiTheme="minorBidi" w:cstheme="minorBidi"/>
          <w:i/>
          <w:iCs/>
          <w:sz w:val="22"/>
          <w:szCs w:val="22"/>
        </w:rPr>
        <w:t xml:space="preserve">, X., Bandyopadhyay, A. S., Gast, C., Leon, T., </w:t>
      </w:r>
      <w:proofErr w:type="spellStart"/>
      <w:r w:rsidRPr="00315206">
        <w:rPr>
          <w:rFonts w:asciiTheme="minorBidi" w:hAnsiTheme="minorBidi" w:cstheme="minorBidi"/>
          <w:i/>
          <w:iCs/>
          <w:sz w:val="22"/>
          <w:szCs w:val="22"/>
        </w:rPr>
        <w:t>DeAntonio</w:t>
      </w:r>
      <w:proofErr w:type="spellEnd"/>
      <w:r w:rsidRPr="00315206">
        <w:rPr>
          <w:rFonts w:asciiTheme="minorBidi" w:hAnsiTheme="minorBidi" w:cstheme="minorBidi"/>
          <w:i/>
          <w:iCs/>
          <w:sz w:val="22"/>
          <w:szCs w:val="22"/>
        </w:rPr>
        <w:t xml:space="preserve">, R., </w:t>
      </w:r>
      <w:proofErr w:type="spellStart"/>
      <w:r w:rsidRPr="00315206">
        <w:rPr>
          <w:rFonts w:asciiTheme="minorBidi" w:hAnsiTheme="minorBidi" w:cstheme="minorBidi"/>
          <w:i/>
          <w:iCs/>
          <w:sz w:val="22"/>
          <w:szCs w:val="22"/>
        </w:rPr>
        <w:t>Jimeno</w:t>
      </w:r>
      <w:proofErr w:type="spellEnd"/>
      <w:r w:rsidRPr="00315206">
        <w:rPr>
          <w:rFonts w:asciiTheme="minorBidi" w:hAnsiTheme="minorBidi" w:cstheme="minorBidi"/>
          <w:i/>
          <w:iCs/>
          <w:sz w:val="22"/>
          <w:szCs w:val="22"/>
        </w:rPr>
        <w:t xml:space="preserve">, J., Caballero, M. I., Aguirre, G., </w:t>
      </w:r>
      <w:proofErr w:type="spellStart"/>
      <w:r w:rsidRPr="00315206">
        <w:rPr>
          <w:rFonts w:asciiTheme="minorBidi" w:hAnsiTheme="minorBidi" w:cstheme="minorBidi"/>
          <w:i/>
          <w:iCs/>
          <w:sz w:val="22"/>
          <w:szCs w:val="22"/>
        </w:rPr>
        <w:t>Oberste</w:t>
      </w:r>
      <w:proofErr w:type="spellEnd"/>
      <w:r w:rsidRPr="00315206">
        <w:rPr>
          <w:rFonts w:asciiTheme="minorBidi" w:hAnsiTheme="minorBidi" w:cstheme="minorBidi"/>
          <w:i/>
          <w:iCs/>
          <w:sz w:val="22"/>
          <w:szCs w:val="22"/>
        </w:rPr>
        <w:t>, M. S., Weldon, W. C., Konopka-</w:t>
      </w:r>
      <w:proofErr w:type="spellStart"/>
      <w:r w:rsidRPr="00315206">
        <w:rPr>
          <w:rFonts w:asciiTheme="minorBidi" w:hAnsiTheme="minorBidi" w:cstheme="minorBidi"/>
          <w:i/>
          <w:iCs/>
          <w:sz w:val="22"/>
          <w:szCs w:val="22"/>
        </w:rPr>
        <w:t>Anstadt</w:t>
      </w:r>
      <w:proofErr w:type="spellEnd"/>
      <w:r w:rsidRPr="00315206">
        <w:rPr>
          <w:rFonts w:asciiTheme="minorBidi" w:hAnsiTheme="minorBidi" w:cstheme="minorBidi"/>
          <w:i/>
          <w:iCs/>
          <w:sz w:val="22"/>
          <w:szCs w:val="22"/>
        </w:rPr>
        <w:t xml:space="preserve">, J. L., </w:t>
      </w:r>
      <w:proofErr w:type="spellStart"/>
      <w:r w:rsidRPr="00315206">
        <w:rPr>
          <w:rFonts w:asciiTheme="minorBidi" w:hAnsiTheme="minorBidi" w:cstheme="minorBidi"/>
          <w:i/>
          <w:iCs/>
          <w:sz w:val="22"/>
          <w:szCs w:val="22"/>
        </w:rPr>
        <w:t>Modlin</w:t>
      </w:r>
      <w:proofErr w:type="spellEnd"/>
      <w:r w:rsidRPr="00315206">
        <w:rPr>
          <w:rFonts w:asciiTheme="minorBidi" w:hAnsiTheme="minorBidi" w:cstheme="minorBidi"/>
          <w:i/>
          <w:iCs/>
          <w:sz w:val="22"/>
          <w:szCs w:val="22"/>
        </w:rPr>
        <w:t xml:space="preserve">, J., </w:t>
      </w:r>
      <w:proofErr w:type="spellStart"/>
      <w:r w:rsidRPr="00315206">
        <w:rPr>
          <w:rFonts w:asciiTheme="minorBidi" w:hAnsiTheme="minorBidi" w:cstheme="minorBidi"/>
          <w:i/>
          <w:iCs/>
          <w:sz w:val="22"/>
          <w:szCs w:val="22"/>
        </w:rPr>
        <w:t>Bachtiar</w:t>
      </w:r>
      <w:proofErr w:type="spellEnd"/>
      <w:r w:rsidRPr="00315206">
        <w:rPr>
          <w:rFonts w:asciiTheme="minorBidi" w:hAnsiTheme="minorBidi" w:cstheme="minorBidi"/>
          <w:i/>
          <w:iCs/>
          <w:sz w:val="22"/>
          <w:szCs w:val="22"/>
        </w:rPr>
        <w:t xml:space="preserve">, N. S., Fix, A., </w:t>
      </w:r>
      <w:proofErr w:type="spellStart"/>
      <w:r w:rsidRPr="00315206">
        <w:rPr>
          <w:rFonts w:asciiTheme="minorBidi" w:hAnsiTheme="minorBidi" w:cstheme="minorBidi"/>
          <w:i/>
          <w:iCs/>
          <w:sz w:val="22"/>
          <w:szCs w:val="22"/>
        </w:rPr>
        <w:t>Konz</w:t>
      </w:r>
      <w:proofErr w:type="spellEnd"/>
      <w:r w:rsidRPr="00315206">
        <w:rPr>
          <w:rFonts w:asciiTheme="minorBidi" w:hAnsiTheme="minorBidi" w:cstheme="minorBidi"/>
          <w:i/>
          <w:iCs/>
          <w:sz w:val="22"/>
          <w:szCs w:val="22"/>
        </w:rPr>
        <w:t xml:space="preserve">, J., Clemens, R., Costa Clemens, S. A., &amp; </w:t>
      </w:r>
      <w:proofErr w:type="spellStart"/>
      <w:r w:rsidRPr="00315206">
        <w:rPr>
          <w:rFonts w:asciiTheme="minorBidi" w:hAnsiTheme="minorBidi" w:cstheme="minorBidi"/>
          <w:i/>
          <w:iCs/>
          <w:sz w:val="22"/>
          <w:szCs w:val="22"/>
        </w:rPr>
        <w:t>Rüttimann</w:t>
      </w:r>
      <w:proofErr w:type="spellEnd"/>
      <w:r w:rsidRPr="00315206">
        <w:rPr>
          <w:rFonts w:asciiTheme="minorBidi" w:hAnsiTheme="minorBidi" w:cstheme="minorBidi"/>
          <w:i/>
          <w:iCs/>
          <w:sz w:val="22"/>
          <w:szCs w:val="22"/>
        </w:rPr>
        <w:t>, R. (2021). Safety and immunogenicity of two novel type 2 oral poliovirus vaccine candidates compared with a monovalent type 2 oral poliovirus vaccine in children and infants: two clinical trials. </w:t>
      </w:r>
      <w:r w:rsidRPr="00315206">
        <w:rPr>
          <w:rStyle w:val="Emphasis"/>
          <w:rFonts w:asciiTheme="minorBidi" w:hAnsiTheme="minorBidi" w:cstheme="minorBidi"/>
          <w:sz w:val="22"/>
          <w:szCs w:val="22"/>
        </w:rPr>
        <w:t>Lancet (London, England)</w:t>
      </w:r>
      <w:r w:rsidRPr="00315206">
        <w:rPr>
          <w:rFonts w:asciiTheme="minorBidi" w:hAnsiTheme="minorBidi" w:cstheme="minorBidi"/>
          <w:i/>
          <w:iCs/>
          <w:sz w:val="22"/>
          <w:szCs w:val="22"/>
        </w:rPr>
        <w:t>, </w:t>
      </w:r>
      <w:r w:rsidRPr="00315206">
        <w:rPr>
          <w:rStyle w:val="Emphasis"/>
          <w:rFonts w:asciiTheme="minorBidi" w:hAnsiTheme="minorBidi" w:cstheme="minorBidi"/>
          <w:sz w:val="22"/>
          <w:szCs w:val="22"/>
        </w:rPr>
        <w:t>397</w:t>
      </w:r>
      <w:r w:rsidRPr="00315206">
        <w:rPr>
          <w:rFonts w:asciiTheme="minorBidi" w:hAnsiTheme="minorBidi" w:cstheme="minorBidi"/>
          <w:i/>
          <w:iCs/>
          <w:sz w:val="22"/>
          <w:szCs w:val="22"/>
        </w:rPr>
        <w:t xml:space="preserve">(10268), 27–38. </w:t>
      </w:r>
      <w:hyperlink r:id="rId16" w:history="1">
        <w:r w:rsidRPr="00315206">
          <w:rPr>
            <w:rStyle w:val="Hyperlink"/>
            <w:rFonts w:asciiTheme="minorBidi" w:hAnsiTheme="minorBidi" w:cstheme="minorBidi"/>
            <w:i/>
            <w:iCs/>
            <w:color w:val="auto"/>
            <w:sz w:val="22"/>
            <w:szCs w:val="22"/>
          </w:rPr>
          <w:t>https://doi.org/10.1016/S0140-6736(20)32540-X</w:t>
        </w:r>
      </w:hyperlink>
    </w:p>
    <w:p w14:paraId="77125B5E" w14:textId="77777777" w:rsidR="00315206" w:rsidRPr="00315206" w:rsidRDefault="00315206" w:rsidP="00315206">
      <w:pPr>
        <w:pStyle w:val="NormalWeb"/>
        <w:pBdr>
          <w:bottom w:val="single" w:sz="6" w:space="31" w:color="DBE5F0"/>
        </w:pBdr>
        <w:shd w:val="clear" w:color="auto" w:fill="FFFFFF"/>
        <w:spacing w:line="360" w:lineRule="auto"/>
        <w:rPr>
          <w:rFonts w:asciiTheme="minorBidi" w:hAnsiTheme="minorBidi" w:cstheme="minorBidi"/>
          <w:i/>
          <w:iCs/>
          <w:sz w:val="22"/>
          <w:szCs w:val="22"/>
        </w:rPr>
      </w:pPr>
      <w:r w:rsidRPr="00315206">
        <w:rPr>
          <w:rFonts w:asciiTheme="minorBidi" w:eastAsia="Calibri" w:hAnsiTheme="minorBidi" w:cstheme="minorBidi"/>
          <w:i/>
          <w:iCs/>
          <w:sz w:val="22"/>
          <w:szCs w:val="22"/>
        </w:rPr>
        <w:t xml:space="preserve">Source: Our world in Data based on World Health Organization and adapted from </w:t>
      </w:r>
      <w:proofErr w:type="spellStart"/>
      <w:r w:rsidRPr="00315206">
        <w:rPr>
          <w:rFonts w:asciiTheme="minorBidi" w:eastAsia="Calibri" w:hAnsiTheme="minorBidi" w:cstheme="minorBidi"/>
          <w:i/>
          <w:iCs/>
          <w:sz w:val="22"/>
          <w:szCs w:val="22"/>
        </w:rPr>
        <w:t>Tebbens</w:t>
      </w:r>
      <w:proofErr w:type="spellEnd"/>
      <w:r w:rsidRPr="00315206">
        <w:rPr>
          <w:rFonts w:asciiTheme="minorBidi" w:eastAsia="Calibri" w:hAnsiTheme="minorBidi" w:cstheme="minorBidi"/>
          <w:i/>
          <w:iCs/>
          <w:sz w:val="22"/>
          <w:szCs w:val="22"/>
        </w:rPr>
        <w:t xml:space="preserve"> et al. (</w:t>
      </w:r>
      <w:proofErr w:type="gramStart"/>
      <w:r w:rsidRPr="00315206">
        <w:rPr>
          <w:rFonts w:asciiTheme="minorBidi" w:eastAsia="Calibri" w:hAnsiTheme="minorBidi" w:cstheme="minorBidi"/>
          <w:i/>
          <w:iCs/>
          <w:sz w:val="22"/>
          <w:szCs w:val="22"/>
        </w:rPr>
        <w:t>2010)OurWorldInData.org</w:t>
      </w:r>
      <w:proofErr w:type="gramEnd"/>
      <w:r w:rsidRPr="00315206">
        <w:rPr>
          <w:rFonts w:asciiTheme="minorBidi" w:eastAsia="Calibri" w:hAnsiTheme="minorBidi" w:cstheme="minorBidi"/>
          <w:i/>
          <w:iCs/>
          <w:sz w:val="22"/>
          <w:szCs w:val="22"/>
        </w:rPr>
        <w:t>/polio/CC BY</w:t>
      </w:r>
    </w:p>
    <w:p w14:paraId="16481CE3" w14:textId="77777777" w:rsidR="00315206" w:rsidRPr="00315206" w:rsidRDefault="00315206" w:rsidP="00315206">
      <w:pPr>
        <w:pStyle w:val="NormalWeb"/>
        <w:pBdr>
          <w:bottom w:val="single" w:sz="6" w:space="31" w:color="DBE5F0"/>
        </w:pBdr>
        <w:shd w:val="clear" w:color="auto" w:fill="FFFFFF"/>
        <w:spacing w:line="360" w:lineRule="auto"/>
        <w:rPr>
          <w:rFonts w:asciiTheme="minorBidi" w:hAnsiTheme="minorBidi" w:cstheme="minorBidi"/>
          <w:i/>
          <w:iCs/>
          <w:sz w:val="22"/>
          <w:szCs w:val="22"/>
          <w:shd w:val="clear" w:color="auto" w:fill="FFFFFF"/>
        </w:rPr>
      </w:pPr>
      <w:proofErr w:type="spellStart"/>
      <w:r w:rsidRPr="00315206">
        <w:rPr>
          <w:rFonts w:asciiTheme="minorBidi" w:hAnsiTheme="minorBidi" w:cstheme="minorBidi"/>
          <w:i/>
          <w:iCs/>
          <w:sz w:val="22"/>
          <w:szCs w:val="22"/>
          <w:shd w:val="clear" w:color="auto" w:fill="FFFFFF"/>
        </w:rPr>
        <w:t>Tebbens</w:t>
      </w:r>
      <w:proofErr w:type="spellEnd"/>
      <w:r w:rsidRPr="00315206">
        <w:rPr>
          <w:rFonts w:asciiTheme="minorBidi" w:hAnsiTheme="minorBidi" w:cstheme="minorBidi"/>
          <w:i/>
          <w:iCs/>
          <w:sz w:val="22"/>
          <w:szCs w:val="22"/>
          <w:shd w:val="clear" w:color="auto" w:fill="FFFFFF"/>
        </w:rPr>
        <w:t xml:space="preserve">, R., </w:t>
      </w:r>
      <w:proofErr w:type="spellStart"/>
      <w:r w:rsidRPr="00315206">
        <w:rPr>
          <w:rFonts w:asciiTheme="minorBidi" w:hAnsiTheme="minorBidi" w:cstheme="minorBidi"/>
          <w:i/>
          <w:iCs/>
          <w:sz w:val="22"/>
          <w:szCs w:val="22"/>
          <w:shd w:val="clear" w:color="auto" w:fill="FFFFFF"/>
        </w:rPr>
        <w:t>Pallansch</w:t>
      </w:r>
      <w:proofErr w:type="spellEnd"/>
      <w:r w:rsidRPr="00315206">
        <w:rPr>
          <w:rFonts w:asciiTheme="minorBidi" w:hAnsiTheme="minorBidi" w:cstheme="minorBidi"/>
          <w:i/>
          <w:iCs/>
          <w:sz w:val="22"/>
          <w:szCs w:val="22"/>
          <w:shd w:val="clear" w:color="auto" w:fill="FFFFFF"/>
        </w:rPr>
        <w:t xml:space="preserve">, M., </w:t>
      </w:r>
      <w:proofErr w:type="spellStart"/>
      <w:r w:rsidRPr="00315206">
        <w:rPr>
          <w:rFonts w:asciiTheme="minorBidi" w:hAnsiTheme="minorBidi" w:cstheme="minorBidi"/>
          <w:i/>
          <w:iCs/>
          <w:sz w:val="22"/>
          <w:szCs w:val="22"/>
          <w:shd w:val="clear" w:color="auto" w:fill="FFFFFF"/>
        </w:rPr>
        <w:t>Cochi</w:t>
      </w:r>
      <w:proofErr w:type="spellEnd"/>
      <w:r w:rsidRPr="00315206">
        <w:rPr>
          <w:rFonts w:asciiTheme="minorBidi" w:hAnsiTheme="minorBidi" w:cstheme="minorBidi"/>
          <w:i/>
          <w:iCs/>
          <w:sz w:val="22"/>
          <w:szCs w:val="22"/>
          <w:shd w:val="clear" w:color="auto" w:fill="FFFFFF"/>
        </w:rPr>
        <w:t xml:space="preserve">, S., </w:t>
      </w:r>
      <w:proofErr w:type="spellStart"/>
      <w:r w:rsidRPr="00315206">
        <w:rPr>
          <w:rFonts w:asciiTheme="minorBidi" w:hAnsiTheme="minorBidi" w:cstheme="minorBidi"/>
          <w:i/>
          <w:iCs/>
          <w:sz w:val="22"/>
          <w:szCs w:val="22"/>
          <w:shd w:val="clear" w:color="auto" w:fill="FFFFFF"/>
        </w:rPr>
        <w:t>Wassilak</w:t>
      </w:r>
      <w:proofErr w:type="spellEnd"/>
      <w:r w:rsidRPr="00315206">
        <w:rPr>
          <w:rFonts w:asciiTheme="minorBidi" w:hAnsiTheme="minorBidi" w:cstheme="minorBidi"/>
          <w:i/>
          <w:iCs/>
          <w:sz w:val="22"/>
          <w:szCs w:val="22"/>
          <w:shd w:val="clear" w:color="auto" w:fill="FFFFFF"/>
        </w:rPr>
        <w:t xml:space="preserve">, S., </w:t>
      </w:r>
      <w:proofErr w:type="spellStart"/>
      <w:r w:rsidRPr="00315206">
        <w:rPr>
          <w:rFonts w:asciiTheme="minorBidi" w:hAnsiTheme="minorBidi" w:cstheme="minorBidi"/>
          <w:i/>
          <w:iCs/>
          <w:sz w:val="22"/>
          <w:szCs w:val="22"/>
          <w:shd w:val="clear" w:color="auto" w:fill="FFFFFF"/>
        </w:rPr>
        <w:t>Linkins</w:t>
      </w:r>
      <w:proofErr w:type="spellEnd"/>
      <w:r w:rsidRPr="00315206">
        <w:rPr>
          <w:rFonts w:asciiTheme="minorBidi" w:hAnsiTheme="minorBidi" w:cstheme="minorBidi"/>
          <w:i/>
          <w:iCs/>
          <w:sz w:val="22"/>
          <w:szCs w:val="22"/>
          <w:shd w:val="clear" w:color="auto" w:fill="FFFFFF"/>
        </w:rPr>
        <w:t>, J., &amp; Sutter, R. et al. (2010). Economic analysis of the global polio eradication initiative. </w:t>
      </w:r>
      <w:r w:rsidRPr="00315206">
        <w:rPr>
          <w:rStyle w:val="Emphasis"/>
          <w:rFonts w:asciiTheme="minorBidi" w:hAnsiTheme="minorBidi" w:cstheme="minorBidi"/>
          <w:sz w:val="22"/>
          <w:szCs w:val="22"/>
          <w:shd w:val="clear" w:color="auto" w:fill="FFFFFF"/>
        </w:rPr>
        <w:t>Vaccine</w:t>
      </w:r>
      <w:r w:rsidRPr="00315206">
        <w:rPr>
          <w:rFonts w:asciiTheme="minorBidi" w:hAnsiTheme="minorBidi" w:cstheme="minorBidi"/>
          <w:i/>
          <w:iCs/>
          <w:sz w:val="22"/>
          <w:szCs w:val="22"/>
          <w:shd w:val="clear" w:color="auto" w:fill="FFFFFF"/>
        </w:rPr>
        <w:t>, 29(2), 334-343. </w:t>
      </w:r>
    </w:p>
    <w:p w14:paraId="6E68BD91" w14:textId="433D53C5" w:rsidR="008F57A0" w:rsidRPr="00315206" w:rsidRDefault="008F57A0" w:rsidP="00315206">
      <w:pPr>
        <w:pStyle w:val="NormalWeb"/>
        <w:pBdr>
          <w:bottom w:val="single" w:sz="6" w:space="31" w:color="DBE5F0"/>
        </w:pBdr>
        <w:shd w:val="clear" w:color="auto" w:fill="FFFFFF"/>
        <w:spacing w:line="360" w:lineRule="auto"/>
        <w:rPr>
          <w:rFonts w:asciiTheme="minorBidi" w:hAnsiTheme="minorBidi" w:cstheme="minorBidi"/>
          <w:i/>
          <w:iCs/>
          <w:sz w:val="22"/>
          <w:szCs w:val="22"/>
        </w:rPr>
      </w:pPr>
    </w:p>
    <w:p w14:paraId="22C37C38" w14:textId="4081270B" w:rsidR="008F57A0" w:rsidRPr="00315206" w:rsidRDefault="008F57A0" w:rsidP="00315206">
      <w:pPr>
        <w:pStyle w:val="NormalWeb"/>
        <w:pBdr>
          <w:bottom w:val="single" w:sz="6" w:space="31" w:color="DBE5F0"/>
        </w:pBdr>
        <w:shd w:val="clear" w:color="auto" w:fill="FFFFFF"/>
        <w:spacing w:line="360" w:lineRule="auto"/>
        <w:rPr>
          <w:rFonts w:asciiTheme="minorBidi" w:hAnsiTheme="minorBidi" w:cstheme="minorBidi"/>
          <w:i/>
          <w:iCs/>
          <w:sz w:val="22"/>
          <w:szCs w:val="22"/>
        </w:rPr>
      </w:pPr>
    </w:p>
    <w:p w14:paraId="35C39B67" w14:textId="2C2D800F" w:rsidR="008F57A0" w:rsidRPr="00315206" w:rsidRDefault="008F57A0" w:rsidP="00315206">
      <w:pPr>
        <w:pStyle w:val="NormalWeb"/>
        <w:pBdr>
          <w:bottom w:val="single" w:sz="6" w:space="31" w:color="DBE5F0"/>
        </w:pBdr>
        <w:shd w:val="clear" w:color="auto" w:fill="FFFFFF"/>
        <w:spacing w:line="360" w:lineRule="auto"/>
        <w:rPr>
          <w:rFonts w:asciiTheme="minorBidi" w:hAnsiTheme="minorBidi" w:cstheme="minorBidi"/>
          <w:i/>
          <w:iCs/>
          <w:sz w:val="22"/>
          <w:szCs w:val="22"/>
        </w:rPr>
      </w:pPr>
    </w:p>
    <w:p w14:paraId="6896776B" w14:textId="6F703802" w:rsidR="008F57A0" w:rsidRPr="00315206" w:rsidRDefault="008F57A0" w:rsidP="0029210E">
      <w:pPr>
        <w:pStyle w:val="NormalWeb"/>
        <w:pBdr>
          <w:bottom w:val="single" w:sz="6" w:space="31" w:color="DBE5F0"/>
        </w:pBdr>
        <w:shd w:val="clear" w:color="auto" w:fill="FFFFFF"/>
        <w:rPr>
          <w:rFonts w:ascii="Lato" w:hAnsi="Lato"/>
          <w:i/>
          <w:iCs/>
          <w:sz w:val="19"/>
          <w:szCs w:val="19"/>
        </w:rPr>
      </w:pPr>
    </w:p>
    <w:p w14:paraId="5F1D7D5D" w14:textId="77777777" w:rsidR="00B828E1" w:rsidRPr="005969D7" w:rsidRDefault="00B828E1" w:rsidP="004E0D4A">
      <w:pPr>
        <w:spacing w:line="360" w:lineRule="auto"/>
        <w:rPr>
          <w:rFonts w:asciiTheme="minorBidi" w:eastAsia="Calibri" w:hAnsiTheme="minorBidi" w:cstheme="minorBidi"/>
          <w:color w:val="353740"/>
          <w:sz w:val="22"/>
          <w:szCs w:val="22"/>
        </w:rPr>
      </w:pPr>
    </w:p>
    <w:sectPr w:rsidR="00B828E1" w:rsidRPr="005969D7" w:rsidSect="00DB1FB5">
      <w:footerReference w:type="even" r:id="rId17"/>
      <w:footerReference w:type="default" r:id="rId1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E72DF" w14:textId="77777777" w:rsidR="00421C38" w:rsidRDefault="00421C38" w:rsidP="006869A9">
      <w:r>
        <w:separator/>
      </w:r>
    </w:p>
  </w:endnote>
  <w:endnote w:type="continuationSeparator" w:id="0">
    <w:p w14:paraId="7A96EBF0" w14:textId="77777777" w:rsidR="00421C38" w:rsidRDefault="00421C38" w:rsidP="00686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6295584"/>
      <w:docPartObj>
        <w:docPartGallery w:val="Page Numbers (Bottom of Page)"/>
        <w:docPartUnique/>
      </w:docPartObj>
    </w:sdtPr>
    <w:sdtContent>
      <w:p w14:paraId="440EEF4C" w14:textId="539F9804" w:rsidR="005969D7" w:rsidRDefault="005969D7" w:rsidP="00083C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16A6F0" w14:textId="77777777" w:rsidR="005969D7" w:rsidRDefault="005969D7" w:rsidP="005969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211775"/>
      <w:docPartObj>
        <w:docPartGallery w:val="Page Numbers (Bottom of Page)"/>
        <w:docPartUnique/>
      </w:docPartObj>
    </w:sdtPr>
    <w:sdtContent>
      <w:p w14:paraId="763F99F6" w14:textId="42408B1B" w:rsidR="005969D7" w:rsidRDefault="005969D7" w:rsidP="00083C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839D8B" w14:textId="77777777" w:rsidR="005969D7" w:rsidRDefault="005969D7" w:rsidP="005969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CFE7D" w14:textId="77777777" w:rsidR="00421C38" w:rsidRDefault="00421C38" w:rsidP="006869A9">
      <w:r>
        <w:separator/>
      </w:r>
    </w:p>
  </w:footnote>
  <w:footnote w:type="continuationSeparator" w:id="0">
    <w:p w14:paraId="543EC422" w14:textId="77777777" w:rsidR="00421C38" w:rsidRDefault="00421C38" w:rsidP="006869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0FAD"/>
    <w:multiLevelType w:val="multilevel"/>
    <w:tmpl w:val="1AD0F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502BAB"/>
    <w:multiLevelType w:val="multilevel"/>
    <w:tmpl w:val="095C7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14188F"/>
    <w:multiLevelType w:val="multilevel"/>
    <w:tmpl w:val="C3204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8754BB"/>
    <w:multiLevelType w:val="multilevel"/>
    <w:tmpl w:val="C7547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CB3A71"/>
    <w:multiLevelType w:val="multilevel"/>
    <w:tmpl w:val="6B0AC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0421D1"/>
    <w:multiLevelType w:val="multilevel"/>
    <w:tmpl w:val="F0AA4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7904835">
    <w:abstractNumId w:val="1"/>
  </w:num>
  <w:num w:numId="2" w16cid:durableId="753626915">
    <w:abstractNumId w:val="4"/>
  </w:num>
  <w:num w:numId="3" w16cid:durableId="555898827">
    <w:abstractNumId w:val="0"/>
  </w:num>
  <w:num w:numId="4" w16cid:durableId="1525288715">
    <w:abstractNumId w:val="3"/>
  </w:num>
  <w:num w:numId="5" w16cid:durableId="921567884">
    <w:abstractNumId w:val="5"/>
  </w:num>
  <w:num w:numId="6" w16cid:durableId="200632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083"/>
    <w:rsid w:val="0005171F"/>
    <w:rsid w:val="000A3F6C"/>
    <w:rsid w:val="00102164"/>
    <w:rsid w:val="00137474"/>
    <w:rsid w:val="00161741"/>
    <w:rsid w:val="00227510"/>
    <w:rsid w:val="00227FF8"/>
    <w:rsid w:val="00243F6B"/>
    <w:rsid w:val="0026667D"/>
    <w:rsid w:val="002831A3"/>
    <w:rsid w:val="0029210E"/>
    <w:rsid w:val="0029363B"/>
    <w:rsid w:val="002B6B77"/>
    <w:rsid w:val="00312BEE"/>
    <w:rsid w:val="00315206"/>
    <w:rsid w:val="00344242"/>
    <w:rsid w:val="00346795"/>
    <w:rsid w:val="003564AB"/>
    <w:rsid w:val="00386DB5"/>
    <w:rsid w:val="00391C41"/>
    <w:rsid w:val="003B20A2"/>
    <w:rsid w:val="003B3AE6"/>
    <w:rsid w:val="003D419A"/>
    <w:rsid w:val="003E35A2"/>
    <w:rsid w:val="00421C38"/>
    <w:rsid w:val="00426FE4"/>
    <w:rsid w:val="00495F36"/>
    <w:rsid w:val="004B0799"/>
    <w:rsid w:val="004B32EF"/>
    <w:rsid w:val="004C1C26"/>
    <w:rsid w:val="004E010D"/>
    <w:rsid w:val="004E0D4A"/>
    <w:rsid w:val="00547AD2"/>
    <w:rsid w:val="005969D7"/>
    <w:rsid w:val="005E61D8"/>
    <w:rsid w:val="005F261A"/>
    <w:rsid w:val="00623BDD"/>
    <w:rsid w:val="00642BEE"/>
    <w:rsid w:val="006869A9"/>
    <w:rsid w:val="006E715D"/>
    <w:rsid w:val="00754D10"/>
    <w:rsid w:val="00781FB9"/>
    <w:rsid w:val="00815C99"/>
    <w:rsid w:val="00841309"/>
    <w:rsid w:val="00891055"/>
    <w:rsid w:val="008A2EBC"/>
    <w:rsid w:val="008A5FF1"/>
    <w:rsid w:val="008B30A6"/>
    <w:rsid w:val="008E46CA"/>
    <w:rsid w:val="008E5A99"/>
    <w:rsid w:val="008F2083"/>
    <w:rsid w:val="008F57A0"/>
    <w:rsid w:val="00924D27"/>
    <w:rsid w:val="00926204"/>
    <w:rsid w:val="00970A72"/>
    <w:rsid w:val="009C535E"/>
    <w:rsid w:val="009E3F78"/>
    <w:rsid w:val="00A240B7"/>
    <w:rsid w:val="00A3172B"/>
    <w:rsid w:val="00A8161B"/>
    <w:rsid w:val="00A83ECE"/>
    <w:rsid w:val="00AE246D"/>
    <w:rsid w:val="00AF09AA"/>
    <w:rsid w:val="00B344D8"/>
    <w:rsid w:val="00B828E1"/>
    <w:rsid w:val="00B8457E"/>
    <w:rsid w:val="00C26489"/>
    <w:rsid w:val="00C34C28"/>
    <w:rsid w:val="00C53093"/>
    <w:rsid w:val="00CE5DB8"/>
    <w:rsid w:val="00CF7501"/>
    <w:rsid w:val="00D15D5C"/>
    <w:rsid w:val="00D15D82"/>
    <w:rsid w:val="00D9230E"/>
    <w:rsid w:val="00DB1FB5"/>
    <w:rsid w:val="00DD1801"/>
    <w:rsid w:val="00E00E4A"/>
    <w:rsid w:val="00E667E0"/>
    <w:rsid w:val="00EA5278"/>
    <w:rsid w:val="00F4504C"/>
    <w:rsid w:val="00FA45CF"/>
    <w:rsid w:val="00FC11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85F54"/>
  <w15:chartTrackingRefBased/>
  <w15:docId w15:val="{6D4CBF34-E628-47CC-86A1-BC093A63D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C2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69A9"/>
    <w:pPr>
      <w:tabs>
        <w:tab w:val="center" w:pos="4513"/>
        <w:tab w:val="right" w:pos="9026"/>
      </w:tabs>
    </w:pPr>
  </w:style>
  <w:style w:type="character" w:customStyle="1" w:styleId="HeaderChar">
    <w:name w:val="Header Char"/>
    <w:basedOn w:val="DefaultParagraphFont"/>
    <w:link w:val="Header"/>
    <w:uiPriority w:val="99"/>
    <w:rsid w:val="006869A9"/>
  </w:style>
  <w:style w:type="paragraph" w:styleId="Footer">
    <w:name w:val="footer"/>
    <w:basedOn w:val="Normal"/>
    <w:link w:val="FooterChar"/>
    <w:uiPriority w:val="99"/>
    <w:unhideWhenUsed/>
    <w:rsid w:val="006869A9"/>
    <w:pPr>
      <w:tabs>
        <w:tab w:val="center" w:pos="4513"/>
        <w:tab w:val="right" w:pos="9026"/>
      </w:tabs>
    </w:pPr>
  </w:style>
  <w:style w:type="character" w:customStyle="1" w:styleId="FooterChar">
    <w:name w:val="Footer Char"/>
    <w:basedOn w:val="DefaultParagraphFont"/>
    <w:link w:val="Footer"/>
    <w:uiPriority w:val="99"/>
    <w:rsid w:val="006869A9"/>
  </w:style>
  <w:style w:type="paragraph" w:styleId="NormalWeb">
    <w:name w:val="Normal (Web)"/>
    <w:basedOn w:val="Normal"/>
    <w:uiPriority w:val="99"/>
    <w:unhideWhenUsed/>
    <w:rsid w:val="00CE5DB8"/>
    <w:pPr>
      <w:spacing w:before="100" w:beforeAutospacing="1" w:after="100" w:afterAutospacing="1"/>
    </w:pPr>
  </w:style>
  <w:style w:type="character" w:styleId="PageNumber">
    <w:name w:val="page number"/>
    <w:basedOn w:val="DefaultParagraphFont"/>
    <w:uiPriority w:val="99"/>
    <w:semiHidden/>
    <w:unhideWhenUsed/>
    <w:rsid w:val="005969D7"/>
  </w:style>
  <w:style w:type="character" w:styleId="Emphasis">
    <w:name w:val="Emphasis"/>
    <w:basedOn w:val="DefaultParagraphFont"/>
    <w:uiPriority w:val="20"/>
    <w:qFormat/>
    <w:rsid w:val="0029210E"/>
    <w:rPr>
      <w:i/>
      <w:iCs/>
    </w:rPr>
  </w:style>
  <w:style w:type="character" w:styleId="Hyperlink">
    <w:name w:val="Hyperlink"/>
    <w:basedOn w:val="DefaultParagraphFont"/>
    <w:uiPriority w:val="99"/>
    <w:unhideWhenUsed/>
    <w:rsid w:val="008F57A0"/>
    <w:rPr>
      <w:color w:val="0563C1" w:themeColor="hyperlink"/>
      <w:u w:val="single"/>
    </w:rPr>
  </w:style>
  <w:style w:type="character" w:styleId="UnresolvedMention">
    <w:name w:val="Unresolved Mention"/>
    <w:basedOn w:val="DefaultParagraphFont"/>
    <w:uiPriority w:val="99"/>
    <w:semiHidden/>
    <w:unhideWhenUsed/>
    <w:rsid w:val="008F57A0"/>
    <w:rPr>
      <w:color w:val="605E5C"/>
      <w:shd w:val="clear" w:color="auto" w:fill="E1DFDD"/>
    </w:rPr>
  </w:style>
  <w:style w:type="character" w:styleId="FollowedHyperlink">
    <w:name w:val="FollowedHyperlink"/>
    <w:basedOn w:val="DefaultParagraphFont"/>
    <w:uiPriority w:val="99"/>
    <w:semiHidden/>
    <w:unhideWhenUsed/>
    <w:rsid w:val="00495F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121232">
      <w:bodyDiv w:val="1"/>
      <w:marLeft w:val="0"/>
      <w:marRight w:val="0"/>
      <w:marTop w:val="0"/>
      <w:marBottom w:val="0"/>
      <w:divBdr>
        <w:top w:val="none" w:sz="0" w:space="0" w:color="auto"/>
        <w:left w:val="none" w:sz="0" w:space="0" w:color="auto"/>
        <w:bottom w:val="none" w:sz="0" w:space="0" w:color="auto"/>
        <w:right w:val="none" w:sz="0" w:space="0" w:color="auto"/>
      </w:divBdr>
    </w:div>
    <w:div w:id="408426389">
      <w:bodyDiv w:val="1"/>
      <w:marLeft w:val="0"/>
      <w:marRight w:val="0"/>
      <w:marTop w:val="0"/>
      <w:marBottom w:val="0"/>
      <w:divBdr>
        <w:top w:val="none" w:sz="0" w:space="0" w:color="auto"/>
        <w:left w:val="none" w:sz="0" w:space="0" w:color="auto"/>
        <w:bottom w:val="none" w:sz="0" w:space="0" w:color="auto"/>
        <w:right w:val="none" w:sz="0" w:space="0" w:color="auto"/>
      </w:divBdr>
    </w:div>
    <w:div w:id="517355803">
      <w:bodyDiv w:val="1"/>
      <w:marLeft w:val="0"/>
      <w:marRight w:val="0"/>
      <w:marTop w:val="0"/>
      <w:marBottom w:val="0"/>
      <w:divBdr>
        <w:top w:val="none" w:sz="0" w:space="0" w:color="auto"/>
        <w:left w:val="none" w:sz="0" w:space="0" w:color="auto"/>
        <w:bottom w:val="none" w:sz="0" w:space="0" w:color="auto"/>
        <w:right w:val="none" w:sz="0" w:space="0" w:color="auto"/>
      </w:divBdr>
    </w:div>
    <w:div w:id="779765911">
      <w:bodyDiv w:val="1"/>
      <w:marLeft w:val="0"/>
      <w:marRight w:val="0"/>
      <w:marTop w:val="0"/>
      <w:marBottom w:val="0"/>
      <w:divBdr>
        <w:top w:val="none" w:sz="0" w:space="0" w:color="auto"/>
        <w:left w:val="none" w:sz="0" w:space="0" w:color="auto"/>
        <w:bottom w:val="none" w:sz="0" w:space="0" w:color="auto"/>
        <w:right w:val="none" w:sz="0" w:space="0" w:color="auto"/>
      </w:divBdr>
    </w:div>
    <w:div w:id="989020854">
      <w:bodyDiv w:val="1"/>
      <w:marLeft w:val="0"/>
      <w:marRight w:val="0"/>
      <w:marTop w:val="0"/>
      <w:marBottom w:val="0"/>
      <w:divBdr>
        <w:top w:val="none" w:sz="0" w:space="0" w:color="auto"/>
        <w:left w:val="none" w:sz="0" w:space="0" w:color="auto"/>
        <w:bottom w:val="none" w:sz="0" w:space="0" w:color="auto"/>
        <w:right w:val="none" w:sz="0" w:space="0" w:color="auto"/>
      </w:divBdr>
    </w:div>
    <w:div w:id="1053315789">
      <w:bodyDiv w:val="1"/>
      <w:marLeft w:val="0"/>
      <w:marRight w:val="0"/>
      <w:marTop w:val="0"/>
      <w:marBottom w:val="0"/>
      <w:divBdr>
        <w:top w:val="none" w:sz="0" w:space="0" w:color="auto"/>
        <w:left w:val="none" w:sz="0" w:space="0" w:color="auto"/>
        <w:bottom w:val="none" w:sz="0" w:space="0" w:color="auto"/>
        <w:right w:val="none" w:sz="0" w:space="0" w:color="auto"/>
      </w:divBdr>
    </w:div>
    <w:div w:id="1148592536">
      <w:bodyDiv w:val="1"/>
      <w:marLeft w:val="0"/>
      <w:marRight w:val="0"/>
      <w:marTop w:val="0"/>
      <w:marBottom w:val="0"/>
      <w:divBdr>
        <w:top w:val="none" w:sz="0" w:space="0" w:color="auto"/>
        <w:left w:val="none" w:sz="0" w:space="0" w:color="auto"/>
        <w:bottom w:val="none" w:sz="0" w:space="0" w:color="auto"/>
        <w:right w:val="none" w:sz="0" w:space="0" w:color="auto"/>
      </w:divBdr>
    </w:div>
    <w:div w:id="1202552566">
      <w:bodyDiv w:val="1"/>
      <w:marLeft w:val="0"/>
      <w:marRight w:val="0"/>
      <w:marTop w:val="0"/>
      <w:marBottom w:val="0"/>
      <w:divBdr>
        <w:top w:val="none" w:sz="0" w:space="0" w:color="auto"/>
        <w:left w:val="none" w:sz="0" w:space="0" w:color="auto"/>
        <w:bottom w:val="none" w:sz="0" w:space="0" w:color="auto"/>
        <w:right w:val="none" w:sz="0" w:space="0" w:color="auto"/>
      </w:divBdr>
    </w:div>
    <w:div w:id="1387341495">
      <w:bodyDiv w:val="1"/>
      <w:marLeft w:val="0"/>
      <w:marRight w:val="0"/>
      <w:marTop w:val="0"/>
      <w:marBottom w:val="0"/>
      <w:divBdr>
        <w:top w:val="none" w:sz="0" w:space="0" w:color="auto"/>
        <w:left w:val="none" w:sz="0" w:space="0" w:color="auto"/>
        <w:bottom w:val="none" w:sz="0" w:space="0" w:color="auto"/>
        <w:right w:val="none" w:sz="0" w:space="0" w:color="auto"/>
      </w:divBdr>
    </w:div>
    <w:div w:id="1524977551">
      <w:bodyDiv w:val="1"/>
      <w:marLeft w:val="0"/>
      <w:marRight w:val="0"/>
      <w:marTop w:val="0"/>
      <w:marBottom w:val="0"/>
      <w:divBdr>
        <w:top w:val="none" w:sz="0" w:space="0" w:color="auto"/>
        <w:left w:val="none" w:sz="0" w:space="0" w:color="auto"/>
        <w:bottom w:val="none" w:sz="0" w:space="0" w:color="auto"/>
        <w:right w:val="none" w:sz="0" w:space="0" w:color="auto"/>
      </w:divBdr>
    </w:div>
    <w:div w:id="1592155800">
      <w:bodyDiv w:val="1"/>
      <w:marLeft w:val="0"/>
      <w:marRight w:val="0"/>
      <w:marTop w:val="0"/>
      <w:marBottom w:val="0"/>
      <w:divBdr>
        <w:top w:val="none" w:sz="0" w:space="0" w:color="auto"/>
        <w:left w:val="none" w:sz="0" w:space="0" w:color="auto"/>
        <w:bottom w:val="none" w:sz="0" w:space="0" w:color="auto"/>
        <w:right w:val="none" w:sz="0" w:space="0" w:color="auto"/>
      </w:divBdr>
    </w:div>
    <w:div w:id="1650017816">
      <w:bodyDiv w:val="1"/>
      <w:marLeft w:val="0"/>
      <w:marRight w:val="0"/>
      <w:marTop w:val="0"/>
      <w:marBottom w:val="0"/>
      <w:divBdr>
        <w:top w:val="none" w:sz="0" w:space="0" w:color="auto"/>
        <w:left w:val="none" w:sz="0" w:space="0" w:color="auto"/>
        <w:bottom w:val="none" w:sz="0" w:space="0" w:color="auto"/>
        <w:right w:val="none" w:sz="0" w:space="0" w:color="auto"/>
      </w:divBdr>
    </w:div>
    <w:div w:id="1701471870">
      <w:bodyDiv w:val="1"/>
      <w:marLeft w:val="0"/>
      <w:marRight w:val="0"/>
      <w:marTop w:val="0"/>
      <w:marBottom w:val="0"/>
      <w:divBdr>
        <w:top w:val="none" w:sz="0" w:space="0" w:color="auto"/>
        <w:left w:val="none" w:sz="0" w:space="0" w:color="auto"/>
        <w:bottom w:val="none" w:sz="0" w:space="0" w:color="auto"/>
        <w:right w:val="none" w:sz="0" w:space="0" w:color="auto"/>
      </w:divBdr>
    </w:div>
    <w:div w:id="2100641352">
      <w:bodyDiv w:val="1"/>
      <w:marLeft w:val="0"/>
      <w:marRight w:val="0"/>
      <w:marTop w:val="0"/>
      <w:marBottom w:val="0"/>
      <w:divBdr>
        <w:top w:val="none" w:sz="0" w:space="0" w:color="auto"/>
        <w:left w:val="none" w:sz="0" w:space="0" w:color="auto"/>
        <w:bottom w:val="none" w:sz="0" w:space="0" w:color="auto"/>
        <w:right w:val="none" w:sz="0" w:space="0" w:color="auto"/>
      </w:divBdr>
    </w:div>
    <w:div w:id="212495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artisanpolicy.org/download/?file=/wp-content/uploads/2021/12/BPC_Public-Health-Forward_R01_WEB.pdf" TargetMode="External"/><Relationship Id="rId13" Type="http://schemas.openxmlformats.org/officeDocument/2006/relationships/hyperlink" Target="https://polioeradication.org/wp-content/uploads/2016/09/Reporting-and-Classification-of-VDPVs_Aug2016_EN.pdf"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dc.gov/surveillance/pdfs/20_319521-D_DataMod-Initiative_901420.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16/S0140-6736(20)32540-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dc.gov/prevention/index.html" TargetMode="External"/><Relationship Id="rId5" Type="http://schemas.openxmlformats.org/officeDocument/2006/relationships/footnotes" Target="footnotes.xml"/><Relationship Id="rId15" Type="http://schemas.openxmlformats.org/officeDocument/2006/relationships/hyperlink" Target="https://pubmed.ncbi.nlm.nih.gov/34342612/" TargetMode="External"/><Relationship Id="rId10" Type="http://schemas.openxmlformats.org/officeDocument/2006/relationships/hyperlink" Target="https://www.cdc.gov/surveillanc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nphi.org/wp-content/uploads/2021/06/NNPHI-E2A-Kresge-Report-Web.pdf" TargetMode="External"/><Relationship Id="rId14" Type="http://schemas.openxmlformats.org/officeDocument/2006/relationships/hyperlink" Target="https://pubmed.ncbi.nlm.nih.gov/311365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1652</Words>
  <Characters>9418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Doday</dc:creator>
  <cp:keywords/>
  <dc:description/>
  <cp:lastModifiedBy>Maria Doday</cp:lastModifiedBy>
  <cp:revision>9</cp:revision>
  <dcterms:created xsi:type="dcterms:W3CDTF">2022-12-18T23:14:00Z</dcterms:created>
  <dcterms:modified xsi:type="dcterms:W3CDTF">2022-12-20T23:18:00Z</dcterms:modified>
</cp:coreProperties>
</file>