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AF1BE9" w14:textId="383BAC6D" w:rsidR="0065676D" w:rsidRPr="0065676D" w:rsidRDefault="000203DB" w:rsidP="00F85B44">
      <w:pPr>
        <w:spacing w:after="0"/>
        <w:rPr>
          <w:rFonts w:cstheme="minorHAnsi"/>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cstheme="minorHAnsi"/>
          <w:i/>
          <w:iCs/>
          <w:noProof/>
          <w:color w:val="000000" w:themeColor="text1"/>
          <w:lang w:eastAsia="en-GB"/>
        </w:rPr>
        <mc:AlternateContent>
          <mc:Choice Requires="wps">
            <w:drawing>
              <wp:anchor distT="0" distB="0" distL="114300" distR="114300" simplePos="0" relativeHeight="251660288" behindDoc="0" locked="0" layoutInCell="1" allowOverlap="1" wp14:anchorId="639153D1" wp14:editId="12874027">
                <wp:simplePos x="0" y="0"/>
                <wp:positionH relativeFrom="page">
                  <wp:align>right</wp:align>
                </wp:positionH>
                <wp:positionV relativeFrom="paragraph">
                  <wp:posOffset>-234950</wp:posOffset>
                </wp:positionV>
                <wp:extent cx="7550150" cy="165100"/>
                <wp:effectExtent l="0" t="0" r="12700" b="25400"/>
                <wp:wrapNone/>
                <wp:docPr id="7" name="Rectangle 7"/>
                <wp:cNvGraphicFramePr/>
                <a:graphic xmlns:a="http://schemas.openxmlformats.org/drawingml/2006/main">
                  <a:graphicData uri="http://schemas.microsoft.com/office/word/2010/wordprocessingShape">
                    <wps:wsp>
                      <wps:cNvSpPr/>
                      <wps:spPr>
                        <a:xfrm>
                          <a:off x="0" y="0"/>
                          <a:ext cx="7550150" cy="165100"/>
                        </a:xfrm>
                        <a:prstGeom prst="rect">
                          <a:avLst/>
                        </a:prstGeom>
                        <a:solidFill>
                          <a:schemeClr val="accent1">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77AF9B0" id="Rectangle 7" o:spid="_x0000_s1026" style="position:absolute;margin-left:543.3pt;margin-top:-18.5pt;width:594.5pt;height:13pt;z-index:251660288;visibility:visible;mso-wrap-style:square;mso-wrap-distance-left:9pt;mso-wrap-distance-top:0;mso-wrap-distance-right:9pt;mso-wrap-distance-bottom:0;mso-position-horizontal:right;mso-position-horizontal-relative:page;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" fillcolor="#cdb5dc [1940]" strokecolor="#593470 [1604]" strokeweight="1pt">
                <w10:wrap anchorx="page"/>
              </v:rect>
            </w:pict>
          </mc:Fallback>
        </mc:AlternateContent>
      </w:r>
      <w:r>
        <w:rPr>
          <w:rFonts w:cstheme="minorHAnsi"/>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w:t>
      </w:r>
      <w:r w:rsidR="00D86500">
        <w:rPr>
          <w:rFonts w:cstheme="minorHAnsi"/>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evel 5</w:t>
      </w:r>
    </w:p>
    <w:p w14:paraId="1515F78D" w14:textId="77777777" w:rsidR="00D86500" w:rsidRDefault="00D86500" w:rsidP="00F85B44">
      <w:pPr>
        <w:spacing w:after="0"/>
        <w:rPr>
          <w:rFonts w:cstheme="minorHAnsi"/>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cstheme="minorHAnsi"/>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Associate Diploma </w:t>
      </w:r>
      <w:r w:rsidR="0065676D" w:rsidRPr="0065676D">
        <w:rPr>
          <w:rFonts w:cstheme="minorHAnsi"/>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 </w:t>
      </w:r>
      <w:r>
        <w:rPr>
          <w:rFonts w:cstheme="minorHAnsi"/>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People Management &amp; </w:t>
      </w:r>
    </w:p>
    <w:p w14:paraId="7F3ECDD1" w14:textId="05A097CD" w:rsidR="00495A17" w:rsidRPr="0065676D" w:rsidRDefault="0087240A" w:rsidP="00F85B44">
      <w:pPr>
        <w:spacing w:after="0"/>
        <w:rPr>
          <w:rFonts w:cstheme="minorHAnsi"/>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cstheme="minorHAnsi"/>
          <w:i/>
          <w:iCs/>
          <w:noProof/>
          <w:color w:val="000000" w:themeColor="text1"/>
          <w:sz w:val="28"/>
          <w:szCs w:val="28"/>
          <w:lang w:eastAsia="en-GB"/>
        </w:rPr>
        <mc:AlternateContent>
          <mc:Choice Requires="wps">
            <w:drawing>
              <wp:anchor distT="0" distB="0" distL="114300" distR="114300" simplePos="0" relativeHeight="251661312" behindDoc="0" locked="0" layoutInCell="1" allowOverlap="1" wp14:anchorId="5C8044BA" wp14:editId="7CEC3BDB">
                <wp:simplePos x="0" y="0"/>
                <wp:positionH relativeFrom="page">
                  <wp:align>right</wp:align>
                </wp:positionH>
                <wp:positionV relativeFrom="paragraph">
                  <wp:posOffset>289560</wp:posOffset>
                </wp:positionV>
                <wp:extent cx="7569200" cy="171450"/>
                <wp:effectExtent l="0" t="0" r="12700" b="19050"/>
                <wp:wrapNone/>
                <wp:docPr id="8" name="Rectangle 8"/>
                <wp:cNvGraphicFramePr/>
                <a:graphic xmlns:a="http://schemas.openxmlformats.org/drawingml/2006/main">
                  <a:graphicData uri="http://schemas.microsoft.com/office/word/2010/wordprocessingShape">
                    <wps:wsp>
                      <wps:cNvSpPr/>
                      <wps:spPr>
                        <a:xfrm>
                          <a:off x="0" y="0"/>
                          <a:ext cx="7569200" cy="171450"/>
                        </a:xfrm>
                        <a:prstGeom prst="rect">
                          <a:avLst/>
                        </a:prstGeom>
                        <a:solidFill>
                          <a:schemeClr val="accent1">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2C8AA95" id="Rectangle 8" o:spid="_x0000_s1026" style="position:absolute;margin-left:544.8pt;margin-top:22.8pt;width:596pt;height:13.5pt;z-index:251661312;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" fillcolor="#cdb5dc [1940]" strokecolor="#593470 [1604]" strokeweight="1pt">
                <w10:wrap anchorx="page"/>
              </v:rect>
            </w:pict>
          </mc:Fallback>
        </mc:AlternateContent>
      </w:r>
      <w:r w:rsidR="00D86500">
        <w:rPr>
          <w:rFonts w:cstheme="minorHAnsi"/>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Organisational Learning &amp; Development </w:t>
      </w:r>
    </w:p>
    <w:p w14:paraId="65E1DEBF" w14:textId="6F28A721" w:rsidR="0065676D" w:rsidRDefault="0065676D" w:rsidP="00F85B44">
      <w:pPr>
        <w:spacing w:after="0"/>
        <w:rPr>
          <w:rFonts w:cstheme="minorHAnsi"/>
          <w:i/>
          <w:i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8EC7F1A" w14:textId="77777777" w:rsidR="000203DB" w:rsidRPr="0065676D" w:rsidRDefault="000203DB" w:rsidP="00F85B44">
      <w:pPr>
        <w:spacing w:after="0"/>
        <w:rPr>
          <w:rFonts w:cstheme="minorHAnsi"/>
          <w:i/>
          <w:i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95959E9" w14:textId="5B390A9B" w:rsidR="0065676D" w:rsidRDefault="0065676D" w:rsidP="00F85B44">
      <w:pPr>
        <w:spacing w:after="0"/>
        <w:rPr>
          <w:rFonts w:cstheme="minorHAnsi"/>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BBD4A22" w14:textId="39C9B453" w:rsidR="0065676D" w:rsidRDefault="0065676D" w:rsidP="00F85B44">
      <w:pPr>
        <w:spacing w:after="0"/>
        <w:rPr>
          <w:rStyle w:val="BookTitle"/>
        </w:rPr>
      </w:pPr>
    </w:p>
    <w:p w14:paraId="29544EB7" w14:textId="39F6E008" w:rsidR="0065676D" w:rsidRDefault="0065676D" w:rsidP="00F85B44">
      <w:pPr>
        <w:spacing w:after="0"/>
        <w:rPr>
          <w:rStyle w:val="BookTitle"/>
        </w:rPr>
      </w:pPr>
    </w:p>
    <w:p w14:paraId="51457CBE" w14:textId="7A9E2FF4" w:rsidR="0065676D" w:rsidRDefault="0065676D" w:rsidP="00F85B44">
      <w:pPr>
        <w:spacing w:after="0"/>
        <w:rPr>
          <w:rStyle w:val="BookTitle"/>
        </w:rPr>
      </w:pPr>
    </w:p>
    <w:p w14:paraId="3CE145AA" w14:textId="10BED072" w:rsidR="0065676D" w:rsidRDefault="0065676D" w:rsidP="00F85B44">
      <w:pPr>
        <w:spacing w:after="0"/>
        <w:rPr>
          <w:rStyle w:val="BookTitle"/>
        </w:rPr>
      </w:pPr>
    </w:p>
    <w:p w14:paraId="3D0D3777" w14:textId="0023D23B" w:rsidR="0065676D" w:rsidRDefault="0065676D" w:rsidP="00F85B44">
      <w:pPr>
        <w:spacing w:after="0"/>
        <w:rPr>
          <w:rStyle w:val="BookTitle"/>
        </w:rPr>
      </w:pPr>
    </w:p>
    <w:p w14:paraId="3D8C01D0" w14:textId="441AAC62" w:rsidR="0065676D" w:rsidRDefault="00406D63" w:rsidP="00F85B44">
      <w:pPr>
        <w:spacing w:after="0"/>
        <w:rPr>
          <w:rStyle w:val="BookTitle"/>
        </w:rPr>
      </w:pPr>
      <w:r>
        <w:rPr>
          <w:noProof/>
          <w:lang w:eastAsia="en-GB"/>
        </w:rPr>
        <mc:AlternateContent>
          <mc:Choice Requires="wps">
            <w:drawing>
              <wp:anchor distT="0" distB="0" distL="114300" distR="114300" simplePos="0" relativeHeight="251666432" behindDoc="0" locked="0" layoutInCell="1" allowOverlap="1" wp14:anchorId="35358D36" wp14:editId="4E540E5B">
                <wp:simplePos x="0" y="0"/>
                <wp:positionH relativeFrom="margin">
                  <wp:align>center</wp:align>
                </wp:positionH>
                <wp:positionV relativeFrom="paragraph">
                  <wp:posOffset>13970</wp:posOffset>
                </wp:positionV>
                <wp:extent cx="5842000" cy="2984500"/>
                <wp:effectExtent l="0" t="0" r="0" b="6985"/>
                <wp:wrapNone/>
                <wp:docPr id="12" name="Text Box 12"/>
                <wp:cNvGraphicFramePr/>
                <a:graphic xmlns:a="http://schemas.openxmlformats.org/drawingml/2006/main">
                  <a:graphicData uri="http://schemas.microsoft.com/office/word/2010/wordprocessingShape">
                    <wps:wsp>
                      <wps:cNvSpPr txBox="1"/>
                      <wps:spPr>
                        <a:xfrm>
                          <a:off x="0" y="0"/>
                          <a:ext cx="5842000" cy="2984500"/>
                        </a:xfrm>
                        <a:prstGeom prst="rect">
                          <a:avLst/>
                        </a:prstGeom>
                        <a:noFill/>
                        <a:ln>
                          <a:noFill/>
                        </a:ln>
                      </wps:spPr>
                      <wps:txbx>
                        <w:txbxContent>
                          <w:p w14:paraId="0A5260DC" w14:textId="77777777" w:rsidR="003D74AA" w:rsidRPr="003D74AA" w:rsidRDefault="003D74AA" w:rsidP="003D74AA">
                            <w:pPr>
                              <w:jc w:val="center"/>
                              <w:rPr>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123EC6A" w14:textId="220BD99F" w:rsidR="00144BF9" w:rsidRDefault="004008B0" w:rsidP="003D74AA">
                            <w:pPr>
                              <w:jc w:val="center"/>
                              <w:rPr>
                                <w:bCs/>
                                <w:i/>
                                <w:iCs/>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i/>
                                <w:iCs/>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Reward for </w:t>
                            </w:r>
                            <w:r w:rsidR="0085242B">
                              <w:rPr>
                                <w:bCs/>
                                <w:i/>
                                <w:iCs/>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Performance</w:t>
                            </w:r>
                            <w:r>
                              <w:rPr>
                                <w:bCs/>
                                <w:i/>
                                <w:iCs/>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&amp; Contribution Report </w:t>
                            </w:r>
                            <w:r w:rsidR="00144BF9">
                              <w:rPr>
                                <w:bCs/>
                                <w:i/>
                                <w:iCs/>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64DB7895" w14:textId="7CAF5D10" w:rsidR="00406D63" w:rsidRDefault="00406D63" w:rsidP="003D74AA">
                            <w:pPr>
                              <w:jc w:val="center"/>
                            </w:pPr>
                            <w:r>
                              <w:rPr>
                                <w:bCs/>
                                <w:i/>
                                <w:iCs/>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w:t>
                            </w:r>
                            <w:r w:rsidR="007575D4">
                              <w:rPr>
                                <w:bCs/>
                                <w:i/>
                                <w:iCs/>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HR03</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type w14:anchorId="35358D36" id="_x0000_t202" coordsize="21600,21600" o:spt="202" path="m,l,21600r21600,l21600,xe">
                <v:stroke joinstyle="miter"/>
                <v:path gradientshapeok="t" o:connecttype="rect"/>
              </v:shapetype>
              <v:shape id="Text Box 12" o:spid="_x0000_s1026" type="#_x0000_t202" style="position:absolute;margin-left:0;margin-top:1.1pt;width:460pt;height:235pt;z-index:251666432;visibility:visible;mso-wrap-style:non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" filled="f" stroked="f">
                <v:textbox style="mso-fit-shape-to-text:t">
                  <w:txbxContent>
                    <w:p w14:paraId="0A5260DC" w14:textId="77777777" w:rsidR="003D74AA" w:rsidRPr="003D74AA" w:rsidRDefault="003D74AA" w:rsidP="003D74AA">
                      <w:pPr>
                        <w:jc w:val="center"/>
                        <w:rPr>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123EC6A" w14:textId="220BD99F" w:rsidR="00144BF9" w:rsidRDefault="004008B0" w:rsidP="003D74AA">
                      <w:pPr>
                        <w:jc w:val="center"/>
                        <w:rPr>
                          <w:bCs/>
                          <w:i/>
                          <w:iCs/>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i/>
                          <w:iCs/>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Reward for </w:t>
                      </w:r>
                      <w:r w:rsidR="0085242B">
                        <w:rPr>
                          <w:bCs/>
                          <w:i/>
                          <w:iCs/>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Performance</w:t>
                      </w:r>
                      <w:r>
                        <w:rPr>
                          <w:bCs/>
                          <w:i/>
                          <w:iCs/>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&amp; Contribution Report </w:t>
                      </w:r>
                      <w:r w:rsidR="00144BF9">
                        <w:rPr>
                          <w:bCs/>
                          <w:i/>
                          <w:iCs/>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64DB7895" w14:textId="7CAF5D10" w:rsidR="00406D63" w:rsidRDefault="00406D63" w:rsidP="003D74AA">
                      <w:pPr>
                        <w:jc w:val="center"/>
                      </w:pPr>
                      <w:r>
                        <w:rPr>
                          <w:bCs/>
                          <w:i/>
                          <w:iCs/>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w:t>
                      </w:r>
                      <w:r w:rsidR="007575D4">
                        <w:rPr>
                          <w:bCs/>
                          <w:i/>
                          <w:iCs/>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HR03</w:t>
                      </w:r>
                    </w:p>
                  </w:txbxContent>
                </v:textbox>
                <w10:wrap anchorx="margin"/>
              </v:shape>
            </w:pict>
          </mc:Fallback>
        </mc:AlternateContent>
      </w:r>
    </w:p>
    <w:p w14:paraId="737044D8" w14:textId="4A2F281E" w:rsidR="0065676D" w:rsidRDefault="0065676D" w:rsidP="00F85B44">
      <w:pPr>
        <w:spacing w:after="0"/>
        <w:rPr>
          <w:rStyle w:val="BookTitle"/>
        </w:rPr>
      </w:pPr>
    </w:p>
    <w:p w14:paraId="7520828F" w14:textId="034CF755" w:rsidR="0065676D" w:rsidRDefault="0065676D" w:rsidP="00F85B44">
      <w:pPr>
        <w:spacing w:after="0"/>
        <w:rPr>
          <w:rStyle w:val="BookTitle"/>
        </w:rPr>
      </w:pPr>
    </w:p>
    <w:p w14:paraId="078E102A" w14:textId="397C1369" w:rsidR="0065676D" w:rsidRDefault="0065676D" w:rsidP="00F85B44">
      <w:pPr>
        <w:spacing w:after="0"/>
        <w:rPr>
          <w:rStyle w:val="BookTitle"/>
        </w:rPr>
      </w:pPr>
    </w:p>
    <w:p w14:paraId="00C7EEDF" w14:textId="1123A161" w:rsidR="0065676D" w:rsidRDefault="0065676D" w:rsidP="00F85B44">
      <w:pPr>
        <w:spacing w:after="0"/>
        <w:rPr>
          <w:rStyle w:val="BookTitle"/>
        </w:rPr>
      </w:pPr>
    </w:p>
    <w:p w14:paraId="1EF2BAD7" w14:textId="278212DF" w:rsidR="0065676D" w:rsidRDefault="0065676D" w:rsidP="00F85B44">
      <w:pPr>
        <w:spacing w:after="0"/>
        <w:rPr>
          <w:rStyle w:val="BookTitle"/>
        </w:rPr>
      </w:pPr>
    </w:p>
    <w:p w14:paraId="6FE6E910" w14:textId="57094750" w:rsidR="0065676D" w:rsidRDefault="0065676D" w:rsidP="00F85B44">
      <w:pPr>
        <w:spacing w:after="0"/>
        <w:rPr>
          <w:rStyle w:val="BookTitle"/>
        </w:rPr>
      </w:pPr>
    </w:p>
    <w:p w14:paraId="6543D3D3" w14:textId="266074D8" w:rsidR="0065676D" w:rsidRDefault="0065676D" w:rsidP="00F85B44">
      <w:pPr>
        <w:spacing w:after="0"/>
        <w:rPr>
          <w:rStyle w:val="BookTitle"/>
        </w:rPr>
      </w:pPr>
    </w:p>
    <w:p w14:paraId="16611379" w14:textId="210C84E6" w:rsidR="0065676D" w:rsidRDefault="0065676D" w:rsidP="00F85B44">
      <w:pPr>
        <w:spacing w:after="0"/>
        <w:rPr>
          <w:rStyle w:val="BookTitle"/>
        </w:rPr>
      </w:pPr>
    </w:p>
    <w:p w14:paraId="78B66CD5" w14:textId="097A2C75" w:rsidR="0065676D" w:rsidRDefault="0065676D" w:rsidP="00F85B44">
      <w:pPr>
        <w:spacing w:after="0"/>
        <w:rPr>
          <w:rStyle w:val="BookTitle"/>
        </w:rPr>
      </w:pPr>
    </w:p>
    <w:p w14:paraId="2F082865" w14:textId="3B8AFD7C" w:rsidR="0065676D" w:rsidRDefault="0065676D" w:rsidP="00F85B44">
      <w:pPr>
        <w:spacing w:after="0"/>
        <w:rPr>
          <w:rStyle w:val="BookTitle"/>
        </w:rPr>
      </w:pPr>
    </w:p>
    <w:p w14:paraId="66ABC6B0" w14:textId="57988BF2" w:rsidR="0065676D" w:rsidRDefault="0065676D" w:rsidP="00F85B44">
      <w:pPr>
        <w:spacing w:after="0"/>
        <w:rPr>
          <w:rStyle w:val="BookTitle"/>
        </w:rPr>
      </w:pPr>
    </w:p>
    <w:p w14:paraId="76C102DD" w14:textId="64D5DC4A" w:rsidR="0065676D" w:rsidRDefault="0065676D" w:rsidP="00F85B44">
      <w:pPr>
        <w:spacing w:after="0"/>
        <w:rPr>
          <w:rStyle w:val="BookTitle"/>
        </w:rPr>
      </w:pPr>
    </w:p>
    <w:p w14:paraId="09A74FC9" w14:textId="226E53C9" w:rsidR="0065676D" w:rsidRDefault="0065676D" w:rsidP="00F85B44">
      <w:pPr>
        <w:spacing w:after="0"/>
        <w:rPr>
          <w:rStyle w:val="BookTitle"/>
        </w:rPr>
      </w:pPr>
    </w:p>
    <w:p w14:paraId="5DC6DF1C" w14:textId="316A2FD5" w:rsidR="0065676D" w:rsidRDefault="0065676D" w:rsidP="00F85B44">
      <w:pPr>
        <w:spacing w:after="0"/>
        <w:rPr>
          <w:rStyle w:val="BookTitle"/>
        </w:rPr>
      </w:pPr>
    </w:p>
    <w:p w14:paraId="51B9BF1E" w14:textId="5DE5B957" w:rsidR="0065676D" w:rsidRDefault="0065676D" w:rsidP="00F85B44">
      <w:pPr>
        <w:spacing w:after="0"/>
        <w:rPr>
          <w:rStyle w:val="BookTitle"/>
        </w:rPr>
      </w:pPr>
    </w:p>
    <w:p w14:paraId="51041778" w14:textId="250540C5" w:rsidR="0065676D" w:rsidRDefault="0065676D" w:rsidP="00F85B44">
      <w:pPr>
        <w:spacing w:after="0"/>
        <w:rPr>
          <w:rStyle w:val="BookTitle"/>
        </w:rPr>
      </w:pPr>
    </w:p>
    <w:p w14:paraId="559287CD" w14:textId="7170B330" w:rsidR="0065676D" w:rsidRDefault="0065676D" w:rsidP="00F85B44">
      <w:pPr>
        <w:spacing w:after="0"/>
        <w:rPr>
          <w:rStyle w:val="BookTitle"/>
        </w:rPr>
      </w:pPr>
    </w:p>
    <w:p w14:paraId="0B9731FA" w14:textId="4264E8E9" w:rsidR="0065676D" w:rsidRDefault="0065676D" w:rsidP="00F85B44">
      <w:pPr>
        <w:spacing w:after="0"/>
        <w:rPr>
          <w:rStyle w:val="BookTitle"/>
        </w:rPr>
      </w:pPr>
    </w:p>
    <w:p w14:paraId="3448091D" w14:textId="4A92688A" w:rsidR="0065676D" w:rsidRDefault="0065676D" w:rsidP="00F85B44">
      <w:pPr>
        <w:spacing w:after="0"/>
        <w:rPr>
          <w:rStyle w:val="BookTitle"/>
        </w:rPr>
      </w:pPr>
    </w:p>
    <w:p w14:paraId="1EA8C8F9" w14:textId="77777777" w:rsidR="0065676D" w:rsidRDefault="0065676D" w:rsidP="00F85B44">
      <w:pPr>
        <w:spacing w:after="0"/>
        <w:jc w:val="right"/>
        <w:rPr>
          <w:rStyle w:val="BookTitle"/>
        </w:rPr>
      </w:pPr>
    </w:p>
    <w:p w14:paraId="541C6665" w14:textId="77777777" w:rsidR="0065676D" w:rsidRDefault="0065676D" w:rsidP="00F85B44">
      <w:pPr>
        <w:spacing w:after="0"/>
        <w:jc w:val="right"/>
        <w:rPr>
          <w:rStyle w:val="BookTitle"/>
        </w:rPr>
      </w:pPr>
    </w:p>
    <w:p w14:paraId="36B57BEF" w14:textId="77777777" w:rsidR="0065676D" w:rsidRDefault="0065676D" w:rsidP="00F85B44">
      <w:pPr>
        <w:spacing w:after="0"/>
        <w:jc w:val="right"/>
        <w:rPr>
          <w:rStyle w:val="BookTitle"/>
        </w:rPr>
      </w:pPr>
    </w:p>
    <w:p w14:paraId="68881582" w14:textId="77777777" w:rsidR="0065676D" w:rsidRDefault="0065676D" w:rsidP="00F85B44">
      <w:pPr>
        <w:spacing w:after="0"/>
        <w:jc w:val="right"/>
        <w:rPr>
          <w:rStyle w:val="BookTitle"/>
        </w:rPr>
      </w:pPr>
    </w:p>
    <w:p w14:paraId="7AA59ABD" w14:textId="53690B7F" w:rsidR="0065676D" w:rsidRDefault="0065676D" w:rsidP="00F85B44">
      <w:pPr>
        <w:spacing w:after="0"/>
        <w:jc w:val="right"/>
        <w:rPr>
          <w:rStyle w:val="BookTitle"/>
        </w:rPr>
      </w:pPr>
    </w:p>
    <w:p w14:paraId="7FEAE8B1" w14:textId="5CF77544" w:rsidR="005A72A6" w:rsidRDefault="005A72A6" w:rsidP="00F85B44">
      <w:pPr>
        <w:spacing w:after="0"/>
        <w:jc w:val="right"/>
        <w:rPr>
          <w:rStyle w:val="BookTitle"/>
        </w:rPr>
      </w:pPr>
    </w:p>
    <w:p w14:paraId="1C5AA9E4" w14:textId="66BCF689" w:rsidR="005A72A6" w:rsidRDefault="005A72A6" w:rsidP="00F85B44">
      <w:pPr>
        <w:spacing w:after="0"/>
        <w:jc w:val="right"/>
        <w:rPr>
          <w:rStyle w:val="BookTitle"/>
        </w:rPr>
      </w:pPr>
    </w:p>
    <w:p w14:paraId="7A4AC500" w14:textId="6A68317A" w:rsidR="005A72A6" w:rsidRDefault="005A72A6" w:rsidP="00F85B44">
      <w:pPr>
        <w:spacing w:after="0"/>
        <w:jc w:val="right"/>
        <w:rPr>
          <w:rStyle w:val="BookTitle"/>
        </w:rPr>
      </w:pPr>
    </w:p>
    <w:p w14:paraId="3A3F0749" w14:textId="22B7946B" w:rsidR="005A72A6" w:rsidRDefault="005A72A6" w:rsidP="00F85B44">
      <w:pPr>
        <w:spacing w:after="0"/>
        <w:jc w:val="right"/>
        <w:rPr>
          <w:rStyle w:val="BookTitle"/>
        </w:rPr>
      </w:pPr>
    </w:p>
    <w:p w14:paraId="77C57ED8" w14:textId="4773066D" w:rsidR="005A72A6" w:rsidRDefault="005A72A6" w:rsidP="00F85B44">
      <w:pPr>
        <w:spacing w:after="0"/>
        <w:jc w:val="right"/>
        <w:rPr>
          <w:rStyle w:val="BookTitle"/>
        </w:rPr>
      </w:pPr>
    </w:p>
    <w:p w14:paraId="22CA63A8" w14:textId="77777777" w:rsidR="005A72A6" w:rsidRDefault="005A72A6" w:rsidP="00F85B44">
      <w:pPr>
        <w:spacing w:after="0"/>
        <w:jc w:val="right"/>
        <w:rPr>
          <w:rStyle w:val="BookTitle"/>
        </w:rPr>
      </w:pPr>
    </w:p>
    <w:p w14:paraId="0D2385EB" w14:textId="7425D14B" w:rsidR="0065676D" w:rsidRDefault="003D74AA" w:rsidP="00F85B44">
      <w:pPr>
        <w:spacing w:after="0"/>
        <w:jc w:val="right"/>
        <w:rPr>
          <w:rStyle w:val="BookTitle"/>
        </w:rPr>
      </w:pPr>
      <w:r>
        <w:rPr>
          <w:b/>
          <w:bCs/>
          <w:i/>
          <w:iCs/>
          <w:noProof/>
          <w:spacing w:val="5"/>
          <w:lang w:eastAsia="en-GB"/>
        </w:rPr>
        <mc:AlternateContent>
          <mc:Choice Requires="wps">
            <w:drawing>
              <wp:anchor distT="0" distB="0" distL="114300" distR="114300" simplePos="0" relativeHeight="251662336" behindDoc="0" locked="0" layoutInCell="1" allowOverlap="1" wp14:anchorId="69DB0F2C" wp14:editId="7DFA1315">
                <wp:simplePos x="0" y="0"/>
                <wp:positionH relativeFrom="page">
                  <wp:align>left</wp:align>
                </wp:positionH>
                <wp:positionV relativeFrom="paragraph">
                  <wp:posOffset>205105</wp:posOffset>
                </wp:positionV>
                <wp:extent cx="7543800" cy="184150"/>
                <wp:effectExtent l="0" t="0" r="19050" b="25400"/>
                <wp:wrapNone/>
                <wp:docPr id="10" name="Rectangle 10"/>
                <wp:cNvGraphicFramePr/>
                <a:graphic xmlns:a="http://schemas.openxmlformats.org/drawingml/2006/main">
                  <a:graphicData uri="http://schemas.microsoft.com/office/word/2010/wordprocessingShape">
                    <wps:wsp>
                      <wps:cNvSpPr/>
                      <wps:spPr>
                        <a:xfrm>
                          <a:off x="0" y="0"/>
                          <a:ext cx="7543800" cy="184150"/>
                        </a:xfrm>
                        <a:prstGeom prst="rect">
                          <a:avLst/>
                        </a:prstGeom>
                        <a:solidFill>
                          <a:schemeClr val="accent1">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CA40C54" id="Rectangle 10" o:spid="_x0000_s1026" style="position:absolute;margin-left:0;margin-top:16.15pt;width:594pt;height:14.5pt;z-index:251662336;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" fillcolor="#cdb5dc [1940]" strokecolor="#593470 [1604]" strokeweight="1pt">
                <w10:wrap anchorx="page"/>
              </v:rect>
            </w:pict>
          </mc:Fallback>
        </mc:AlternateContent>
      </w:r>
    </w:p>
    <w:p w14:paraId="3788ACB5" w14:textId="77777777" w:rsidR="0065676D" w:rsidRDefault="0065676D" w:rsidP="00F85B44">
      <w:pPr>
        <w:spacing w:after="0"/>
        <w:jc w:val="right"/>
        <w:rPr>
          <w:rStyle w:val="BookTitle"/>
        </w:rPr>
      </w:pPr>
    </w:p>
    <w:p w14:paraId="3C8E1E08" w14:textId="77777777" w:rsidR="0065676D" w:rsidRDefault="0065676D" w:rsidP="00F85B44">
      <w:pPr>
        <w:spacing w:after="0"/>
        <w:jc w:val="right"/>
        <w:rPr>
          <w:rStyle w:val="BookTitle"/>
        </w:rPr>
      </w:pPr>
    </w:p>
    <w:p w14:paraId="690DA34B" w14:textId="3322DCB8" w:rsidR="0065676D" w:rsidRPr="0065676D" w:rsidRDefault="0065676D" w:rsidP="00F85B44">
      <w:pPr>
        <w:spacing w:after="0"/>
        <w:jc w:val="right"/>
        <w:rPr>
          <w:rStyle w:val="BookTitle"/>
        </w:rPr>
      </w:pPr>
      <w:r w:rsidRPr="0065676D">
        <w:rPr>
          <w:rStyle w:val="BookTitle"/>
        </w:rPr>
        <w:t xml:space="preserve">Francesca Preece </w:t>
      </w:r>
    </w:p>
    <w:p w14:paraId="128B555A" w14:textId="39696B0B" w:rsidR="0065676D" w:rsidRPr="0065676D" w:rsidRDefault="0065676D" w:rsidP="00F85B44">
      <w:pPr>
        <w:spacing w:after="0"/>
        <w:jc w:val="right"/>
        <w:rPr>
          <w:rFonts w:cstheme="minorHAnsi"/>
          <w:b/>
          <w:bCs/>
          <w:i/>
          <w:iCs/>
        </w:rPr>
      </w:pPr>
      <w:r w:rsidRPr="0065676D">
        <w:rPr>
          <w:rStyle w:val="BookTitle"/>
        </w:rPr>
        <w:t xml:space="preserve">Member Registration </w:t>
      </w:r>
      <w:r w:rsidRPr="0065676D">
        <w:rPr>
          <w:rFonts w:cstheme="minorHAnsi"/>
          <w:b/>
          <w:bCs/>
          <w:i/>
          <w:iCs/>
        </w:rPr>
        <w:t>8515837</w:t>
      </w:r>
    </w:p>
    <w:p w14:paraId="00B3F6AC" w14:textId="60BDBF12" w:rsidR="0065676D" w:rsidRDefault="0065676D" w:rsidP="00F85B44">
      <w:pPr>
        <w:spacing w:after="0"/>
        <w:jc w:val="right"/>
        <w:rPr>
          <w:rFonts w:cstheme="minorHAnsi"/>
          <w:b/>
          <w:bCs/>
          <w:i/>
          <w:iCs/>
        </w:rPr>
      </w:pPr>
      <w:r w:rsidRPr="0065676D">
        <w:rPr>
          <w:rFonts w:cstheme="minorHAnsi"/>
          <w:b/>
          <w:bCs/>
          <w:i/>
          <w:iCs/>
        </w:rPr>
        <w:t>Student Number 2205497</w:t>
      </w:r>
    </w:p>
    <w:p w14:paraId="7C4B03AE" w14:textId="1B7694BC" w:rsidR="00D86500" w:rsidRDefault="00D86500" w:rsidP="007575D4">
      <w:pPr>
        <w:spacing w:after="0"/>
        <w:jc w:val="right"/>
        <w:rPr>
          <w:rFonts w:cstheme="minorHAnsi"/>
          <w:b/>
          <w:bCs/>
          <w:i/>
          <w:iCs/>
        </w:rPr>
      </w:pPr>
      <w:r>
        <w:rPr>
          <w:rFonts w:cstheme="minorHAnsi"/>
          <w:b/>
          <w:bCs/>
          <w:i/>
          <w:iCs/>
        </w:rPr>
        <w:t xml:space="preserve">Word Count </w:t>
      </w:r>
      <w:r w:rsidR="00D7604C">
        <w:rPr>
          <w:rFonts w:cstheme="minorHAnsi"/>
          <w:b/>
          <w:bCs/>
          <w:i/>
          <w:iCs/>
        </w:rPr>
        <w:t>4144</w:t>
      </w:r>
    </w:p>
    <w:p w14:paraId="54A09466" w14:textId="0BC58AA6" w:rsidR="0065676D" w:rsidRDefault="003D74AA" w:rsidP="00F85B44">
      <w:pPr>
        <w:spacing w:after="0"/>
        <w:jc w:val="right"/>
        <w:rPr>
          <w:rFonts w:cstheme="minorHAnsi"/>
          <w:b/>
          <w:bCs/>
          <w:i/>
          <w:iCs/>
        </w:rPr>
      </w:pPr>
      <w:r>
        <w:rPr>
          <w:b/>
          <w:bCs/>
          <w:i/>
          <w:iCs/>
          <w:noProof/>
          <w:spacing w:val="5"/>
          <w:lang w:eastAsia="en-GB"/>
        </w:rPr>
        <mc:AlternateContent>
          <mc:Choice Requires="wps">
            <w:drawing>
              <wp:anchor distT="0" distB="0" distL="114300" distR="114300" simplePos="0" relativeHeight="251664384" behindDoc="0" locked="0" layoutInCell="1" allowOverlap="1" wp14:anchorId="7D695527" wp14:editId="0229A9C8">
                <wp:simplePos x="0" y="0"/>
                <wp:positionH relativeFrom="page">
                  <wp:align>left</wp:align>
                </wp:positionH>
                <wp:positionV relativeFrom="paragraph">
                  <wp:posOffset>165100</wp:posOffset>
                </wp:positionV>
                <wp:extent cx="7543800" cy="184150"/>
                <wp:effectExtent l="0" t="0" r="19050" b="25400"/>
                <wp:wrapNone/>
                <wp:docPr id="11" name="Rectangle 11"/>
                <wp:cNvGraphicFramePr/>
                <a:graphic xmlns:a="http://schemas.openxmlformats.org/drawingml/2006/main">
                  <a:graphicData uri="http://schemas.microsoft.com/office/word/2010/wordprocessingShape">
                    <wps:wsp>
                      <wps:cNvSpPr/>
                      <wps:spPr>
                        <a:xfrm>
                          <a:off x="0" y="0"/>
                          <a:ext cx="7543800" cy="184150"/>
                        </a:xfrm>
                        <a:prstGeom prst="rect">
                          <a:avLst/>
                        </a:prstGeom>
                        <a:solidFill>
                          <a:schemeClr val="accent1">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F2F19AD" id="Rectangle 11" o:spid="_x0000_s1026" style="position:absolute;margin-left:0;margin-top:13pt;width:594pt;height:14.5pt;z-index:251664384;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" fillcolor="#cdb5dc [1940]" strokecolor="#593470 [1604]" strokeweight="1pt">
                <w10:wrap anchorx="page"/>
              </v:rect>
            </w:pict>
          </mc:Fallback>
        </mc:AlternateContent>
      </w:r>
    </w:p>
    <w:p w14:paraId="17A8470E" w14:textId="77777777" w:rsidR="00A63F5D" w:rsidRDefault="00A63F5D" w:rsidP="00F85B44">
      <w:pPr>
        <w:spacing w:after="0"/>
        <w:jc w:val="center"/>
        <w:rPr>
          <w:rFonts w:cstheme="minorHAnsi"/>
          <w:b/>
          <w:bCs/>
          <w:i/>
          <w:iCs/>
          <w:sz w:val="32"/>
          <w:szCs w:val="32"/>
        </w:rPr>
      </w:pPr>
    </w:p>
    <w:p w14:paraId="21240877" w14:textId="068F9EE4" w:rsidR="008D4831" w:rsidRDefault="00A63F5D" w:rsidP="005C4777">
      <w:pPr>
        <w:rPr>
          <w:rFonts w:cstheme="minorHAnsi"/>
          <w:b/>
          <w:bCs/>
          <w:i/>
          <w:iCs/>
          <w:sz w:val="32"/>
          <w:szCs w:val="32"/>
        </w:rPr>
      </w:pPr>
      <w:r>
        <w:rPr>
          <w:rFonts w:cstheme="minorHAnsi"/>
          <w:b/>
          <w:bCs/>
          <w:i/>
          <w:iCs/>
          <w:sz w:val="32"/>
          <w:szCs w:val="32"/>
        </w:rPr>
        <w:br w:type="page"/>
      </w:r>
      <w:r w:rsidR="00506CBD">
        <w:rPr>
          <w:rFonts w:cstheme="minorHAnsi"/>
          <w:b/>
          <w:bCs/>
          <w:i/>
          <w:iCs/>
          <w:sz w:val="32"/>
          <w:szCs w:val="32"/>
        </w:rPr>
        <w:lastRenderedPageBreak/>
        <w:t>Reward for Performance &amp; Contribution</w:t>
      </w:r>
      <w:r w:rsidR="00406D63">
        <w:rPr>
          <w:rFonts w:cstheme="minorHAnsi"/>
          <w:b/>
          <w:bCs/>
          <w:i/>
          <w:iCs/>
          <w:sz w:val="32"/>
          <w:szCs w:val="32"/>
        </w:rPr>
        <w:t xml:space="preserve"> </w:t>
      </w:r>
      <w:r w:rsidR="001A2885">
        <w:rPr>
          <w:rFonts w:cstheme="minorHAnsi"/>
          <w:b/>
          <w:bCs/>
          <w:i/>
          <w:iCs/>
          <w:sz w:val="32"/>
          <w:szCs w:val="32"/>
        </w:rPr>
        <w:t xml:space="preserve">Report </w:t>
      </w:r>
    </w:p>
    <w:p w14:paraId="051B3C85" w14:textId="77777777" w:rsidR="005C4777" w:rsidRDefault="005C4777" w:rsidP="005C4777">
      <w:pPr>
        <w:rPr>
          <w:rFonts w:cstheme="minorHAnsi"/>
          <w:b/>
          <w:bCs/>
          <w:i/>
          <w:iCs/>
          <w:sz w:val="32"/>
          <w:szCs w:val="32"/>
        </w:rPr>
      </w:pPr>
    </w:p>
    <w:p w14:paraId="20BEFC50" w14:textId="5C35CB44" w:rsidR="008D4831" w:rsidRPr="00F85B44" w:rsidRDefault="008D4831" w:rsidP="00F85B44">
      <w:pPr>
        <w:spacing w:after="0"/>
        <w:jc w:val="both"/>
        <w:rPr>
          <w:rFonts w:cstheme="minorHAnsi"/>
          <w:i/>
          <w:iCs/>
          <w:sz w:val="24"/>
          <w:szCs w:val="24"/>
        </w:rPr>
      </w:pPr>
      <w:r w:rsidRPr="00F85B44">
        <w:rPr>
          <w:rFonts w:cstheme="minorHAnsi"/>
          <w:b/>
          <w:bCs/>
          <w:i/>
          <w:iCs/>
          <w:sz w:val="24"/>
          <w:szCs w:val="24"/>
        </w:rPr>
        <w:t xml:space="preserve">Issued to:  </w:t>
      </w:r>
      <w:r w:rsidR="00FB117C">
        <w:rPr>
          <w:rFonts w:cstheme="minorHAnsi"/>
          <w:i/>
          <w:iCs/>
          <w:sz w:val="24"/>
          <w:szCs w:val="24"/>
        </w:rPr>
        <w:t xml:space="preserve">Senior Managers </w:t>
      </w:r>
      <w:r w:rsidRPr="00F85B44">
        <w:rPr>
          <w:rFonts w:cstheme="minorHAnsi"/>
          <w:i/>
          <w:iCs/>
          <w:sz w:val="24"/>
          <w:szCs w:val="24"/>
        </w:rPr>
        <w:t xml:space="preserve"> </w:t>
      </w:r>
    </w:p>
    <w:p w14:paraId="7A2F7500" w14:textId="62E8C3A2" w:rsidR="008D4831" w:rsidRPr="00F85B44" w:rsidRDefault="008D4831" w:rsidP="00F85B44">
      <w:pPr>
        <w:spacing w:after="0"/>
        <w:jc w:val="both"/>
        <w:rPr>
          <w:rFonts w:cstheme="minorHAnsi"/>
          <w:i/>
          <w:iCs/>
          <w:sz w:val="24"/>
          <w:szCs w:val="24"/>
        </w:rPr>
      </w:pPr>
      <w:r w:rsidRPr="00F85B44">
        <w:rPr>
          <w:rFonts w:cstheme="minorHAnsi"/>
          <w:b/>
          <w:bCs/>
          <w:i/>
          <w:iCs/>
          <w:sz w:val="24"/>
          <w:szCs w:val="24"/>
        </w:rPr>
        <w:t xml:space="preserve">Prepared by:  </w:t>
      </w:r>
      <w:r w:rsidRPr="00F85B44">
        <w:rPr>
          <w:rFonts w:cstheme="minorHAnsi"/>
          <w:i/>
          <w:iCs/>
          <w:sz w:val="24"/>
          <w:szCs w:val="24"/>
        </w:rPr>
        <w:t xml:space="preserve">Francesca Preece, </w:t>
      </w:r>
      <w:r w:rsidR="007701AE">
        <w:rPr>
          <w:rFonts w:cstheme="minorHAnsi"/>
          <w:i/>
          <w:iCs/>
          <w:sz w:val="24"/>
          <w:szCs w:val="24"/>
        </w:rPr>
        <w:t xml:space="preserve">Reward Specialist Practitioner </w:t>
      </w:r>
      <w:r w:rsidRPr="00F85B44">
        <w:rPr>
          <w:rFonts w:cstheme="minorHAnsi"/>
          <w:i/>
          <w:iCs/>
          <w:sz w:val="24"/>
          <w:szCs w:val="24"/>
        </w:rPr>
        <w:t xml:space="preserve"> </w:t>
      </w:r>
    </w:p>
    <w:p w14:paraId="47E20B45" w14:textId="6D170E39" w:rsidR="008D4831" w:rsidRPr="009A7F96" w:rsidRDefault="008D4831" w:rsidP="00F85B44">
      <w:pPr>
        <w:spacing w:after="0"/>
        <w:jc w:val="both"/>
        <w:rPr>
          <w:rFonts w:cstheme="minorHAnsi"/>
          <w:i/>
          <w:iCs/>
          <w:sz w:val="24"/>
          <w:szCs w:val="24"/>
        </w:rPr>
      </w:pPr>
      <w:r w:rsidRPr="00F85B44">
        <w:rPr>
          <w:rFonts w:cstheme="minorHAnsi"/>
          <w:b/>
          <w:bCs/>
          <w:i/>
          <w:iCs/>
          <w:sz w:val="24"/>
          <w:szCs w:val="24"/>
        </w:rPr>
        <w:t>Date:</w:t>
      </w:r>
      <w:r w:rsidR="009A7F96">
        <w:rPr>
          <w:rFonts w:cstheme="minorHAnsi"/>
          <w:b/>
          <w:bCs/>
          <w:i/>
          <w:iCs/>
          <w:sz w:val="24"/>
          <w:szCs w:val="24"/>
        </w:rPr>
        <w:t xml:space="preserve">  </w:t>
      </w:r>
      <w:r w:rsidR="009A7F96" w:rsidRPr="009A7F96">
        <w:rPr>
          <w:rFonts w:cstheme="minorHAnsi"/>
          <w:i/>
          <w:iCs/>
          <w:sz w:val="24"/>
          <w:szCs w:val="24"/>
        </w:rPr>
        <w:t>8</w:t>
      </w:r>
      <w:r w:rsidR="009A7F96" w:rsidRPr="009A7F96">
        <w:rPr>
          <w:rFonts w:cstheme="minorHAnsi"/>
          <w:i/>
          <w:iCs/>
          <w:sz w:val="24"/>
          <w:szCs w:val="24"/>
          <w:vertAlign w:val="superscript"/>
        </w:rPr>
        <w:t>th</w:t>
      </w:r>
      <w:r w:rsidR="009A7F96" w:rsidRPr="009A7F96">
        <w:rPr>
          <w:rFonts w:cstheme="minorHAnsi"/>
          <w:i/>
          <w:iCs/>
          <w:sz w:val="24"/>
          <w:szCs w:val="24"/>
        </w:rPr>
        <w:t xml:space="preserve"> August 2024</w:t>
      </w:r>
    </w:p>
    <w:p w14:paraId="173B5221" w14:textId="77777777" w:rsidR="00803C43" w:rsidRPr="00F85B44" w:rsidRDefault="00803C43" w:rsidP="00F85B44">
      <w:pPr>
        <w:spacing w:after="0"/>
        <w:jc w:val="both"/>
        <w:rPr>
          <w:rFonts w:cstheme="minorHAnsi"/>
          <w:i/>
          <w:iCs/>
          <w:sz w:val="24"/>
          <w:szCs w:val="24"/>
        </w:rPr>
      </w:pPr>
    </w:p>
    <w:p w14:paraId="3B12DB95" w14:textId="5D7EACEF" w:rsidR="008D4831" w:rsidRPr="000E2863" w:rsidRDefault="008D4831" w:rsidP="00F85B44">
      <w:pPr>
        <w:spacing w:after="0"/>
        <w:jc w:val="both"/>
        <w:rPr>
          <w:rFonts w:cstheme="minorHAnsi"/>
          <w:i/>
          <w:iCs/>
        </w:rPr>
      </w:pPr>
    </w:p>
    <w:p w14:paraId="5FBD2371" w14:textId="14112B1C" w:rsidR="008D4831" w:rsidRPr="00F85B44" w:rsidRDefault="00A22BDD" w:rsidP="00F85B44">
      <w:pPr>
        <w:spacing w:after="0"/>
        <w:jc w:val="both"/>
        <w:rPr>
          <w:rFonts w:cstheme="minorHAnsi"/>
          <w:b/>
          <w:bCs/>
          <w:sz w:val="24"/>
          <w:szCs w:val="24"/>
          <w:u w:val="single"/>
        </w:rPr>
      </w:pPr>
      <w:r w:rsidRPr="00F85B44">
        <w:rPr>
          <w:rFonts w:cstheme="minorHAnsi"/>
          <w:b/>
          <w:bCs/>
          <w:sz w:val="24"/>
          <w:szCs w:val="24"/>
          <w:u w:val="single"/>
        </w:rPr>
        <w:t>Introduction</w:t>
      </w:r>
    </w:p>
    <w:p w14:paraId="7A4890E1" w14:textId="001C4883" w:rsidR="008D4831" w:rsidRDefault="008D4831" w:rsidP="00F85B44">
      <w:pPr>
        <w:spacing w:after="0"/>
        <w:jc w:val="both"/>
        <w:rPr>
          <w:rFonts w:cstheme="minorHAnsi"/>
          <w:b/>
          <w:bCs/>
        </w:rPr>
      </w:pPr>
    </w:p>
    <w:p w14:paraId="354DC022" w14:textId="426B0E09" w:rsidR="00F078AE" w:rsidRDefault="00F078AE" w:rsidP="00F85B44">
      <w:pPr>
        <w:spacing w:after="0"/>
        <w:jc w:val="both"/>
        <w:rPr>
          <w:rFonts w:cstheme="minorHAnsi"/>
          <w:bCs/>
        </w:rPr>
      </w:pPr>
      <w:r>
        <w:rPr>
          <w:rFonts w:cstheme="minorHAnsi"/>
          <w:bCs/>
        </w:rPr>
        <w:t>This report has been prepared to showcase</w:t>
      </w:r>
      <w:r w:rsidR="003C7A0D">
        <w:rPr>
          <w:rFonts w:cstheme="minorHAnsi"/>
          <w:bCs/>
        </w:rPr>
        <w:t xml:space="preserve"> </w:t>
      </w:r>
      <w:r w:rsidR="000579FF">
        <w:rPr>
          <w:rFonts w:cstheme="minorHAnsi"/>
          <w:bCs/>
        </w:rPr>
        <w:t xml:space="preserve">how reward management can be critical to an </w:t>
      </w:r>
      <w:r w:rsidR="00AC713C">
        <w:rPr>
          <w:rFonts w:cstheme="minorHAnsi"/>
          <w:bCs/>
        </w:rPr>
        <w:t>organisation’s</w:t>
      </w:r>
      <w:r w:rsidR="000579FF">
        <w:rPr>
          <w:rFonts w:cstheme="minorHAnsi"/>
          <w:bCs/>
        </w:rPr>
        <w:t xml:space="preserve"> success, in this case Eco-</w:t>
      </w:r>
      <w:r w:rsidR="00AC713C">
        <w:rPr>
          <w:rFonts w:cstheme="minorHAnsi"/>
          <w:bCs/>
        </w:rPr>
        <w:t>Insulate</w:t>
      </w:r>
      <w:r w:rsidR="000579FF">
        <w:rPr>
          <w:rFonts w:cstheme="minorHAnsi"/>
          <w:bCs/>
        </w:rPr>
        <w:t xml:space="preserve"> UK.  </w:t>
      </w:r>
      <w:r w:rsidR="00494581">
        <w:rPr>
          <w:rFonts w:cstheme="minorHAnsi"/>
          <w:bCs/>
        </w:rPr>
        <w:t xml:space="preserve">Reward management consists of </w:t>
      </w:r>
      <w:r w:rsidR="0083761D">
        <w:rPr>
          <w:rFonts w:cstheme="minorHAnsi"/>
          <w:bCs/>
        </w:rPr>
        <w:t>focussing on creating and putting into place procedures and policies that reward employees</w:t>
      </w:r>
      <w:r w:rsidR="00DE1511">
        <w:rPr>
          <w:rFonts w:cstheme="minorHAnsi"/>
          <w:bCs/>
        </w:rPr>
        <w:t xml:space="preserve"> consistently, fairly and equitably in order </w:t>
      </w:r>
      <w:r w:rsidR="0085242B">
        <w:rPr>
          <w:rFonts w:cstheme="minorHAnsi"/>
          <w:bCs/>
        </w:rPr>
        <w:t xml:space="preserve">to </w:t>
      </w:r>
      <w:r w:rsidR="00DE1511">
        <w:rPr>
          <w:rFonts w:cstheme="minorHAnsi"/>
          <w:bCs/>
        </w:rPr>
        <w:t xml:space="preserve">drive organisational </w:t>
      </w:r>
      <w:r w:rsidR="000033B7">
        <w:rPr>
          <w:rFonts w:cstheme="minorHAnsi"/>
          <w:bCs/>
        </w:rPr>
        <w:t>success</w:t>
      </w:r>
      <w:r w:rsidR="00DE1511">
        <w:rPr>
          <w:rFonts w:cstheme="minorHAnsi"/>
          <w:bCs/>
        </w:rPr>
        <w:t xml:space="preserve">.  </w:t>
      </w:r>
    </w:p>
    <w:p w14:paraId="13453CA8" w14:textId="77777777" w:rsidR="00AC713C" w:rsidRDefault="00AC713C" w:rsidP="00F85B44">
      <w:pPr>
        <w:spacing w:after="0"/>
        <w:jc w:val="both"/>
        <w:rPr>
          <w:rFonts w:cstheme="minorHAnsi"/>
          <w:bCs/>
        </w:rPr>
      </w:pPr>
    </w:p>
    <w:p w14:paraId="1A88805E" w14:textId="70FB0BA5" w:rsidR="00AC713C" w:rsidRPr="0092131D" w:rsidRDefault="00AC713C" w:rsidP="00F85B44">
      <w:pPr>
        <w:spacing w:after="0"/>
        <w:jc w:val="both"/>
        <w:rPr>
          <w:rFonts w:cstheme="minorHAnsi"/>
          <w:b/>
        </w:rPr>
      </w:pPr>
      <w:r>
        <w:rPr>
          <w:rFonts w:cstheme="minorHAnsi"/>
          <w:bCs/>
        </w:rPr>
        <w:t xml:space="preserve">This report examines the respective aspects </w:t>
      </w:r>
      <w:r w:rsidR="002B5435">
        <w:rPr>
          <w:rFonts w:cstheme="minorHAnsi"/>
          <w:bCs/>
        </w:rPr>
        <w:t xml:space="preserve">of reward management and how these components support employee </w:t>
      </w:r>
      <w:r w:rsidR="0092131D">
        <w:rPr>
          <w:rFonts w:cstheme="minorHAnsi"/>
          <w:bCs/>
        </w:rPr>
        <w:t>motivation, improve job satisfaction an</w:t>
      </w:r>
      <w:r w:rsidR="000033B7">
        <w:rPr>
          <w:rFonts w:cstheme="minorHAnsi"/>
          <w:bCs/>
        </w:rPr>
        <w:t>d propel an</w:t>
      </w:r>
      <w:r w:rsidR="0092131D">
        <w:rPr>
          <w:rFonts w:cstheme="minorHAnsi"/>
          <w:bCs/>
        </w:rPr>
        <w:t xml:space="preserve"> organisation</w:t>
      </w:r>
      <w:r w:rsidR="000033B7">
        <w:rPr>
          <w:rFonts w:cstheme="minorHAnsi"/>
          <w:bCs/>
        </w:rPr>
        <w:t>s</w:t>
      </w:r>
      <w:r w:rsidR="0092131D">
        <w:rPr>
          <w:rFonts w:cstheme="minorHAnsi"/>
          <w:bCs/>
        </w:rPr>
        <w:t xml:space="preserve"> performance.  </w:t>
      </w:r>
      <w:r>
        <w:rPr>
          <w:rFonts w:cstheme="minorHAnsi"/>
          <w:bCs/>
        </w:rPr>
        <w:t xml:space="preserve"> </w:t>
      </w:r>
    </w:p>
    <w:p w14:paraId="409640E6" w14:textId="5F449703" w:rsidR="00D4158A" w:rsidRDefault="00D4158A" w:rsidP="00F85B44">
      <w:pPr>
        <w:spacing w:after="0"/>
        <w:jc w:val="both"/>
        <w:rPr>
          <w:rFonts w:cstheme="minorHAnsi"/>
          <w:sz w:val="24"/>
          <w:szCs w:val="24"/>
        </w:rPr>
      </w:pPr>
    </w:p>
    <w:p w14:paraId="4C75DFFA" w14:textId="0575A822" w:rsidR="00AC713C" w:rsidRPr="00A60BBE" w:rsidRDefault="00AC713C" w:rsidP="00F85B44">
      <w:pPr>
        <w:spacing w:after="0"/>
        <w:jc w:val="both"/>
        <w:rPr>
          <w:rFonts w:cstheme="minorHAnsi"/>
          <w:sz w:val="24"/>
          <w:szCs w:val="24"/>
        </w:rPr>
      </w:pPr>
    </w:p>
    <w:p w14:paraId="7ECA1FE4" w14:textId="50A8D217" w:rsidR="00AB593D" w:rsidRDefault="00AB593D">
      <w:pPr>
        <w:rPr>
          <w:rFonts w:cstheme="minorHAnsi"/>
          <w:color w:val="000000"/>
          <w:bdr w:val="none" w:sz="0" w:space="0" w:color="auto" w:frame="1"/>
        </w:rPr>
      </w:pPr>
      <w:r>
        <w:rPr>
          <w:rFonts w:cstheme="minorHAnsi"/>
          <w:color w:val="000000"/>
          <w:bdr w:val="none" w:sz="0" w:space="0" w:color="auto" w:frame="1"/>
        </w:rPr>
        <w:br w:type="page"/>
      </w:r>
    </w:p>
    <w:p w14:paraId="66D95790" w14:textId="77777777" w:rsidR="00CA4184" w:rsidRPr="00EC0404" w:rsidRDefault="00CA4184" w:rsidP="00CA4184">
      <w:pPr>
        <w:pStyle w:val="Listparag"/>
        <w:spacing w:after="0"/>
        <w:rPr>
          <w:b/>
          <w:bCs/>
        </w:rPr>
      </w:pPr>
      <w:r w:rsidRPr="00EC0404">
        <w:rPr>
          <w:b/>
          <w:bCs/>
        </w:rPr>
        <w:lastRenderedPageBreak/>
        <w:t>Explain the principles of reward and its importance to organisational culture and performance management. (AC 1.1)</w:t>
      </w:r>
    </w:p>
    <w:p w14:paraId="3B0115BD" w14:textId="77777777" w:rsidR="00CA4184" w:rsidRPr="00EC0404" w:rsidRDefault="00CA4184" w:rsidP="00CA4184">
      <w:pPr>
        <w:pStyle w:val="Listparag"/>
        <w:spacing w:after="0"/>
        <w:jc w:val="both"/>
      </w:pPr>
      <w:r>
        <w:t>R</w:t>
      </w:r>
      <w:r w:rsidRPr="00EC0404">
        <w:t xml:space="preserve">eward principles are concerned with how </w:t>
      </w:r>
      <w:r>
        <w:t>Eco-Insulate UK</w:t>
      </w:r>
      <w:r w:rsidRPr="00EC0404">
        <w:t xml:space="preserve"> compensate and recognise the performance of their employees with often wages being the main driver (Taylor and Woodhams, 2022 p.62).  Rewards can often be viewed as the incentives bestowed by organisations providing employees with the motivation to aid in high performance that enable strategic objectives to be met</w:t>
      </w:r>
      <w:r>
        <w:t>.</w:t>
      </w:r>
      <w:r w:rsidRPr="00EC0404">
        <w:t xml:space="preserve"> (Taylor and Woodhams, 2022 p.63). </w:t>
      </w:r>
      <w:r>
        <w:t xml:space="preserve">This could be monetary or wider and incorporate numerous other factors which are regarded as equally important to the workforce, i.e. terms and conditions.  Moreover, this </w:t>
      </w:r>
      <w:r w:rsidRPr="00EC0404">
        <w:t>can also include a ‘total reward system’ of non-monetary value which comprises of benefits such as flexible working prospects</w:t>
      </w:r>
      <w:r>
        <w:t xml:space="preserve"> </w:t>
      </w:r>
      <w:r w:rsidRPr="00EC0404">
        <w:t>(Cotton, 2024a</w:t>
      </w:r>
      <w:r>
        <w:t>).</w:t>
      </w:r>
      <w:r w:rsidRPr="00EC0404">
        <w:t xml:space="preserve"> </w:t>
      </w:r>
    </w:p>
    <w:p w14:paraId="33ABD91D" w14:textId="77777777" w:rsidR="00CA4184" w:rsidRPr="00EC0404" w:rsidRDefault="00CA4184" w:rsidP="00CA4184">
      <w:pPr>
        <w:pStyle w:val="Listparag"/>
        <w:spacing w:after="0"/>
        <w:jc w:val="both"/>
      </w:pPr>
    </w:p>
    <w:p w14:paraId="62B50520" w14:textId="77777777" w:rsidR="00CA4184" w:rsidRPr="00EC0404" w:rsidRDefault="00CA4184" w:rsidP="00CA4184">
      <w:pPr>
        <w:pStyle w:val="Listparag"/>
        <w:spacing w:after="0"/>
        <w:jc w:val="both"/>
      </w:pPr>
      <w:r w:rsidRPr="00EC0404">
        <w:t xml:space="preserve">Reward can often be categorised as intrinsic and extrinsic.  Intrinsic rewards derive from a psychological aspect providing employees with a sense of achievement, autonomy and recognition, while serving sustainable motivation which promotes engagement and performance in the long-term (Glassdoor Team, 2021).   </w:t>
      </w:r>
      <w:r>
        <w:t>E</w:t>
      </w:r>
      <w:r w:rsidRPr="00EC0404">
        <w:t xml:space="preserve">xtrinsic rewards concern matters such as monetary value in the form of pay or bonus incentives and while they aid in attracting staff, they unfortunately do not foster long-term engagement which is why it is therefore imperative to consider both intrinsic and extrinsic rewards when considering reward programmes which we will delve into further detail in 1.2 (Glassdoor Team, 2021).  </w:t>
      </w:r>
    </w:p>
    <w:p w14:paraId="5592836D" w14:textId="77777777" w:rsidR="00CA4184" w:rsidRPr="00EC0404" w:rsidRDefault="00CA4184" w:rsidP="00CA4184">
      <w:pPr>
        <w:pStyle w:val="Listparag"/>
        <w:spacing w:after="0"/>
        <w:jc w:val="both"/>
      </w:pPr>
    </w:p>
    <w:p w14:paraId="70C8CE87" w14:textId="77777777" w:rsidR="00CA4184" w:rsidRPr="00EC0404" w:rsidRDefault="00CA4184" w:rsidP="00CA4184">
      <w:pPr>
        <w:pStyle w:val="Listparag"/>
        <w:spacing w:after="0"/>
        <w:jc w:val="both"/>
      </w:pPr>
      <w:r w:rsidRPr="00EC0404">
        <w:t xml:space="preserve">A further key component is a transparent and consistent reward programme ensuring all employees are treated equally and fairly taking into consideration UK Laws such as the </w:t>
      </w:r>
      <w:r w:rsidRPr="00EC0404">
        <w:rPr>
          <w:i/>
          <w:iCs/>
        </w:rPr>
        <w:t xml:space="preserve">National Minimum Wage Act 1998 </w:t>
      </w:r>
      <w:r w:rsidRPr="00EC0404">
        <w:t>and although employers are not required by law, multiple organisations have also enrolled onto the voluntary Living Wage (Cotton, 2024a)</w:t>
      </w:r>
      <w:r>
        <w:t xml:space="preserve"> which can be a further key stimulus in attracting and retaining staff</w:t>
      </w:r>
      <w:r w:rsidRPr="00EC0404">
        <w:t>.  Taylor and Woodhams (2022, p. 63) state that if employees believe the reward system to be “unfair” it can have a negative impact on the psychological contract hindering engagement and performance of the employees and therefore further impacting an organisation reaching the</w:t>
      </w:r>
      <w:r>
        <w:t>ir</w:t>
      </w:r>
      <w:r w:rsidRPr="00EC0404">
        <w:t xml:space="preserve"> strategic objectives.  </w:t>
      </w:r>
    </w:p>
    <w:p w14:paraId="62A7FA64" w14:textId="77777777" w:rsidR="00CA4184" w:rsidRPr="00EC0404" w:rsidRDefault="00CA4184" w:rsidP="00CA4184">
      <w:pPr>
        <w:pStyle w:val="Listparag"/>
        <w:tabs>
          <w:tab w:val="right" w:pos="9026"/>
        </w:tabs>
        <w:spacing w:after="0"/>
        <w:jc w:val="both"/>
      </w:pPr>
    </w:p>
    <w:p w14:paraId="613DB727" w14:textId="258DF7CA" w:rsidR="00CA4184" w:rsidRPr="00EC0404" w:rsidRDefault="00CA4184" w:rsidP="00CA4184">
      <w:pPr>
        <w:pStyle w:val="Listparag"/>
        <w:spacing w:after="0"/>
        <w:jc w:val="both"/>
      </w:pPr>
      <w:r w:rsidRPr="00EC0404">
        <w:t xml:space="preserve">In conclusion, it is therefore vital that </w:t>
      </w:r>
      <w:r>
        <w:t xml:space="preserve">Eco-Insulate UK </w:t>
      </w:r>
      <w:r w:rsidRPr="00EC0404">
        <w:t>take a holistic approach when designing their reward strategy incorporating fair and transparent policies and pay structures while also including non-monetary rewards</w:t>
      </w:r>
      <w:r>
        <w:t xml:space="preserve"> striking the right balance between provisions of incentives which is competitive in the labour market yet affordable</w:t>
      </w:r>
      <w:r w:rsidRPr="00EC0404">
        <w:t xml:space="preserve"> </w:t>
      </w:r>
      <w:r>
        <w:t>(Armstrong and Brown,2019 p.25</w:t>
      </w:r>
      <w:r w:rsidRPr="00EC0404">
        <w:t>).</w:t>
      </w:r>
      <w:r>
        <w:t xml:space="preserve">  </w:t>
      </w:r>
      <w:r w:rsidRPr="00EC0404">
        <w:t xml:space="preserve">This not only assists to foster a positive culture but also creates high performing engaged employees </w:t>
      </w:r>
      <w:r>
        <w:t xml:space="preserve">permitting </w:t>
      </w:r>
      <w:r w:rsidRPr="00EC0404">
        <w:t xml:space="preserve">strategic objectives </w:t>
      </w:r>
      <w:r>
        <w:t xml:space="preserve">to be achieved </w:t>
      </w:r>
      <w:r w:rsidRPr="00EC0404">
        <w:t xml:space="preserve">as performance and reward can often be seen as interlinked (Waite </w:t>
      </w:r>
      <w:r w:rsidRPr="00EC0404">
        <w:rPr>
          <w:i/>
          <w:iCs/>
        </w:rPr>
        <w:t xml:space="preserve">et al, </w:t>
      </w:r>
      <w:r w:rsidRPr="00EC0404">
        <w:t xml:space="preserve">2021 p.196).  </w:t>
      </w:r>
    </w:p>
    <w:p w14:paraId="17A8316E" w14:textId="77777777" w:rsidR="00CA4184" w:rsidRPr="00EC0404" w:rsidRDefault="00CA4184" w:rsidP="00CA4184">
      <w:pPr>
        <w:pStyle w:val="Listparag"/>
        <w:spacing w:after="0"/>
        <w:jc w:val="both"/>
      </w:pPr>
    </w:p>
    <w:p w14:paraId="2A7D0FC5" w14:textId="77777777" w:rsidR="00CA4184" w:rsidRPr="00EC0404" w:rsidRDefault="00CA4184" w:rsidP="00CA4184">
      <w:pPr>
        <w:pStyle w:val="Listparag"/>
        <w:spacing w:after="0"/>
        <w:rPr>
          <w:b/>
          <w:bCs/>
        </w:rPr>
      </w:pPr>
    </w:p>
    <w:p w14:paraId="1AD2C4FF" w14:textId="77777777" w:rsidR="00CA4184" w:rsidRPr="00EC0404" w:rsidRDefault="00CA4184" w:rsidP="00CA4184">
      <w:pPr>
        <w:pStyle w:val="Listparag"/>
        <w:spacing w:after="0"/>
      </w:pPr>
      <w:r w:rsidRPr="00EC0404">
        <w:rPr>
          <w:b/>
          <w:bCs/>
        </w:rPr>
        <w:t>Assess the contribution of extrinsic and intrinsic rewards to improving employee contribution and sustained organisational performance. (AC 1.2)</w:t>
      </w:r>
    </w:p>
    <w:p w14:paraId="22DC289B" w14:textId="77777777" w:rsidR="00CA4184" w:rsidRPr="00EC0404" w:rsidRDefault="00CA4184" w:rsidP="00CA4184">
      <w:pPr>
        <w:pStyle w:val="Listparag"/>
        <w:spacing w:after="0"/>
        <w:jc w:val="both"/>
      </w:pPr>
      <w:r w:rsidRPr="00EC0404">
        <w:t>Extrinsic and intrinsic rewards play a unique but important role in enhancing an employee’s engagement and maintaining organisational effectiveness as previously discussed in 1.1.  While historically it was of the view that extrinsic rewards were the key component recent research has proven that intrinsic rewards also play a</w:t>
      </w:r>
      <w:r>
        <w:t xml:space="preserve"> key</w:t>
      </w:r>
      <w:r w:rsidRPr="00EC0404">
        <w:t xml:space="preserve"> role in an employee’s motivation (Hajduk, 2017) this is further backed up by </w:t>
      </w:r>
      <w:proofErr w:type="spellStart"/>
      <w:r w:rsidRPr="00EC0404">
        <w:t>Geropp</w:t>
      </w:r>
      <w:proofErr w:type="spellEnd"/>
      <w:r w:rsidRPr="00EC0404">
        <w:t xml:space="preserve"> (2019) as he argues using only extrinsic rewards can result in the demotivation of intrinsically motivated workers as the pressure can stifle creativity in turn lowering productivity.  </w:t>
      </w:r>
    </w:p>
    <w:p w14:paraId="730E7E19" w14:textId="77777777" w:rsidR="00CA4184" w:rsidRPr="00EC0404" w:rsidRDefault="00CA4184" w:rsidP="00CA4184">
      <w:pPr>
        <w:pStyle w:val="Listparag"/>
        <w:spacing w:after="0"/>
        <w:jc w:val="both"/>
      </w:pPr>
    </w:p>
    <w:p w14:paraId="0B922B58" w14:textId="77777777" w:rsidR="0004084A" w:rsidRDefault="00CA4184" w:rsidP="00CA4184">
      <w:pPr>
        <w:pStyle w:val="Listparag"/>
        <w:spacing w:after="0"/>
        <w:jc w:val="both"/>
      </w:pPr>
      <w:r w:rsidRPr="00EC0404">
        <w:t>While people usually prioritise extrinsic incentives above all else</w:t>
      </w:r>
      <w:r>
        <w:t>,</w:t>
      </w:r>
      <w:r w:rsidRPr="00EC0404">
        <w:t xml:space="preserve"> with pay being at the forefront</w:t>
      </w:r>
      <w:r>
        <w:t>,</w:t>
      </w:r>
      <w:r w:rsidRPr="00EC0404">
        <w:t xml:space="preserve"> meaningful conversations regarding intrinsic incentives can only take place once we shift the focus from monetary reward (Hajduk, 2017).  </w:t>
      </w:r>
    </w:p>
    <w:p w14:paraId="0E088357" w14:textId="231C310B" w:rsidR="00CA4184" w:rsidRPr="00EC0404" w:rsidRDefault="00CA4184" w:rsidP="00CA4184">
      <w:pPr>
        <w:pStyle w:val="Listparag"/>
        <w:spacing w:after="0"/>
        <w:jc w:val="both"/>
      </w:pPr>
      <w:r w:rsidRPr="00EC0404">
        <w:lastRenderedPageBreak/>
        <w:t>This supports the idea that organisations attention should be not only on fair pay but also benefits for their employees (intrinsic rewards) in order to thrive</w:t>
      </w:r>
      <w:r>
        <w:t xml:space="preserve"> and drive organisational success </w:t>
      </w:r>
      <w:r w:rsidRPr="00EC0404">
        <w:t xml:space="preserve"> (Hajduk, 2017).  </w:t>
      </w:r>
    </w:p>
    <w:p w14:paraId="77A356A0" w14:textId="77777777" w:rsidR="00CA4184" w:rsidRPr="00EC0404" w:rsidRDefault="00CA4184" w:rsidP="00CA4184">
      <w:pPr>
        <w:pStyle w:val="Listparag"/>
        <w:spacing w:after="0"/>
        <w:jc w:val="both"/>
      </w:pPr>
    </w:p>
    <w:p w14:paraId="503F36E7" w14:textId="77777777" w:rsidR="00CA4184" w:rsidRPr="00EC0404" w:rsidRDefault="00CA4184" w:rsidP="00CA4184">
      <w:pPr>
        <w:pStyle w:val="Listparag"/>
        <w:spacing w:after="0"/>
        <w:jc w:val="both"/>
      </w:pPr>
      <w:r w:rsidRPr="00EC0404">
        <w:t xml:space="preserve">The key to a motivated and engaged workforce is ensuring the organisation evolves with the wants and needs of not only the stakeholders but also the employees with the goals of each aligning with the organisation’s strategies (Ott, 2017).  Ott (2017) goes on to state that when managers are inclusive of their teams and switch to a culture of performance development (intrinsic reward) it enhances employee productivity as employees find long-term satisfaction and meaning in their work while also fostering a culture of trust and collaboration further proving that intrinsic rewards are beneficial.  </w:t>
      </w:r>
    </w:p>
    <w:p w14:paraId="242A22A6" w14:textId="77777777" w:rsidR="00CA4184" w:rsidRPr="00EC0404" w:rsidRDefault="00CA4184" w:rsidP="00CA4184">
      <w:pPr>
        <w:pStyle w:val="Listparag"/>
        <w:spacing w:after="0"/>
        <w:jc w:val="both"/>
      </w:pPr>
    </w:p>
    <w:p w14:paraId="7F7FEEE7" w14:textId="7F6C58A4" w:rsidR="00CA4184" w:rsidRPr="00EC0404" w:rsidRDefault="00CA4184" w:rsidP="0004084A">
      <w:pPr>
        <w:pStyle w:val="Listparag"/>
        <w:spacing w:after="0"/>
        <w:jc w:val="both"/>
        <w:rPr>
          <w:b/>
          <w:bCs/>
        </w:rPr>
      </w:pPr>
      <w:r w:rsidRPr="00EC0404">
        <w:t>Balancing both intrinsic and extrinsic rewards is a key component to achieving optimal organisational outcomes while also fostering long-term engagement and increasing retention rates.  Creating a reward package that not only includes tangible rewards such as pay aligned with intangible rewards in the form of professional development</w:t>
      </w:r>
      <w:r>
        <w:t>, other terms and conditions e.g. annual leave, flexible working, staff benefits and staff recognition</w:t>
      </w:r>
      <w:r w:rsidRPr="00EC0404">
        <w:t xml:space="preserve"> can create a positive workplace culture with employees committed to the organisation’s visions and values (Cotton, 2024).  </w:t>
      </w:r>
    </w:p>
    <w:p w14:paraId="69FD0163" w14:textId="77777777" w:rsidR="00CA4184" w:rsidRPr="00EC0404" w:rsidRDefault="00CA4184" w:rsidP="0004084A">
      <w:pPr>
        <w:pStyle w:val="Listparag"/>
        <w:spacing w:after="0"/>
        <w:jc w:val="both"/>
        <w:rPr>
          <w:b/>
          <w:bCs/>
        </w:rPr>
      </w:pPr>
    </w:p>
    <w:p w14:paraId="2A2B1B57" w14:textId="77777777" w:rsidR="00CA4184" w:rsidRPr="00EC0404" w:rsidRDefault="00CA4184" w:rsidP="0004084A">
      <w:pPr>
        <w:pStyle w:val="Listparag"/>
        <w:spacing w:after="0"/>
        <w:jc w:val="both"/>
        <w:rPr>
          <w:b/>
          <w:bCs/>
        </w:rPr>
      </w:pPr>
      <w:r w:rsidRPr="00EC0404">
        <w:rPr>
          <w:b/>
          <w:bCs/>
        </w:rPr>
        <w:t>Explain the differences between types of grade and pay structures. (AC 2.1)</w:t>
      </w:r>
    </w:p>
    <w:p w14:paraId="52C4B36B" w14:textId="77777777" w:rsidR="00CA4184" w:rsidRPr="00EC0404" w:rsidRDefault="00CA4184" w:rsidP="0004084A">
      <w:pPr>
        <w:pStyle w:val="Listparag"/>
        <w:spacing w:after="0"/>
        <w:jc w:val="both"/>
      </w:pPr>
      <w:r w:rsidRPr="00EC0404">
        <w:t xml:space="preserve">Organisations utilise pay and grade structures as frameworks to determine employee compensation specifying how employees are paid while also providing an outlet for career progression (Taylor and Woodhams, 2022 p.78).  They are designed with an organisations mission and values at the forefront while similarly ensuring </w:t>
      </w:r>
      <w:r>
        <w:t xml:space="preserve">fairness and must be consistent with the provisions of the </w:t>
      </w:r>
      <w:r>
        <w:rPr>
          <w:i/>
          <w:iCs/>
        </w:rPr>
        <w:t xml:space="preserve">Equal Pay Act 2010 </w:t>
      </w:r>
      <w:r>
        <w:t xml:space="preserve">in order </w:t>
      </w:r>
      <w:r w:rsidRPr="00EC0404">
        <w:t xml:space="preserve">to avoid pay discrimination (Cotton, 2024b).  Pay structures generally have 2 key attributes; the number of bands a structure holds and also the span of each band; a greater span typically provides more opportunity for career progression (Cotton, 2024b).  </w:t>
      </w:r>
    </w:p>
    <w:p w14:paraId="5F23EF67" w14:textId="77777777" w:rsidR="00CA4184" w:rsidRPr="00EC0404" w:rsidRDefault="00CA4184" w:rsidP="00CA4184">
      <w:pPr>
        <w:pStyle w:val="Listparag"/>
        <w:spacing w:after="0"/>
        <w:jc w:val="both"/>
      </w:pPr>
    </w:p>
    <w:p w14:paraId="00A432F7" w14:textId="77777777" w:rsidR="00CA4184" w:rsidRPr="00EC0404" w:rsidRDefault="00CA4184" w:rsidP="00CA4184">
      <w:pPr>
        <w:pStyle w:val="Listparag"/>
        <w:spacing w:after="0"/>
        <w:jc w:val="both"/>
      </w:pPr>
      <w:r w:rsidRPr="00EC0404">
        <w:t xml:space="preserve">Jobs with similar characteristics and responsibilities are often grouped as “job families”.  This provides a clear and structured career path while also ensuring responsibilities are aligned with the pay received providing equity throughout the organisation (UNISON, 2023).  </w:t>
      </w:r>
    </w:p>
    <w:p w14:paraId="3643DA77" w14:textId="77777777" w:rsidR="00CA4184" w:rsidRPr="00EC0404" w:rsidRDefault="00CA4184" w:rsidP="00CA4184">
      <w:pPr>
        <w:pStyle w:val="Listparag"/>
        <w:spacing w:after="0"/>
        <w:jc w:val="both"/>
      </w:pPr>
    </w:p>
    <w:p w14:paraId="6420CB90" w14:textId="77777777" w:rsidR="00CA4184" w:rsidRPr="00EC0404" w:rsidRDefault="00CA4184" w:rsidP="00CA4184">
      <w:pPr>
        <w:pStyle w:val="Listparag"/>
        <w:spacing w:after="0"/>
        <w:jc w:val="both"/>
      </w:pPr>
      <w:r w:rsidRPr="00EC0404">
        <w:t xml:space="preserve">Narrow-graded pay structures compromise of multiple grades with positions of equal value and responsibility placed together with advancement occurring based on service duration, meaning employees will meet their top line swiftly resulting in the demand for upgrading and therefore subsequently run the risk of jobs being ranked higher than necessary (Cotton, 2024b).  In comparison, a broad grade structure combines multiple narrow pay grades into a small number of broad bands with the goal strategy being career progression and flexibility in relation to salary management negating the issue of rebranding as such in narrow graded pay structures </w:t>
      </w:r>
      <w:r w:rsidRPr="006C2129">
        <w:t>(Cotton, 2024b).</w:t>
      </w:r>
      <w:r w:rsidRPr="00EC0404">
        <w:t xml:space="preserve">  </w:t>
      </w:r>
    </w:p>
    <w:p w14:paraId="592E51CA" w14:textId="77777777" w:rsidR="00CA4184" w:rsidRPr="00EC0404" w:rsidRDefault="00CA4184" w:rsidP="00CA4184">
      <w:pPr>
        <w:pStyle w:val="Listparag"/>
        <w:spacing w:after="0"/>
        <w:jc w:val="both"/>
      </w:pPr>
    </w:p>
    <w:p w14:paraId="6104A399" w14:textId="77777777" w:rsidR="00CA4184" w:rsidRPr="00EC0404" w:rsidRDefault="00CA4184" w:rsidP="00CA4184">
      <w:pPr>
        <w:pStyle w:val="Listparag"/>
        <w:spacing w:after="0"/>
        <w:jc w:val="both"/>
      </w:pPr>
      <w:r w:rsidRPr="00EC0404">
        <w:t xml:space="preserve">Furthermore, individual pay rates may also be considered as they offer an annual salary specific to each job or employee (Morris, 2023).  While hiring viability and employee value can be easily and accurately estimated with this predetermined method it can also lead to employee disengagement due to the lack of opportunity for pay progression unless applying for a direct promotion (Morris, 2023).  </w:t>
      </w:r>
    </w:p>
    <w:p w14:paraId="0A051008" w14:textId="77777777" w:rsidR="00CA4184" w:rsidRPr="00EC0404" w:rsidRDefault="00CA4184" w:rsidP="00CA4184">
      <w:pPr>
        <w:pStyle w:val="Listparag"/>
        <w:spacing w:after="0"/>
      </w:pPr>
    </w:p>
    <w:p w14:paraId="0051294A" w14:textId="77777777" w:rsidR="00E91D3F" w:rsidRDefault="00CA4184" w:rsidP="00CA4184">
      <w:pPr>
        <w:pStyle w:val="Listparag"/>
        <w:spacing w:after="0"/>
        <w:jc w:val="both"/>
      </w:pPr>
      <w:r w:rsidRPr="00EC0404">
        <w:t xml:space="preserve">Each structure brings </w:t>
      </w:r>
      <w:proofErr w:type="spellStart"/>
      <w:r w:rsidRPr="00EC0404">
        <w:t>it</w:t>
      </w:r>
      <w:proofErr w:type="spellEnd"/>
      <w:r w:rsidRPr="00EC0404">
        <w:t xml:space="preserve"> own pros and cons and it is therefore advised that a holistic approach tailored to </w:t>
      </w:r>
      <w:r>
        <w:t xml:space="preserve">Eco-Insulate UK’s </w:t>
      </w:r>
      <w:r w:rsidRPr="00EC0404">
        <w:t xml:space="preserve">specific needs and objectives is adopted when considering which style to implement (Cotton, 2024b).  </w:t>
      </w:r>
    </w:p>
    <w:p w14:paraId="7F44C883" w14:textId="44A9B5F4" w:rsidR="00CA4184" w:rsidRPr="00EC0404" w:rsidRDefault="00CA4184" w:rsidP="00CA4184">
      <w:pPr>
        <w:pStyle w:val="Listparag"/>
        <w:spacing w:after="0"/>
        <w:jc w:val="both"/>
        <w:rPr>
          <w:b/>
          <w:bCs/>
        </w:rPr>
      </w:pPr>
      <w:r>
        <w:lastRenderedPageBreak/>
        <w:t>It is therefore recommended that a pay benchmark exercise is undertaken in the form of a</w:t>
      </w:r>
      <w:r w:rsidRPr="00EC0404">
        <w:t xml:space="preserve"> job evaluation alongside a market analysis </w:t>
      </w:r>
      <w:r>
        <w:t xml:space="preserve">to determine </w:t>
      </w:r>
      <w:r w:rsidRPr="00EC0404">
        <w:t>which pay structure is best suited to not only the organisation but also taking into consideration external comp</w:t>
      </w:r>
      <w:r>
        <w:t>etitors and the labour market to ensure fairness of the job role in relation to pay rates</w:t>
      </w:r>
      <w:r w:rsidRPr="00EC0404">
        <w:t xml:space="preserve"> (Taylor and Woodhams, 2022 p. 79-80)</w:t>
      </w:r>
      <w:r>
        <w:t xml:space="preserve"> which will be discussed further in the report at point 2.1</w:t>
      </w:r>
      <w:r w:rsidRPr="00EC0404">
        <w:t xml:space="preserve">.  </w:t>
      </w:r>
    </w:p>
    <w:p w14:paraId="0CCD3FFB" w14:textId="77777777" w:rsidR="00CA4184" w:rsidRPr="00EC0404" w:rsidRDefault="00CA4184" w:rsidP="00CA4184">
      <w:pPr>
        <w:pStyle w:val="Listparag"/>
        <w:spacing w:after="0"/>
        <w:rPr>
          <w:b/>
          <w:bCs/>
        </w:rPr>
      </w:pPr>
    </w:p>
    <w:p w14:paraId="391C335C" w14:textId="77777777" w:rsidR="00CA4184" w:rsidRPr="00EC0404" w:rsidRDefault="00CA4184" w:rsidP="00CA4184">
      <w:pPr>
        <w:pStyle w:val="Listparag"/>
        <w:spacing w:after="0"/>
        <w:rPr>
          <w:b/>
          <w:bCs/>
        </w:rPr>
      </w:pPr>
      <w:r w:rsidRPr="00EC0404">
        <w:rPr>
          <w:b/>
          <w:bCs/>
        </w:rPr>
        <w:t>Explain how contingent rewards can impact individual, team and organisational performance. (AC 2.2)</w:t>
      </w:r>
    </w:p>
    <w:p w14:paraId="09EB2C96" w14:textId="77777777" w:rsidR="00CA4184" w:rsidRDefault="00CA4184" w:rsidP="00CA4184">
      <w:pPr>
        <w:pStyle w:val="Listparag"/>
        <w:spacing w:after="0"/>
        <w:jc w:val="both"/>
      </w:pPr>
      <w:r w:rsidRPr="00EC0404">
        <w:t>Contingent rewards, simply put, are incentives that are granted in accordance with performance</w:t>
      </w:r>
      <w:r>
        <w:t xml:space="preserve"> criteria</w:t>
      </w:r>
      <w:r w:rsidRPr="00EC0404">
        <w:t xml:space="preserve"> and or accomplishments</w:t>
      </w:r>
      <w:r>
        <w:t>,</w:t>
      </w:r>
      <w:r w:rsidRPr="00EC0404">
        <w:t xml:space="preserve"> </w:t>
      </w:r>
      <w:r>
        <w:t xml:space="preserve">which is where ‘contingent’ derives from as they are reliant on fulfilling specific requirements and objectives </w:t>
      </w:r>
      <w:r w:rsidRPr="00EC0404">
        <w:t>achieved by employees (</w:t>
      </w:r>
      <w:r>
        <w:t>Armstrong and Taylor, 2020</w:t>
      </w:r>
      <w:r w:rsidRPr="00EC0404">
        <w:t xml:space="preserve">).  </w:t>
      </w:r>
    </w:p>
    <w:p w14:paraId="1E1A3A01" w14:textId="77777777" w:rsidR="00CA4184" w:rsidRDefault="00CA4184" w:rsidP="00CA4184">
      <w:pPr>
        <w:pStyle w:val="Listparag"/>
        <w:spacing w:after="0"/>
        <w:jc w:val="both"/>
      </w:pPr>
    </w:p>
    <w:p w14:paraId="6F300516" w14:textId="77777777" w:rsidR="00CA4184" w:rsidRDefault="00CA4184" w:rsidP="00CA4184">
      <w:pPr>
        <w:pStyle w:val="Listparag"/>
        <w:spacing w:after="0"/>
        <w:jc w:val="both"/>
      </w:pPr>
      <w:r>
        <w:t xml:space="preserve">The types of contingent rewards can vary widely from monetary and non-monetary rewards in the form of bonuses or development opportunities.  There is strong evidence to suggest that financial benefits and recognition should be linked with performance, whether that be individually or as a team as it can help to retain top talent and boost performance (Cotton, Gifford and Young, 2022).  However, it is important to ensure the link between the two is recognised as it could otherwise result in poor performance and disengagement from employees (Cotton, Gifford and Young, 2022).  Additionally, contingent rewards can also foster positive collaboration between employees and teams when clear guidelines and objectives are set out enhancing team cohesion and collective output (Armstrong and Brown, 2019 p.236).  In relation to this, there is also evidence to suggest that involving employees in setting goals which align with organisational objectives is a fairer way of setting expectations as they feel their opinions are ‘heard’ and more likely to produce positive outcomes as they hold ‘ownership’ towards the goals set out (Cotton, Gifford and Young 2022).  </w:t>
      </w:r>
      <w:r w:rsidRPr="00C10A34">
        <w:t xml:space="preserve">It is </w:t>
      </w:r>
      <w:r>
        <w:t>also</w:t>
      </w:r>
      <w:r w:rsidRPr="00C10A34">
        <w:t xml:space="preserve"> worth noting that a healthy balance needs to be achieved between providing incentives for both teams and individuals to enhance the psychological safety of employees whether that be via individual appraisals or at a team level providing feedback on performance (Cotton, Gifford and Young, 2022).</w:t>
      </w:r>
      <w:r>
        <w:t xml:space="preserve">  </w:t>
      </w:r>
    </w:p>
    <w:p w14:paraId="20401D32" w14:textId="77777777" w:rsidR="00CA4184" w:rsidRDefault="00CA4184" w:rsidP="00CA4184">
      <w:pPr>
        <w:pStyle w:val="Listparag"/>
        <w:spacing w:after="0"/>
        <w:jc w:val="both"/>
      </w:pPr>
    </w:p>
    <w:p w14:paraId="56ACD8E9" w14:textId="77777777" w:rsidR="00CA4184" w:rsidRDefault="00CA4184" w:rsidP="00CA4184">
      <w:pPr>
        <w:pStyle w:val="Listparag"/>
        <w:spacing w:after="0"/>
        <w:jc w:val="both"/>
      </w:pPr>
      <w:r>
        <w:t xml:space="preserve">While contingent rewards carry a high rate of success such as individual accomplishments influencing their employee’s performance and motivation </w:t>
      </w:r>
      <w:r w:rsidRPr="00C10A34">
        <w:t>(Cotton, Gifford and Young, 2022</w:t>
      </w:r>
      <w:r>
        <w:t xml:space="preserve">) there is also arguments against this suggesting that once the goal has been attained and the reward received employees may revert back to ‘old ways’ only providing temporary compliance.  To overcome this, organisations must develop a positive and collaborative workplace culture where ‘collective gain’ is the main goal (Brown, 2019).  </w:t>
      </w:r>
    </w:p>
    <w:p w14:paraId="400A4301" w14:textId="77777777" w:rsidR="00CA4184" w:rsidRDefault="00CA4184" w:rsidP="00CA4184">
      <w:pPr>
        <w:pStyle w:val="Listparag"/>
        <w:spacing w:after="0"/>
        <w:jc w:val="both"/>
      </w:pPr>
    </w:p>
    <w:p w14:paraId="64B94777" w14:textId="00128BC6" w:rsidR="00CA4184" w:rsidRPr="00DD4DD0" w:rsidRDefault="00CA4184" w:rsidP="00CA4184">
      <w:pPr>
        <w:pStyle w:val="Listparag"/>
        <w:spacing w:after="0"/>
        <w:jc w:val="both"/>
        <w:rPr>
          <w:b/>
          <w:bCs/>
        </w:rPr>
      </w:pPr>
      <w:r w:rsidRPr="009A0E60">
        <w:rPr>
          <w:color w:val="auto"/>
        </w:rPr>
        <w:t>It is recommended that Eco-Insulate UK assess the benefit of introducing some form of pay/bonus scheme linked to output.</w:t>
      </w:r>
      <w:r>
        <w:rPr>
          <w:color w:val="auto"/>
        </w:rPr>
        <w:t xml:space="preserve">  </w:t>
      </w:r>
      <w:r w:rsidRPr="009A0E60">
        <w:rPr>
          <w:color w:val="auto"/>
        </w:rPr>
        <w:t xml:space="preserve">These types of schemes are common in </w:t>
      </w:r>
      <w:r>
        <w:rPr>
          <w:color w:val="auto"/>
        </w:rPr>
        <w:t xml:space="preserve">the </w:t>
      </w:r>
      <w:r w:rsidRPr="009A0E60">
        <w:rPr>
          <w:color w:val="auto"/>
        </w:rPr>
        <w:t>manufacturing industry and if coupled with other non-pay incentives can have a lasting positive impact on staff morale and productivity</w:t>
      </w:r>
      <w:r>
        <w:rPr>
          <w:color w:val="auto"/>
        </w:rPr>
        <w:t xml:space="preserve"> (Incentive Research Foundation,2020)</w:t>
      </w:r>
      <w:r w:rsidRPr="009A0E60">
        <w:rPr>
          <w:color w:val="auto"/>
        </w:rPr>
        <w:t xml:space="preserve">. </w:t>
      </w:r>
      <w:r>
        <w:t xml:space="preserve">Nevertheless, for contingent rewards to be of success they need to be regarded as fair, realistic in terms of being achievable, consistently applied and affordable. This will aid in motivating the workforce while fostering a positive workplace culture in order to achieve optimum results (Armstrong and Brown, 2019 p.247-250).  </w:t>
      </w:r>
    </w:p>
    <w:p w14:paraId="32F792B9" w14:textId="77777777" w:rsidR="00CA4184" w:rsidRPr="00EC0404" w:rsidRDefault="00CA4184" w:rsidP="00CA4184">
      <w:pPr>
        <w:pStyle w:val="Listparag"/>
        <w:spacing w:after="0"/>
        <w:rPr>
          <w:b/>
          <w:bCs/>
        </w:rPr>
      </w:pPr>
    </w:p>
    <w:p w14:paraId="5EC48BA9" w14:textId="77777777" w:rsidR="00CA4184" w:rsidRDefault="00CA4184" w:rsidP="00CA4184">
      <w:pPr>
        <w:pStyle w:val="Listparag"/>
        <w:spacing w:after="0"/>
        <w:rPr>
          <w:b/>
          <w:bCs/>
        </w:rPr>
      </w:pPr>
      <w:r w:rsidRPr="00EC0404">
        <w:rPr>
          <w:b/>
          <w:bCs/>
        </w:rPr>
        <w:t>Explain the merits of different types of benefits offered by organisations. (AC 2.3)</w:t>
      </w:r>
    </w:p>
    <w:p w14:paraId="41D3C3D9" w14:textId="77777777" w:rsidR="00055A4F" w:rsidRDefault="00CA4184" w:rsidP="00CA4184">
      <w:pPr>
        <w:pStyle w:val="Listparag"/>
        <w:spacing w:after="0"/>
        <w:jc w:val="both"/>
      </w:pPr>
      <w:r>
        <w:t xml:space="preserve">Organisations may offer a variation of benefits in order to attract and retain top talent while also providing a means to motivate existing employees (Cotton, 2024c).  There are numerous factors of importance encompassed within this such as aligning the benefits with the wider organisational strategy while also ensuring it is of good value to the employees (Cotton, 2024c).  </w:t>
      </w:r>
    </w:p>
    <w:p w14:paraId="352EC509" w14:textId="60FC158E" w:rsidR="00CA4184" w:rsidRDefault="00CA4184" w:rsidP="00CA4184">
      <w:pPr>
        <w:pStyle w:val="Listparag"/>
        <w:spacing w:after="0"/>
        <w:jc w:val="both"/>
      </w:pPr>
      <w:r>
        <w:lastRenderedPageBreak/>
        <w:t xml:space="preserve">As employee </w:t>
      </w:r>
      <w:r w:rsidRPr="00213C02">
        <w:rPr>
          <w:color w:val="auto"/>
        </w:rPr>
        <w:t xml:space="preserve">benefits packages can be costly for an organisation it is imperative the total reward structure is affordable and is devised and implemented appropriately and are not of detriment to the organisation (Armstrong and Brown, 2019 p. 340).  </w:t>
      </w:r>
    </w:p>
    <w:p w14:paraId="5E49C0A9" w14:textId="77777777" w:rsidR="00CA4184" w:rsidRDefault="00CA4184" w:rsidP="00CA4184">
      <w:pPr>
        <w:pStyle w:val="Listparag"/>
        <w:spacing w:after="0"/>
        <w:jc w:val="both"/>
      </w:pPr>
    </w:p>
    <w:p w14:paraId="4E70FDCB" w14:textId="77777777" w:rsidR="00CA4184" w:rsidRDefault="00CA4184" w:rsidP="00CA4184">
      <w:pPr>
        <w:pStyle w:val="Listparag"/>
        <w:spacing w:after="0"/>
        <w:jc w:val="both"/>
      </w:pPr>
      <w:r>
        <w:t xml:space="preserve">A pension scheme can be of a great benefit to both employee and organisation as it provides reassurance regarding an employee’s future providing them with an income post-retirement or a named beneficiary should the employee unfortunately pass away (Armstrong and Brown, 2019 p. 341).  They are often deemed an integral part of the total reward package and valuable pension schemes can not only aid in the attraction of highly motivated employees (Armstrong and Brown, 2019 p. 341) but also provide employees with financial security negating stress factors due to money concerns, enhancing output, further cementing the ideology that sufficient reward packages can optimise organisational success (Rickard, 2022).  It would therefore be advisable that Eco-Insulate UK broaden their limitations of their current pension scheme to include all employees and not only those at MD level to ensure equity throughout to help stimulate and embed a positive cultural change.  </w:t>
      </w:r>
    </w:p>
    <w:p w14:paraId="5FC52BE3" w14:textId="77777777" w:rsidR="00CA4184" w:rsidRDefault="00CA4184" w:rsidP="00CA4184">
      <w:pPr>
        <w:pStyle w:val="Listparag"/>
        <w:spacing w:after="0"/>
        <w:jc w:val="both"/>
      </w:pPr>
    </w:p>
    <w:p w14:paraId="490DFA95" w14:textId="22931BAA" w:rsidR="00CA4184" w:rsidRDefault="00CA4184" w:rsidP="00CA4184">
      <w:pPr>
        <w:pStyle w:val="Listparag"/>
        <w:spacing w:after="0"/>
        <w:jc w:val="both"/>
      </w:pPr>
      <w:r>
        <w:t xml:space="preserve">Maternity leave benefits that exceed the legal limitations specified by statute are known as ‘enhanced maternity’ (ACAS, no date).  Employees who are due to give birth or recently have given birth greatly benefit from this as it enhances employee well-being while also promoting a positive organisational culture by endorsing an inclusive, supportive and equitable workplace.  This results in organisations becoming an employer of ‘choice’ further widening the talent pool (Morris, 2022).  </w:t>
      </w:r>
      <w:r w:rsidRPr="002A013D">
        <w:rPr>
          <w:color w:val="auto"/>
        </w:rPr>
        <w:t>Similarly, the benefits of introducing parental and special leave provisions are also likely to improve retention</w:t>
      </w:r>
      <w:r>
        <w:rPr>
          <w:color w:val="auto"/>
        </w:rPr>
        <w:t xml:space="preserve"> (</w:t>
      </w:r>
      <w:proofErr w:type="spellStart"/>
      <w:r>
        <w:rPr>
          <w:color w:val="auto"/>
        </w:rPr>
        <w:t>Ayling</w:t>
      </w:r>
      <w:proofErr w:type="spellEnd"/>
      <w:r>
        <w:rPr>
          <w:color w:val="auto"/>
        </w:rPr>
        <w:t xml:space="preserve"> and </w:t>
      </w:r>
      <w:proofErr w:type="spellStart"/>
      <w:r>
        <w:rPr>
          <w:color w:val="auto"/>
        </w:rPr>
        <w:t>Suff</w:t>
      </w:r>
      <w:proofErr w:type="spellEnd"/>
      <w:r>
        <w:rPr>
          <w:color w:val="auto"/>
        </w:rPr>
        <w:t xml:space="preserve">, 2024). </w:t>
      </w:r>
    </w:p>
    <w:p w14:paraId="652F67DF" w14:textId="77777777" w:rsidR="00CA4184" w:rsidRDefault="00CA4184" w:rsidP="00CA4184">
      <w:pPr>
        <w:pStyle w:val="Listparag"/>
        <w:spacing w:after="0"/>
        <w:jc w:val="both"/>
      </w:pPr>
    </w:p>
    <w:p w14:paraId="66B0D53D" w14:textId="77777777" w:rsidR="00CA4184" w:rsidRDefault="00CA4184" w:rsidP="00CA4184">
      <w:pPr>
        <w:pStyle w:val="Listparag"/>
        <w:spacing w:after="0"/>
        <w:jc w:val="both"/>
      </w:pPr>
      <w:r>
        <w:t>Further benefits such as paid annual leave, sick pay or salary sacrifice schemes can further enhance an employer’s reputation by encompassing financial security and well-being as well as achieving a satisfactory work-life balance (</w:t>
      </w:r>
      <w:proofErr w:type="spellStart"/>
      <w:r>
        <w:t>Haan</w:t>
      </w:r>
      <w:proofErr w:type="spellEnd"/>
      <w:r>
        <w:t xml:space="preserve">, Bottorff and Haskins, 2024).  </w:t>
      </w:r>
    </w:p>
    <w:p w14:paraId="28F16F56" w14:textId="77777777" w:rsidR="00CA4184" w:rsidRDefault="00CA4184" w:rsidP="00CA4184">
      <w:pPr>
        <w:pStyle w:val="Listparag"/>
        <w:spacing w:after="0"/>
        <w:jc w:val="both"/>
      </w:pPr>
    </w:p>
    <w:p w14:paraId="5148F87A" w14:textId="431E3455" w:rsidR="00CA4184" w:rsidRPr="00EA1DC2" w:rsidRDefault="00055A4F" w:rsidP="00CA4184">
      <w:pPr>
        <w:pStyle w:val="Listparag"/>
        <w:spacing w:after="0"/>
        <w:jc w:val="both"/>
        <w:rPr>
          <w:b/>
          <w:bCs/>
        </w:rPr>
      </w:pPr>
      <w:r>
        <w:t>In conclusion it is recommended that Eco-Insulate UK take into consideration devising and implementing a range of family friendly policies which will not only enhance internal and external organisational reputation but can also aid in closing the gender pay gap within senior roles (</w:t>
      </w:r>
      <w:proofErr w:type="spellStart"/>
      <w:r>
        <w:t>Ayling</w:t>
      </w:r>
      <w:proofErr w:type="spellEnd"/>
      <w:r>
        <w:t xml:space="preserve"> and </w:t>
      </w:r>
      <w:proofErr w:type="spellStart"/>
      <w:r>
        <w:t>Suff</w:t>
      </w:r>
      <w:proofErr w:type="spellEnd"/>
      <w:r>
        <w:t xml:space="preserve">, 2024).  </w:t>
      </w:r>
      <w:r w:rsidR="00CA4184">
        <w:t xml:space="preserve">A multifaceted approach tailoring benefits to Eco-Insulate UK’s organisational goals and objectives aligned with the requirements of the workforce will ensure an outcome of loyalty and productivity which is both beneficial to employees and Eco-Insulate UK.  </w:t>
      </w:r>
    </w:p>
    <w:p w14:paraId="77715009" w14:textId="77777777" w:rsidR="00CA4184" w:rsidRPr="00EC0404" w:rsidRDefault="00CA4184" w:rsidP="00CA4184">
      <w:pPr>
        <w:pStyle w:val="Listparag"/>
        <w:spacing w:after="0"/>
        <w:rPr>
          <w:b/>
          <w:bCs/>
        </w:rPr>
      </w:pPr>
    </w:p>
    <w:p w14:paraId="511862CD" w14:textId="77777777" w:rsidR="00CA4184" w:rsidRPr="00EC0404" w:rsidRDefault="00CA4184" w:rsidP="00CA4184">
      <w:pPr>
        <w:pStyle w:val="Listparag"/>
        <w:spacing w:after="0"/>
        <w:rPr>
          <w:b/>
          <w:bCs/>
        </w:rPr>
      </w:pPr>
      <w:r w:rsidRPr="00EC0404">
        <w:rPr>
          <w:b/>
          <w:bCs/>
        </w:rPr>
        <w:t>Explain the merits of different types of recognition schemes offered by organisations. (AC 2.4)</w:t>
      </w:r>
    </w:p>
    <w:p w14:paraId="2F93444A" w14:textId="77777777" w:rsidR="00CA4184" w:rsidRDefault="00CA4184" w:rsidP="00CA4184">
      <w:pPr>
        <w:pStyle w:val="Listparag"/>
        <w:spacing w:after="0"/>
        <w:jc w:val="both"/>
      </w:pPr>
      <w:r>
        <w:t>Recognition schemes offer the opportunity to privately or publicly recognise the achievements and contributions made to an organisation either individually or via collaborative working (</w:t>
      </w:r>
      <w:r w:rsidRPr="00EC0404">
        <w:t xml:space="preserve">Waite </w:t>
      </w:r>
      <w:r w:rsidRPr="00EC0404">
        <w:rPr>
          <w:i/>
          <w:iCs/>
        </w:rPr>
        <w:t xml:space="preserve">et al, </w:t>
      </w:r>
      <w:r w:rsidRPr="00EC0404">
        <w:t>2021 p.19</w:t>
      </w:r>
      <w:r>
        <w:t xml:space="preserve">5).  </w:t>
      </w:r>
    </w:p>
    <w:p w14:paraId="3FAFA15A" w14:textId="77777777" w:rsidR="00CA4184" w:rsidRDefault="00CA4184" w:rsidP="00CA4184">
      <w:pPr>
        <w:pStyle w:val="Listparag"/>
        <w:spacing w:after="0"/>
        <w:jc w:val="both"/>
      </w:pPr>
    </w:p>
    <w:p w14:paraId="4FCDC4B3" w14:textId="77777777" w:rsidR="00CA4184" w:rsidRDefault="00CA4184" w:rsidP="00CA4184">
      <w:pPr>
        <w:pStyle w:val="Listparag"/>
        <w:spacing w:after="0"/>
        <w:jc w:val="both"/>
      </w:pPr>
      <w:r>
        <w:t>Formal recognition can be perceived as the “foundation” for which Eco-Insulate UK’s recognition scheme relies on, however, for this to triumph it is imperative success is recognised throughout collaborative working otherwise it can have a negative impact such as a decrease in morale therefore leading to disengaged employees (Dewar, 2024).  Formal schemes of recognition may include entities such as awards, prizes in the form of holidays, vouchers or titles such as employee of the month (</w:t>
      </w:r>
      <w:r w:rsidRPr="00EC0404">
        <w:t xml:space="preserve">Waite </w:t>
      </w:r>
      <w:r w:rsidRPr="00EC0404">
        <w:rPr>
          <w:i/>
          <w:iCs/>
        </w:rPr>
        <w:t xml:space="preserve">et al, </w:t>
      </w:r>
      <w:r w:rsidRPr="00EC0404">
        <w:t>2021 p.19</w:t>
      </w:r>
      <w:r>
        <w:t xml:space="preserve">5).  Such rewards are often presented publicly or via an announcement such as intranet or organisational notice boards (Armstrong and Brown, 2019 p.281).  </w:t>
      </w:r>
    </w:p>
    <w:p w14:paraId="23FFDA0D" w14:textId="77777777" w:rsidR="00CA4184" w:rsidRDefault="00CA4184" w:rsidP="00CA4184">
      <w:pPr>
        <w:pStyle w:val="Listparag"/>
        <w:spacing w:after="0"/>
        <w:jc w:val="both"/>
      </w:pPr>
    </w:p>
    <w:p w14:paraId="295CE217" w14:textId="77777777" w:rsidR="00CA4184" w:rsidRDefault="00CA4184" w:rsidP="00CA4184">
      <w:pPr>
        <w:pStyle w:val="Listparag"/>
        <w:spacing w:after="0"/>
        <w:jc w:val="both"/>
      </w:pPr>
      <w:r>
        <w:lastRenderedPageBreak/>
        <w:t>Informal recognition can be in the form of a simple yet meaningful ‘thank you’ from a line manager or senior team member when completing a difficult task acknowledging the effort and accomplishment by the employee or reaching a specific deadline (</w:t>
      </w:r>
      <w:proofErr w:type="spellStart"/>
      <w:r>
        <w:t>Hoory</w:t>
      </w:r>
      <w:proofErr w:type="spellEnd"/>
      <w:r>
        <w:t xml:space="preserve"> and Main, 2024).  When employees receive ‘genuine’ recognition for their work research has proven a staggering 69% of employees stated they would go the extra mile within their role (</w:t>
      </w:r>
      <w:proofErr w:type="spellStart"/>
      <w:r>
        <w:t>Hastwell</w:t>
      </w:r>
      <w:proofErr w:type="spellEnd"/>
      <w:r>
        <w:t xml:space="preserve">, 2023).  This further feeds into extrinsic rewards and can often be linked to Maslow’s Hierarchy of Needs providing self-actualisation alongside praise increasing an employee’s self-esteem ensuring they reach their full potential (Armstrong and Brown, 2019 p.94).  </w:t>
      </w:r>
    </w:p>
    <w:p w14:paraId="6B5A5D20" w14:textId="77777777" w:rsidR="00CA4184" w:rsidRDefault="00CA4184" w:rsidP="00CA4184">
      <w:pPr>
        <w:pStyle w:val="Listparag"/>
        <w:spacing w:after="0"/>
        <w:jc w:val="both"/>
      </w:pPr>
    </w:p>
    <w:p w14:paraId="04B38D7D" w14:textId="77777777" w:rsidR="00CA4184" w:rsidRDefault="00CA4184" w:rsidP="00CA4184">
      <w:pPr>
        <w:pStyle w:val="Listparag"/>
        <w:spacing w:after="0"/>
        <w:jc w:val="both"/>
      </w:pPr>
      <w:r>
        <w:t xml:space="preserve">According to Gallup (2024) managers should foster an environment that is rich in acknowledgement where everyone is aware of how others prefer to be appreciated and praise given freely.  However, specific criteria should be set out in alignment with the purpose and organisational culture to accurately reflect its aspiring distinctiveness, failure to do so could result in non-high performing employees being rewarded in turn, negatively impacting a high performers motivation (Gallup, 2024).    </w:t>
      </w:r>
    </w:p>
    <w:p w14:paraId="7747A76F" w14:textId="77777777" w:rsidR="00CA4184" w:rsidRDefault="00CA4184" w:rsidP="00CA4184">
      <w:pPr>
        <w:pStyle w:val="Listparag"/>
        <w:spacing w:after="0"/>
        <w:jc w:val="both"/>
      </w:pPr>
    </w:p>
    <w:p w14:paraId="12EF41EA" w14:textId="48953749" w:rsidR="00CA4184" w:rsidRPr="00124D98" w:rsidRDefault="00CA4184" w:rsidP="00CA4184">
      <w:pPr>
        <w:pStyle w:val="Listparag"/>
        <w:spacing w:after="0"/>
        <w:jc w:val="both"/>
        <w:rPr>
          <w:b/>
          <w:bCs/>
          <w:color w:val="FF0000"/>
        </w:rPr>
      </w:pPr>
      <w:r>
        <w:t>By developing a culture of recognition Eco-Insulate UK can enhance their workplace culture fostering a workforce of engaged and loyal employees leading to higher productivity levels (</w:t>
      </w:r>
      <w:proofErr w:type="spellStart"/>
      <w:r>
        <w:t>Hastwell</w:t>
      </w:r>
      <w:proofErr w:type="spellEnd"/>
      <w:r>
        <w:t>, 2023).  However, it must be noted that this needs to be done through meaningful and purposeful practices to succeed (</w:t>
      </w:r>
      <w:proofErr w:type="spellStart"/>
      <w:r>
        <w:t>Hastwell</w:t>
      </w:r>
      <w:proofErr w:type="spellEnd"/>
      <w:r>
        <w:t xml:space="preserve">, 2023).  </w:t>
      </w:r>
      <w:r w:rsidRPr="00837AD3">
        <w:rPr>
          <w:color w:val="auto"/>
        </w:rPr>
        <w:t xml:space="preserve">It is recommended that employees have some input into the type of staff benefits that they would like to see and help to design and such scheme. Engaging staff in this way can further enhance morale and retention.  </w:t>
      </w:r>
      <w:r>
        <w:t xml:space="preserve">It is therefore imperative before a recognition scheme is put into place that the managers of Eco-Insulate UK fully understand the principles of the scheme prior to implementation and consistently monitor its effectiveness to achieve optimum outcomes (Armstrong and Brown, 2019 p. 282).  </w:t>
      </w:r>
    </w:p>
    <w:p w14:paraId="7FC079C2" w14:textId="77777777" w:rsidR="00CA4184" w:rsidRPr="00EC0404" w:rsidRDefault="00CA4184" w:rsidP="00CA4184">
      <w:pPr>
        <w:pStyle w:val="Listparag"/>
        <w:spacing w:after="0"/>
        <w:rPr>
          <w:b/>
          <w:bCs/>
        </w:rPr>
      </w:pPr>
    </w:p>
    <w:p w14:paraId="160BF9D2" w14:textId="77777777" w:rsidR="00CA4184" w:rsidRPr="00EC0404" w:rsidRDefault="00CA4184" w:rsidP="00CA4184">
      <w:pPr>
        <w:pStyle w:val="Listparag"/>
        <w:spacing w:after="0"/>
        <w:rPr>
          <w:b/>
          <w:bCs/>
        </w:rPr>
      </w:pPr>
      <w:r w:rsidRPr="00EC0404">
        <w:rPr>
          <w:b/>
          <w:bCs/>
        </w:rPr>
        <w:t>Assess the business context of the reward environment. (AC 3.1)</w:t>
      </w:r>
    </w:p>
    <w:p w14:paraId="647BA7F5" w14:textId="77777777" w:rsidR="00CA4184" w:rsidRDefault="00CA4184" w:rsidP="00CA4184">
      <w:r>
        <w:t>In order for Eco-Insulate UK to evaluate the business context of the reward environment they need to take into consideration key factors such as elements that effect incentives, benefits, recognition and how they will be implemented (Armstrong and Brown, 2019 p.402).</w:t>
      </w:r>
    </w:p>
    <w:p w14:paraId="76E74475" w14:textId="77777777" w:rsidR="00CA4184" w:rsidRDefault="00CA4184" w:rsidP="00CA4184">
      <w:pPr>
        <w:jc w:val="both"/>
        <w:rPr>
          <w:rFonts w:eastAsia="Times New Roman" w:cstheme="minorHAnsi"/>
          <w:lang w:eastAsia="en-GB"/>
        </w:rPr>
      </w:pPr>
      <w:r>
        <w:t xml:space="preserve">Reward and benefit strategies need to align with not only the organisations strategic objectives but also external factors such as the current labour market.  According to research the UK is currently in a tight labour market which reinforces the ideology that a sufficient reward system needs to be in place to enhance retention rates, as previously discussed in 1.1, otherwise top talent could be lost leaving gaps in the workforce which are difficult to fill (Davine and Powell, 2024).  Furthermore, due to the cost-of-living crisis, in August 2022 91% of people stated an increase in the general cost of living in comparison to previous </w:t>
      </w:r>
      <w:r w:rsidRPr="00AA5DD9">
        <w:rPr>
          <w:rFonts w:cstheme="minorHAnsi"/>
        </w:rPr>
        <w:t xml:space="preserve">months </w:t>
      </w:r>
      <w:r>
        <w:rPr>
          <w:rFonts w:eastAsia="Times New Roman" w:cstheme="minorHAnsi"/>
          <w:lang w:eastAsia="en-GB"/>
        </w:rPr>
        <w:t xml:space="preserve">and although inflation has decreased to 2% in May of this year </w:t>
      </w:r>
      <w:r w:rsidRPr="00AA5DD9">
        <w:rPr>
          <w:rFonts w:eastAsia="Times New Roman" w:cstheme="minorHAnsi"/>
          <w:lang w:eastAsia="en-GB"/>
        </w:rPr>
        <w:t>(Francis-Devine et al., 2024)</w:t>
      </w:r>
      <w:r>
        <w:rPr>
          <w:rFonts w:eastAsia="Times New Roman" w:cstheme="minorHAnsi"/>
          <w:lang w:eastAsia="en-GB"/>
        </w:rPr>
        <w:t xml:space="preserve"> real wage growth has increased to 3.2% (Davine and Powell, 2024).  </w:t>
      </w:r>
    </w:p>
    <w:p w14:paraId="213A3045" w14:textId="77777777" w:rsidR="00CA4184" w:rsidRDefault="00CA4184" w:rsidP="00CA4184">
      <w:pPr>
        <w:jc w:val="both"/>
        <w:rPr>
          <w:rFonts w:eastAsia="Times New Roman" w:cstheme="minorHAnsi"/>
          <w:lang w:eastAsia="en-GB"/>
        </w:rPr>
      </w:pPr>
      <w:r>
        <w:rPr>
          <w:rFonts w:eastAsia="Times New Roman" w:cstheme="minorHAnsi"/>
          <w:lang w:eastAsia="en-GB"/>
        </w:rPr>
        <w:t xml:space="preserve">The collective skills, knowledge and abilities of the workforce are referred to as ‘human capital’ and are often deemed an internal factor in the effectiveness of reward systems.  ‘Human capital’ suggests that employees who invest in themselves via development and training courses attain a premium of skills necessitating organisations to provide higher compensations to retain talent (Taylor and Woodhams, 2022 p. 73).   </w:t>
      </w:r>
    </w:p>
    <w:p w14:paraId="505A92F8" w14:textId="00CE9B2C" w:rsidR="00CA4184" w:rsidRPr="0058382E" w:rsidRDefault="00CA4184" w:rsidP="00CA4184">
      <w:pPr>
        <w:jc w:val="both"/>
        <w:rPr>
          <w:rFonts w:eastAsia="Times New Roman" w:cstheme="minorHAnsi"/>
          <w:b/>
          <w:bCs/>
          <w:lang w:eastAsia="en-GB"/>
        </w:rPr>
      </w:pPr>
      <w:r>
        <w:rPr>
          <w:rFonts w:eastAsia="Times New Roman" w:cstheme="minorHAnsi"/>
          <w:lang w:eastAsia="en-GB"/>
        </w:rPr>
        <w:t xml:space="preserve">By fully understanding the business context Eco-Insulate UK are able to distinguish themselves from competitors placing them in prime position to become an employer of choice by offering an adequate reward system in line with the labour market conditions while enabling strategic objectives to be met through offering equitable compensation (Taylor and Woodhams, 2022 p.67-68).  Moreover, all reward policies must take into consideration legal requirements such as </w:t>
      </w:r>
      <w:r w:rsidRPr="00EC0404">
        <w:rPr>
          <w:i/>
          <w:iCs/>
        </w:rPr>
        <w:t>National Minimum Wage Act 1998</w:t>
      </w:r>
      <w:r>
        <w:rPr>
          <w:i/>
          <w:iCs/>
        </w:rPr>
        <w:t xml:space="preserve"> </w:t>
      </w:r>
      <w:r>
        <w:t xml:space="preserve">(Cotton, 2024a) and </w:t>
      </w:r>
      <w:r>
        <w:rPr>
          <w:i/>
          <w:iCs/>
        </w:rPr>
        <w:t xml:space="preserve">Equality Act 2010 </w:t>
      </w:r>
      <w:r>
        <w:t xml:space="preserve">when considering equal pay and the Gender Pay Gap (Taylor and Woodhams, 2022 p.65).  </w:t>
      </w:r>
    </w:p>
    <w:p w14:paraId="3DC50E02" w14:textId="77777777" w:rsidR="00CA4184" w:rsidRPr="00335695" w:rsidRDefault="00CA4184" w:rsidP="00CA4184">
      <w:pPr>
        <w:pStyle w:val="Listparag"/>
        <w:spacing w:after="0"/>
      </w:pPr>
    </w:p>
    <w:p w14:paraId="4BB73B5E" w14:textId="77777777" w:rsidR="00CA4184" w:rsidRDefault="00CA4184" w:rsidP="00CA4184">
      <w:pPr>
        <w:pStyle w:val="Listparag"/>
        <w:spacing w:after="0"/>
        <w:rPr>
          <w:b/>
          <w:bCs/>
        </w:rPr>
      </w:pPr>
      <w:r w:rsidRPr="00EC0404">
        <w:rPr>
          <w:b/>
          <w:bCs/>
        </w:rPr>
        <w:t>Evaluate the most appropriate ways in which benchmarking data can be gathered and measured to develop insight. (AC 3.2)</w:t>
      </w:r>
    </w:p>
    <w:p w14:paraId="4F6D5A6B" w14:textId="77777777" w:rsidR="00CA4184" w:rsidRDefault="00CA4184" w:rsidP="00CA4184">
      <w:pPr>
        <w:pStyle w:val="Listparag"/>
        <w:spacing w:after="0"/>
        <w:jc w:val="both"/>
      </w:pPr>
      <w:r>
        <w:t xml:space="preserve">Benchmarking comprises of evaluating Eco-Insulate UK’s performance and processes against external competitors who may be of a similar infrastructure and also internal issues such as performance and absenteeism (Taylor and Woodhams, 2022 p. 72).  Through the analysis of these data sources, it is then possible to identify specific patterns and trends enabling Eco-Insulate UK to modify their plans and decisions in relation to reward structure and incentive management (Taylor and Woodhams, 2022 p. 72).  </w:t>
      </w:r>
    </w:p>
    <w:p w14:paraId="31328979" w14:textId="77777777" w:rsidR="00CA4184" w:rsidRDefault="00CA4184" w:rsidP="00CA4184">
      <w:pPr>
        <w:pStyle w:val="Listparag"/>
        <w:spacing w:after="0"/>
        <w:jc w:val="both"/>
      </w:pPr>
    </w:p>
    <w:p w14:paraId="7AD0AF2F" w14:textId="77777777" w:rsidR="00CA4184" w:rsidRDefault="00CA4184" w:rsidP="00CA4184">
      <w:pPr>
        <w:pStyle w:val="Listparag"/>
        <w:spacing w:after="0"/>
        <w:jc w:val="both"/>
      </w:pPr>
      <w:r>
        <w:t xml:space="preserve">Conducting a market rate analysis can be a useful tool in assessing the external relativities and can be done by benchmarking rewards against external comparators (Taylor and Woodhams, 2022 p. 72).  This could be in the form of salaries or total reward package, however establishing what metrics you want to measure beforehand will ensure relevant and up to date data is collected resulting in an accurate analysis.  This can then help to devise and implement an action plan providing a clear goal to strive for ensuring Eco-Insulate UK remain competitive (Taylor and Woodhams, 2022 p.72).  By collecting data such as final salary from a similar sized organisation Eco-Insulate UK can then assess their pay structures ensuring they are of competitive value to equivalent jobs in other organisations while ensuring they meet the demands of the labour market to help attract and retain staff (Cotton, 2024).  </w:t>
      </w:r>
    </w:p>
    <w:p w14:paraId="32DDA22D" w14:textId="77777777" w:rsidR="00CA4184" w:rsidRDefault="00CA4184" w:rsidP="00CA4184">
      <w:pPr>
        <w:pStyle w:val="Listparag"/>
        <w:spacing w:after="0"/>
        <w:jc w:val="both"/>
      </w:pPr>
    </w:p>
    <w:p w14:paraId="7BA354D0" w14:textId="77777777" w:rsidR="00CA4184" w:rsidRDefault="00CA4184" w:rsidP="00CA4184">
      <w:pPr>
        <w:pStyle w:val="Listparag"/>
        <w:spacing w:after="0"/>
        <w:jc w:val="both"/>
      </w:pPr>
      <w:r>
        <w:t xml:space="preserve">Furthermore, Eco-Insulate UK could access data from the Office of National Statistics on entities such as average weekly earnings and the gender pay gap which is deemed to be reliable evidence-based data which again will would be relevant when performing a market rate analysis (ONS, 2024).  </w:t>
      </w:r>
    </w:p>
    <w:p w14:paraId="43F99FCE" w14:textId="77777777" w:rsidR="00CA4184" w:rsidRDefault="00CA4184" w:rsidP="00CA4184">
      <w:pPr>
        <w:pStyle w:val="Listparag"/>
        <w:spacing w:after="0"/>
        <w:jc w:val="both"/>
      </w:pPr>
    </w:p>
    <w:p w14:paraId="5A747F92" w14:textId="77777777" w:rsidR="00CA4184" w:rsidRDefault="00CA4184" w:rsidP="00CA4184">
      <w:pPr>
        <w:pStyle w:val="Listparag"/>
        <w:spacing w:after="0"/>
        <w:jc w:val="both"/>
      </w:pPr>
      <w:r>
        <w:t xml:space="preserve">Internal benchmarking activities enable organisations to review their internal processes while identifying the organisations divisions which are performing well, analysing their methods to decipher why they are performing higher than other departments (The Economic Times, no date).  While internal benchmarking comes with positives such as low cost, as it’s an internal process and providing managers with relevant data such as sickness hotspots it also comes with negatives (Zajac, 2023).  It is essentially a comparison of employees which can lead to prejudice due to everyone’s ‘motivators’ being diverse (Zajac, 2023) which is why a ‘one size fits all’ reward package is not suitable and factors such as intrinsic and extrinsic motivators need to be taken into consideration (Taylor and Woodhams, 2022 p.84).  </w:t>
      </w:r>
    </w:p>
    <w:p w14:paraId="424EE6CB" w14:textId="77777777" w:rsidR="00CA4184" w:rsidRDefault="00CA4184" w:rsidP="00CA4184">
      <w:pPr>
        <w:pStyle w:val="Listparag"/>
        <w:spacing w:after="0"/>
        <w:jc w:val="both"/>
      </w:pPr>
    </w:p>
    <w:p w14:paraId="67F8E305" w14:textId="451D68CA" w:rsidR="00CA4184" w:rsidRPr="00131E0F" w:rsidRDefault="00CA4184" w:rsidP="00CA4184">
      <w:pPr>
        <w:pStyle w:val="Listparag"/>
        <w:spacing w:after="0"/>
        <w:jc w:val="both"/>
        <w:rPr>
          <w:b/>
          <w:bCs/>
        </w:rPr>
      </w:pPr>
      <w:r>
        <w:t xml:space="preserve">In conclusion, effective and accurate benchmarking can help Eco Insulate UK to periodically assess the reward scheme on offer guaranteeing they remain competitive and attractive to employees, maintaining an engaged and driven workforce abiding by relevant law and regulations (Ackland, 2024).  </w:t>
      </w:r>
    </w:p>
    <w:p w14:paraId="33FBA120" w14:textId="77777777" w:rsidR="00CA4184" w:rsidRDefault="00CA4184" w:rsidP="00CA4184">
      <w:pPr>
        <w:pStyle w:val="Listparag"/>
        <w:spacing w:after="0"/>
        <w:jc w:val="both"/>
      </w:pPr>
    </w:p>
    <w:p w14:paraId="5761174C" w14:textId="77777777" w:rsidR="00CA4184" w:rsidRDefault="00CA4184" w:rsidP="00CA4184">
      <w:pPr>
        <w:pStyle w:val="Listparag"/>
        <w:spacing w:after="0"/>
        <w:rPr>
          <w:b/>
          <w:bCs/>
        </w:rPr>
      </w:pPr>
      <w:r w:rsidRPr="00EC0404">
        <w:rPr>
          <w:b/>
          <w:bCs/>
        </w:rPr>
        <w:t>Explain approaches to job evaluation. (AC 3.3)</w:t>
      </w:r>
    </w:p>
    <w:p w14:paraId="42C7B42C" w14:textId="77777777" w:rsidR="00CA4184" w:rsidRDefault="00CA4184" w:rsidP="00CA4184">
      <w:pPr>
        <w:pStyle w:val="Listparag"/>
        <w:spacing w:after="0"/>
        <w:jc w:val="both"/>
        <w:rPr>
          <w:rStyle w:val="ui-provider"/>
        </w:rPr>
      </w:pPr>
      <w:r>
        <w:rPr>
          <w:rStyle w:val="ui-provider"/>
        </w:rPr>
        <w:t xml:space="preserve">The methodical process of job evaluation can be used to ‘evaluate’ each role and their relative value within Eco-Insulate UK.   This can then facilitate the creation of a fair and equitable pay structure across the organisation (Armstrong and Brown, 2019 p.168).  According to Armstrong and Brown (2019, p.168) a job evaluation has 3 main purposes; to gather data to ensure and maintain a fair yet equitable pay structure in roles of relativity, provide data in relation to relevant external competitors to conduct a market analysis and to guarantee transparency so that everyone involved understands the criteria used to determine grades and compensation rates. </w:t>
      </w:r>
    </w:p>
    <w:p w14:paraId="0257D59A" w14:textId="77777777" w:rsidR="00CA4184" w:rsidRDefault="00CA4184" w:rsidP="00CA4184">
      <w:pPr>
        <w:pStyle w:val="Listparag"/>
        <w:spacing w:after="0"/>
        <w:jc w:val="both"/>
        <w:rPr>
          <w:rStyle w:val="ui-provider"/>
        </w:rPr>
      </w:pPr>
    </w:p>
    <w:p w14:paraId="7EAA31B5" w14:textId="77777777" w:rsidR="00CA4184" w:rsidRDefault="00CA4184" w:rsidP="00CA4184">
      <w:pPr>
        <w:pStyle w:val="Listparag"/>
        <w:spacing w:after="0"/>
        <w:jc w:val="both"/>
        <w:rPr>
          <w:rStyle w:val="ui-provider"/>
        </w:rPr>
      </w:pPr>
      <w:r>
        <w:rPr>
          <w:rStyle w:val="ui-provider"/>
        </w:rPr>
        <w:lastRenderedPageBreak/>
        <w:t xml:space="preserve">In broad terms, job evaluation can either be analytical encompassing the value of the job by separating it into factors or non-analytical assessing the job in its entirety without taking into account other aspects (ACAS, 2014).  Analytical job evaluation tends to be most favoured as it focuses on analysing particular elements such as abilities and performance reaching an unbiased conclusion about the relative worth of various tasks (Taylor and Woodhams, 2022 p.79).   While non-analytical job evaluation can be used it does leave organisations susceptible to equal pay claims as there is no specific data collected when evaluating roles and instead are ranked by a manager leaving them open to gender bias and unequal pay breaching laws such as the </w:t>
      </w:r>
      <w:r>
        <w:rPr>
          <w:rStyle w:val="ui-provider"/>
          <w:i/>
          <w:iCs/>
        </w:rPr>
        <w:t xml:space="preserve">Equality Act 2010 </w:t>
      </w:r>
      <w:r>
        <w:rPr>
          <w:rStyle w:val="ui-provider"/>
        </w:rPr>
        <w:t xml:space="preserve">(Pay Justice, 2020).  </w:t>
      </w:r>
    </w:p>
    <w:p w14:paraId="6241F8DF" w14:textId="77777777" w:rsidR="00CA4184" w:rsidRDefault="00CA4184" w:rsidP="00CA4184">
      <w:pPr>
        <w:pStyle w:val="Listparag"/>
        <w:spacing w:after="0"/>
        <w:jc w:val="both"/>
        <w:rPr>
          <w:rStyle w:val="ui-provider"/>
        </w:rPr>
      </w:pPr>
    </w:p>
    <w:p w14:paraId="17F56732" w14:textId="77777777" w:rsidR="00CA4184" w:rsidRDefault="00CA4184" w:rsidP="00CA4184">
      <w:pPr>
        <w:pStyle w:val="Listparag"/>
        <w:spacing w:after="0"/>
        <w:jc w:val="both"/>
        <w:rPr>
          <w:rStyle w:val="ui-provider"/>
        </w:rPr>
      </w:pPr>
      <w:r>
        <w:rPr>
          <w:rStyle w:val="ui-provider"/>
        </w:rPr>
        <w:t xml:space="preserve">Moreover, analytical job evaluation can use systems such as point rating and factor comparison.  Point rating determines the focal components within each role referred to as factors, these are then broken down into weighted components.  Points are then allocated based on the level required for the work once each component is evaluated independently with the highest points value equating to the most demanding roles (Cotton, 2024d).  While a factor comparison is also based on an assessment of factors it is not points structured meaning more jobs can be evaluated at any one time (Cotton, 2024d).  </w:t>
      </w:r>
    </w:p>
    <w:p w14:paraId="3C849705" w14:textId="77777777" w:rsidR="00CA4184" w:rsidRDefault="00CA4184" w:rsidP="00CA4184">
      <w:pPr>
        <w:pStyle w:val="Listparag"/>
        <w:spacing w:after="0"/>
        <w:jc w:val="both"/>
        <w:rPr>
          <w:rStyle w:val="ui-provider"/>
        </w:rPr>
      </w:pPr>
    </w:p>
    <w:p w14:paraId="055397D8" w14:textId="5762ED4F" w:rsidR="00CA4184" w:rsidRPr="006C7336" w:rsidRDefault="00CA4184" w:rsidP="00CA4184">
      <w:pPr>
        <w:pStyle w:val="Listparag"/>
        <w:spacing w:after="0"/>
        <w:jc w:val="both"/>
        <w:rPr>
          <w:rStyle w:val="ui-provider"/>
        </w:rPr>
      </w:pPr>
      <w:r>
        <w:rPr>
          <w:rStyle w:val="ui-provider"/>
        </w:rPr>
        <w:t xml:space="preserve">It would be advisable for Eco-Insulate UK to train a team of job evaluators, however, when doing so being mindful not to include members who may be of benefit to any upgrade inciting bias when evaluating roles similar to theirs </w:t>
      </w:r>
      <w:r w:rsidRPr="00374F0A">
        <w:rPr>
          <w:rStyle w:val="ui-provider"/>
          <w:color w:val="auto"/>
        </w:rPr>
        <w:t xml:space="preserve">(ACAS, 2014).  It also advisable that staff are included in the design process whether through Trade Union representatives or otherwise in order to ensure that the system and approach is fair from the outset </w:t>
      </w:r>
      <w:r>
        <w:rPr>
          <w:rStyle w:val="ui-provider"/>
        </w:rPr>
        <w:t xml:space="preserve">(ACAS, 2014). </w:t>
      </w:r>
    </w:p>
    <w:p w14:paraId="72F4EB98" w14:textId="77777777" w:rsidR="00CA4184" w:rsidRPr="00EC0404" w:rsidRDefault="00CA4184" w:rsidP="00CA4184">
      <w:pPr>
        <w:pStyle w:val="Listparag"/>
        <w:spacing w:after="0"/>
        <w:rPr>
          <w:b/>
          <w:bCs/>
        </w:rPr>
      </w:pPr>
    </w:p>
    <w:p w14:paraId="38FF13EA" w14:textId="77777777" w:rsidR="00CA4184" w:rsidRPr="00EC0404" w:rsidRDefault="00CA4184" w:rsidP="00CA4184">
      <w:pPr>
        <w:pStyle w:val="Listparag"/>
        <w:spacing w:after="0"/>
        <w:rPr>
          <w:b/>
          <w:bCs/>
        </w:rPr>
      </w:pPr>
      <w:r w:rsidRPr="00EC0404">
        <w:rPr>
          <w:b/>
          <w:bCs/>
        </w:rPr>
        <w:t xml:space="preserve">Explain the legislative requirements that impact reward practice. (AC 3.4) </w:t>
      </w:r>
    </w:p>
    <w:p w14:paraId="2CABCEDA" w14:textId="77777777" w:rsidR="00CA4184" w:rsidRDefault="00CA4184" w:rsidP="00CA4184">
      <w:pPr>
        <w:pStyle w:val="Listparag"/>
        <w:spacing w:after="0"/>
        <w:jc w:val="both"/>
      </w:pPr>
      <w:r>
        <w:t xml:space="preserve">Organisational rewards practices are significantly shaped by legislative requirements such as the </w:t>
      </w:r>
      <w:r>
        <w:rPr>
          <w:i/>
          <w:iCs/>
        </w:rPr>
        <w:t xml:space="preserve">Equality Act 2010 </w:t>
      </w:r>
      <w:r>
        <w:t xml:space="preserve">and the </w:t>
      </w:r>
      <w:r>
        <w:rPr>
          <w:i/>
          <w:iCs/>
        </w:rPr>
        <w:t>National Minimum Wage Act 1998</w:t>
      </w:r>
      <w:r>
        <w:t xml:space="preserve">.  These laws aid to safeguard reward programmes so that they are equitable and non-discriminatory (CIPD, 2024).  </w:t>
      </w:r>
    </w:p>
    <w:p w14:paraId="562B48AD" w14:textId="77777777" w:rsidR="00CA4184" w:rsidRDefault="00CA4184" w:rsidP="00CA4184">
      <w:pPr>
        <w:pStyle w:val="Listparag"/>
        <w:spacing w:after="0"/>
        <w:jc w:val="both"/>
      </w:pPr>
    </w:p>
    <w:p w14:paraId="558FF9A0" w14:textId="77777777" w:rsidR="00CA4184" w:rsidRDefault="00CA4184" w:rsidP="00CA4184">
      <w:pPr>
        <w:pStyle w:val="Listparag"/>
        <w:spacing w:after="0"/>
        <w:jc w:val="both"/>
      </w:pPr>
      <w:r>
        <w:t xml:space="preserve">The </w:t>
      </w:r>
      <w:r>
        <w:rPr>
          <w:i/>
          <w:iCs/>
        </w:rPr>
        <w:t xml:space="preserve">Equality Act 2010 </w:t>
      </w:r>
      <w:r>
        <w:t xml:space="preserve">stipulates that equal compensation for equal work is required by law for the statute of men and women.  The main goal is to close the gender pay gap which is why it is vital that organisations ensure that roles with equivalent value are paid fairly and equally so that pay structures are not discriminatory to either sex (Taylor and Woodhams, 2022 p.71).  Failure to do so could lead to an unfair pay claim being brought against the organisation as was the position with Asda when women shelf stackers claimed their role was of equivalent value to those of men who worked in the warehouse (BBC, 2021).  The women won their appeal at the High Court with significant implications and detriment to Asda such as cost and damaging their employer brand (BBC, 2021).  </w:t>
      </w:r>
    </w:p>
    <w:p w14:paraId="0F6854BB" w14:textId="77777777" w:rsidR="00CA4184" w:rsidRDefault="00CA4184" w:rsidP="00CA4184">
      <w:pPr>
        <w:pStyle w:val="Listparag"/>
        <w:spacing w:after="0"/>
        <w:jc w:val="both"/>
      </w:pPr>
    </w:p>
    <w:p w14:paraId="30874919" w14:textId="77777777" w:rsidR="00CA4184" w:rsidRPr="00DA58C1" w:rsidRDefault="00CA4184" w:rsidP="00CA4184">
      <w:pPr>
        <w:pStyle w:val="Listparag"/>
        <w:spacing w:after="0"/>
        <w:jc w:val="both"/>
      </w:pPr>
      <w:r>
        <w:t>The minimum hourly rate that organisations are legally obligated to pay their employees is stipulated by the</w:t>
      </w:r>
      <w:r>
        <w:rPr>
          <w:i/>
          <w:iCs/>
        </w:rPr>
        <w:t xml:space="preserve"> National Minimum Wage Act 1998 </w:t>
      </w:r>
      <w:r>
        <w:t xml:space="preserve">and the way organisations administer rewards will be significantly implicated by this regulation (Taylor and Woodhams, 2022 p.71).  This applies to all workers from 16 and above which is divided into 4 categories; apprentices, employees aged under 18, 18-20 and 21-22 (Cotton, 2024a).  </w:t>
      </w:r>
    </w:p>
    <w:p w14:paraId="510C22A4" w14:textId="77777777" w:rsidR="00CA4184" w:rsidRDefault="00CA4184" w:rsidP="00CA4184">
      <w:pPr>
        <w:pStyle w:val="Listparag"/>
        <w:spacing w:after="0"/>
        <w:jc w:val="both"/>
      </w:pPr>
    </w:p>
    <w:p w14:paraId="5999D042" w14:textId="77777777" w:rsidR="00CA4184" w:rsidRDefault="00CA4184" w:rsidP="00CA4184">
      <w:pPr>
        <w:pStyle w:val="Listparag"/>
        <w:spacing w:after="0"/>
        <w:jc w:val="both"/>
        <w:rPr>
          <w:i/>
          <w:iCs/>
        </w:rPr>
      </w:pPr>
      <w:r>
        <w:t xml:space="preserve">Government legislation also requires organisations with 250 employers or more to report their gender pay gap data however organisations with less than this can still file a report although they are not obligated to do so (GOV.UK, 2024).    It is believed that employers who report their pay structures can help influence fair and equitable pay across the UK and failure to do so is in breach of the </w:t>
      </w:r>
      <w:r>
        <w:rPr>
          <w:i/>
          <w:iCs/>
        </w:rPr>
        <w:t xml:space="preserve">Equality Act 2010. </w:t>
      </w:r>
    </w:p>
    <w:p w14:paraId="7CD75647" w14:textId="77777777" w:rsidR="00CA4184" w:rsidRDefault="00CA4184" w:rsidP="00CA4184">
      <w:pPr>
        <w:pStyle w:val="Listparag"/>
        <w:spacing w:after="0"/>
        <w:jc w:val="both"/>
        <w:rPr>
          <w:i/>
          <w:iCs/>
        </w:rPr>
      </w:pPr>
    </w:p>
    <w:p w14:paraId="6C15EDFB" w14:textId="77B694F0" w:rsidR="00CA4184" w:rsidRDefault="00CA4184" w:rsidP="00CA4184">
      <w:pPr>
        <w:pStyle w:val="Listparag"/>
        <w:spacing w:after="0"/>
        <w:jc w:val="both"/>
        <w:rPr>
          <w:b/>
          <w:bCs/>
        </w:rPr>
      </w:pPr>
      <w:r>
        <w:t xml:space="preserve">By adhering to obligated legislative constraints, Eco-Insulate UK will not only comply with UK legislation but will also foster a fair, inclusive and equitable workplace which can aid in retention rates maintaining a driven and engaged workforce while also being able to attract new staff (Armstrong and Brown, 2019 p. 20).  </w:t>
      </w:r>
    </w:p>
    <w:p w14:paraId="2057B0B2" w14:textId="77777777" w:rsidR="00CA4184" w:rsidRDefault="00CA4184" w:rsidP="00CA4184">
      <w:pPr>
        <w:pStyle w:val="Listparag"/>
        <w:spacing w:after="0"/>
        <w:jc w:val="both"/>
        <w:rPr>
          <w:b/>
          <w:bCs/>
        </w:rPr>
      </w:pPr>
    </w:p>
    <w:p w14:paraId="5F224F8A" w14:textId="77777777" w:rsidR="00CA4184" w:rsidRDefault="00CA4184" w:rsidP="00CA4184">
      <w:pPr>
        <w:pStyle w:val="Listparag"/>
        <w:spacing w:after="0"/>
        <w:jc w:val="both"/>
        <w:rPr>
          <w:b/>
          <w:bCs/>
        </w:rPr>
      </w:pPr>
      <w:r>
        <w:rPr>
          <w:b/>
          <w:bCs/>
        </w:rPr>
        <w:t>Conclusion:</w:t>
      </w:r>
    </w:p>
    <w:p w14:paraId="425247C9" w14:textId="55D43227" w:rsidR="00CA4184" w:rsidRPr="003C1254" w:rsidRDefault="00CA4184" w:rsidP="00CA4184">
      <w:pPr>
        <w:pStyle w:val="Listparag"/>
        <w:spacing w:after="0"/>
        <w:jc w:val="both"/>
        <w:rPr>
          <w:b/>
          <w:bCs/>
        </w:rPr>
      </w:pPr>
      <w:r>
        <w:t xml:space="preserve">To summarise, promoting employee motivation, satisfaction and retention requires an efficient yet equitable reward scheme.  Through strategic alignment of rewards with organisational objectives, Eco-Insulate UK can improve employee performance while fostering a positive workplace culture.  In order to make sure that employees feel appreciated remaining engaged, the research emphasises the significance of a balanced approach which blends monetary remuneration with non-monetary rewards.  Reward schemes will need to be adjusted to match shifting demands in order to remain competitive and achieving long-term success (Cotton, 2024e).  </w:t>
      </w:r>
    </w:p>
    <w:p w14:paraId="6998BE03" w14:textId="77777777" w:rsidR="00CA4184" w:rsidRDefault="00CA4184" w:rsidP="00CA4184">
      <w:pPr>
        <w:pStyle w:val="Listparag"/>
        <w:spacing w:after="0"/>
        <w:jc w:val="both"/>
        <w:rPr>
          <w:i/>
          <w:iCs/>
        </w:rPr>
      </w:pPr>
    </w:p>
    <w:p w14:paraId="23BE6AAF" w14:textId="77777777" w:rsidR="00CA4184" w:rsidRPr="00641BB9" w:rsidRDefault="00CA4184" w:rsidP="00CA4184">
      <w:pPr>
        <w:pStyle w:val="Listparag"/>
        <w:spacing w:after="0"/>
        <w:jc w:val="both"/>
      </w:pPr>
    </w:p>
    <w:p w14:paraId="5B0F7D23" w14:textId="77777777" w:rsidR="00CA4184" w:rsidRPr="00C50B92" w:rsidRDefault="00CA4184" w:rsidP="00CA4184">
      <w:pPr>
        <w:pStyle w:val="Listparag"/>
        <w:spacing w:after="0"/>
        <w:jc w:val="both"/>
      </w:pPr>
    </w:p>
    <w:p w14:paraId="7C407F14" w14:textId="77777777" w:rsidR="00CA4184" w:rsidRPr="006C7336" w:rsidRDefault="00CA4184" w:rsidP="00CA4184">
      <w:pPr>
        <w:rPr>
          <w:rFonts w:eastAsia="Times New Roman" w:cstheme="minorHAnsi"/>
          <w:b/>
          <w:bCs/>
          <w:i/>
          <w:iCs/>
          <w:color w:val="000000"/>
          <w:lang w:eastAsia="en-GB"/>
        </w:rPr>
      </w:pPr>
      <w:r w:rsidRPr="00EC0404">
        <w:rPr>
          <w:rFonts w:cstheme="minorHAnsi"/>
          <w:b/>
          <w:bCs/>
        </w:rPr>
        <w:br w:type="page"/>
      </w:r>
      <w:r>
        <w:rPr>
          <w:rFonts w:cstheme="minorHAnsi"/>
          <w:b/>
          <w:bCs/>
        </w:rPr>
        <w:lastRenderedPageBreak/>
        <w:t xml:space="preserve"> </w:t>
      </w:r>
    </w:p>
    <w:p w14:paraId="51581A86" w14:textId="77777777" w:rsidR="00CA4184" w:rsidRPr="00EC0404" w:rsidRDefault="00CA4184" w:rsidP="00CA4184">
      <w:pPr>
        <w:pStyle w:val="Listparag"/>
        <w:spacing w:after="0"/>
        <w:rPr>
          <w:b/>
          <w:bCs/>
        </w:rPr>
      </w:pPr>
      <w:r w:rsidRPr="00EC0404">
        <w:rPr>
          <w:b/>
          <w:bCs/>
        </w:rPr>
        <w:t>References:</w:t>
      </w:r>
    </w:p>
    <w:p w14:paraId="3BFE750D" w14:textId="77777777" w:rsidR="00CA4184" w:rsidRPr="00832875" w:rsidRDefault="00CA4184" w:rsidP="00CA4184">
      <w:pPr>
        <w:pStyle w:val="ListParagraph"/>
        <w:numPr>
          <w:ilvl w:val="0"/>
          <w:numId w:val="11"/>
        </w:numPr>
        <w:spacing w:after="0"/>
        <w:rPr>
          <w:rFonts w:eastAsia="Trebuchet MS" w:cstheme="minorHAnsi"/>
          <w:color w:val="000000" w:themeColor="text1"/>
        </w:rPr>
      </w:pPr>
      <w:r w:rsidRPr="00832875">
        <w:rPr>
          <w:rFonts w:eastAsia="Trebuchet MS" w:cstheme="minorHAnsi"/>
          <w:color w:val="000000" w:themeColor="text1"/>
        </w:rPr>
        <w:t xml:space="preserve">ACAS (2014) </w:t>
      </w:r>
      <w:r w:rsidRPr="00832875">
        <w:rPr>
          <w:rFonts w:eastAsia="Trebuchet MS" w:cstheme="minorHAnsi"/>
          <w:i/>
          <w:iCs/>
          <w:color w:val="000000" w:themeColor="text1"/>
        </w:rPr>
        <w:t xml:space="preserve">Job evaluation: considerations and risks advice booklet. </w:t>
      </w:r>
      <w:r w:rsidRPr="00832875">
        <w:rPr>
          <w:rFonts w:eastAsia="Trebuchet MS" w:cstheme="minorHAnsi"/>
          <w:color w:val="000000" w:themeColor="text1"/>
        </w:rPr>
        <w:t xml:space="preserve">Available at: </w:t>
      </w:r>
      <w:hyperlink r:id="rId8" w:history="1">
        <w:r w:rsidRPr="00832875">
          <w:rPr>
            <w:rStyle w:val="Hyperlink"/>
            <w:rFonts w:eastAsia="Trebuchet MS" w:cstheme="minorHAnsi"/>
          </w:rPr>
          <w:t>https://www.acas.org.uk/job-evaluation-considerations-and-risks-advice-booklet</w:t>
        </w:r>
      </w:hyperlink>
      <w:hyperlink r:id="rId9" w:history="1">
        <w:r w:rsidRPr="00832875">
          <w:rPr>
            <w:rStyle w:val="Hyperlink"/>
            <w:rFonts w:eastAsia="Trebuchet MS" w:cstheme="minorHAnsi"/>
          </w:rPr>
          <w:t>Acas</w:t>
        </w:r>
      </w:hyperlink>
      <w:r w:rsidRPr="00832875">
        <w:rPr>
          <w:rFonts w:eastAsia="Trebuchet MS" w:cstheme="minorHAnsi"/>
          <w:color w:val="000000" w:themeColor="text1"/>
        </w:rPr>
        <w:t xml:space="preserve"> (Accessed 7</w:t>
      </w:r>
      <w:r w:rsidRPr="00832875">
        <w:rPr>
          <w:rFonts w:eastAsia="Trebuchet MS" w:cstheme="minorHAnsi"/>
          <w:color w:val="000000" w:themeColor="text1"/>
          <w:vertAlign w:val="superscript"/>
        </w:rPr>
        <w:t>th</w:t>
      </w:r>
      <w:r w:rsidRPr="00832875">
        <w:rPr>
          <w:rFonts w:eastAsia="Trebuchet MS" w:cstheme="minorHAnsi"/>
          <w:color w:val="000000" w:themeColor="text1"/>
        </w:rPr>
        <w:t xml:space="preserve"> August 2024) </w:t>
      </w:r>
    </w:p>
    <w:p w14:paraId="2BDD3C8E" w14:textId="77777777" w:rsidR="00CA4184" w:rsidRPr="00832875" w:rsidRDefault="00CA4184" w:rsidP="00CA4184">
      <w:pPr>
        <w:pStyle w:val="Listparag"/>
        <w:numPr>
          <w:ilvl w:val="0"/>
          <w:numId w:val="11"/>
        </w:numPr>
        <w:spacing w:after="0"/>
        <w:rPr>
          <w:b/>
          <w:bCs/>
        </w:rPr>
      </w:pPr>
      <w:r w:rsidRPr="00832875">
        <w:t xml:space="preserve">ACAS (no date) </w:t>
      </w:r>
      <w:r w:rsidRPr="00832875">
        <w:rPr>
          <w:i/>
          <w:iCs/>
        </w:rPr>
        <w:t xml:space="preserve">Working out maternity pay: Your maternity pay, leave and other rights </w:t>
      </w:r>
      <w:r w:rsidRPr="00832875">
        <w:t xml:space="preserve">Available at:  </w:t>
      </w:r>
      <w:hyperlink r:id="rId10" w:anchor=":~:text=enhanced%20maternity%20pay.-,Enhanced%20maternity%20pay,weeks%20of%20statutory%20maternity%20pay." w:history="1">
        <w:r w:rsidRPr="00832875">
          <w:rPr>
            <w:rStyle w:val="Hyperlink"/>
          </w:rPr>
          <w:t>https://www.acas.org.uk/your-maternity-leave-pay-and-other-rights/working-out-maternity-pay#:~:text=enhanced%20maternity%20pay.-,Enhanced%20maternity%20pay,weeks%20of%20statutory%20maternity%20pay.</w:t>
        </w:r>
      </w:hyperlink>
      <w:r w:rsidRPr="00832875">
        <w:t xml:space="preserve"> (Accessed 6</w:t>
      </w:r>
      <w:r w:rsidRPr="00832875">
        <w:rPr>
          <w:vertAlign w:val="superscript"/>
        </w:rPr>
        <w:t>th</w:t>
      </w:r>
      <w:r w:rsidRPr="00832875">
        <w:t xml:space="preserve"> August 2024)</w:t>
      </w:r>
    </w:p>
    <w:p w14:paraId="6168DC57" w14:textId="77777777" w:rsidR="00CA4184" w:rsidRPr="00832875" w:rsidRDefault="00CA4184" w:rsidP="00CA4184">
      <w:pPr>
        <w:pStyle w:val="ListParagraph"/>
        <w:numPr>
          <w:ilvl w:val="0"/>
          <w:numId w:val="11"/>
        </w:numPr>
        <w:spacing w:after="0"/>
        <w:rPr>
          <w:rFonts w:eastAsia="Trebuchet MS" w:cstheme="minorHAnsi"/>
          <w:color w:val="000000" w:themeColor="text1"/>
        </w:rPr>
      </w:pPr>
      <w:r w:rsidRPr="00832875">
        <w:rPr>
          <w:rFonts w:eastAsia="Trebuchet MS" w:cstheme="minorHAnsi"/>
          <w:color w:val="000000" w:themeColor="text1"/>
        </w:rPr>
        <w:t xml:space="preserve">Ackland, M. (2024) </w:t>
      </w:r>
      <w:r w:rsidRPr="00832875">
        <w:rPr>
          <w:rFonts w:eastAsia="Trebuchet MS" w:cstheme="minorHAnsi"/>
          <w:i/>
          <w:iCs/>
          <w:color w:val="000000" w:themeColor="text1"/>
        </w:rPr>
        <w:t xml:space="preserve">How to benchmark employee benefits </w:t>
      </w:r>
      <w:r w:rsidRPr="00832875">
        <w:rPr>
          <w:rFonts w:eastAsia="Trebuchet MS" w:cstheme="minorHAnsi"/>
          <w:color w:val="000000" w:themeColor="text1"/>
        </w:rPr>
        <w:t xml:space="preserve">Available at:  </w:t>
      </w:r>
      <w:hyperlink r:id="rId11" w:history="1">
        <w:r w:rsidRPr="00832875">
          <w:rPr>
            <w:rStyle w:val="Hyperlink"/>
            <w:rFonts w:cstheme="minorHAnsi"/>
          </w:rPr>
          <w:t>https://www.moorepay.co.uk/blog/how-to-benchmark-employee-benefits/</w:t>
        </w:r>
      </w:hyperlink>
      <w:r w:rsidRPr="00832875">
        <w:rPr>
          <w:rFonts w:cstheme="minorHAnsi"/>
        </w:rPr>
        <w:t xml:space="preserve"> (Accessed 7</w:t>
      </w:r>
      <w:r w:rsidRPr="00832875">
        <w:rPr>
          <w:rFonts w:cstheme="minorHAnsi"/>
          <w:vertAlign w:val="superscript"/>
        </w:rPr>
        <w:t>th</w:t>
      </w:r>
      <w:r w:rsidRPr="00832875">
        <w:rPr>
          <w:rFonts w:cstheme="minorHAnsi"/>
        </w:rPr>
        <w:t xml:space="preserve"> August 2024) </w:t>
      </w:r>
    </w:p>
    <w:p w14:paraId="0ED9DDC2" w14:textId="77777777" w:rsidR="00CA4184" w:rsidRPr="00832875" w:rsidRDefault="00CA4184" w:rsidP="00CA4184">
      <w:pPr>
        <w:pStyle w:val="ListParagraph"/>
        <w:numPr>
          <w:ilvl w:val="0"/>
          <w:numId w:val="11"/>
        </w:numPr>
        <w:spacing w:after="0"/>
        <w:rPr>
          <w:rFonts w:eastAsia="Trebuchet MS" w:cstheme="minorHAnsi"/>
          <w:color w:val="000000" w:themeColor="text1"/>
        </w:rPr>
      </w:pPr>
      <w:r w:rsidRPr="00832875">
        <w:rPr>
          <w:rFonts w:eastAsia="Trebuchet MS" w:cstheme="minorHAnsi"/>
          <w:color w:val="000000" w:themeColor="text1"/>
        </w:rPr>
        <w:t>Armstrong, M and Taylor, S (2020) Armstrong’s Handbook of Human Resource Management. 16</w:t>
      </w:r>
      <w:r w:rsidRPr="00832875">
        <w:rPr>
          <w:rFonts w:eastAsia="Trebuchet MS" w:cstheme="minorHAnsi"/>
          <w:color w:val="000000" w:themeColor="text1"/>
          <w:vertAlign w:val="superscript"/>
        </w:rPr>
        <w:t>th</w:t>
      </w:r>
      <w:r w:rsidRPr="00832875">
        <w:rPr>
          <w:rFonts w:eastAsia="Trebuchet MS" w:cstheme="minorHAnsi"/>
          <w:color w:val="000000" w:themeColor="text1"/>
        </w:rPr>
        <w:t xml:space="preserve"> </w:t>
      </w:r>
      <w:proofErr w:type="spellStart"/>
      <w:r w:rsidRPr="00832875">
        <w:rPr>
          <w:rFonts w:eastAsia="Trebuchet MS" w:cstheme="minorHAnsi"/>
          <w:color w:val="000000" w:themeColor="text1"/>
        </w:rPr>
        <w:t>edn</w:t>
      </w:r>
      <w:proofErr w:type="spellEnd"/>
      <w:r w:rsidRPr="00832875">
        <w:rPr>
          <w:rFonts w:eastAsia="Trebuchet MS" w:cstheme="minorHAnsi"/>
          <w:color w:val="000000" w:themeColor="text1"/>
        </w:rPr>
        <w:t xml:space="preserve">. London. Kogan Page. </w:t>
      </w:r>
    </w:p>
    <w:p w14:paraId="571D2162" w14:textId="77777777" w:rsidR="00CA4184" w:rsidRPr="00832875" w:rsidRDefault="00CA4184" w:rsidP="00CA4184">
      <w:pPr>
        <w:pStyle w:val="Listparag"/>
        <w:numPr>
          <w:ilvl w:val="0"/>
          <w:numId w:val="11"/>
        </w:numPr>
        <w:spacing w:after="0"/>
        <w:rPr>
          <w:b/>
          <w:bCs/>
        </w:rPr>
      </w:pPr>
      <w:r w:rsidRPr="00832875">
        <w:t xml:space="preserve">Armstrong, M. and Brown, D. (2019) </w:t>
      </w:r>
      <w:r w:rsidRPr="00832875">
        <w:rPr>
          <w:i/>
          <w:iCs/>
        </w:rPr>
        <w:t xml:space="preserve">Armstrong’s Handbook of Reward Management Practice. </w:t>
      </w:r>
      <w:r w:rsidRPr="00832875">
        <w:t>[</w:t>
      </w:r>
      <w:proofErr w:type="spellStart"/>
      <w:r w:rsidRPr="00832875">
        <w:t>BibliU</w:t>
      </w:r>
      <w:proofErr w:type="spellEnd"/>
      <w:r w:rsidRPr="00832875">
        <w:t xml:space="preserve"> version] 6</w:t>
      </w:r>
      <w:r w:rsidRPr="00832875">
        <w:rPr>
          <w:vertAlign w:val="superscript"/>
        </w:rPr>
        <w:t>th</w:t>
      </w:r>
      <w:r w:rsidRPr="00832875">
        <w:t xml:space="preserve"> ed. London, Kogan Page. </w:t>
      </w:r>
    </w:p>
    <w:p w14:paraId="13969880" w14:textId="77777777" w:rsidR="00CA4184" w:rsidRPr="00832875" w:rsidRDefault="00CA4184" w:rsidP="00CA4184">
      <w:pPr>
        <w:pStyle w:val="Listparag"/>
        <w:numPr>
          <w:ilvl w:val="0"/>
          <w:numId w:val="11"/>
        </w:numPr>
        <w:spacing w:after="0"/>
        <w:rPr>
          <w:b/>
          <w:bCs/>
        </w:rPr>
      </w:pPr>
      <w:proofErr w:type="spellStart"/>
      <w:r w:rsidRPr="00832875">
        <w:t>Ayling</w:t>
      </w:r>
      <w:proofErr w:type="spellEnd"/>
      <w:r w:rsidRPr="00832875">
        <w:t xml:space="preserve">, L. and </w:t>
      </w:r>
      <w:proofErr w:type="spellStart"/>
      <w:r w:rsidRPr="00832875">
        <w:t>Suff</w:t>
      </w:r>
      <w:proofErr w:type="spellEnd"/>
      <w:r w:rsidRPr="00832875">
        <w:t xml:space="preserve">, R. (2024) </w:t>
      </w:r>
      <w:r w:rsidRPr="00832875">
        <w:rPr>
          <w:i/>
          <w:iCs/>
        </w:rPr>
        <w:t xml:space="preserve">Maternity, paternity and adoptions rights </w:t>
      </w:r>
      <w:r w:rsidRPr="00832875">
        <w:t xml:space="preserve">Available at:  </w:t>
      </w:r>
      <w:hyperlink r:id="rId12" w:history="1">
        <w:r w:rsidRPr="00832875">
          <w:rPr>
            <w:rStyle w:val="Hyperlink"/>
          </w:rPr>
          <w:t>https://www.cipd.org/uk/knowledge/factsheets/maternity-paternity-rights-factsheet/</w:t>
        </w:r>
      </w:hyperlink>
      <w:r w:rsidRPr="00832875">
        <w:t xml:space="preserve"> (Accessed 6</w:t>
      </w:r>
      <w:r w:rsidRPr="00832875">
        <w:rPr>
          <w:vertAlign w:val="superscript"/>
        </w:rPr>
        <w:t>th</w:t>
      </w:r>
      <w:r w:rsidRPr="00832875">
        <w:t xml:space="preserve"> August 2024)</w:t>
      </w:r>
    </w:p>
    <w:p w14:paraId="13652F8F" w14:textId="77777777" w:rsidR="00CA4184" w:rsidRPr="00776C18" w:rsidRDefault="00CA4184" w:rsidP="00CA4184">
      <w:pPr>
        <w:pStyle w:val="Listparag"/>
        <w:numPr>
          <w:ilvl w:val="0"/>
          <w:numId w:val="11"/>
        </w:numPr>
        <w:spacing w:after="0"/>
        <w:rPr>
          <w:b/>
          <w:bCs/>
        </w:rPr>
      </w:pPr>
      <w:r w:rsidRPr="00832875">
        <w:t xml:space="preserve">BBC (2021) </w:t>
      </w:r>
      <w:r w:rsidRPr="00832875">
        <w:rPr>
          <w:i/>
          <w:iCs/>
        </w:rPr>
        <w:t xml:space="preserve">Asda workers win key appeal in equal pay fight </w:t>
      </w:r>
      <w:r w:rsidRPr="00832875">
        <w:t xml:space="preserve">Available at:  </w:t>
      </w:r>
      <w:hyperlink r:id="rId13" w:history="1">
        <w:r w:rsidRPr="00832875">
          <w:rPr>
            <w:rStyle w:val="Hyperlink"/>
          </w:rPr>
          <w:t>https://www.bbc.co.uk/news/business-56534988</w:t>
        </w:r>
      </w:hyperlink>
      <w:r w:rsidRPr="00832875">
        <w:t xml:space="preserve"> (Accessed 7</w:t>
      </w:r>
      <w:r w:rsidRPr="00832875">
        <w:rPr>
          <w:vertAlign w:val="superscript"/>
        </w:rPr>
        <w:t>th</w:t>
      </w:r>
      <w:r w:rsidRPr="00832875">
        <w:t xml:space="preserve"> August 2024) </w:t>
      </w:r>
    </w:p>
    <w:p w14:paraId="2BDE383F" w14:textId="77777777" w:rsidR="00CA4184" w:rsidRPr="005766E8" w:rsidRDefault="00CA4184" w:rsidP="00CA4184">
      <w:pPr>
        <w:pStyle w:val="Listparag"/>
        <w:numPr>
          <w:ilvl w:val="0"/>
          <w:numId w:val="11"/>
        </w:numPr>
        <w:spacing w:after="0"/>
        <w:rPr>
          <w:b/>
          <w:bCs/>
        </w:rPr>
      </w:pPr>
      <w:r w:rsidRPr="00D83157">
        <w:t xml:space="preserve">Brown, L. (2019) </w:t>
      </w:r>
      <w:r w:rsidRPr="00D83157">
        <w:rPr>
          <w:i/>
          <w:iCs/>
        </w:rPr>
        <w:t xml:space="preserve">Be careful what you incentivise for </w:t>
      </w:r>
      <w:r w:rsidRPr="00D83157">
        <w:t xml:space="preserve">Available at:  </w:t>
      </w:r>
      <w:hyperlink r:id="rId14" w:history="1">
        <w:r>
          <w:rPr>
            <w:rStyle w:val="Hyperlink"/>
          </w:rPr>
          <w:t>https://www.peoplemanagement.co.uk/article/1746306/be-careful-incentivise-for</w:t>
        </w:r>
      </w:hyperlink>
      <w:r w:rsidRPr="00D83157">
        <w:t xml:space="preserve"> (Accessed 5</w:t>
      </w:r>
      <w:r w:rsidRPr="00D83157">
        <w:rPr>
          <w:vertAlign w:val="superscript"/>
        </w:rPr>
        <w:t>th</w:t>
      </w:r>
      <w:r w:rsidRPr="00D83157">
        <w:t xml:space="preserve"> August 2024) </w:t>
      </w:r>
    </w:p>
    <w:p w14:paraId="0720A4AD" w14:textId="77777777" w:rsidR="00CA4184" w:rsidRPr="00832875" w:rsidRDefault="00CA4184" w:rsidP="00CA4184">
      <w:pPr>
        <w:pStyle w:val="ListParagraph"/>
        <w:numPr>
          <w:ilvl w:val="0"/>
          <w:numId w:val="11"/>
        </w:numPr>
        <w:spacing w:after="0" w:line="240" w:lineRule="auto"/>
        <w:rPr>
          <w:rStyle w:val="normaltextrun"/>
          <w:rFonts w:cstheme="minorHAnsi"/>
        </w:rPr>
      </w:pPr>
      <w:r w:rsidRPr="00832875">
        <w:rPr>
          <w:rFonts w:cstheme="minorHAnsi"/>
        </w:rPr>
        <w:t xml:space="preserve">Cotton, C. (2023) </w:t>
      </w:r>
      <w:r w:rsidRPr="00832875">
        <w:rPr>
          <w:rFonts w:cstheme="minorHAnsi"/>
          <w:i/>
          <w:iCs/>
        </w:rPr>
        <w:t xml:space="preserve">Pay fairness and pay reporting </w:t>
      </w:r>
      <w:r w:rsidRPr="00832875">
        <w:rPr>
          <w:rFonts w:cstheme="minorHAnsi"/>
        </w:rPr>
        <w:t xml:space="preserve">Available at:  </w:t>
      </w:r>
      <w:hyperlink r:id="rId15" w:anchor="payreporting" w:history="1">
        <w:r w:rsidRPr="00832875">
          <w:rPr>
            <w:rStyle w:val="Hyperlink"/>
            <w:rFonts w:cstheme="minorHAnsi"/>
          </w:rPr>
          <w:t>https://www.cipd.org/uk/knowledge/factsheets/pay-fairness-reporting-factsheet/#payreporting</w:t>
        </w:r>
      </w:hyperlink>
      <w:r w:rsidRPr="00832875">
        <w:rPr>
          <w:rFonts w:cstheme="minorHAnsi"/>
        </w:rPr>
        <w:t xml:space="preserve"> (Accessed 7</w:t>
      </w:r>
      <w:r w:rsidRPr="00832875">
        <w:rPr>
          <w:rFonts w:cstheme="minorHAnsi"/>
          <w:vertAlign w:val="superscript"/>
        </w:rPr>
        <w:t>th</w:t>
      </w:r>
      <w:r w:rsidRPr="00832875">
        <w:rPr>
          <w:rFonts w:cstheme="minorHAnsi"/>
        </w:rPr>
        <w:t xml:space="preserve"> August 2024)</w:t>
      </w:r>
    </w:p>
    <w:p w14:paraId="0A5A47E2" w14:textId="77777777" w:rsidR="00CA4184" w:rsidRPr="00830CBD" w:rsidRDefault="00CA4184" w:rsidP="00CA4184">
      <w:pPr>
        <w:pStyle w:val="NormalWeb"/>
        <w:numPr>
          <w:ilvl w:val="0"/>
          <w:numId w:val="11"/>
        </w:numPr>
        <w:spacing w:after="0" w:afterAutospacing="0"/>
        <w:rPr>
          <w:rFonts w:asciiTheme="minorHAnsi" w:hAnsiTheme="minorHAnsi" w:cstheme="minorHAnsi"/>
          <w:sz w:val="22"/>
          <w:szCs w:val="22"/>
        </w:rPr>
      </w:pPr>
      <w:r w:rsidRPr="00830CBD">
        <w:rPr>
          <w:rFonts w:asciiTheme="minorHAnsi" w:hAnsiTheme="minorHAnsi" w:cstheme="minorHAnsi"/>
          <w:sz w:val="22"/>
          <w:szCs w:val="22"/>
        </w:rPr>
        <w:t xml:space="preserve">CIPD (2024) </w:t>
      </w:r>
      <w:r w:rsidRPr="00830CBD">
        <w:rPr>
          <w:rFonts w:asciiTheme="minorHAnsi" w:hAnsiTheme="minorHAnsi" w:cstheme="minorHAnsi"/>
          <w:i/>
          <w:iCs/>
          <w:sz w:val="22"/>
          <w:szCs w:val="22"/>
        </w:rPr>
        <w:t xml:space="preserve">Equal pay: UK employment law. </w:t>
      </w:r>
      <w:r w:rsidRPr="00830CBD">
        <w:rPr>
          <w:rFonts w:asciiTheme="minorHAnsi" w:hAnsiTheme="minorHAnsi" w:cstheme="minorHAnsi"/>
          <w:sz w:val="22"/>
          <w:szCs w:val="22"/>
        </w:rPr>
        <w:t xml:space="preserve">Available at: </w:t>
      </w:r>
      <w:hyperlink r:id="rId16" w:history="1">
        <w:r w:rsidRPr="00832875">
          <w:rPr>
            <w:rStyle w:val="Hyperlink"/>
            <w:rFonts w:asciiTheme="minorHAnsi" w:hAnsiTheme="minorHAnsi" w:cstheme="minorHAnsi"/>
            <w:sz w:val="22"/>
            <w:szCs w:val="22"/>
          </w:rPr>
          <w:t>https://www.cipd.org/uk/knowledge/employment-law/equal-pay/</w:t>
        </w:r>
      </w:hyperlink>
      <w:r w:rsidRPr="00830CBD">
        <w:rPr>
          <w:rFonts w:asciiTheme="minorHAnsi" w:hAnsiTheme="minorHAnsi" w:cstheme="minorHAnsi"/>
          <w:sz w:val="22"/>
          <w:szCs w:val="22"/>
        </w:rPr>
        <w:t xml:space="preserve"> (Accessed: </w:t>
      </w:r>
      <w:r w:rsidRPr="00832875">
        <w:rPr>
          <w:rFonts w:asciiTheme="minorHAnsi" w:hAnsiTheme="minorHAnsi" w:cstheme="minorHAnsi"/>
          <w:sz w:val="22"/>
          <w:szCs w:val="22"/>
        </w:rPr>
        <w:t>7</w:t>
      </w:r>
      <w:r w:rsidRPr="00832875">
        <w:rPr>
          <w:rFonts w:asciiTheme="minorHAnsi" w:hAnsiTheme="minorHAnsi" w:cstheme="minorHAnsi"/>
          <w:sz w:val="22"/>
          <w:szCs w:val="22"/>
          <w:vertAlign w:val="superscript"/>
        </w:rPr>
        <w:t>th</w:t>
      </w:r>
      <w:r w:rsidRPr="00832875">
        <w:rPr>
          <w:rFonts w:asciiTheme="minorHAnsi" w:hAnsiTheme="minorHAnsi" w:cstheme="minorHAnsi"/>
          <w:sz w:val="22"/>
          <w:szCs w:val="22"/>
        </w:rPr>
        <w:t xml:space="preserve"> August </w:t>
      </w:r>
      <w:r w:rsidRPr="00830CBD">
        <w:rPr>
          <w:rFonts w:asciiTheme="minorHAnsi" w:hAnsiTheme="minorHAnsi" w:cstheme="minorHAnsi"/>
          <w:sz w:val="22"/>
          <w:szCs w:val="22"/>
        </w:rPr>
        <w:t>2024)</w:t>
      </w:r>
    </w:p>
    <w:p w14:paraId="44846412" w14:textId="77777777" w:rsidR="00CA4184" w:rsidRPr="00832875" w:rsidRDefault="00CA4184" w:rsidP="00CA4184">
      <w:pPr>
        <w:pStyle w:val="Listparag"/>
        <w:numPr>
          <w:ilvl w:val="0"/>
          <w:numId w:val="11"/>
        </w:numPr>
        <w:spacing w:after="0"/>
        <w:rPr>
          <w:b/>
          <w:bCs/>
        </w:rPr>
      </w:pPr>
      <w:r w:rsidRPr="00832875">
        <w:t xml:space="preserve">Cotton, C. (2024a) </w:t>
      </w:r>
      <w:r w:rsidRPr="00832875">
        <w:rPr>
          <w:i/>
          <w:iCs/>
        </w:rPr>
        <w:t xml:space="preserve">Reward: an introduction </w:t>
      </w:r>
      <w:r w:rsidRPr="00832875">
        <w:t xml:space="preserve">Available at:  </w:t>
      </w:r>
      <w:hyperlink r:id="rId17" w:history="1">
        <w:r w:rsidRPr="00832875">
          <w:rPr>
            <w:rStyle w:val="Hyperlink"/>
          </w:rPr>
          <w:t>https://www.cipd.org/uk/knowledge/factsheets/reward-factsheet/</w:t>
        </w:r>
      </w:hyperlink>
      <w:r w:rsidRPr="00832875">
        <w:t xml:space="preserve"> (Accessed 5</w:t>
      </w:r>
      <w:r w:rsidRPr="00832875">
        <w:rPr>
          <w:vertAlign w:val="superscript"/>
        </w:rPr>
        <w:t>th</w:t>
      </w:r>
      <w:r w:rsidRPr="00832875">
        <w:t xml:space="preserve"> August 2024)</w:t>
      </w:r>
    </w:p>
    <w:p w14:paraId="25FFDE82" w14:textId="77777777" w:rsidR="00CA4184" w:rsidRPr="00832875" w:rsidRDefault="00CA4184" w:rsidP="00CA4184">
      <w:pPr>
        <w:pStyle w:val="Listparag"/>
        <w:numPr>
          <w:ilvl w:val="0"/>
          <w:numId w:val="11"/>
        </w:numPr>
        <w:spacing w:after="0"/>
        <w:rPr>
          <w:b/>
          <w:bCs/>
        </w:rPr>
      </w:pPr>
      <w:r w:rsidRPr="00832875">
        <w:t xml:space="preserve">Cotton, C. (2024b) </w:t>
      </w:r>
      <w:r w:rsidRPr="00832875">
        <w:rPr>
          <w:i/>
          <w:iCs/>
        </w:rPr>
        <w:t xml:space="preserve">Pay Structures and Pay Progression </w:t>
      </w:r>
      <w:r w:rsidRPr="00832875">
        <w:t xml:space="preserve">Available at:  </w:t>
      </w:r>
      <w:hyperlink r:id="rId18" w:history="1">
        <w:r w:rsidRPr="00832875">
          <w:rPr>
            <w:rStyle w:val="Hyperlink"/>
          </w:rPr>
          <w:t>https://www.cipd.org/uk/knowledge/factsheets/pay-structures-factsheet/</w:t>
        </w:r>
      </w:hyperlink>
      <w:r w:rsidRPr="00832875">
        <w:t xml:space="preserve"> (Accessed 5</w:t>
      </w:r>
      <w:r w:rsidRPr="00832875">
        <w:rPr>
          <w:vertAlign w:val="superscript"/>
        </w:rPr>
        <w:t>th</w:t>
      </w:r>
      <w:r w:rsidRPr="00832875">
        <w:t xml:space="preserve"> August 2024) </w:t>
      </w:r>
    </w:p>
    <w:p w14:paraId="6407DE24" w14:textId="77777777" w:rsidR="00CA4184" w:rsidRPr="00832875" w:rsidRDefault="00CA4184" w:rsidP="00CA4184">
      <w:pPr>
        <w:pStyle w:val="Listparag"/>
        <w:numPr>
          <w:ilvl w:val="0"/>
          <w:numId w:val="11"/>
        </w:numPr>
        <w:spacing w:after="0"/>
        <w:rPr>
          <w:b/>
          <w:bCs/>
        </w:rPr>
      </w:pPr>
      <w:r w:rsidRPr="00832875">
        <w:t xml:space="preserve">Cotton, C. (2024c) </w:t>
      </w:r>
      <w:r w:rsidRPr="00832875">
        <w:rPr>
          <w:i/>
          <w:iCs/>
        </w:rPr>
        <w:t xml:space="preserve">Employee benefits: an introduction </w:t>
      </w:r>
      <w:r w:rsidRPr="00832875">
        <w:t xml:space="preserve">Available at:  </w:t>
      </w:r>
      <w:hyperlink r:id="rId19" w:history="1">
        <w:r w:rsidRPr="00832875">
          <w:rPr>
            <w:rStyle w:val="Hyperlink"/>
          </w:rPr>
          <w:t>https://www.cipd.org/uk/knowledge/factsheets/benefits-factsheet/</w:t>
        </w:r>
      </w:hyperlink>
      <w:r w:rsidRPr="00832875">
        <w:t xml:space="preserve"> (Accessed 6</w:t>
      </w:r>
      <w:r w:rsidRPr="00832875">
        <w:rPr>
          <w:vertAlign w:val="superscript"/>
        </w:rPr>
        <w:t>th</w:t>
      </w:r>
      <w:r w:rsidRPr="00832875">
        <w:t xml:space="preserve"> August 2024)</w:t>
      </w:r>
    </w:p>
    <w:p w14:paraId="1CE1FEC5" w14:textId="77777777" w:rsidR="00CA4184" w:rsidRPr="00521CE3" w:rsidRDefault="00CA4184" w:rsidP="00CA4184">
      <w:pPr>
        <w:pStyle w:val="ListParagraph"/>
        <w:numPr>
          <w:ilvl w:val="0"/>
          <w:numId w:val="11"/>
        </w:numPr>
        <w:spacing w:after="0" w:line="240" w:lineRule="auto"/>
        <w:rPr>
          <w:rFonts w:cstheme="minorHAnsi"/>
        </w:rPr>
      </w:pPr>
      <w:r w:rsidRPr="00832875">
        <w:rPr>
          <w:rFonts w:cstheme="minorHAnsi"/>
        </w:rPr>
        <w:t xml:space="preserve">Cotton, C. (2024d) </w:t>
      </w:r>
      <w:r w:rsidRPr="00832875">
        <w:rPr>
          <w:rFonts w:cstheme="minorHAnsi"/>
          <w:i/>
          <w:iCs/>
        </w:rPr>
        <w:t xml:space="preserve">Job evaluation and market pricing </w:t>
      </w:r>
      <w:r w:rsidRPr="00832875">
        <w:rPr>
          <w:rFonts w:cstheme="minorHAnsi"/>
        </w:rPr>
        <w:t xml:space="preserve">Available at:  </w:t>
      </w:r>
      <w:hyperlink r:id="rId20" w:history="1">
        <w:r w:rsidRPr="00832875">
          <w:rPr>
            <w:rStyle w:val="Hyperlink"/>
            <w:rFonts w:cstheme="minorHAnsi"/>
          </w:rPr>
          <w:t>https://www.cipd.org/uk/knowledge/factsheets/market-pricing-factsheet/</w:t>
        </w:r>
      </w:hyperlink>
      <w:r w:rsidRPr="00832875">
        <w:rPr>
          <w:rFonts w:cstheme="minorHAnsi"/>
        </w:rPr>
        <w:t xml:space="preserve"> (Accessed 7</w:t>
      </w:r>
      <w:r w:rsidRPr="00832875">
        <w:rPr>
          <w:rFonts w:cstheme="minorHAnsi"/>
          <w:vertAlign w:val="superscript"/>
        </w:rPr>
        <w:t>th</w:t>
      </w:r>
      <w:r w:rsidRPr="00832875">
        <w:rPr>
          <w:rFonts w:cstheme="minorHAnsi"/>
        </w:rPr>
        <w:t xml:space="preserve"> </w:t>
      </w:r>
      <w:r w:rsidRPr="00521CE3">
        <w:rPr>
          <w:rFonts w:cstheme="minorHAnsi"/>
        </w:rPr>
        <w:t xml:space="preserve">August 2024) </w:t>
      </w:r>
    </w:p>
    <w:p w14:paraId="24F7906D" w14:textId="77777777" w:rsidR="00CA4184" w:rsidRPr="00521CE3" w:rsidRDefault="00CA4184" w:rsidP="00CA4184">
      <w:pPr>
        <w:pStyle w:val="ListParagraph"/>
        <w:numPr>
          <w:ilvl w:val="0"/>
          <w:numId w:val="11"/>
        </w:numPr>
        <w:spacing w:after="0" w:line="240" w:lineRule="auto"/>
        <w:rPr>
          <w:rFonts w:cstheme="minorHAnsi"/>
        </w:rPr>
      </w:pPr>
      <w:r w:rsidRPr="00521CE3">
        <w:rPr>
          <w:rFonts w:cstheme="minorHAnsi"/>
        </w:rPr>
        <w:t xml:space="preserve">Cotton, C. (2024e) </w:t>
      </w:r>
      <w:r w:rsidRPr="00521CE3">
        <w:rPr>
          <w:rFonts w:cstheme="minorHAnsi"/>
          <w:i/>
          <w:iCs/>
        </w:rPr>
        <w:t xml:space="preserve">Strategic reward and total reward </w:t>
      </w:r>
      <w:r w:rsidRPr="00521CE3">
        <w:rPr>
          <w:rFonts w:cstheme="minorHAnsi"/>
        </w:rPr>
        <w:t xml:space="preserve">Available at:  </w:t>
      </w:r>
      <w:hyperlink r:id="rId21" w:history="1">
        <w:r w:rsidRPr="00521CE3">
          <w:rPr>
            <w:rStyle w:val="Hyperlink"/>
            <w:rFonts w:cstheme="minorHAnsi"/>
          </w:rPr>
          <w:t>https://www.cipd.org/uk/knowledge/factsheets/strategic-total-factsheet/</w:t>
        </w:r>
      </w:hyperlink>
      <w:r w:rsidRPr="00521CE3">
        <w:rPr>
          <w:rFonts w:cstheme="minorHAnsi"/>
        </w:rPr>
        <w:t xml:space="preserve"> (Accessed 8</w:t>
      </w:r>
      <w:r w:rsidRPr="00521CE3">
        <w:rPr>
          <w:rFonts w:cstheme="minorHAnsi"/>
          <w:vertAlign w:val="superscript"/>
        </w:rPr>
        <w:t>th</w:t>
      </w:r>
      <w:r w:rsidRPr="00521CE3">
        <w:rPr>
          <w:rFonts w:cstheme="minorHAnsi"/>
        </w:rPr>
        <w:t xml:space="preserve"> August 2024)</w:t>
      </w:r>
    </w:p>
    <w:p w14:paraId="486C7CAA" w14:textId="77777777" w:rsidR="00CA4184" w:rsidRPr="00832875" w:rsidRDefault="00CA4184" w:rsidP="00CA4184">
      <w:pPr>
        <w:pStyle w:val="Listparag"/>
        <w:numPr>
          <w:ilvl w:val="0"/>
          <w:numId w:val="11"/>
        </w:numPr>
        <w:spacing w:after="0"/>
        <w:rPr>
          <w:b/>
          <w:bCs/>
        </w:rPr>
      </w:pPr>
      <w:r w:rsidRPr="00832875">
        <w:t>Cotton, C., Gifford, J. and Young, J. (2022) Incentives and recognition: an evidence review. Practice summary and recommendations. London: Chartered Institute of Personnel and Development.</w:t>
      </w:r>
    </w:p>
    <w:p w14:paraId="04F76226" w14:textId="77777777" w:rsidR="00CA4184" w:rsidRPr="00832875" w:rsidRDefault="00CA4184" w:rsidP="00CA4184">
      <w:pPr>
        <w:pStyle w:val="ListParagraph"/>
        <w:numPr>
          <w:ilvl w:val="0"/>
          <w:numId w:val="11"/>
        </w:numPr>
        <w:spacing w:after="0"/>
        <w:rPr>
          <w:rFonts w:eastAsia="Calibri" w:cstheme="minorHAnsi"/>
        </w:rPr>
      </w:pPr>
      <w:r w:rsidRPr="00832875">
        <w:rPr>
          <w:rFonts w:eastAsia="Calibri" w:cstheme="minorHAnsi"/>
        </w:rPr>
        <w:lastRenderedPageBreak/>
        <w:t xml:space="preserve">Dewar, K. (2024) </w:t>
      </w:r>
      <w:r w:rsidRPr="00832875">
        <w:rPr>
          <w:rFonts w:eastAsia="Calibri" w:cstheme="minorHAnsi"/>
          <w:i/>
          <w:iCs/>
        </w:rPr>
        <w:t xml:space="preserve">4 Types of Recognition for Employees </w:t>
      </w:r>
      <w:r w:rsidRPr="00832875">
        <w:rPr>
          <w:rFonts w:eastAsia="Calibri" w:cstheme="minorHAnsi"/>
        </w:rPr>
        <w:t xml:space="preserve">Available at:  </w:t>
      </w:r>
      <w:hyperlink r:id="rId22" w:history="1">
        <w:r w:rsidRPr="00832875">
          <w:rPr>
            <w:rStyle w:val="Hyperlink"/>
            <w:rFonts w:cstheme="minorHAnsi"/>
          </w:rPr>
          <w:t>https://www.achievers.com/blog/4-types-of-recognition-for-employees/</w:t>
        </w:r>
      </w:hyperlink>
      <w:r w:rsidRPr="00832875">
        <w:rPr>
          <w:rFonts w:cstheme="minorHAnsi"/>
        </w:rPr>
        <w:t xml:space="preserve"> (Accessed 6</w:t>
      </w:r>
      <w:r w:rsidRPr="00832875">
        <w:rPr>
          <w:rFonts w:cstheme="minorHAnsi"/>
          <w:vertAlign w:val="superscript"/>
        </w:rPr>
        <w:t>th</w:t>
      </w:r>
      <w:r w:rsidRPr="00832875">
        <w:rPr>
          <w:rFonts w:cstheme="minorHAnsi"/>
        </w:rPr>
        <w:t xml:space="preserve"> August 2024)</w:t>
      </w:r>
    </w:p>
    <w:p w14:paraId="217CFDDC" w14:textId="77777777" w:rsidR="00CA4184" w:rsidRPr="00832875" w:rsidRDefault="00CA4184" w:rsidP="00CA4184">
      <w:pPr>
        <w:pStyle w:val="ListParagraph"/>
        <w:numPr>
          <w:ilvl w:val="0"/>
          <w:numId w:val="11"/>
        </w:numPr>
        <w:spacing w:after="0" w:line="240" w:lineRule="auto"/>
        <w:rPr>
          <w:rFonts w:eastAsia="Times New Roman" w:cstheme="minorHAnsi"/>
          <w:lang w:eastAsia="en-GB"/>
        </w:rPr>
      </w:pPr>
      <w:r w:rsidRPr="00832875">
        <w:rPr>
          <w:rFonts w:cstheme="minorHAnsi"/>
          <w:i/>
          <w:iCs/>
        </w:rPr>
        <w:t xml:space="preserve">Equality Act 2010 </w:t>
      </w:r>
      <w:r w:rsidRPr="00832875">
        <w:rPr>
          <w:rFonts w:cstheme="minorHAnsi"/>
        </w:rPr>
        <w:t xml:space="preserve">Available at: </w:t>
      </w:r>
      <w:hyperlink r:id="rId23" w:history="1">
        <w:r w:rsidRPr="00832875">
          <w:rPr>
            <w:rStyle w:val="Hyperlink"/>
            <w:rFonts w:cstheme="minorHAnsi"/>
          </w:rPr>
          <w:t>https://www.legislation.gov.uk/ukpga/2010/15/contents</w:t>
        </w:r>
      </w:hyperlink>
      <w:r w:rsidRPr="00832875">
        <w:rPr>
          <w:rFonts w:cstheme="minorHAnsi"/>
        </w:rPr>
        <w:t xml:space="preserve"> (Accessed 6</w:t>
      </w:r>
      <w:r w:rsidRPr="00832875">
        <w:rPr>
          <w:rFonts w:cstheme="minorHAnsi"/>
          <w:vertAlign w:val="superscript"/>
        </w:rPr>
        <w:t>th</w:t>
      </w:r>
      <w:r w:rsidRPr="00832875">
        <w:rPr>
          <w:rFonts w:cstheme="minorHAnsi"/>
        </w:rPr>
        <w:t xml:space="preserve"> August 2024)</w:t>
      </w:r>
    </w:p>
    <w:p w14:paraId="5323A149" w14:textId="77777777" w:rsidR="00CA4184" w:rsidRPr="00832875" w:rsidRDefault="00CA4184" w:rsidP="00CA4184">
      <w:pPr>
        <w:pStyle w:val="Listparag"/>
        <w:numPr>
          <w:ilvl w:val="0"/>
          <w:numId w:val="11"/>
        </w:numPr>
        <w:spacing w:after="0"/>
      </w:pPr>
      <w:r w:rsidRPr="00832875">
        <w:t xml:space="preserve">Francis-Devine, B. and Powell, A. (2024) </w:t>
      </w:r>
      <w:r w:rsidRPr="00832875">
        <w:rPr>
          <w:i/>
          <w:iCs/>
        </w:rPr>
        <w:t xml:space="preserve">UK labour market statistics. </w:t>
      </w:r>
      <w:r w:rsidRPr="00832875">
        <w:t xml:space="preserve">Available at:  </w:t>
      </w:r>
      <w:hyperlink r:id="rId24" w:history="1">
        <w:r w:rsidRPr="00832875">
          <w:rPr>
            <w:rStyle w:val="Hyperlink"/>
          </w:rPr>
          <w:t>https://researchbriefings.files.parliament.uk/documents/CBP-9366/CBP-9366.pdf</w:t>
        </w:r>
      </w:hyperlink>
      <w:r w:rsidRPr="00832875">
        <w:t xml:space="preserve"> (Accessed 6</w:t>
      </w:r>
      <w:r w:rsidRPr="00832875">
        <w:rPr>
          <w:vertAlign w:val="superscript"/>
        </w:rPr>
        <w:t>th</w:t>
      </w:r>
      <w:r w:rsidRPr="00832875">
        <w:t xml:space="preserve"> August 2024)</w:t>
      </w:r>
    </w:p>
    <w:p w14:paraId="18EF487C" w14:textId="77777777" w:rsidR="00CA4184" w:rsidRPr="00832875" w:rsidRDefault="00CA4184" w:rsidP="00CA4184">
      <w:pPr>
        <w:pStyle w:val="NormalWeb"/>
        <w:numPr>
          <w:ilvl w:val="0"/>
          <w:numId w:val="11"/>
        </w:numPr>
        <w:spacing w:before="0" w:beforeAutospacing="0" w:after="0" w:afterAutospacing="0"/>
        <w:rPr>
          <w:rFonts w:asciiTheme="minorHAnsi" w:hAnsiTheme="minorHAnsi" w:cstheme="minorHAnsi"/>
          <w:sz w:val="22"/>
          <w:szCs w:val="22"/>
        </w:rPr>
      </w:pPr>
      <w:r w:rsidRPr="00832875">
        <w:rPr>
          <w:rFonts w:asciiTheme="minorHAnsi" w:hAnsiTheme="minorHAnsi" w:cstheme="minorHAnsi"/>
          <w:sz w:val="22"/>
          <w:szCs w:val="22"/>
        </w:rPr>
        <w:t xml:space="preserve">Francis-Devine, B., Harari, D., Keep, M., Bolton, P., Barton, C. and Harker, R. (2024). Rising Cost of Living in the UK. </w:t>
      </w:r>
      <w:r w:rsidRPr="00832875">
        <w:rPr>
          <w:rFonts w:asciiTheme="minorHAnsi" w:hAnsiTheme="minorHAnsi" w:cstheme="minorHAnsi"/>
          <w:i/>
          <w:iCs/>
          <w:sz w:val="22"/>
          <w:szCs w:val="22"/>
        </w:rPr>
        <w:t>House of Commons Library</w:t>
      </w:r>
      <w:r w:rsidRPr="00832875">
        <w:rPr>
          <w:rFonts w:asciiTheme="minorHAnsi" w:hAnsiTheme="minorHAnsi" w:cstheme="minorHAnsi"/>
          <w:sz w:val="22"/>
          <w:szCs w:val="22"/>
        </w:rPr>
        <w:t xml:space="preserve">, [online] 9428(1). Available at: </w:t>
      </w:r>
      <w:hyperlink r:id="rId25" w:history="1">
        <w:r w:rsidRPr="00832875">
          <w:rPr>
            <w:rStyle w:val="Hyperlink"/>
            <w:rFonts w:asciiTheme="minorHAnsi" w:hAnsiTheme="minorHAnsi" w:cstheme="minorHAnsi"/>
            <w:sz w:val="22"/>
            <w:szCs w:val="22"/>
          </w:rPr>
          <w:t>https://commonslibrary.parliament.uk/research-briefings/cbp-9428/</w:t>
        </w:r>
      </w:hyperlink>
      <w:r w:rsidRPr="00832875">
        <w:rPr>
          <w:rFonts w:asciiTheme="minorHAnsi" w:hAnsiTheme="minorHAnsi" w:cstheme="minorHAnsi"/>
          <w:sz w:val="22"/>
          <w:szCs w:val="22"/>
        </w:rPr>
        <w:t xml:space="preserve"> (Accessed 6</w:t>
      </w:r>
      <w:r w:rsidRPr="00832875">
        <w:rPr>
          <w:rFonts w:asciiTheme="minorHAnsi" w:hAnsiTheme="minorHAnsi" w:cstheme="minorHAnsi"/>
          <w:sz w:val="22"/>
          <w:szCs w:val="22"/>
          <w:vertAlign w:val="superscript"/>
        </w:rPr>
        <w:t>th</w:t>
      </w:r>
      <w:r w:rsidRPr="00832875">
        <w:rPr>
          <w:rFonts w:asciiTheme="minorHAnsi" w:hAnsiTheme="minorHAnsi" w:cstheme="minorHAnsi"/>
          <w:sz w:val="22"/>
          <w:szCs w:val="22"/>
        </w:rPr>
        <w:t xml:space="preserve"> August 2024)</w:t>
      </w:r>
    </w:p>
    <w:p w14:paraId="2EBC8428" w14:textId="77777777" w:rsidR="00CA4184" w:rsidRPr="001303D2" w:rsidRDefault="00CA4184" w:rsidP="00CA4184">
      <w:pPr>
        <w:pStyle w:val="Listparag"/>
        <w:numPr>
          <w:ilvl w:val="0"/>
          <w:numId w:val="11"/>
        </w:numPr>
        <w:spacing w:after="0"/>
        <w:rPr>
          <w:b/>
          <w:bCs/>
        </w:rPr>
      </w:pPr>
      <w:r w:rsidRPr="00832875">
        <w:t xml:space="preserve">Gallup (2024) </w:t>
      </w:r>
      <w:r w:rsidRPr="00832875">
        <w:rPr>
          <w:i/>
          <w:iCs/>
        </w:rPr>
        <w:t xml:space="preserve">Employee Recognition. Low Cost, High Impact </w:t>
      </w:r>
      <w:r w:rsidRPr="00832875">
        <w:t xml:space="preserve">Available at:  </w:t>
      </w:r>
      <w:hyperlink r:id="rId26" w:history="1">
        <w:r w:rsidRPr="00832875">
          <w:rPr>
            <w:rStyle w:val="Hyperlink"/>
          </w:rPr>
          <w:t>https://www.gallup.com/workplace/236441/employee-recognition-low-cost-high-impact.aspx</w:t>
        </w:r>
      </w:hyperlink>
      <w:r w:rsidRPr="00832875">
        <w:t xml:space="preserve"> (Accessed 6</w:t>
      </w:r>
      <w:r w:rsidRPr="00832875">
        <w:rPr>
          <w:vertAlign w:val="superscript"/>
        </w:rPr>
        <w:t>th</w:t>
      </w:r>
      <w:r w:rsidRPr="00832875">
        <w:t xml:space="preserve"> August 2024)</w:t>
      </w:r>
    </w:p>
    <w:p w14:paraId="1126B479" w14:textId="77777777" w:rsidR="00CA4184" w:rsidRPr="005025C3" w:rsidRDefault="00CA4184" w:rsidP="00CA4184">
      <w:pPr>
        <w:pStyle w:val="ListParagraph"/>
        <w:numPr>
          <w:ilvl w:val="0"/>
          <w:numId w:val="11"/>
        </w:numPr>
        <w:spacing w:after="0"/>
        <w:rPr>
          <w:rFonts w:cstheme="minorHAnsi"/>
          <w:b/>
          <w:bCs/>
        </w:rPr>
      </w:pPr>
      <w:proofErr w:type="spellStart"/>
      <w:r w:rsidRPr="005025C3">
        <w:rPr>
          <w:rFonts w:cstheme="minorHAnsi"/>
        </w:rPr>
        <w:t>Geropp</w:t>
      </w:r>
      <w:proofErr w:type="spellEnd"/>
      <w:r w:rsidRPr="005025C3">
        <w:rPr>
          <w:rFonts w:cstheme="minorHAnsi"/>
        </w:rPr>
        <w:t xml:space="preserve">, B. (2019) </w:t>
      </w:r>
      <w:r w:rsidRPr="005025C3">
        <w:rPr>
          <w:rFonts w:cstheme="minorHAnsi"/>
          <w:i/>
          <w:iCs/>
        </w:rPr>
        <w:t xml:space="preserve">How to motivate employees in the workplace – Extrinsic motivation vs intrinsic motivation </w:t>
      </w:r>
      <w:r w:rsidRPr="005025C3">
        <w:rPr>
          <w:rFonts w:cstheme="minorHAnsi"/>
        </w:rPr>
        <w:t xml:space="preserve">Available at:  </w:t>
      </w:r>
      <w:hyperlink r:id="rId27" w:history="1">
        <w:r w:rsidRPr="005025C3">
          <w:rPr>
            <w:rStyle w:val="Hyperlink"/>
            <w:rFonts w:cstheme="minorHAnsi"/>
          </w:rPr>
          <w:t>https://www.bing.com/videos/search?q=intrinsic+motivation+and+extrinsic+motivation+and+work&amp;docid=608004551729678760&amp;mid=145EE56D12C707740854145EE56D12C707740854&amp;view=detail&amp;FORM=VIRE</w:t>
        </w:r>
      </w:hyperlink>
      <w:r w:rsidRPr="005025C3">
        <w:rPr>
          <w:rFonts w:cstheme="minorHAnsi"/>
        </w:rPr>
        <w:t xml:space="preserve"> (Accessed 3</w:t>
      </w:r>
      <w:r w:rsidRPr="005025C3">
        <w:rPr>
          <w:rFonts w:cstheme="minorHAnsi"/>
          <w:vertAlign w:val="superscript"/>
        </w:rPr>
        <w:t xml:space="preserve">rd </w:t>
      </w:r>
      <w:r w:rsidRPr="005025C3">
        <w:rPr>
          <w:rFonts w:cstheme="minorHAnsi"/>
        </w:rPr>
        <w:t xml:space="preserve">August 2024) </w:t>
      </w:r>
    </w:p>
    <w:p w14:paraId="14E63371" w14:textId="77777777" w:rsidR="00CA4184" w:rsidRPr="00E85A3C" w:rsidRDefault="00CA4184" w:rsidP="00CA4184">
      <w:pPr>
        <w:pStyle w:val="Listparag"/>
        <w:numPr>
          <w:ilvl w:val="0"/>
          <w:numId w:val="11"/>
        </w:numPr>
        <w:spacing w:after="0"/>
        <w:rPr>
          <w:b/>
          <w:bCs/>
        </w:rPr>
      </w:pPr>
      <w:r w:rsidRPr="00E85A3C">
        <w:t xml:space="preserve">Glassdoor (2021) </w:t>
      </w:r>
      <w:r w:rsidRPr="00E85A3C">
        <w:rPr>
          <w:i/>
          <w:iCs/>
        </w:rPr>
        <w:t xml:space="preserve">Intrinsic Rewards: Why They Matter In The Workplace </w:t>
      </w:r>
      <w:r w:rsidRPr="00E85A3C">
        <w:t xml:space="preserve">Available at:  </w:t>
      </w:r>
      <w:hyperlink r:id="rId28" w:history="1">
        <w:r>
          <w:rPr>
            <w:rStyle w:val="Hyperlink"/>
          </w:rPr>
          <w:t>https://www.glassdoor.com/blog/guide/intrinsic-rewards/</w:t>
        </w:r>
      </w:hyperlink>
      <w:r w:rsidRPr="00E85A3C">
        <w:t xml:space="preserve"> (Accessed 4</w:t>
      </w:r>
      <w:r w:rsidRPr="00E85A3C">
        <w:rPr>
          <w:vertAlign w:val="superscript"/>
        </w:rPr>
        <w:t>th</w:t>
      </w:r>
      <w:r w:rsidRPr="00E85A3C">
        <w:t xml:space="preserve"> August 2024) </w:t>
      </w:r>
    </w:p>
    <w:p w14:paraId="5E503357" w14:textId="77777777" w:rsidR="00CA4184" w:rsidRPr="00832875" w:rsidRDefault="00CA4184" w:rsidP="00CA4184">
      <w:pPr>
        <w:pStyle w:val="Listparag"/>
        <w:numPr>
          <w:ilvl w:val="0"/>
          <w:numId w:val="11"/>
        </w:numPr>
        <w:spacing w:after="0"/>
        <w:rPr>
          <w:b/>
          <w:bCs/>
        </w:rPr>
      </w:pPr>
      <w:r w:rsidRPr="00832875">
        <w:t xml:space="preserve">GOV.UK (2024) </w:t>
      </w:r>
      <w:r w:rsidRPr="00832875">
        <w:rPr>
          <w:i/>
          <w:iCs/>
        </w:rPr>
        <w:t xml:space="preserve">Who needs to report </w:t>
      </w:r>
      <w:r w:rsidRPr="00832875">
        <w:t xml:space="preserve">Available at:  </w:t>
      </w:r>
      <w:hyperlink r:id="rId29" w:history="1">
        <w:r w:rsidRPr="00832875">
          <w:rPr>
            <w:rStyle w:val="Hyperlink"/>
          </w:rPr>
          <w:t>https://www.gov.uk/government/publications/gender-pay-gap-reporting-guidance-for-employers/who-needs-to-report</w:t>
        </w:r>
      </w:hyperlink>
      <w:r w:rsidRPr="00832875">
        <w:t xml:space="preserve"> (Accessed 7</w:t>
      </w:r>
      <w:r w:rsidRPr="00832875">
        <w:rPr>
          <w:vertAlign w:val="superscript"/>
        </w:rPr>
        <w:t>th</w:t>
      </w:r>
      <w:r w:rsidRPr="00832875">
        <w:t xml:space="preserve"> August 2024)</w:t>
      </w:r>
    </w:p>
    <w:p w14:paraId="45CE80C6" w14:textId="77777777" w:rsidR="00CA4184" w:rsidRPr="00832875" w:rsidRDefault="00CA4184" w:rsidP="00CA4184">
      <w:pPr>
        <w:pStyle w:val="NormalWeb"/>
        <w:numPr>
          <w:ilvl w:val="0"/>
          <w:numId w:val="11"/>
        </w:numPr>
        <w:spacing w:before="0" w:beforeAutospacing="0" w:after="0" w:afterAutospacing="0"/>
        <w:rPr>
          <w:rFonts w:asciiTheme="minorHAnsi" w:hAnsiTheme="minorHAnsi" w:cstheme="minorHAnsi"/>
          <w:b/>
          <w:bCs/>
          <w:sz w:val="22"/>
          <w:szCs w:val="22"/>
        </w:rPr>
      </w:pPr>
      <w:proofErr w:type="spellStart"/>
      <w:r w:rsidRPr="00832875">
        <w:rPr>
          <w:rFonts w:asciiTheme="minorHAnsi" w:hAnsiTheme="minorHAnsi" w:cstheme="minorHAnsi"/>
          <w:sz w:val="22"/>
          <w:szCs w:val="22"/>
        </w:rPr>
        <w:t>Haan</w:t>
      </w:r>
      <w:proofErr w:type="spellEnd"/>
      <w:r w:rsidRPr="00832875">
        <w:rPr>
          <w:rFonts w:asciiTheme="minorHAnsi" w:hAnsiTheme="minorHAnsi" w:cstheme="minorHAnsi"/>
          <w:sz w:val="22"/>
          <w:szCs w:val="22"/>
        </w:rPr>
        <w:t xml:space="preserve">, K., Bottorff, C. and Haskins, J. (2023). </w:t>
      </w:r>
      <w:r w:rsidRPr="00832875">
        <w:rPr>
          <w:rFonts w:asciiTheme="minorHAnsi" w:hAnsiTheme="minorHAnsi" w:cstheme="minorHAnsi"/>
          <w:i/>
          <w:iCs/>
          <w:sz w:val="22"/>
          <w:szCs w:val="22"/>
        </w:rPr>
        <w:t>Employee Benefits In 2022: The Ultimate Guide – Forbes Advisor</w:t>
      </w:r>
      <w:r w:rsidRPr="00832875">
        <w:rPr>
          <w:rFonts w:asciiTheme="minorHAnsi" w:hAnsiTheme="minorHAnsi" w:cstheme="minorHAnsi"/>
          <w:sz w:val="22"/>
          <w:szCs w:val="22"/>
        </w:rPr>
        <w:t xml:space="preserve"> Available at: </w:t>
      </w:r>
      <w:hyperlink r:id="rId30" w:history="1">
        <w:r w:rsidRPr="00832875">
          <w:rPr>
            <w:rStyle w:val="Hyperlink"/>
            <w:rFonts w:asciiTheme="minorHAnsi" w:hAnsiTheme="minorHAnsi" w:cstheme="minorHAnsi"/>
            <w:sz w:val="22"/>
            <w:szCs w:val="22"/>
          </w:rPr>
          <w:t>https://www.forbes.com/advisor/business/employee-benefits/</w:t>
        </w:r>
      </w:hyperlink>
      <w:r w:rsidRPr="00832875">
        <w:rPr>
          <w:rFonts w:asciiTheme="minorHAnsi" w:hAnsiTheme="minorHAnsi" w:cstheme="minorHAnsi"/>
          <w:sz w:val="22"/>
          <w:szCs w:val="22"/>
        </w:rPr>
        <w:t xml:space="preserve"> </w:t>
      </w:r>
    </w:p>
    <w:p w14:paraId="1E2F028D" w14:textId="77777777" w:rsidR="00CA4184" w:rsidRPr="00832875" w:rsidRDefault="00CA4184" w:rsidP="00CA4184">
      <w:pPr>
        <w:pStyle w:val="Listparag"/>
        <w:numPr>
          <w:ilvl w:val="0"/>
          <w:numId w:val="11"/>
        </w:numPr>
        <w:spacing w:after="0"/>
        <w:rPr>
          <w:b/>
          <w:bCs/>
        </w:rPr>
      </w:pPr>
      <w:r w:rsidRPr="00832875">
        <w:t xml:space="preserve">Hajduk, P. (2017) </w:t>
      </w:r>
      <w:r w:rsidRPr="00832875">
        <w:rPr>
          <w:i/>
          <w:iCs/>
        </w:rPr>
        <w:t xml:space="preserve">What’s the real value of reward? </w:t>
      </w:r>
      <w:r w:rsidRPr="00832875">
        <w:t xml:space="preserve">Available at:  </w:t>
      </w:r>
      <w:hyperlink r:id="rId31" w:history="1">
        <w:r w:rsidRPr="00832875">
          <w:rPr>
            <w:rStyle w:val="Hyperlink"/>
          </w:rPr>
          <w:t>https://www.peoplemanagement.co.uk/article/1743866/real-value-reward</w:t>
        </w:r>
      </w:hyperlink>
      <w:r w:rsidRPr="00832875">
        <w:t xml:space="preserve"> (Accessed 3</w:t>
      </w:r>
      <w:r w:rsidRPr="00832875">
        <w:rPr>
          <w:vertAlign w:val="superscript"/>
        </w:rPr>
        <w:t>rd</w:t>
      </w:r>
      <w:r w:rsidRPr="00832875">
        <w:t xml:space="preserve"> August 2024)</w:t>
      </w:r>
    </w:p>
    <w:p w14:paraId="0C818DCD" w14:textId="77777777" w:rsidR="00CA4184" w:rsidRPr="00832875" w:rsidRDefault="00CA4184" w:rsidP="00CA4184">
      <w:pPr>
        <w:pStyle w:val="ListParagraph"/>
        <w:numPr>
          <w:ilvl w:val="0"/>
          <w:numId w:val="11"/>
        </w:numPr>
        <w:spacing w:after="0" w:line="276" w:lineRule="auto"/>
        <w:rPr>
          <w:rFonts w:cstheme="minorHAnsi"/>
        </w:rPr>
      </w:pPr>
      <w:proofErr w:type="spellStart"/>
      <w:r w:rsidRPr="00832875">
        <w:rPr>
          <w:rStyle w:val="normaltextrun"/>
          <w:rFonts w:cstheme="minorHAnsi"/>
          <w:color w:val="000000"/>
          <w:bdr w:val="none" w:sz="0" w:space="0" w:color="auto" w:frame="1"/>
        </w:rPr>
        <w:t>Hastwell</w:t>
      </w:r>
      <w:proofErr w:type="spellEnd"/>
      <w:r w:rsidRPr="00832875">
        <w:rPr>
          <w:rStyle w:val="normaltextrun"/>
          <w:rFonts w:cstheme="minorHAnsi"/>
          <w:color w:val="000000"/>
          <w:bdr w:val="none" w:sz="0" w:space="0" w:color="auto" w:frame="1"/>
        </w:rPr>
        <w:t xml:space="preserve">, C. (2023) </w:t>
      </w:r>
      <w:r w:rsidRPr="00832875">
        <w:rPr>
          <w:rStyle w:val="normaltextrun"/>
          <w:rFonts w:cstheme="minorHAnsi"/>
          <w:i/>
          <w:iCs/>
          <w:color w:val="000000"/>
          <w:bdr w:val="none" w:sz="0" w:space="0" w:color="auto" w:frame="1"/>
        </w:rPr>
        <w:t xml:space="preserve">Creating a Culture of Recognition </w:t>
      </w:r>
      <w:r w:rsidRPr="00832875">
        <w:rPr>
          <w:rStyle w:val="normaltextrun"/>
          <w:rFonts w:cstheme="minorHAnsi"/>
          <w:color w:val="000000"/>
          <w:bdr w:val="none" w:sz="0" w:space="0" w:color="auto" w:frame="1"/>
        </w:rPr>
        <w:t xml:space="preserve">Available at:  </w:t>
      </w:r>
      <w:hyperlink r:id="rId32" w:history="1">
        <w:r w:rsidRPr="00832875">
          <w:rPr>
            <w:rStyle w:val="Hyperlink"/>
            <w:rFonts w:cstheme="minorHAnsi"/>
          </w:rPr>
          <w:t>https://www.greatplacetowork.com/resources/blog/creating-a-culture-of-recognition</w:t>
        </w:r>
      </w:hyperlink>
      <w:r w:rsidRPr="00832875">
        <w:rPr>
          <w:rFonts w:cstheme="minorHAnsi"/>
        </w:rPr>
        <w:t xml:space="preserve"> (Accessed 6</w:t>
      </w:r>
      <w:r w:rsidRPr="00832875">
        <w:rPr>
          <w:rFonts w:cstheme="minorHAnsi"/>
          <w:vertAlign w:val="superscript"/>
        </w:rPr>
        <w:t>th</w:t>
      </w:r>
      <w:r w:rsidRPr="00832875">
        <w:rPr>
          <w:rFonts w:cstheme="minorHAnsi"/>
        </w:rPr>
        <w:t xml:space="preserve"> August 2024) </w:t>
      </w:r>
    </w:p>
    <w:p w14:paraId="6129BC40" w14:textId="77777777" w:rsidR="00CA4184" w:rsidRPr="00646F3C" w:rsidRDefault="00CA4184" w:rsidP="00CA4184">
      <w:pPr>
        <w:pStyle w:val="NormalWeb"/>
        <w:numPr>
          <w:ilvl w:val="0"/>
          <w:numId w:val="11"/>
        </w:numPr>
        <w:spacing w:before="0" w:beforeAutospacing="0" w:after="240" w:afterAutospacing="0"/>
        <w:rPr>
          <w:rFonts w:asciiTheme="minorHAnsi" w:hAnsiTheme="minorHAnsi" w:cstheme="minorHAnsi"/>
          <w:sz w:val="22"/>
          <w:szCs w:val="22"/>
        </w:rPr>
      </w:pPr>
      <w:r w:rsidRPr="00646F3C">
        <w:rPr>
          <w:rFonts w:asciiTheme="minorHAnsi" w:hAnsiTheme="minorHAnsi" w:cstheme="minorHAnsi"/>
          <w:sz w:val="22"/>
          <w:szCs w:val="22"/>
        </w:rPr>
        <w:t xml:space="preserve">Incentive Research Foundation (2020) </w:t>
      </w:r>
      <w:r w:rsidRPr="00646F3C">
        <w:rPr>
          <w:rFonts w:asciiTheme="minorHAnsi" w:hAnsiTheme="minorHAnsi" w:cstheme="minorHAnsi"/>
          <w:i/>
          <w:iCs/>
          <w:sz w:val="22"/>
          <w:szCs w:val="22"/>
        </w:rPr>
        <w:t xml:space="preserve">What Top Performing Manufacturing Companies Do Differently in Incentives and Rewards </w:t>
      </w:r>
      <w:r w:rsidRPr="00646F3C">
        <w:rPr>
          <w:rFonts w:asciiTheme="minorHAnsi" w:hAnsiTheme="minorHAnsi" w:cstheme="minorHAnsi"/>
          <w:sz w:val="22"/>
          <w:szCs w:val="22"/>
        </w:rPr>
        <w:t xml:space="preserve">Available at:  </w:t>
      </w:r>
      <w:hyperlink r:id="rId33" w:history="1">
        <w:r>
          <w:rPr>
            <w:rStyle w:val="Hyperlink"/>
            <w:rFonts w:asciiTheme="minorHAnsi" w:hAnsiTheme="minorHAnsi" w:cstheme="minorHAnsi"/>
            <w:sz w:val="22"/>
            <w:szCs w:val="22"/>
          </w:rPr>
          <w:t>https://theirf.org/research_post/what-top-performing-manufacturing-companies-do-differently-in-incentives-and-rewards/</w:t>
        </w:r>
      </w:hyperlink>
      <w:r w:rsidRPr="00646F3C">
        <w:rPr>
          <w:rFonts w:asciiTheme="minorHAnsi" w:hAnsiTheme="minorHAnsi" w:cstheme="minorHAnsi"/>
          <w:sz w:val="22"/>
          <w:szCs w:val="22"/>
        </w:rPr>
        <w:t xml:space="preserve"> (Accessed 8</w:t>
      </w:r>
      <w:r w:rsidRPr="00646F3C">
        <w:rPr>
          <w:rFonts w:asciiTheme="minorHAnsi" w:hAnsiTheme="minorHAnsi" w:cstheme="minorHAnsi"/>
          <w:sz w:val="22"/>
          <w:szCs w:val="22"/>
          <w:vertAlign w:val="superscript"/>
        </w:rPr>
        <w:t>th</w:t>
      </w:r>
      <w:r w:rsidRPr="00646F3C">
        <w:rPr>
          <w:rFonts w:asciiTheme="minorHAnsi" w:hAnsiTheme="minorHAnsi" w:cstheme="minorHAnsi"/>
          <w:sz w:val="22"/>
          <w:szCs w:val="22"/>
        </w:rPr>
        <w:t xml:space="preserve"> August 2024)</w:t>
      </w:r>
    </w:p>
    <w:p w14:paraId="1927C7BB" w14:textId="77777777" w:rsidR="00CA4184" w:rsidRPr="00832875" w:rsidRDefault="00CA4184" w:rsidP="00CA4184">
      <w:pPr>
        <w:pStyle w:val="Listparag"/>
        <w:numPr>
          <w:ilvl w:val="0"/>
          <w:numId w:val="11"/>
        </w:numPr>
        <w:spacing w:after="0"/>
        <w:rPr>
          <w:b/>
          <w:bCs/>
        </w:rPr>
      </w:pPr>
      <w:r w:rsidRPr="00832875">
        <w:t xml:space="preserve">Morris, A. (2022) </w:t>
      </w:r>
      <w:r w:rsidRPr="00832875">
        <w:rPr>
          <w:i/>
          <w:iCs/>
        </w:rPr>
        <w:t xml:space="preserve">Managing Enhanced Maternity Pay </w:t>
      </w:r>
      <w:r w:rsidRPr="00832875">
        <w:t xml:space="preserve">Available at:  </w:t>
      </w:r>
      <w:hyperlink r:id="rId34" w:history="1">
        <w:r w:rsidRPr="00832875">
          <w:rPr>
            <w:rStyle w:val="Hyperlink"/>
          </w:rPr>
          <w:t>https://www.davidsonmorris.com/enhanced-maternity-pay/</w:t>
        </w:r>
      </w:hyperlink>
      <w:r w:rsidRPr="00832875">
        <w:t xml:space="preserve"> (Accessed 6</w:t>
      </w:r>
      <w:r w:rsidRPr="00832875">
        <w:rPr>
          <w:vertAlign w:val="superscript"/>
        </w:rPr>
        <w:t>th</w:t>
      </w:r>
      <w:r w:rsidRPr="00832875">
        <w:t xml:space="preserve"> August 2024)</w:t>
      </w:r>
    </w:p>
    <w:p w14:paraId="26261AAA" w14:textId="77777777" w:rsidR="00CA4184" w:rsidRPr="00832875" w:rsidRDefault="00CA4184" w:rsidP="00CA4184">
      <w:pPr>
        <w:pStyle w:val="Listparag"/>
        <w:numPr>
          <w:ilvl w:val="0"/>
          <w:numId w:val="11"/>
        </w:numPr>
        <w:spacing w:after="0"/>
        <w:rPr>
          <w:b/>
          <w:bCs/>
        </w:rPr>
      </w:pPr>
      <w:r w:rsidRPr="00832875">
        <w:t xml:space="preserve">Morris, A. (2023) </w:t>
      </w:r>
      <w:r w:rsidRPr="00832875">
        <w:rPr>
          <w:i/>
          <w:iCs/>
        </w:rPr>
        <w:t xml:space="preserve">Different types of pay structures </w:t>
      </w:r>
      <w:r w:rsidRPr="00832875">
        <w:t xml:space="preserve">Available at:  </w:t>
      </w:r>
      <w:hyperlink r:id="rId35" w:history="1">
        <w:r w:rsidRPr="00832875">
          <w:rPr>
            <w:rStyle w:val="Hyperlink"/>
          </w:rPr>
          <w:t>https://www.davidsonmorris.com/different-types-of-pay-structures/</w:t>
        </w:r>
      </w:hyperlink>
      <w:r w:rsidRPr="00832875">
        <w:t xml:space="preserve"> Accessed 5</w:t>
      </w:r>
      <w:r w:rsidRPr="00832875">
        <w:rPr>
          <w:vertAlign w:val="superscript"/>
        </w:rPr>
        <w:t>th</w:t>
      </w:r>
      <w:r w:rsidRPr="00832875">
        <w:t xml:space="preserve"> August 2024</w:t>
      </w:r>
    </w:p>
    <w:p w14:paraId="1ED9BB69" w14:textId="77777777" w:rsidR="00CA4184" w:rsidRPr="00832875" w:rsidRDefault="00CA4184" w:rsidP="00CA4184">
      <w:pPr>
        <w:pStyle w:val="ListParagraph"/>
        <w:numPr>
          <w:ilvl w:val="0"/>
          <w:numId w:val="11"/>
        </w:numPr>
        <w:spacing w:after="0" w:line="240" w:lineRule="auto"/>
        <w:rPr>
          <w:rFonts w:eastAsia="Times New Roman" w:cstheme="minorHAnsi"/>
          <w:lang w:eastAsia="en-GB"/>
        </w:rPr>
      </w:pPr>
      <w:r w:rsidRPr="00832875">
        <w:rPr>
          <w:rFonts w:cstheme="minorHAnsi"/>
          <w:i/>
          <w:iCs/>
        </w:rPr>
        <w:t xml:space="preserve">National Minimum Wage Act 1998 </w:t>
      </w:r>
      <w:r w:rsidRPr="00832875">
        <w:rPr>
          <w:rFonts w:cstheme="minorHAnsi"/>
        </w:rPr>
        <w:t xml:space="preserve">Available at:  </w:t>
      </w:r>
      <w:hyperlink r:id="rId36" w:history="1">
        <w:r w:rsidRPr="00832875">
          <w:rPr>
            <w:rStyle w:val="Hyperlink"/>
            <w:rFonts w:cstheme="minorHAnsi"/>
          </w:rPr>
          <w:t>https://www.legislation.gov.uk/ukpga/1998/39/contents</w:t>
        </w:r>
      </w:hyperlink>
      <w:r w:rsidRPr="00832875">
        <w:rPr>
          <w:rFonts w:cstheme="minorHAnsi"/>
        </w:rPr>
        <w:t xml:space="preserve"> (Accessed 3</w:t>
      </w:r>
      <w:r w:rsidRPr="00832875">
        <w:rPr>
          <w:rFonts w:cstheme="minorHAnsi"/>
          <w:vertAlign w:val="superscript"/>
        </w:rPr>
        <w:t>rd</w:t>
      </w:r>
      <w:r w:rsidRPr="00832875">
        <w:rPr>
          <w:rFonts w:cstheme="minorHAnsi"/>
        </w:rPr>
        <w:t xml:space="preserve"> August 2024) </w:t>
      </w:r>
    </w:p>
    <w:p w14:paraId="21F761D8" w14:textId="77777777" w:rsidR="00CA4184" w:rsidRPr="00832875" w:rsidRDefault="00CA4184" w:rsidP="00CA4184">
      <w:pPr>
        <w:pStyle w:val="ListParagraph"/>
        <w:numPr>
          <w:ilvl w:val="0"/>
          <w:numId w:val="11"/>
        </w:numPr>
        <w:spacing w:after="0" w:line="276" w:lineRule="auto"/>
        <w:rPr>
          <w:rFonts w:cstheme="minorHAnsi"/>
        </w:rPr>
      </w:pPr>
      <w:r w:rsidRPr="00832875">
        <w:rPr>
          <w:rFonts w:cstheme="minorHAnsi"/>
        </w:rPr>
        <w:t xml:space="preserve">Office for National Statistics (2024) </w:t>
      </w:r>
      <w:r w:rsidRPr="00832875">
        <w:rPr>
          <w:rFonts w:cstheme="minorHAnsi"/>
          <w:i/>
          <w:iCs/>
        </w:rPr>
        <w:t xml:space="preserve">Earnings and Working Hours </w:t>
      </w:r>
      <w:r w:rsidRPr="00832875">
        <w:rPr>
          <w:rFonts w:cstheme="minorHAnsi"/>
        </w:rPr>
        <w:t xml:space="preserve">Available at:  </w:t>
      </w:r>
      <w:hyperlink r:id="rId37" w:history="1">
        <w:r w:rsidRPr="00832875">
          <w:rPr>
            <w:rStyle w:val="Hyperlink"/>
            <w:rFonts w:cstheme="minorHAnsi"/>
          </w:rPr>
          <w:t>https://www.ons.gov.uk/employmentandlabourmarket/peopleinwork/earningsandworkinghours</w:t>
        </w:r>
      </w:hyperlink>
      <w:r w:rsidRPr="00832875">
        <w:rPr>
          <w:rFonts w:cstheme="minorHAnsi"/>
        </w:rPr>
        <w:t xml:space="preserve"> (Accessed 7</w:t>
      </w:r>
      <w:r w:rsidRPr="00832875">
        <w:rPr>
          <w:rFonts w:cstheme="minorHAnsi"/>
          <w:vertAlign w:val="superscript"/>
        </w:rPr>
        <w:t>th</w:t>
      </w:r>
      <w:r w:rsidRPr="00832875">
        <w:rPr>
          <w:rFonts w:cstheme="minorHAnsi"/>
        </w:rPr>
        <w:t xml:space="preserve"> August 2024)</w:t>
      </w:r>
    </w:p>
    <w:p w14:paraId="2A7165E0" w14:textId="77777777" w:rsidR="00CA4184" w:rsidRPr="00832875" w:rsidRDefault="00CA4184" w:rsidP="00CA4184">
      <w:pPr>
        <w:pStyle w:val="Listparag"/>
        <w:numPr>
          <w:ilvl w:val="0"/>
          <w:numId w:val="11"/>
        </w:numPr>
        <w:spacing w:after="0"/>
        <w:rPr>
          <w:b/>
          <w:bCs/>
        </w:rPr>
      </w:pPr>
      <w:r w:rsidRPr="00832875">
        <w:lastRenderedPageBreak/>
        <w:t xml:space="preserve">Ott, B. (2017) </w:t>
      </w:r>
      <w:r w:rsidRPr="00832875">
        <w:rPr>
          <w:i/>
          <w:iCs/>
        </w:rPr>
        <w:t xml:space="preserve">3 Reasons Why Performance Development Wins in the Workplace </w:t>
      </w:r>
      <w:r w:rsidRPr="00832875">
        <w:t xml:space="preserve">Available at:  </w:t>
      </w:r>
      <w:hyperlink r:id="rId38" w:history="1">
        <w:r w:rsidRPr="00832875">
          <w:rPr>
            <w:rStyle w:val="Hyperlink"/>
          </w:rPr>
          <w:t>https://www.gallup.com/workplace/231620/why-performance-development-wins-workplace.aspx</w:t>
        </w:r>
      </w:hyperlink>
      <w:r w:rsidRPr="00832875">
        <w:t xml:space="preserve"> (Accessed 3</w:t>
      </w:r>
      <w:r w:rsidRPr="00832875">
        <w:rPr>
          <w:vertAlign w:val="superscript"/>
        </w:rPr>
        <w:t>rd</w:t>
      </w:r>
      <w:r w:rsidRPr="00832875">
        <w:t xml:space="preserve"> August 2024)</w:t>
      </w:r>
    </w:p>
    <w:p w14:paraId="5B5E0403" w14:textId="77777777" w:rsidR="00CA4184" w:rsidRPr="00832875" w:rsidRDefault="00CA4184" w:rsidP="00CA4184">
      <w:pPr>
        <w:pStyle w:val="ListParagraph"/>
        <w:numPr>
          <w:ilvl w:val="0"/>
          <w:numId w:val="11"/>
        </w:numPr>
        <w:spacing w:after="0" w:line="240" w:lineRule="auto"/>
        <w:rPr>
          <w:rFonts w:cstheme="minorHAnsi"/>
        </w:rPr>
      </w:pPr>
      <w:r w:rsidRPr="00832875">
        <w:rPr>
          <w:rStyle w:val="normaltextrun"/>
          <w:rFonts w:cstheme="minorHAnsi"/>
        </w:rPr>
        <w:t xml:space="preserve">Pay Justice (2020) </w:t>
      </w:r>
      <w:r w:rsidRPr="00832875">
        <w:rPr>
          <w:rStyle w:val="normaltextrun"/>
          <w:rFonts w:cstheme="minorHAnsi"/>
          <w:i/>
          <w:iCs/>
        </w:rPr>
        <w:t xml:space="preserve">Understanding job evaluation </w:t>
      </w:r>
      <w:r w:rsidRPr="00832875">
        <w:rPr>
          <w:rStyle w:val="normaltextrun"/>
          <w:rFonts w:cstheme="minorHAnsi"/>
        </w:rPr>
        <w:t xml:space="preserve">Available at:  </w:t>
      </w:r>
      <w:hyperlink r:id="rId39" w:history="1">
        <w:r w:rsidRPr="00832875">
          <w:rPr>
            <w:rStyle w:val="Hyperlink"/>
            <w:rFonts w:cstheme="minorHAnsi"/>
          </w:rPr>
          <w:t>https://payjustice.co.uk/understanding-job-evaluation/</w:t>
        </w:r>
      </w:hyperlink>
      <w:r w:rsidRPr="00832875">
        <w:rPr>
          <w:rFonts w:cstheme="minorHAnsi"/>
        </w:rPr>
        <w:t xml:space="preserve"> (Accessed 7</w:t>
      </w:r>
      <w:r w:rsidRPr="00832875">
        <w:rPr>
          <w:rFonts w:cstheme="minorHAnsi"/>
          <w:vertAlign w:val="superscript"/>
        </w:rPr>
        <w:t>th</w:t>
      </w:r>
      <w:r w:rsidRPr="00832875">
        <w:rPr>
          <w:rFonts w:cstheme="minorHAnsi"/>
        </w:rPr>
        <w:t xml:space="preserve"> August 2024)</w:t>
      </w:r>
    </w:p>
    <w:p w14:paraId="40CCC56D" w14:textId="77777777" w:rsidR="00CA4184" w:rsidRPr="00832875" w:rsidRDefault="00CA4184" w:rsidP="00CA4184">
      <w:pPr>
        <w:pStyle w:val="Listparag"/>
        <w:numPr>
          <w:ilvl w:val="0"/>
          <w:numId w:val="11"/>
        </w:numPr>
        <w:spacing w:after="0"/>
        <w:rPr>
          <w:b/>
          <w:bCs/>
        </w:rPr>
      </w:pPr>
      <w:r w:rsidRPr="00832875">
        <w:rPr>
          <w:color w:val="202020"/>
          <w:shd w:val="clear" w:color="auto" w:fill="FFFFFF"/>
        </w:rPr>
        <w:t>Rickard, C. (2022) Employee financial wellbeing: A practical guide. London: Chartered Institute of Personnel and Development.</w:t>
      </w:r>
    </w:p>
    <w:p w14:paraId="0ABEB460" w14:textId="77777777" w:rsidR="00CA4184" w:rsidRPr="00832875" w:rsidRDefault="00CA4184" w:rsidP="00CA4184">
      <w:pPr>
        <w:pStyle w:val="ListParagraph"/>
        <w:numPr>
          <w:ilvl w:val="0"/>
          <w:numId w:val="11"/>
        </w:numPr>
        <w:spacing w:after="0"/>
        <w:rPr>
          <w:rFonts w:eastAsia="Calibri" w:cstheme="minorHAnsi"/>
        </w:rPr>
      </w:pPr>
      <w:r w:rsidRPr="00832875">
        <w:rPr>
          <w:rFonts w:eastAsia="Calibri" w:cstheme="minorHAnsi"/>
        </w:rPr>
        <w:t xml:space="preserve">Taylor, S and Woodhams, C. (2022) </w:t>
      </w:r>
      <w:r w:rsidRPr="00832875">
        <w:rPr>
          <w:rFonts w:eastAsia="Calibri" w:cstheme="minorHAnsi"/>
          <w:i/>
          <w:iCs/>
        </w:rPr>
        <w:t>Human Resource Management</w:t>
      </w:r>
      <w:r w:rsidRPr="00832875">
        <w:rPr>
          <w:rFonts w:eastAsia="Calibri" w:cstheme="minorHAnsi"/>
        </w:rPr>
        <w:t>. Third Edition. London. Kogan Page.</w:t>
      </w:r>
    </w:p>
    <w:p w14:paraId="511A8F2E" w14:textId="77777777" w:rsidR="00CA4184" w:rsidRPr="00832875" w:rsidRDefault="00CA4184" w:rsidP="00CA4184">
      <w:pPr>
        <w:pStyle w:val="Listparag"/>
        <w:numPr>
          <w:ilvl w:val="0"/>
          <w:numId w:val="11"/>
        </w:numPr>
        <w:spacing w:after="0"/>
      </w:pPr>
      <w:r w:rsidRPr="00832875">
        <w:t xml:space="preserve">The Economic Times (no date) </w:t>
      </w:r>
      <w:r w:rsidRPr="00832875">
        <w:rPr>
          <w:i/>
          <w:iCs/>
        </w:rPr>
        <w:t xml:space="preserve">What is internal benchmarking? </w:t>
      </w:r>
      <w:r w:rsidRPr="00832875">
        <w:t xml:space="preserve">Available at:  </w:t>
      </w:r>
      <w:hyperlink r:id="rId40" w:history="1">
        <w:r w:rsidRPr="00832875">
          <w:rPr>
            <w:rStyle w:val="Hyperlink"/>
          </w:rPr>
          <w:t>https://economictimes.indiatimes.com/definition/internal-benchmarking</w:t>
        </w:r>
      </w:hyperlink>
      <w:r w:rsidRPr="00832875">
        <w:t xml:space="preserve"> (Accessed 7</w:t>
      </w:r>
      <w:r w:rsidRPr="00832875">
        <w:rPr>
          <w:vertAlign w:val="superscript"/>
        </w:rPr>
        <w:t>th</w:t>
      </w:r>
      <w:r w:rsidRPr="00832875">
        <w:t xml:space="preserve"> August 2024) </w:t>
      </w:r>
    </w:p>
    <w:p w14:paraId="02F3BC6B" w14:textId="77777777" w:rsidR="00CA4184" w:rsidRPr="002E5A33" w:rsidRDefault="00CA4184" w:rsidP="00CA4184">
      <w:pPr>
        <w:pStyle w:val="Listparag"/>
        <w:numPr>
          <w:ilvl w:val="0"/>
          <w:numId w:val="11"/>
        </w:numPr>
        <w:spacing w:after="0"/>
        <w:rPr>
          <w:b/>
          <w:bCs/>
        </w:rPr>
      </w:pPr>
      <w:r w:rsidRPr="00832875">
        <w:t xml:space="preserve">UNISON (2023) </w:t>
      </w:r>
      <w:r w:rsidRPr="00832875">
        <w:rPr>
          <w:i/>
          <w:iCs/>
        </w:rPr>
        <w:t xml:space="preserve">Negotiating Pay Structures </w:t>
      </w:r>
      <w:r w:rsidRPr="00832875">
        <w:t xml:space="preserve">Available at:  </w:t>
      </w:r>
      <w:hyperlink r:id="rId41" w:history="1">
        <w:r w:rsidRPr="002E5A33">
          <w:rPr>
            <w:rStyle w:val="Hyperlink"/>
          </w:rPr>
          <w:t>https://www.unison.org.uk/content/uploads/2019/05/Pay-structures-v2.pdf</w:t>
        </w:r>
      </w:hyperlink>
      <w:r w:rsidRPr="002E5A33">
        <w:t xml:space="preserve"> (Accessed 5</w:t>
      </w:r>
      <w:r w:rsidRPr="002E5A33">
        <w:rPr>
          <w:vertAlign w:val="superscript"/>
        </w:rPr>
        <w:t>th</w:t>
      </w:r>
      <w:r w:rsidRPr="002E5A33">
        <w:t xml:space="preserve"> August 2024 </w:t>
      </w:r>
    </w:p>
    <w:p w14:paraId="5B900D24" w14:textId="77777777" w:rsidR="00CA4184" w:rsidRPr="002E5A33" w:rsidRDefault="00CA4184" w:rsidP="00CA4184">
      <w:pPr>
        <w:pStyle w:val="ListParagraph"/>
        <w:numPr>
          <w:ilvl w:val="0"/>
          <w:numId w:val="11"/>
        </w:numPr>
        <w:spacing w:after="0" w:line="276" w:lineRule="auto"/>
        <w:rPr>
          <w:rStyle w:val="normaltextrun"/>
          <w:rFonts w:cstheme="minorHAnsi"/>
        </w:rPr>
      </w:pPr>
      <w:r w:rsidRPr="002E5A33">
        <w:rPr>
          <w:rStyle w:val="normaltextrun"/>
          <w:rFonts w:cstheme="minorHAnsi"/>
          <w:color w:val="000000"/>
          <w:bdr w:val="none" w:sz="0" w:space="0" w:color="auto" w:frame="1"/>
        </w:rPr>
        <w:t xml:space="preserve">Waite, K </w:t>
      </w:r>
      <w:r w:rsidRPr="002E5A33">
        <w:rPr>
          <w:rStyle w:val="normaltextrun"/>
          <w:rFonts w:cstheme="minorHAnsi"/>
          <w:i/>
          <w:iCs/>
          <w:color w:val="000000"/>
          <w:bdr w:val="none" w:sz="0" w:space="0" w:color="auto" w:frame="1"/>
        </w:rPr>
        <w:t>et al</w:t>
      </w:r>
      <w:r w:rsidRPr="002E5A33">
        <w:rPr>
          <w:rStyle w:val="normaltextrun"/>
          <w:rFonts w:cstheme="minorHAnsi"/>
          <w:color w:val="000000"/>
          <w:bdr w:val="none" w:sz="0" w:space="0" w:color="auto" w:frame="1"/>
        </w:rPr>
        <w:t xml:space="preserve"> (2021) </w:t>
      </w:r>
      <w:r w:rsidRPr="002E5A33">
        <w:rPr>
          <w:rStyle w:val="normaltextrun"/>
          <w:rFonts w:cstheme="minorHAnsi"/>
          <w:i/>
          <w:iCs/>
          <w:color w:val="000000"/>
          <w:bdr w:val="none" w:sz="0" w:space="0" w:color="auto" w:frame="1"/>
        </w:rPr>
        <w:t xml:space="preserve">People Practice A Complete Guide </w:t>
      </w:r>
      <w:r w:rsidRPr="002E5A33">
        <w:rPr>
          <w:rStyle w:val="normaltextrun"/>
          <w:rFonts w:cstheme="minorHAnsi"/>
          <w:color w:val="000000"/>
          <w:bdr w:val="none" w:sz="0" w:space="0" w:color="auto" w:frame="1"/>
        </w:rPr>
        <w:t xml:space="preserve">Kogan Page Limited </w:t>
      </w:r>
    </w:p>
    <w:p w14:paraId="77909538" w14:textId="405507BB" w:rsidR="00F8532F" w:rsidRPr="00CA4184" w:rsidRDefault="00CA4184" w:rsidP="00CA4184">
      <w:pPr>
        <w:pStyle w:val="ListParagraph"/>
        <w:numPr>
          <w:ilvl w:val="0"/>
          <w:numId w:val="11"/>
        </w:numPr>
        <w:rPr>
          <w:rFonts w:cstheme="minorHAnsi"/>
          <w:color w:val="000000"/>
          <w:bdr w:val="none" w:sz="0" w:space="0" w:color="auto" w:frame="1"/>
        </w:rPr>
      </w:pPr>
      <w:r w:rsidRPr="00CA4184">
        <w:rPr>
          <w:rFonts w:cstheme="minorHAnsi"/>
        </w:rPr>
        <w:t xml:space="preserve">Zajac, A. (2023) </w:t>
      </w:r>
      <w:r w:rsidRPr="00CA4184">
        <w:rPr>
          <w:rFonts w:cstheme="minorHAnsi"/>
          <w:i/>
          <w:iCs/>
        </w:rPr>
        <w:t>Internal benchmarking</w:t>
      </w:r>
      <w:r w:rsidRPr="00CA4184">
        <w:rPr>
          <w:rFonts w:cstheme="minorHAnsi"/>
        </w:rPr>
        <w:t xml:space="preserve"> Available at:  </w:t>
      </w:r>
      <w:hyperlink r:id="rId42" w:history="1">
        <w:r w:rsidRPr="00CA4184">
          <w:rPr>
            <w:rStyle w:val="Hyperlink"/>
            <w:rFonts w:cstheme="minorHAnsi"/>
          </w:rPr>
          <w:t>https://ceopedia.org/index.php/Internal_benchmarking</w:t>
        </w:r>
      </w:hyperlink>
    </w:p>
    <w:sectPr w:rsidR="00F8532F" w:rsidRPr="00CA4184" w:rsidSect="005A72A6">
      <w:headerReference w:type="default" r:id="rId43"/>
      <w:footerReference w:type="default" r:id="rId44"/>
      <w:pgSz w:w="11906" w:h="16838"/>
      <w:pgMar w:top="567" w:right="1134" w:bottom="306" w:left="1134"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F474EA" w14:textId="77777777" w:rsidR="00AF5935" w:rsidRDefault="00AF5935" w:rsidP="004324E3">
      <w:pPr>
        <w:spacing w:after="0" w:line="240" w:lineRule="auto"/>
      </w:pPr>
      <w:r>
        <w:separator/>
      </w:r>
    </w:p>
  </w:endnote>
  <w:endnote w:type="continuationSeparator" w:id="0">
    <w:p w14:paraId="69A8663D" w14:textId="77777777" w:rsidR="00AF5935" w:rsidRDefault="00AF5935" w:rsidP="004324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5000" w:type="pct"/>
      <w:jc w:val="center"/>
      <w:tblCellMar>
        <w:top w:w="144" w:type="dxa"/>
        <w:left w:w="115" w:type="dxa"/>
        <w:bottom w:w="144" w:type="dxa"/>
        <w:right w:w="115" w:type="dxa"/>
      </w:tblCellMar>
      <w:tblLook w:val="04A0" w:firstRow="1" w:lastRow="0" w:firstColumn="1" w:lastColumn="0" w:noHBand="0" w:noVBand="1"/>
    </w:tblPr>
    <w:tblGrid>
      <w:gridCol w:w="4825"/>
      <w:gridCol w:w="4813"/>
    </w:tblGrid>
    <w:tr w:rsidR="006707BA" w14:paraId="2B134656" w14:textId="77777777">
      <w:trPr>
        <w:trHeight w:hRule="exact" w:val="115"/>
        <w:jc w:val="center"/>
      </w:trPr>
      <w:tc>
        <w:tcPr>
          <w:tcW w:w="4686" w:type="dxa"/>
          <w:shd w:val="clear" w:color="auto" w:fill="AD84C6" w:themeFill="accent1"/>
          <w:tcMar>
            <w:top w:w="0" w:type="dxa"/>
            <w:bottom w:w="0" w:type="dxa"/>
          </w:tcMar>
        </w:tcPr>
        <w:p w14:paraId="4044F6F1" w14:textId="77777777" w:rsidR="006707BA" w:rsidRDefault="006707BA">
          <w:pPr>
            <w:pStyle w:val="Header"/>
            <w:rPr>
              <w:caps/>
              <w:sz w:val="18"/>
            </w:rPr>
          </w:pPr>
        </w:p>
      </w:tc>
      <w:tc>
        <w:tcPr>
          <w:tcW w:w="4674" w:type="dxa"/>
          <w:shd w:val="clear" w:color="auto" w:fill="AD84C6" w:themeFill="accent1"/>
          <w:tcMar>
            <w:top w:w="0" w:type="dxa"/>
            <w:bottom w:w="0" w:type="dxa"/>
          </w:tcMar>
        </w:tcPr>
        <w:p w14:paraId="30C25A69" w14:textId="77777777" w:rsidR="006707BA" w:rsidRDefault="006707BA">
          <w:pPr>
            <w:pStyle w:val="Header"/>
            <w:jc w:val="right"/>
            <w:rPr>
              <w:caps/>
              <w:sz w:val="18"/>
            </w:rPr>
          </w:pPr>
        </w:p>
      </w:tc>
    </w:tr>
    <w:tr w:rsidR="006707BA" w14:paraId="19EF9F10" w14:textId="77777777">
      <w:trPr>
        <w:jc w:val="center"/>
      </w:trPr>
      <w:sdt>
        <w:sdtPr>
          <w:rPr>
            <w:caps/>
            <w:color w:val="808080" w:themeColor="background1" w:themeShade="80"/>
            <w:sz w:val="18"/>
            <w:szCs w:val="18"/>
          </w:rPr>
          <w:alias w:val="Author"/>
          <w:tag w:val=""/>
          <w:id w:val="1534151868"/>
          <w:placeholder>
            <w:docPart w:val="6D9CA65188B34BB69A68EB3C991EE41A"/>
          </w:placeholder>
          <w:dataBinding w:prefixMappings="xmlns:ns0='http://purl.org/dc/elements/1.1/' xmlns:ns1='http://schemas.openxmlformats.org/package/2006/metadata/core-properties' " w:xpath="/ns1:coreProperties[1]/ns0:creator[1]" w:storeItemID="{6C3C8BC8-F283-45AE-878A-BAB7291924A1}"/>
          <w:text/>
        </w:sdtPr>
        <w:sdtEndPr/>
        <w:sdtContent>
          <w:tc>
            <w:tcPr>
              <w:tcW w:w="4686" w:type="dxa"/>
              <w:shd w:val="clear" w:color="auto" w:fill="auto"/>
              <w:vAlign w:val="center"/>
            </w:tcPr>
            <w:p w14:paraId="1D7E2311" w14:textId="0956EC40" w:rsidR="006707BA" w:rsidRDefault="006707BA">
              <w:pPr>
                <w:pStyle w:val="Footer"/>
                <w:rPr>
                  <w:caps/>
                  <w:color w:val="808080" w:themeColor="background1" w:themeShade="80"/>
                  <w:sz w:val="18"/>
                  <w:szCs w:val="18"/>
                </w:rPr>
              </w:pPr>
              <w:r>
                <w:rPr>
                  <w:caps/>
                  <w:color w:val="808080" w:themeColor="background1" w:themeShade="80"/>
                  <w:sz w:val="18"/>
                  <w:szCs w:val="18"/>
                </w:rPr>
                <w:t>Francesca Preece 8515837</w:t>
              </w:r>
            </w:p>
          </w:tc>
        </w:sdtContent>
      </w:sdt>
      <w:tc>
        <w:tcPr>
          <w:tcW w:w="4674" w:type="dxa"/>
          <w:shd w:val="clear" w:color="auto" w:fill="auto"/>
          <w:vAlign w:val="center"/>
        </w:tcPr>
        <w:p w14:paraId="0B140424" w14:textId="47477579" w:rsidR="006707BA" w:rsidRDefault="006707BA">
          <w:pPr>
            <w:pStyle w:val="Footer"/>
            <w:jc w:val="right"/>
            <w:rPr>
              <w:caps/>
              <w:color w:val="808080" w:themeColor="background1" w:themeShade="80"/>
              <w:sz w:val="18"/>
              <w:szCs w:val="18"/>
            </w:rPr>
          </w:pPr>
          <w:r>
            <w:rPr>
              <w:caps/>
              <w:color w:val="808080" w:themeColor="background1" w:themeShade="80"/>
              <w:sz w:val="18"/>
              <w:szCs w:val="18"/>
            </w:rPr>
            <w:fldChar w:fldCharType="begin"/>
          </w:r>
          <w:r>
            <w:rPr>
              <w:caps/>
              <w:color w:val="808080" w:themeColor="background1" w:themeShade="80"/>
              <w:sz w:val="18"/>
              <w:szCs w:val="18"/>
            </w:rPr>
            <w:instrText xml:space="preserve"> PAGE   \* MERGEFORMAT </w:instrText>
          </w:r>
          <w:r>
            <w:rPr>
              <w:caps/>
              <w:color w:val="808080" w:themeColor="background1" w:themeShade="80"/>
              <w:sz w:val="18"/>
              <w:szCs w:val="18"/>
            </w:rPr>
            <w:fldChar w:fldCharType="separate"/>
          </w:r>
          <w:r w:rsidR="00D02281">
            <w:rPr>
              <w:caps/>
              <w:noProof/>
              <w:color w:val="808080" w:themeColor="background1" w:themeShade="80"/>
              <w:sz w:val="18"/>
              <w:szCs w:val="18"/>
            </w:rPr>
            <w:t>10</w:t>
          </w:r>
          <w:r>
            <w:rPr>
              <w:caps/>
              <w:noProof/>
              <w:color w:val="808080" w:themeColor="background1" w:themeShade="80"/>
              <w:sz w:val="18"/>
              <w:szCs w:val="18"/>
            </w:rPr>
            <w:fldChar w:fldCharType="end"/>
          </w:r>
        </w:p>
      </w:tc>
    </w:tr>
  </w:tbl>
  <w:p w14:paraId="06141646" w14:textId="77777777" w:rsidR="006707BA" w:rsidRDefault="006707B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0AF1F7" w14:textId="77777777" w:rsidR="00AF5935" w:rsidRDefault="00AF5935" w:rsidP="004324E3">
      <w:pPr>
        <w:spacing w:after="0" w:line="240" w:lineRule="auto"/>
      </w:pPr>
      <w:r>
        <w:separator/>
      </w:r>
    </w:p>
  </w:footnote>
  <w:footnote w:type="continuationSeparator" w:id="0">
    <w:p w14:paraId="7CBBA378" w14:textId="77777777" w:rsidR="00AF5935" w:rsidRDefault="00AF5935" w:rsidP="004324E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188358" w14:textId="4DE30FF7" w:rsidR="006707BA" w:rsidRDefault="006707BA">
    <w:pPr>
      <w:pStyle w:val="Header"/>
    </w:pPr>
    <w:r>
      <w:rPr>
        <w:noProof/>
        <w:lang w:eastAsia="en-GB"/>
      </w:rPr>
      <mc:AlternateContent>
        <mc:Choice Requires="wps">
          <w:drawing>
            <wp:anchor distT="0" distB="0" distL="118745" distR="118745" simplePos="0" relativeHeight="251659264" behindDoc="1" locked="0" layoutInCell="1" allowOverlap="0" wp14:anchorId="1AE84BDA" wp14:editId="5CB2AADB">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5950039" cy="270457"/>
              <wp:effectExtent l="0" t="0" r="0" b="7620"/>
              <wp:wrapSquare wrapText="bothSides"/>
              <wp:docPr id="197" name="Rectangle 197"/>
              <wp:cNvGraphicFramePr/>
              <a:graphic xmlns:a="http://schemas.openxmlformats.org/drawingml/2006/main">
                <a:graphicData uri="http://schemas.microsoft.com/office/word/2010/wordprocessingShape">
                  <wps:wsp>
                    <wps:cNvSpPr/>
                    <wps:spPr>
                      <a:xfrm>
                        <a:off x="0" y="0"/>
                        <a:ext cx="5950039" cy="270457"/>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aps/>
                              <w:color w:val="FFFFFF"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EndPr/>
                          <w:sdtContent>
                            <w:p w14:paraId="5353B8BD" w14:textId="5B93518A" w:rsidR="006707BA" w:rsidRDefault="007575D4">
                              <w:pPr>
                                <w:pStyle w:val="Header"/>
                                <w:jc w:val="center"/>
                                <w:rPr>
                                  <w:caps/>
                                  <w:color w:val="FFFFFF" w:themeColor="background1"/>
                                </w:rPr>
                              </w:pPr>
                              <w:r>
                                <w:rPr>
                                  <w:caps/>
                                  <w:color w:val="FFFFFF" w:themeColor="background1"/>
                                </w:rPr>
                                <w:t>REWARD FOR PERFORMANCE &amp; cONTR</w:t>
                              </w:r>
                              <w:r w:rsidR="00506CBD">
                                <w:rPr>
                                  <w:caps/>
                                  <w:color w:val="FFFFFF" w:themeColor="background1"/>
                                </w:rPr>
                                <w:t>IBUTION</w:t>
                              </w:r>
                              <w:r w:rsidR="006707BA">
                                <w:rPr>
                                  <w:caps/>
                                  <w:color w:val="FFFFFF" w:themeColor="background1"/>
                                </w:rPr>
                                <w:t xml:space="preserve"> Report</w:t>
                              </w:r>
                            </w:p>
                          </w:sdtContent>
                        </w:sdt>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spAutoFit/>
                    </wps:bodyPr>
                  </wps:wsp>
                </a:graphicData>
              </a:graphic>
              <wp14:sizeRelH relativeFrom="margin">
                <wp14:pctWidth>100000</wp14:pctWidth>
              </wp14:sizeRelH>
              <wp14:sizeRelV relativeFrom="page">
                <wp14:pctHeight>2700</wp14:pctHeight>
              </wp14:sizeRelV>
            </wp:anchor>
          </w:drawing>
        </mc:Choice>
        <mc:Fallback>
          <w:pict>
            <v:rect w14:anchorId="1AE84BDA" id="Rectangle 197" o:spid="_x0000_s1027" style="position:absolute;margin-left:0;margin-top:0;width:468.5pt;height:21.3pt;z-index:-251657216;visibility:visible;mso-wrap-style:square;mso-width-percent:1000;mso-height-percent:27;mso-top-percent:45;mso-wrap-distance-left:9.35pt;mso-wrap-distance-top:0;mso-wrap-distance-right:9.35pt;mso-wrap-distance-bottom:0;mso-position-horizontal:center;mso-position-horizontal-relative:margin;mso-position-vertical-relative:page;mso-width-percent:1000;mso-height-percent:27;mso-top-percent:45;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" o:allowoverlap="f" fillcolor="#ad84c6 [3204]" stroked="f" strokeweight="1pt">
              <v:textbox style="mso-fit-shape-to-text:t">
                <w:txbxContent>
                  <w:sdt>
                    <w:sdtPr>
                      <w:rPr>
                        <w:caps/>
                        <w:color w:val="FFFFFF"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EndPr/>
                    <w:sdtContent>
                      <w:p w14:paraId="5353B8BD" w14:textId="5B93518A" w:rsidR="006707BA" w:rsidRDefault="007575D4">
                        <w:pPr>
                          <w:pStyle w:val="Header"/>
                          <w:jc w:val="center"/>
                          <w:rPr>
                            <w:caps/>
                            <w:color w:val="FFFFFF" w:themeColor="background1"/>
                          </w:rPr>
                        </w:pPr>
                        <w:r>
                          <w:rPr>
                            <w:caps/>
                            <w:color w:val="FFFFFF" w:themeColor="background1"/>
                          </w:rPr>
                          <w:t>REWARD FOR PERFORMANCE &amp; cONTR</w:t>
                        </w:r>
                        <w:r w:rsidR="00506CBD">
                          <w:rPr>
                            <w:caps/>
                            <w:color w:val="FFFFFF" w:themeColor="background1"/>
                          </w:rPr>
                          <w:t>IBUTION</w:t>
                        </w:r>
                        <w:r w:rsidR="006707BA">
                          <w:rPr>
                            <w:caps/>
                            <w:color w:val="FFFFFF" w:themeColor="background1"/>
                          </w:rPr>
                          <w:t xml:space="preserve"> Report</w:t>
                        </w:r>
                      </w:p>
                    </w:sdtContent>
                  </w:sdt>
                </w:txbxContent>
              </v:textbox>
              <w10:wrap type="square" anchorx="margin" anchory="page"/>
            </v:rect>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7E1BEA"/>
    <w:multiLevelType w:val="hybridMultilevel"/>
    <w:tmpl w:val="39C00A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536151"/>
    <w:multiLevelType w:val="multilevel"/>
    <w:tmpl w:val="519065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6CB6DE8"/>
    <w:multiLevelType w:val="hybridMultilevel"/>
    <w:tmpl w:val="6A40B3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96C4353"/>
    <w:multiLevelType w:val="hybridMultilevel"/>
    <w:tmpl w:val="02DAC9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D183283"/>
    <w:multiLevelType w:val="hybridMultilevel"/>
    <w:tmpl w:val="0DAA7344"/>
    <w:lvl w:ilvl="0" w:tplc="08090011">
      <w:start w:val="1"/>
      <w:numFmt w:val="decimal"/>
      <w:lvlText w:val="%1)"/>
      <w:lvlJc w:val="left"/>
      <w:pPr>
        <w:ind w:left="720" w:hanging="360"/>
      </w:pPr>
      <w:rPr>
        <w:rFonts w:hint="default"/>
        <w:b/>
        <w:i w:val="0"/>
        <w:color w:val="363472"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3CA07960"/>
    <w:multiLevelType w:val="hybridMultilevel"/>
    <w:tmpl w:val="3DBCA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27A51EA"/>
    <w:multiLevelType w:val="hybridMultilevel"/>
    <w:tmpl w:val="7A907F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66747C2"/>
    <w:multiLevelType w:val="hybridMultilevel"/>
    <w:tmpl w:val="4D1EC7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78D51EC"/>
    <w:multiLevelType w:val="hybridMultilevel"/>
    <w:tmpl w:val="49E8C512"/>
    <w:lvl w:ilvl="0" w:tplc="9F9EE5C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0401381"/>
    <w:multiLevelType w:val="hybridMultilevel"/>
    <w:tmpl w:val="1450C4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0A422C5"/>
    <w:multiLevelType w:val="hybridMultilevel"/>
    <w:tmpl w:val="99CE08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7EB550B"/>
    <w:multiLevelType w:val="hybridMultilevel"/>
    <w:tmpl w:val="A84607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94F3039"/>
    <w:multiLevelType w:val="hybridMultilevel"/>
    <w:tmpl w:val="56266B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DFE3BD1"/>
    <w:multiLevelType w:val="hybridMultilevel"/>
    <w:tmpl w:val="5D90B6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E6541C1"/>
    <w:multiLevelType w:val="hybridMultilevel"/>
    <w:tmpl w:val="0668089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33457840">
    <w:abstractNumId w:val="7"/>
  </w:num>
  <w:num w:numId="2" w16cid:durableId="794451515">
    <w:abstractNumId w:val="14"/>
  </w:num>
  <w:num w:numId="3" w16cid:durableId="2109811030">
    <w:abstractNumId w:val="2"/>
  </w:num>
  <w:num w:numId="4" w16cid:durableId="679506555">
    <w:abstractNumId w:val="8"/>
  </w:num>
  <w:num w:numId="5" w16cid:durableId="596980229">
    <w:abstractNumId w:val="1"/>
  </w:num>
  <w:num w:numId="6" w16cid:durableId="1956136043">
    <w:abstractNumId w:val="12"/>
  </w:num>
  <w:num w:numId="7" w16cid:durableId="1301376382">
    <w:abstractNumId w:val="10"/>
  </w:num>
  <w:num w:numId="8" w16cid:durableId="1377967474">
    <w:abstractNumId w:val="6"/>
  </w:num>
  <w:num w:numId="9" w16cid:durableId="1305039876">
    <w:abstractNumId w:val="0"/>
  </w:num>
  <w:num w:numId="10" w16cid:durableId="1688828714">
    <w:abstractNumId w:val="4"/>
  </w:num>
  <w:num w:numId="11" w16cid:durableId="1108961453">
    <w:abstractNumId w:val="13"/>
  </w:num>
  <w:num w:numId="12" w16cid:durableId="778456050">
    <w:abstractNumId w:val="11"/>
  </w:num>
  <w:num w:numId="13" w16cid:durableId="729379235">
    <w:abstractNumId w:val="5"/>
  </w:num>
  <w:num w:numId="14" w16cid:durableId="1330056240">
    <w:abstractNumId w:val="9"/>
  </w:num>
  <w:num w:numId="15" w16cid:durableId="134331703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48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95A17"/>
    <w:rsid w:val="0000168B"/>
    <w:rsid w:val="000033B7"/>
    <w:rsid w:val="000203DB"/>
    <w:rsid w:val="00022AA8"/>
    <w:rsid w:val="00033109"/>
    <w:rsid w:val="00035E68"/>
    <w:rsid w:val="0004084A"/>
    <w:rsid w:val="00055A4F"/>
    <w:rsid w:val="000579FF"/>
    <w:rsid w:val="0007040A"/>
    <w:rsid w:val="0009145A"/>
    <w:rsid w:val="00096055"/>
    <w:rsid w:val="000A1A3F"/>
    <w:rsid w:val="000A1B77"/>
    <w:rsid w:val="000A3F9F"/>
    <w:rsid w:val="000C23B6"/>
    <w:rsid w:val="000C538D"/>
    <w:rsid w:val="000D7C8F"/>
    <w:rsid w:val="000E2863"/>
    <w:rsid w:val="001044A9"/>
    <w:rsid w:val="00104881"/>
    <w:rsid w:val="001051B6"/>
    <w:rsid w:val="001065AE"/>
    <w:rsid w:val="00144BF9"/>
    <w:rsid w:val="00150C2D"/>
    <w:rsid w:val="00152E62"/>
    <w:rsid w:val="00156895"/>
    <w:rsid w:val="001571B1"/>
    <w:rsid w:val="00170AF8"/>
    <w:rsid w:val="0017187D"/>
    <w:rsid w:val="00175663"/>
    <w:rsid w:val="00177B5C"/>
    <w:rsid w:val="00193C91"/>
    <w:rsid w:val="001A1F90"/>
    <w:rsid w:val="001A2885"/>
    <w:rsid w:val="001B408B"/>
    <w:rsid w:val="001B7E3E"/>
    <w:rsid w:val="001C2A99"/>
    <w:rsid w:val="001C5431"/>
    <w:rsid w:val="001E1AFC"/>
    <w:rsid w:val="001F3CF0"/>
    <w:rsid w:val="002028FC"/>
    <w:rsid w:val="00203C5A"/>
    <w:rsid w:val="00217FCC"/>
    <w:rsid w:val="00225F82"/>
    <w:rsid w:val="00231F15"/>
    <w:rsid w:val="00245641"/>
    <w:rsid w:val="00254B72"/>
    <w:rsid w:val="00263C44"/>
    <w:rsid w:val="00273D4A"/>
    <w:rsid w:val="002817EC"/>
    <w:rsid w:val="00293547"/>
    <w:rsid w:val="002A3FFD"/>
    <w:rsid w:val="002A62BF"/>
    <w:rsid w:val="002B5435"/>
    <w:rsid w:val="002C5FF7"/>
    <w:rsid w:val="002D441B"/>
    <w:rsid w:val="002E0E9A"/>
    <w:rsid w:val="002F6680"/>
    <w:rsid w:val="00322F18"/>
    <w:rsid w:val="00322F2D"/>
    <w:rsid w:val="00345F69"/>
    <w:rsid w:val="00360783"/>
    <w:rsid w:val="003943E7"/>
    <w:rsid w:val="003A1EF1"/>
    <w:rsid w:val="003B1482"/>
    <w:rsid w:val="003C700D"/>
    <w:rsid w:val="003C7A0D"/>
    <w:rsid w:val="003D74AA"/>
    <w:rsid w:val="003E1F05"/>
    <w:rsid w:val="003E5C8B"/>
    <w:rsid w:val="003F2C40"/>
    <w:rsid w:val="004008B0"/>
    <w:rsid w:val="00403A6C"/>
    <w:rsid w:val="00406D63"/>
    <w:rsid w:val="00424971"/>
    <w:rsid w:val="004324E3"/>
    <w:rsid w:val="00477B92"/>
    <w:rsid w:val="00481A41"/>
    <w:rsid w:val="00491923"/>
    <w:rsid w:val="00491AAB"/>
    <w:rsid w:val="00494581"/>
    <w:rsid w:val="00495A17"/>
    <w:rsid w:val="004B4B70"/>
    <w:rsid w:val="004B4DBA"/>
    <w:rsid w:val="004B6EF9"/>
    <w:rsid w:val="004C105C"/>
    <w:rsid w:val="004C3C55"/>
    <w:rsid w:val="00506CBD"/>
    <w:rsid w:val="00514062"/>
    <w:rsid w:val="00525C42"/>
    <w:rsid w:val="005332FC"/>
    <w:rsid w:val="00546CCB"/>
    <w:rsid w:val="005573E6"/>
    <w:rsid w:val="0056317D"/>
    <w:rsid w:val="00567479"/>
    <w:rsid w:val="005711F3"/>
    <w:rsid w:val="00572D5E"/>
    <w:rsid w:val="005A0AC6"/>
    <w:rsid w:val="005A72A6"/>
    <w:rsid w:val="005A7E7E"/>
    <w:rsid w:val="005B3FE6"/>
    <w:rsid w:val="005C4777"/>
    <w:rsid w:val="005D011A"/>
    <w:rsid w:val="005D1FBF"/>
    <w:rsid w:val="005E36EF"/>
    <w:rsid w:val="005E6091"/>
    <w:rsid w:val="0064768F"/>
    <w:rsid w:val="00655391"/>
    <w:rsid w:val="006555F8"/>
    <w:rsid w:val="0065676D"/>
    <w:rsid w:val="00662C6E"/>
    <w:rsid w:val="00666B26"/>
    <w:rsid w:val="006707BA"/>
    <w:rsid w:val="00686FCB"/>
    <w:rsid w:val="006A55AA"/>
    <w:rsid w:val="006A5CC5"/>
    <w:rsid w:val="006B12C5"/>
    <w:rsid w:val="006B3669"/>
    <w:rsid w:val="006C0599"/>
    <w:rsid w:val="006D073B"/>
    <w:rsid w:val="006D3B0D"/>
    <w:rsid w:val="006D7786"/>
    <w:rsid w:val="006F45ED"/>
    <w:rsid w:val="0071430D"/>
    <w:rsid w:val="00737699"/>
    <w:rsid w:val="00751377"/>
    <w:rsid w:val="007526BC"/>
    <w:rsid w:val="00755A42"/>
    <w:rsid w:val="007575D4"/>
    <w:rsid w:val="007701AE"/>
    <w:rsid w:val="00786785"/>
    <w:rsid w:val="00794EAA"/>
    <w:rsid w:val="007961C3"/>
    <w:rsid w:val="00797087"/>
    <w:rsid w:val="007A76AA"/>
    <w:rsid w:val="007C0558"/>
    <w:rsid w:val="007C1641"/>
    <w:rsid w:val="007C533A"/>
    <w:rsid w:val="007D2BBF"/>
    <w:rsid w:val="007E2DF3"/>
    <w:rsid w:val="007F728F"/>
    <w:rsid w:val="00800785"/>
    <w:rsid w:val="008018F1"/>
    <w:rsid w:val="00803C43"/>
    <w:rsid w:val="00821DA4"/>
    <w:rsid w:val="00831E02"/>
    <w:rsid w:val="0083761D"/>
    <w:rsid w:val="008424D1"/>
    <w:rsid w:val="00846C65"/>
    <w:rsid w:val="0085242B"/>
    <w:rsid w:val="00856B0D"/>
    <w:rsid w:val="008663A3"/>
    <w:rsid w:val="00867F6A"/>
    <w:rsid w:val="0087240A"/>
    <w:rsid w:val="00874B00"/>
    <w:rsid w:val="00877A1C"/>
    <w:rsid w:val="00886F3F"/>
    <w:rsid w:val="008D3559"/>
    <w:rsid w:val="008D407F"/>
    <w:rsid w:val="008D47FD"/>
    <w:rsid w:val="008D4831"/>
    <w:rsid w:val="008F29FE"/>
    <w:rsid w:val="008F31A0"/>
    <w:rsid w:val="00900AAC"/>
    <w:rsid w:val="00900F03"/>
    <w:rsid w:val="00901480"/>
    <w:rsid w:val="00912BD9"/>
    <w:rsid w:val="0092131D"/>
    <w:rsid w:val="009403A3"/>
    <w:rsid w:val="00941A15"/>
    <w:rsid w:val="009761ED"/>
    <w:rsid w:val="009840A9"/>
    <w:rsid w:val="009A77DE"/>
    <w:rsid w:val="009A7F96"/>
    <w:rsid w:val="009B2748"/>
    <w:rsid w:val="009B3363"/>
    <w:rsid w:val="009C058E"/>
    <w:rsid w:val="009C3A99"/>
    <w:rsid w:val="009F0C93"/>
    <w:rsid w:val="00A15211"/>
    <w:rsid w:val="00A22BDD"/>
    <w:rsid w:val="00A2362A"/>
    <w:rsid w:val="00A35B52"/>
    <w:rsid w:val="00A60BBE"/>
    <w:rsid w:val="00A63F5D"/>
    <w:rsid w:val="00A6533C"/>
    <w:rsid w:val="00A65C39"/>
    <w:rsid w:val="00A677CC"/>
    <w:rsid w:val="00A761D4"/>
    <w:rsid w:val="00A9363C"/>
    <w:rsid w:val="00A96FE4"/>
    <w:rsid w:val="00AB593D"/>
    <w:rsid w:val="00AC01A1"/>
    <w:rsid w:val="00AC1514"/>
    <w:rsid w:val="00AC1599"/>
    <w:rsid w:val="00AC3BCB"/>
    <w:rsid w:val="00AC713C"/>
    <w:rsid w:val="00AF0213"/>
    <w:rsid w:val="00AF5491"/>
    <w:rsid w:val="00AF5935"/>
    <w:rsid w:val="00B179C8"/>
    <w:rsid w:val="00B81C11"/>
    <w:rsid w:val="00B84BD2"/>
    <w:rsid w:val="00BB4344"/>
    <w:rsid w:val="00BB4938"/>
    <w:rsid w:val="00BC398D"/>
    <w:rsid w:val="00BC460E"/>
    <w:rsid w:val="00BE2E13"/>
    <w:rsid w:val="00C42FA8"/>
    <w:rsid w:val="00C47B92"/>
    <w:rsid w:val="00C53148"/>
    <w:rsid w:val="00C53878"/>
    <w:rsid w:val="00C5446D"/>
    <w:rsid w:val="00C66318"/>
    <w:rsid w:val="00C81A1D"/>
    <w:rsid w:val="00CA0F40"/>
    <w:rsid w:val="00CA4184"/>
    <w:rsid w:val="00CB1D8D"/>
    <w:rsid w:val="00CB3332"/>
    <w:rsid w:val="00CB3DBA"/>
    <w:rsid w:val="00CC088D"/>
    <w:rsid w:val="00CE06F6"/>
    <w:rsid w:val="00CF3D40"/>
    <w:rsid w:val="00D02281"/>
    <w:rsid w:val="00D30CD1"/>
    <w:rsid w:val="00D4158A"/>
    <w:rsid w:val="00D41BFB"/>
    <w:rsid w:val="00D7604C"/>
    <w:rsid w:val="00D770AD"/>
    <w:rsid w:val="00D77497"/>
    <w:rsid w:val="00D81C84"/>
    <w:rsid w:val="00D86500"/>
    <w:rsid w:val="00D953D1"/>
    <w:rsid w:val="00DC0FB1"/>
    <w:rsid w:val="00DC536C"/>
    <w:rsid w:val="00DE1511"/>
    <w:rsid w:val="00DE1634"/>
    <w:rsid w:val="00DF4692"/>
    <w:rsid w:val="00E0054D"/>
    <w:rsid w:val="00E06468"/>
    <w:rsid w:val="00E11327"/>
    <w:rsid w:val="00E22B33"/>
    <w:rsid w:val="00E44A0D"/>
    <w:rsid w:val="00E5430A"/>
    <w:rsid w:val="00E63FE8"/>
    <w:rsid w:val="00E7079E"/>
    <w:rsid w:val="00E722A8"/>
    <w:rsid w:val="00E76D18"/>
    <w:rsid w:val="00E91D3F"/>
    <w:rsid w:val="00E96680"/>
    <w:rsid w:val="00EB38BA"/>
    <w:rsid w:val="00EB4D3D"/>
    <w:rsid w:val="00EC02DF"/>
    <w:rsid w:val="00EC2BBE"/>
    <w:rsid w:val="00EC5B4C"/>
    <w:rsid w:val="00EF6DEA"/>
    <w:rsid w:val="00F078AE"/>
    <w:rsid w:val="00F11B78"/>
    <w:rsid w:val="00F11BF0"/>
    <w:rsid w:val="00F15957"/>
    <w:rsid w:val="00F252EA"/>
    <w:rsid w:val="00F3425D"/>
    <w:rsid w:val="00F36853"/>
    <w:rsid w:val="00F55A1D"/>
    <w:rsid w:val="00F671A6"/>
    <w:rsid w:val="00F83D16"/>
    <w:rsid w:val="00F849BF"/>
    <w:rsid w:val="00F8532F"/>
    <w:rsid w:val="00F85B44"/>
    <w:rsid w:val="00FB117C"/>
    <w:rsid w:val="00FD39B9"/>
    <w:rsid w:val="00FD472A"/>
    <w:rsid w:val="00FD4C4B"/>
    <w:rsid w:val="00FF41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81"/>
    <o:shapelayout v:ext="edit">
      <o:idmap v:ext="edit" data="1"/>
    </o:shapelayout>
  </w:shapeDefaults>
  <w:decimalSymbol w:val="."/>
  <w:listSeparator w:val=","/>
  <w14:docId w14:val="421D1DB3"/>
  <w15:chartTrackingRefBased/>
  <w15:docId w15:val="{F1795D60-FA65-4BEE-8065-4DA221ABAF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5A7E7E"/>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BookTitle">
    <w:name w:val="Book Title"/>
    <w:basedOn w:val="DefaultParagraphFont"/>
    <w:uiPriority w:val="33"/>
    <w:qFormat/>
    <w:rsid w:val="0065676D"/>
    <w:rPr>
      <w:b/>
      <w:bCs/>
      <w:i/>
      <w:iCs/>
      <w:spacing w:val="5"/>
    </w:rPr>
  </w:style>
  <w:style w:type="paragraph" w:styleId="Header">
    <w:name w:val="header"/>
    <w:basedOn w:val="Normal"/>
    <w:link w:val="HeaderChar"/>
    <w:uiPriority w:val="99"/>
    <w:unhideWhenUsed/>
    <w:rsid w:val="004324E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324E3"/>
  </w:style>
  <w:style w:type="paragraph" w:styleId="Footer">
    <w:name w:val="footer"/>
    <w:basedOn w:val="Normal"/>
    <w:link w:val="FooterChar"/>
    <w:uiPriority w:val="99"/>
    <w:unhideWhenUsed/>
    <w:qFormat/>
    <w:rsid w:val="004324E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324E3"/>
  </w:style>
  <w:style w:type="paragraph" w:styleId="NoSpacing">
    <w:name w:val="No Spacing"/>
    <w:link w:val="NoSpacingChar"/>
    <w:uiPriority w:val="1"/>
    <w:qFormat/>
    <w:rsid w:val="000203D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203DB"/>
    <w:rPr>
      <w:rFonts w:eastAsiaTheme="minorEastAsia"/>
      <w:lang w:val="en-US"/>
    </w:rPr>
  </w:style>
  <w:style w:type="paragraph" w:customStyle="1" w:styleId="Nornal">
    <w:name w:val="Nornal"/>
    <w:basedOn w:val="Normal"/>
    <w:link w:val="NornalChar"/>
    <w:qFormat/>
    <w:rsid w:val="00D4158A"/>
    <w:pPr>
      <w:spacing w:line="264" w:lineRule="auto"/>
    </w:pPr>
    <w:rPr>
      <w:rFonts w:ascii="Arial" w:hAnsi="Arial" w:cs="Arial"/>
    </w:rPr>
  </w:style>
  <w:style w:type="character" w:customStyle="1" w:styleId="NornalChar">
    <w:name w:val="Nornal Char"/>
    <w:basedOn w:val="DefaultParagraphFont"/>
    <w:link w:val="Nornal"/>
    <w:rsid w:val="00D4158A"/>
    <w:rPr>
      <w:rFonts w:ascii="Arial" w:hAnsi="Arial" w:cs="Arial"/>
    </w:rPr>
  </w:style>
  <w:style w:type="character" w:styleId="CommentReference">
    <w:name w:val="annotation reference"/>
    <w:basedOn w:val="DefaultParagraphFont"/>
    <w:uiPriority w:val="99"/>
    <w:semiHidden/>
    <w:unhideWhenUsed/>
    <w:rsid w:val="00A60BBE"/>
    <w:rPr>
      <w:sz w:val="16"/>
      <w:szCs w:val="16"/>
    </w:rPr>
  </w:style>
  <w:style w:type="paragraph" w:styleId="CommentText">
    <w:name w:val="annotation text"/>
    <w:basedOn w:val="Normal"/>
    <w:link w:val="CommentTextChar"/>
    <w:uiPriority w:val="99"/>
    <w:unhideWhenUsed/>
    <w:rsid w:val="00A60BBE"/>
    <w:pPr>
      <w:spacing w:line="240" w:lineRule="auto"/>
    </w:pPr>
    <w:rPr>
      <w:sz w:val="20"/>
      <w:szCs w:val="20"/>
    </w:rPr>
  </w:style>
  <w:style w:type="character" w:customStyle="1" w:styleId="CommentTextChar">
    <w:name w:val="Comment Text Char"/>
    <w:basedOn w:val="DefaultParagraphFont"/>
    <w:link w:val="CommentText"/>
    <w:uiPriority w:val="99"/>
    <w:rsid w:val="00A60BBE"/>
    <w:rPr>
      <w:sz w:val="20"/>
      <w:szCs w:val="20"/>
    </w:rPr>
  </w:style>
  <w:style w:type="paragraph" w:styleId="ListParagraph">
    <w:name w:val="List Paragraph"/>
    <w:basedOn w:val="Normal"/>
    <w:link w:val="ListParagraphChar"/>
    <w:uiPriority w:val="34"/>
    <w:qFormat/>
    <w:rsid w:val="001C5431"/>
    <w:pPr>
      <w:ind w:left="720"/>
      <w:contextualSpacing/>
    </w:pPr>
  </w:style>
  <w:style w:type="character" w:styleId="Hyperlink">
    <w:name w:val="Hyperlink"/>
    <w:basedOn w:val="DefaultParagraphFont"/>
    <w:uiPriority w:val="99"/>
    <w:unhideWhenUsed/>
    <w:rsid w:val="001C5431"/>
    <w:rPr>
      <w:color w:val="0000FF"/>
      <w:u w:val="single"/>
    </w:rPr>
  </w:style>
  <w:style w:type="character" w:customStyle="1" w:styleId="normaltextrun">
    <w:name w:val="normaltextrun"/>
    <w:basedOn w:val="DefaultParagraphFont"/>
    <w:rsid w:val="001C5431"/>
  </w:style>
  <w:style w:type="paragraph" w:styleId="NormalWeb">
    <w:name w:val="Normal (Web)"/>
    <w:basedOn w:val="Normal"/>
    <w:uiPriority w:val="99"/>
    <w:unhideWhenUsed/>
    <w:rsid w:val="00856B0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UnresolvedMention1">
    <w:name w:val="Unresolved Mention1"/>
    <w:basedOn w:val="DefaultParagraphFont"/>
    <w:uiPriority w:val="99"/>
    <w:semiHidden/>
    <w:unhideWhenUsed/>
    <w:rsid w:val="00175663"/>
    <w:rPr>
      <w:color w:val="605E5C"/>
      <w:shd w:val="clear" w:color="auto" w:fill="E1DFDD"/>
    </w:rPr>
  </w:style>
  <w:style w:type="character" w:customStyle="1" w:styleId="Heading1Char">
    <w:name w:val="Heading 1 Char"/>
    <w:basedOn w:val="DefaultParagraphFont"/>
    <w:link w:val="Heading1"/>
    <w:uiPriority w:val="9"/>
    <w:rsid w:val="005A7E7E"/>
    <w:rPr>
      <w:rFonts w:ascii="Times New Roman" w:eastAsia="Times New Roman" w:hAnsi="Times New Roman" w:cs="Times New Roman"/>
      <w:b/>
      <w:bCs/>
      <w:kern w:val="36"/>
      <w:sz w:val="48"/>
      <w:szCs w:val="48"/>
      <w:lang w:eastAsia="en-GB"/>
    </w:rPr>
  </w:style>
  <w:style w:type="character" w:styleId="Emphasis">
    <w:name w:val="Emphasis"/>
    <w:basedOn w:val="DefaultParagraphFont"/>
    <w:uiPriority w:val="20"/>
    <w:qFormat/>
    <w:rsid w:val="00F252EA"/>
    <w:rPr>
      <w:i/>
      <w:iCs/>
    </w:rPr>
  </w:style>
  <w:style w:type="character" w:styleId="FollowedHyperlink">
    <w:name w:val="FollowedHyperlink"/>
    <w:basedOn w:val="DefaultParagraphFont"/>
    <w:uiPriority w:val="99"/>
    <w:semiHidden/>
    <w:unhideWhenUsed/>
    <w:rsid w:val="000D7C8F"/>
    <w:rPr>
      <w:color w:val="8C8C8C" w:themeColor="followedHyperlink"/>
      <w:u w:val="single"/>
    </w:rPr>
  </w:style>
  <w:style w:type="paragraph" w:styleId="CommentSubject">
    <w:name w:val="annotation subject"/>
    <w:basedOn w:val="CommentText"/>
    <w:next w:val="CommentText"/>
    <w:link w:val="CommentSubjectChar"/>
    <w:uiPriority w:val="99"/>
    <w:semiHidden/>
    <w:unhideWhenUsed/>
    <w:rsid w:val="005332FC"/>
    <w:rPr>
      <w:b/>
      <w:bCs/>
    </w:rPr>
  </w:style>
  <w:style w:type="character" w:customStyle="1" w:styleId="CommentSubjectChar">
    <w:name w:val="Comment Subject Char"/>
    <w:basedOn w:val="CommentTextChar"/>
    <w:link w:val="CommentSubject"/>
    <w:uiPriority w:val="99"/>
    <w:semiHidden/>
    <w:rsid w:val="005332FC"/>
    <w:rPr>
      <w:b/>
      <w:bCs/>
      <w:sz w:val="20"/>
      <w:szCs w:val="20"/>
    </w:rPr>
  </w:style>
  <w:style w:type="paragraph" w:styleId="BalloonText">
    <w:name w:val="Balloon Text"/>
    <w:basedOn w:val="Normal"/>
    <w:link w:val="BalloonTextChar"/>
    <w:uiPriority w:val="99"/>
    <w:semiHidden/>
    <w:unhideWhenUsed/>
    <w:rsid w:val="005332F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332FC"/>
    <w:rPr>
      <w:rFonts w:ascii="Segoe UI" w:hAnsi="Segoe UI" w:cs="Segoe UI"/>
      <w:sz w:val="18"/>
      <w:szCs w:val="18"/>
    </w:rPr>
  </w:style>
  <w:style w:type="paragraph" w:styleId="BodyText">
    <w:name w:val="Body Text"/>
    <w:basedOn w:val="Normal"/>
    <w:link w:val="BodyTextChar"/>
    <w:uiPriority w:val="1"/>
    <w:qFormat/>
    <w:rsid w:val="00803C43"/>
    <w:pPr>
      <w:widowControl w:val="0"/>
      <w:autoSpaceDE w:val="0"/>
      <w:autoSpaceDN w:val="0"/>
      <w:spacing w:after="0" w:line="240" w:lineRule="auto"/>
    </w:pPr>
    <w:rPr>
      <w:rFonts w:ascii="Arial" w:eastAsia="Arial" w:hAnsi="Arial" w:cs="Arial"/>
    </w:rPr>
  </w:style>
  <w:style w:type="character" w:customStyle="1" w:styleId="BodyTextChar">
    <w:name w:val="Body Text Char"/>
    <w:basedOn w:val="DefaultParagraphFont"/>
    <w:link w:val="BodyText"/>
    <w:uiPriority w:val="1"/>
    <w:rsid w:val="00803C43"/>
    <w:rPr>
      <w:rFonts w:ascii="Arial" w:eastAsia="Arial" w:hAnsi="Arial" w:cs="Arial"/>
    </w:rPr>
  </w:style>
  <w:style w:type="paragraph" w:customStyle="1" w:styleId="Listparag">
    <w:name w:val="List parag"/>
    <w:basedOn w:val="ListParagraph"/>
    <w:link w:val="ListparagChar"/>
    <w:qFormat/>
    <w:rsid w:val="00CA4184"/>
    <w:pPr>
      <w:spacing w:after="120" w:line="264" w:lineRule="auto"/>
      <w:ind w:left="0"/>
      <w:contextualSpacing w:val="0"/>
    </w:pPr>
    <w:rPr>
      <w:rFonts w:eastAsia="Times New Roman" w:cstheme="minorHAnsi"/>
      <w:color w:val="000000"/>
      <w:lang w:eastAsia="en-GB"/>
    </w:rPr>
  </w:style>
  <w:style w:type="character" w:customStyle="1" w:styleId="ListParagraphChar">
    <w:name w:val="List Paragraph Char"/>
    <w:basedOn w:val="DefaultParagraphFont"/>
    <w:link w:val="ListParagraph"/>
    <w:uiPriority w:val="34"/>
    <w:rsid w:val="00CA4184"/>
  </w:style>
  <w:style w:type="character" w:customStyle="1" w:styleId="ListparagChar">
    <w:name w:val="List parag Char"/>
    <w:basedOn w:val="ListParagraphChar"/>
    <w:link w:val="Listparag"/>
    <w:rsid w:val="00CA4184"/>
    <w:rPr>
      <w:rFonts w:eastAsia="Times New Roman" w:cstheme="minorHAnsi"/>
      <w:color w:val="000000"/>
      <w:lang w:eastAsia="en-GB"/>
    </w:rPr>
  </w:style>
  <w:style w:type="character" w:styleId="UnresolvedMention">
    <w:name w:val="Unresolved Mention"/>
    <w:basedOn w:val="DefaultParagraphFont"/>
    <w:uiPriority w:val="99"/>
    <w:semiHidden/>
    <w:unhideWhenUsed/>
    <w:rsid w:val="00CA4184"/>
    <w:rPr>
      <w:color w:val="605E5C"/>
      <w:shd w:val="clear" w:color="auto" w:fill="E1DFDD"/>
    </w:rPr>
  </w:style>
  <w:style w:type="character" w:customStyle="1" w:styleId="ui-provider">
    <w:name w:val="ui-provider"/>
    <w:basedOn w:val="DefaultParagraphFont"/>
    <w:rsid w:val="00CA418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260196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bc.co.uk/news/business-56534988" TargetMode="External"/><Relationship Id="rId18" Type="http://schemas.openxmlformats.org/officeDocument/2006/relationships/hyperlink" Target="https://www.cipd.org/uk/knowledge/factsheets/pay-structures-factsheet/" TargetMode="External"/><Relationship Id="rId26" Type="http://schemas.openxmlformats.org/officeDocument/2006/relationships/hyperlink" Target="https://www.gallup.com/workplace/236441/employee-recognition-low-cost-high-impact.aspx" TargetMode="External"/><Relationship Id="rId39" Type="http://schemas.openxmlformats.org/officeDocument/2006/relationships/hyperlink" Target="https://payjustice.co.uk/understanding-job-evaluation/" TargetMode="External"/><Relationship Id="rId21" Type="http://schemas.openxmlformats.org/officeDocument/2006/relationships/hyperlink" Target="https://www.cipd.org/uk/knowledge/factsheets/strategic-total-factsheet/" TargetMode="External"/><Relationship Id="rId34" Type="http://schemas.openxmlformats.org/officeDocument/2006/relationships/hyperlink" Target="https://www.davidsonmorris.com/enhanced-maternity-pay/" TargetMode="External"/><Relationship Id="rId42" Type="http://schemas.openxmlformats.org/officeDocument/2006/relationships/hyperlink" Target="https://ceopedia.org/index.php/Internal_benchmarking" TargetMode="External"/><Relationship Id="rId47"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cipd.org/uk/knowledge/employment-law/equal-pay/" TargetMode="External"/><Relationship Id="rId29" Type="http://schemas.openxmlformats.org/officeDocument/2006/relationships/hyperlink" Target="https://www.gov.uk/government/publications/gender-pay-gap-reporting-guidance-for-employers/who-needs-to-report"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oorepay.co.uk/blog/how-to-benchmark-employee-benefits/" TargetMode="External"/><Relationship Id="rId24" Type="http://schemas.openxmlformats.org/officeDocument/2006/relationships/hyperlink" Target="https://researchbriefings.files.parliament.uk/documents/CBP-9366/CBP-9366.pdf" TargetMode="External"/><Relationship Id="rId32" Type="http://schemas.openxmlformats.org/officeDocument/2006/relationships/hyperlink" Target="https://www.greatplacetowork.com/resources/blog/creating-a-culture-of-recognition" TargetMode="External"/><Relationship Id="rId37" Type="http://schemas.openxmlformats.org/officeDocument/2006/relationships/hyperlink" Target="https://www.ons.gov.uk/employmentandlabourmarket/peopleinwork/earningsandworkinghours" TargetMode="External"/><Relationship Id="rId40" Type="http://schemas.openxmlformats.org/officeDocument/2006/relationships/hyperlink" Target="https://economictimes.indiatimes.com/definition/internal-benchmarking" TargetMode="External"/><Relationship Id="rId45"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cipd.org/uk/knowledge/factsheets/pay-fairness-reporting-factsheet/" TargetMode="External"/><Relationship Id="rId23" Type="http://schemas.openxmlformats.org/officeDocument/2006/relationships/hyperlink" Target="https://www.legislation.gov.uk/ukpga/2010/15/contents" TargetMode="External"/><Relationship Id="rId28" Type="http://schemas.openxmlformats.org/officeDocument/2006/relationships/hyperlink" Target="https://www.glassdoor.com/blog/guide/intrinsic-rewards/" TargetMode="External"/><Relationship Id="rId36" Type="http://schemas.openxmlformats.org/officeDocument/2006/relationships/hyperlink" Target="https://www.legislation.gov.uk/ukpga/1998/39/contents" TargetMode="External"/><Relationship Id="rId10" Type="http://schemas.openxmlformats.org/officeDocument/2006/relationships/hyperlink" Target="https://www.acas.org.uk/your-maternity-leave-pay-and-other-rights/working-out-maternity-pay" TargetMode="External"/><Relationship Id="rId19" Type="http://schemas.openxmlformats.org/officeDocument/2006/relationships/hyperlink" Target="https://www.cipd.org/uk/knowledge/factsheets/benefits-factsheet/" TargetMode="External"/><Relationship Id="rId31" Type="http://schemas.openxmlformats.org/officeDocument/2006/relationships/hyperlink" Target="https://www.peoplemanagement.co.uk/article/1743866/real-value-reward" TargetMode="External"/><Relationship Id="rId44"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acas.org.uk/job-evaluation-considerations-and-risks-advice-booklet" TargetMode="External"/><Relationship Id="rId14" Type="http://schemas.openxmlformats.org/officeDocument/2006/relationships/hyperlink" Target="https://www.peoplemanagement.co.uk/article/1746306/be-careful-incentivise-for" TargetMode="External"/><Relationship Id="rId22" Type="http://schemas.openxmlformats.org/officeDocument/2006/relationships/hyperlink" Target="https://www.achievers.com/blog/4-types-of-recognition-for-employees/" TargetMode="External"/><Relationship Id="rId27" Type="http://schemas.openxmlformats.org/officeDocument/2006/relationships/hyperlink" Target="https://www.bing.com/videos/search?q=intrinsic+motivation+and+extrinsic+motivation+and+work&amp;docid=608004551729678760&amp;mid=145EE56D12C707740854145EE56D12C707740854&amp;view=detail&amp;FORM=VIRE" TargetMode="External"/><Relationship Id="rId30" Type="http://schemas.openxmlformats.org/officeDocument/2006/relationships/hyperlink" Target="https://www.forbes.com/advisor/business/employee-benefits/" TargetMode="External"/><Relationship Id="rId35" Type="http://schemas.openxmlformats.org/officeDocument/2006/relationships/hyperlink" Target="https://www.davidsonmorris.com/different-types-of-pay-structures/" TargetMode="External"/><Relationship Id="rId43" Type="http://schemas.openxmlformats.org/officeDocument/2006/relationships/header" Target="header1.xml"/><Relationship Id="rId8" Type="http://schemas.openxmlformats.org/officeDocument/2006/relationships/hyperlink" Target="https://www.acas.org.uk/job-evaluation-considerations-and-risks-advice-booklet" TargetMode="External"/><Relationship Id="rId3" Type="http://schemas.openxmlformats.org/officeDocument/2006/relationships/styles" Target="styles.xml"/><Relationship Id="rId12" Type="http://schemas.openxmlformats.org/officeDocument/2006/relationships/hyperlink" Target="https://www.cipd.org/uk/knowledge/factsheets/maternity-paternity-rights-factsheet/" TargetMode="External"/><Relationship Id="rId17" Type="http://schemas.openxmlformats.org/officeDocument/2006/relationships/hyperlink" Target="https://www.cipd.org/uk/knowledge/factsheets/reward-factsheet/" TargetMode="External"/><Relationship Id="rId25" Type="http://schemas.openxmlformats.org/officeDocument/2006/relationships/hyperlink" Target="https://commonslibrary.parliament.uk/research-briefings/cbp-9428/" TargetMode="External"/><Relationship Id="rId33" Type="http://schemas.openxmlformats.org/officeDocument/2006/relationships/hyperlink" Target="https://theirf.org/research_post/what-top-performing-manufacturing-companies-do-differently-in-incentives-and-rewards/" TargetMode="External"/><Relationship Id="rId38" Type="http://schemas.openxmlformats.org/officeDocument/2006/relationships/hyperlink" Target="https://www.gallup.com/workplace/231620/why-performance-development-wins-workplace.aspx" TargetMode="External"/><Relationship Id="rId46" Type="http://schemas.openxmlformats.org/officeDocument/2006/relationships/glossaryDocument" Target="glossary/document.xml"/><Relationship Id="rId20" Type="http://schemas.openxmlformats.org/officeDocument/2006/relationships/hyperlink" Target="https://www.cipd.org/uk/knowledge/factsheets/market-pricing-factsheet/" TargetMode="External"/><Relationship Id="rId41" Type="http://schemas.openxmlformats.org/officeDocument/2006/relationships/hyperlink" Target="https://www.unison.org.uk/content/uploads/2019/05/Pay-structures-v2.pdf"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6D9CA65188B34BB69A68EB3C991EE41A"/>
        <w:category>
          <w:name w:val="General"/>
          <w:gallery w:val="placeholder"/>
        </w:category>
        <w:types>
          <w:type w:val="bbPlcHdr"/>
        </w:types>
        <w:behaviors>
          <w:behavior w:val="content"/>
        </w:behaviors>
        <w:guid w:val="{747EDA5C-479E-426C-B037-389C3262D282}"/>
      </w:docPartPr>
      <w:docPartBody>
        <w:p w:rsidR="00237AF0" w:rsidRDefault="00355815" w:rsidP="00355815">
          <w:pPr>
            <w:pStyle w:val="6D9CA65188B34BB69A68EB3C991EE41A"/>
          </w:pPr>
          <w:r>
            <w:rPr>
              <w:rStyle w:val="PlaceholderText"/>
            </w:rPr>
            <w:t>[Author]</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55815"/>
    <w:rsid w:val="00237AF0"/>
    <w:rsid w:val="003558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355815"/>
    <w:rPr>
      <w:color w:val="808080"/>
    </w:rPr>
  </w:style>
  <w:style w:type="paragraph" w:customStyle="1" w:styleId="6D9CA65188B34BB69A68EB3C991EE41A">
    <w:name w:val="6D9CA65188B34BB69A68EB3C991EE41A"/>
    <w:rsid w:val="0035581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Violet">
      <a:dk1>
        <a:sysClr val="windowText" lastClr="000000"/>
      </a:dk1>
      <a:lt1>
        <a:sysClr val="window" lastClr="FFFFFF"/>
      </a:lt1>
      <a:dk2>
        <a:srgbClr val="373545"/>
      </a:dk2>
      <a:lt2>
        <a:srgbClr val="DCD8DC"/>
      </a:lt2>
      <a:accent1>
        <a:srgbClr val="AD84C6"/>
      </a:accent1>
      <a:accent2>
        <a:srgbClr val="8784C7"/>
      </a:accent2>
      <a:accent3>
        <a:srgbClr val="5D739A"/>
      </a:accent3>
      <a:accent4>
        <a:srgbClr val="6997AF"/>
      </a:accent4>
      <a:accent5>
        <a:srgbClr val="84ACB6"/>
      </a:accent5>
      <a:accent6>
        <a:srgbClr val="6F8183"/>
      </a:accent6>
      <a:hlink>
        <a:srgbClr val="69A020"/>
      </a:hlink>
      <a:folHlink>
        <a:srgbClr val="8C8C8C"/>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F407A96-766C-4727-A215-0E677E7FCD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TotalTime>
  <Pages>13</Pages>
  <Words>5825</Words>
  <Characters>33206</Characters>
  <Application>Microsoft Office Word</Application>
  <DocSecurity>0</DocSecurity>
  <Lines>276</Lines>
  <Paragraphs>77</Paragraphs>
  <ScaleCrop>false</ScaleCrop>
  <HeadingPairs>
    <vt:vector size="2" baseType="variant">
      <vt:variant>
        <vt:lpstr>Title</vt:lpstr>
      </vt:variant>
      <vt:variant>
        <vt:i4>1</vt:i4>
      </vt:variant>
    </vt:vector>
  </HeadingPairs>
  <TitlesOfParts>
    <vt:vector size="1" baseType="lpstr">
      <vt:lpstr>Evidence-Based Practice Report</vt:lpstr>
    </vt:vector>
  </TitlesOfParts>
  <Company>Hywel Dda University Health Board</Company>
  <LinksUpToDate>false</LinksUpToDate>
  <CharactersWithSpaces>38954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REWARD FOR PERFORMANCE &amp; cONTRIBUTION Report</dc:title>
  <dc:subject/>
  <dc:creator>Francesca Preece 8515837</dc:creator>
  <cp:keywords/>
  <dc:description/>
  <cp:lastModifiedBy>Francesca Preece</cp:lastModifiedBy>
  <cp:revision>40</cp:revision>
  <dcterms:created xsi:type="dcterms:W3CDTF">2024-08-08T19:43:00Z</dcterms:created>
  <dcterms:modified xsi:type="dcterms:W3CDTF">2024-08-08T20:43:00Z</dcterms:modified>
</cp:coreProperties>
</file>