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B8847" w14:textId="30B59C47" w:rsidR="00AE0192" w:rsidRPr="001238C7" w:rsidRDefault="00E21B0D" w:rsidP="001238C7">
      <w:pPr>
        <w:spacing w:line="480" w:lineRule="auto"/>
        <w:jc w:val="center"/>
        <w:rPr>
          <w:rFonts w:ascii="Times New Roman" w:hAnsi="Times New Roman" w:cs="Times New Roman"/>
          <w:b/>
          <w:bCs/>
          <w:u w:val="single"/>
        </w:rPr>
      </w:pPr>
      <w:r w:rsidRPr="001238C7">
        <w:rPr>
          <w:rFonts w:ascii="Times New Roman" w:hAnsi="Times New Roman" w:cs="Times New Roman"/>
          <w:b/>
          <w:bCs/>
          <w:u w:val="single"/>
        </w:rPr>
        <w:t>EU LAW ASSIGNMENT TWO.</w:t>
      </w:r>
    </w:p>
    <w:p w14:paraId="2F8AF86F" w14:textId="34CD0E6B" w:rsidR="001E1410" w:rsidRPr="001238C7" w:rsidRDefault="001E1410" w:rsidP="001238C7">
      <w:pPr>
        <w:spacing w:line="480" w:lineRule="auto"/>
        <w:rPr>
          <w:rFonts w:ascii="Times New Roman" w:hAnsi="Times New Roman" w:cs="Times New Roman"/>
          <w:b/>
          <w:bCs/>
          <w:u w:val="single"/>
        </w:rPr>
      </w:pPr>
    </w:p>
    <w:p w14:paraId="4C7DED46" w14:textId="77777777" w:rsidR="00376900" w:rsidRPr="001238C7" w:rsidRDefault="00376900" w:rsidP="001238C7">
      <w:pPr>
        <w:spacing w:line="480" w:lineRule="auto"/>
        <w:rPr>
          <w:rFonts w:ascii="Times New Roman" w:hAnsi="Times New Roman" w:cs="Times New Roman"/>
        </w:rPr>
      </w:pPr>
    </w:p>
    <w:p w14:paraId="437C16EE" w14:textId="77777777" w:rsidR="00376900" w:rsidRPr="001238C7" w:rsidRDefault="00376900" w:rsidP="001238C7">
      <w:pPr>
        <w:spacing w:line="480" w:lineRule="auto"/>
        <w:rPr>
          <w:rFonts w:ascii="Times New Roman" w:hAnsi="Times New Roman" w:cs="Times New Roman"/>
        </w:rPr>
      </w:pPr>
    </w:p>
    <w:p w14:paraId="4B683993" w14:textId="3ADAF0EE" w:rsidR="00376900" w:rsidRPr="001238C7" w:rsidRDefault="00E21B0D" w:rsidP="001238C7">
      <w:pPr>
        <w:spacing w:line="480" w:lineRule="auto"/>
        <w:rPr>
          <w:rFonts w:ascii="Times New Roman" w:eastAsia="Times New Roman" w:hAnsi="Times New Roman" w:cs="Times New Roman"/>
          <w:lang w:eastAsia="en-GB"/>
        </w:rPr>
      </w:pPr>
      <w:r w:rsidRPr="001238C7">
        <w:rPr>
          <w:rFonts w:ascii="Times New Roman" w:eastAsia="Times New Roman" w:hAnsi="Times New Roman" w:cs="Times New Roman"/>
          <w:color w:val="000000"/>
          <w:lang w:eastAsia="en-GB"/>
        </w:rPr>
        <w:t xml:space="preserve">The Court of Justice (CJ) is in place to ensure that European Law is implemented correctly (Law </w:t>
      </w:r>
      <w:r w:rsidR="000E6CCB" w:rsidRPr="001238C7">
        <w:rPr>
          <w:rFonts w:ascii="Times New Roman" w:eastAsia="Times New Roman" w:hAnsi="Times New Roman" w:cs="Times New Roman"/>
          <w:color w:val="000000"/>
          <w:lang w:eastAsia="en-GB"/>
        </w:rPr>
        <w:t>S</w:t>
      </w:r>
      <w:r w:rsidRPr="001238C7">
        <w:rPr>
          <w:rFonts w:ascii="Times New Roman" w:eastAsia="Times New Roman" w:hAnsi="Times New Roman" w:cs="Times New Roman"/>
          <w:color w:val="000000"/>
          <w:lang w:eastAsia="en-GB"/>
        </w:rPr>
        <w:t>ociety, 2021). A directive is a form of secondary legislation</w:t>
      </w:r>
      <w:r w:rsidR="00FD238B" w:rsidRPr="001238C7">
        <w:rPr>
          <w:rFonts w:ascii="Times New Roman" w:eastAsia="Times New Roman" w:hAnsi="Times New Roman" w:cs="Times New Roman"/>
          <w:color w:val="000000"/>
          <w:lang w:eastAsia="en-GB"/>
        </w:rPr>
        <w:t xml:space="preserve">, which </w:t>
      </w:r>
      <w:r w:rsidR="000E6CCB" w:rsidRPr="001238C7">
        <w:rPr>
          <w:rFonts w:ascii="Times New Roman" w:eastAsia="Times New Roman" w:hAnsi="Times New Roman" w:cs="Times New Roman"/>
          <w:color w:val="000000"/>
          <w:lang w:eastAsia="en-GB"/>
        </w:rPr>
        <w:t>is</w:t>
      </w:r>
      <w:r w:rsidR="00FD238B" w:rsidRPr="001238C7">
        <w:rPr>
          <w:rFonts w:ascii="Times New Roman" w:eastAsia="Times New Roman" w:hAnsi="Times New Roman" w:cs="Times New Roman"/>
          <w:color w:val="000000"/>
          <w:lang w:eastAsia="en-GB"/>
        </w:rPr>
        <w:t xml:space="preserve"> adopted by the </w:t>
      </w:r>
      <w:r w:rsidR="00FD238B" w:rsidRPr="001238C7">
        <w:rPr>
          <w:rFonts w:ascii="Times New Roman" w:eastAsia="Times New Roman" w:hAnsi="Times New Roman" w:cs="Times New Roman"/>
          <w:color w:val="000000" w:themeColor="text1"/>
          <w:lang w:eastAsia="en-GB"/>
        </w:rPr>
        <w:t xml:space="preserve">institutions </w:t>
      </w:r>
      <w:r w:rsidR="000E6CCB" w:rsidRPr="001238C7">
        <w:rPr>
          <w:rFonts w:ascii="Times New Roman" w:eastAsia="Times New Roman" w:hAnsi="Times New Roman" w:cs="Times New Roman"/>
          <w:color w:val="000000" w:themeColor="text1"/>
          <w:lang w:eastAsia="en-GB"/>
        </w:rPr>
        <w:t xml:space="preserve">(member states) </w:t>
      </w:r>
      <w:r w:rsidR="00FD238B" w:rsidRPr="001238C7">
        <w:rPr>
          <w:rFonts w:ascii="Times New Roman" w:eastAsia="Times New Roman" w:hAnsi="Times New Roman" w:cs="Times New Roman"/>
          <w:color w:val="000000"/>
          <w:lang w:eastAsia="en-GB"/>
        </w:rPr>
        <w:t>of the European Union in accordance with the treaties</w:t>
      </w:r>
      <w:r w:rsidRPr="001238C7">
        <w:rPr>
          <w:rFonts w:ascii="Times New Roman" w:eastAsia="Times New Roman" w:hAnsi="Times New Roman" w:cs="Times New Roman"/>
          <w:color w:val="000000"/>
          <w:lang w:eastAsia="en-GB"/>
        </w:rPr>
        <w:t xml:space="preserve"> (</w:t>
      </w:r>
      <w:r w:rsidR="00FD238B" w:rsidRPr="001238C7">
        <w:rPr>
          <w:rFonts w:ascii="Times New Roman" w:eastAsia="Times New Roman" w:hAnsi="Times New Roman" w:cs="Times New Roman"/>
          <w:color w:val="000000"/>
          <w:lang w:eastAsia="en-GB"/>
        </w:rPr>
        <w:t>Europa, 2022</w:t>
      </w:r>
      <w:r w:rsidR="003F381E">
        <w:rPr>
          <w:rFonts w:ascii="Times New Roman" w:eastAsia="Times New Roman" w:hAnsi="Times New Roman" w:cs="Times New Roman"/>
          <w:color w:val="000000"/>
          <w:lang w:eastAsia="en-GB"/>
        </w:rPr>
        <w:t>a</w:t>
      </w:r>
      <w:r w:rsidRPr="001238C7">
        <w:rPr>
          <w:rFonts w:ascii="Times New Roman" w:eastAsia="Times New Roman" w:hAnsi="Times New Roman" w:cs="Times New Roman"/>
          <w:color w:val="000000"/>
          <w:lang w:eastAsia="en-GB"/>
        </w:rPr>
        <w:t xml:space="preserve">). It is an order which sets the objective for EU countries to obtain by </w:t>
      </w:r>
      <w:r w:rsidR="0005489E" w:rsidRPr="001238C7">
        <w:rPr>
          <w:rFonts w:ascii="Times New Roman" w:eastAsia="Times New Roman" w:hAnsi="Times New Roman" w:cs="Times New Roman"/>
          <w:color w:val="000000"/>
          <w:lang w:eastAsia="en-GB"/>
        </w:rPr>
        <w:t>an</w:t>
      </w:r>
      <w:r w:rsidRPr="001238C7">
        <w:rPr>
          <w:rFonts w:ascii="Times New Roman" w:eastAsia="Times New Roman" w:hAnsi="Times New Roman" w:cs="Times New Roman"/>
          <w:color w:val="000000"/>
          <w:lang w:eastAsia="en-GB"/>
        </w:rPr>
        <w:t xml:space="preserve"> implementation date. The laws created to </w:t>
      </w:r>
      <w:r w:rsidR="005D4207" w:rsidRPr="001238C7">
        <w:rPr>
          <w:rFonts w:ascii="Times New Roman" w:eastAsia="Times New Roman" w:hAnsi="Times New Roman" w:cs="Times New Roman"/>
          <w:color w:val="000000"/>
          <w:lang w:eastAsia="en-GB"/>
        </w:rPr>
        <w:t>achieve</w:t>
      </w:r>
      <w:r w:rsidRPr="001238C7">
        <w:rPr>
          <w:rFonts w:ascii="Times New Roman" w:eastAsia="Times New Roman" w:hAnsi="Times New Roman" w:cs="Times New Roman"/>
          <w:color w:val="000000"/>
          <w:lang w:eastAsia="en-GB"/>
        </w:rPr>
        <w:t xml:space="preserve"> that objective are left to the individual member states and are not set in the directive (Europa, 2022</w:t>
      </w:r>
      <w:r w:rsidR="00F9582F">
        <w:rPr>
          <w:rFonts w:ascii="Times New Roman" w:eastAsia="Times New Roman" w:hAnsi="Times New Roman" w:cs="Times New Roman"/>
          <w:color w:val="000000"/>
          <w:lang w:eastAsia="en-GB"/>
        </w:rPr>
        <w:t>b</w:t>
      </w:r>
      <w:r w:rsidRPr="001238C7">
        <w:rPr>
          <w:rFonts w:ascii="Times New Roman" w:eastAsia="Times New Roman" w:hAnsi="Times New Roman" w:cs="Times New Roman"/>
          <w:color w:val="000000"/>
          <w:lang w:eastAsia="en-GB"/>
        </w:rPr>
        <w:t>). This essay aims to evaluate to what extent the E</w:t>
      </w:r>
      <w:r w:rsidR="0005489E" w:rsidRPr="001238C7">
        <w:rPr>
          <w:rFonts w:ascii="Times New Roman" w:eastAsia="Times New Roman" w:hAnsi="Times New Roman" w:cs="Times New Roman"/>
          <w:color w:val="000000"/>
          <w:lang w:eastAsia="en-GB"/>
        </w:rPr>
        <w:t xml:space="preserve">uropean </w:t>
      </w:r>
      <w:r w:rsidRPr="001238C7">
        <w:rPr>
          <w:rFonts w:ascii="Times New Roman" w:eastAsia="Times New Roman" w:hAnsi="Times New Roman" w:cs="Times New Roman"/>
          <w:color w:val="000000"/>
          <w:lang w:eastAsia="en-GB"/>
        </w:rPr>
        <w:t>C</w:t>
      </w:r>
      <w:r w:rsidR="0005489E" w:rsidRPr="001238C7">
        <w:rPr>
          <w:rFonts w:ascii="Times New Roman" w:eastAsia="Times New Roman" w:hAnsi="Times New Roman" w:cs="Times New Roman"/>
          <w:color w:val="000000"/>
          <w:lang w:eastAsia="en-GB"/>
        </w:rPr>
        <w:t xml:space="preserve">ourt </w:t>
      </w:r>
      <w:r w:rsidRPr="001238C7">
        <w:rPr>
          <w:rFonts w:ascii="Times New Roman" w:eastAsia="Times New Roman" w:hAnsi="Times New Roman" w:cs="Times New Roman"/>
          <w:color w:val="000000"/>
          <w:lang w:eastAsia="en-GB"/>
        </w:rPr>
        <w:t>J</w:t>
      </w:r>
      <w:r w:rsidR="0005489E" w:rsidRPr="001238C7">
        <w:rPr>
          <w:rFonts w:ascii="Times New Roman" w:eastAsia="Times New Roman" w:hAnsi="Times New Roman" w:cs="Times New Roman"/>
          <w:color w:val="000000"/>
          <w:lang w:eastAsia="en-GB"/>
        </w:rPr>
        <w:t>ustice</w:t>
      </w:r>
      <w:r w:rsidRPr="001238C7">
        <w:rPr>
          <w:rFonts w:ascii="Times New Roman" w:eastAsia="Times New Roman" w:hAnsi="Times New Roman" w:cs="Times New Roman"/>
          <w:color w:val="000000"/>
          <w:lang w:eastAsia="en-GB"/>
        </w:rPr>
        <w:t xml:space="preserve"> assists in ensuring EU citizens </w:t>
      </w:r>
      <w:r w:rsidR="0005489E" w:rsidRPr="001238C7">
        <w:rPr>
          <w:rFonts w:ascii="Times New Roman" w:eastAsia="Times New Roman" w:hAnsi="Times New Roman" w:cs="Times New Roman"/>
          <w:color w:val="000000"/>
          <w:lang w:eastAsia="en-GB"/>
        </w:rPr>
        <w:t>can</w:t>
      </w:r>
      <w:r w:rsidRPr="001238C7">
        <w:rPr>
          <w:rFonts w:ascii="Times New Roman" w:eastAsia="Times New Roman" w:hAnsi="Times New Roman" w:cs="Times New Roman"/>
          <w:color w:val="000000"/>
          <w:lang w:eastAsia="en-GB"/>
        </w:rPr>
        <w:t xml:space="preserve"> enforce the rights intended on them by EU d</w:t>
      </w:r>
      <w:r w:rsidRPr="001238C7">
        <w:rPr>
          <w:rFonts w:ascii="Times New Roman" w:eastAsia="Times New Roman" w:hAnsi="Times New Roman" w:cs="Times New Roman"/>
          <w:color w:val="000000"/>
          <w:lang w:eastAsia="en-GB"/>
        </w:rPr>
        <w:t>irectives</w:t>
      </w:r>
      <w:r w:rsidR="005D4207" w:rsidRPr="001238C7">
        <w:rPr>
          <w:rFonts w:ascii="Times New Roman" w:eastAsia="Times New Roman" w:hAnsi="Times New Roman" w:cs="Times New Roman"/>
          <w:color w:val="000000"/>
          <w:lang w:eastAsia="en-GB"/>
        </w:rPr>
        <w:t>.</w:t>
      </w:r>
    </w:p>
    <w:p w14:paraId="514E22FD" w14:textId="77777777" w:rsidR="00376900" w:rsidRPr="001238C7" w:rsidRDefault="00376900" w:rsidP="001238C7">
      <w:pPr>
        <w:spacing w:line="480" w:lineRule="auto"/>
        <w:rPr>
          <w:rFonts w:ascii="Times New Roman" w:hAnsi="Times New Roman" w:cs="Times New Roman"/>
        </w:rPr>
      </w:pPr>
    </w:p>
    <w:p w14:paraId="24DEECB8" w14:textId="0DAE7E33" w:rsidR="00C01B1C" w:rsidRPr="001238C7" w:rsidRDefault="00E21B0D" w:rsidP="001238C7">
      <w:pPr>
        <w:spacing w:line="480" w:lineRule="auto"/>
        <w:rPr>
          <w:rFonts w:ascii="Times New Roman" w:hAnsi="Times New Roman" w:cs="Times New Roman"/>
        </w:rPr>
      </w:pPr>
      <w:r w:rsidRPr="001238C7">
        <w:rPr>
          <w:rFonts w:ascii="Times New Roman" w:hAnsi="Times New Roman" w:cs="Times New Roman"/>
        </w:rPr>
        <w:t>Article 288 of the T</w:t>
      </w:r>
      <w:r w:rsidR="0005489E" w:rsidRPr="001238C7">
        <w:rPr>
          <w:rFonts w:ascii="Times New Roman" w:hAnsi="Times New Roman" w:cs="Times New Roman"/>
        </w:rPr>
        <w:t xml:space="preserve">reaty on the </w:t>
      </w:r>
      <w:r w:rsidRPr="001238C7">
        <w:rPr>
          <w:rFonts w:ascii="Times New Roman" w:hAnsi="Times New Roman" w:cs="Times New Roman"/>
        </w:rPr>
        <w:t>F</w:t>
      </w:r>
      <w:r w:rsidR="0005489E" w:rsidRPr="001238C7">
        <w:rPr>
          <w:rFonts w:ascii="Times New Roman" w:hAnsi="Times New Roman" w:cs="Times New Roman"/>
        </w:rPr>
        <w:t xml:space="preserve">unctioning of the </w:t>
      </w:r>
      <w:r w:rsidRPr="001238C7">
        <w:rPr>
          <w:rFonts w:ascii="Times New Roman" w:hAnsi="Times New Roman" w:cs="Times New Roman"/>
        </w:rPr>
        <w:t>E</w:t>
      </w:r>
      <w:r w:rsidR="0005489E" w:rsidRPr="001238C7">
        <w:rPr>
          <w:rFonts w:ascii="Times New Roman" w:hAnsi="Times New Roman" w:cs="Times New Roman"/>
        </w:rPr>
        <w:t xml:space="preserve">uropean </w:t>
      </w:r>
      <w:r w:rsidRPr="001238C7">
        <w:rPr>
          <w:rFonts w:ascii="Times New Roman" w:hAnsi="Times New Roman" w:cs="Times New Roman"/>
        </w:rPr>
        <w:t>U</w:t>
      </w:r>
      <w:r w:rsidR="0005489E" w:rsidRPr="001238C7">
        <w:rPr>
          <w:rFonts w:ascii="Times New Roman" w:hAnsi="Times New Roman" w:cs="Times New Roman"/>
        </w:rPr>
        <w:t>nion (TFEU)</w:t>
      </w:r>
      <w:r w:rsidRPr="001238C7">
        <w:rPr>
          <w:rFonts w:ascii="Times New Roman" w:hAnsi="Times New Roman" w:cs="Times New Roman"/>
        </w:rPr>
        <w:t xml:space="preserve"> outline</w:t>
      </w:r>
      <w:r w:rsidR="000E6CCB" w:rsidRPr="001238C7">
        <w:rPr>
          <w:rFonts w:ascii="Times New Roman" w:hAnsi="Times New Roman" w:cs="Times New Roman"/>
        </w:rPr>
        <w:t>s</w:t>
      </w:r>
      <w:r w:rsidRPr="001238C7">
        <w:rPr>
          <w:rFonts w:ascii="Times New Roman" w:hAnsi="Times New Roman" w:cs="Times New Roman"/>
        </w:rPr>
        <w:t xml:space="preserve"> the purpose of directives</w:t>
      </w:r>
      <w:r w:rsidR="00AF7995" w:rsidRPr="001238C7">
        <w:rPr>
          <w:rFonts w:ascii="Times New Roman" w:hAnsi="Times New Roman" w:cs="Times New Roman"/>
        </w:rPr>
        <w:t>, ‘A directive shall be binding, as to the result to be achieved, upon each Member state to which it is addressed, but shall leave to the national authorities the choice of form and methods’</w:t>
      </w:r>
      <w:r w:rsidR="00AB6A1E" w:rsidRPr="001238C7">
        <w:rPr>
          <w:rFonts w:ascii="Times New Roman" w:hAnsi="Times New Roman" w:cs="Times New Roman"/>
        </w:rPr>
        <w:t xml:space="preserve"> (Commission v Belgium, 1986)</w:t>
      </w:r>
      <w:r w:rsidRPr="001238C7">
        <w:rPr>
          <w:rFonts w:ascii="Times New Roman" w:hAnsi="Times New Roman" w:cs="Times New Roman"/>
        </w:rPr>
        <w:t xml:space="preserve">. </w:t>
      </w:r>
      <w:r w:rsidR="00963116" w:rsidRPr="001238C7">
        <w:rPr>
          <w:rFonts w:ascii="Times New Roman" w:hAnsi="Times New Roman" w:cs="Times New Roman"/>
        </w:rPr>
        <w:t xml:space="preserve">This highlights that directives offer a greater degree of flexibility. </w:t>
      </w:r>
      <w:r w:rsidR="00963116" w:rsidRPr="001238C7">
        <w:rPr>
          <w:rFonts w:ascii="Times New Roman" w:hAnsi="Times New Roman" w:cs="Times New Roman"/>
          <w:color w:val="000000" w:themeColor="text1"/>
        </w:rPr>
        <w:t xml:space="preserve">This is something that, although appears not to be a benefit directly to EU citizens a closer look shows that member states are allowed to maintain their autonomy and reach objectives in a way that suits their citizens </w:t>
      </w:r>
      <w:r w:rsidR="00635A76" w:rsidRPr="001238C7">
        <w:rPr>
          <w:rFonts w:ascii="Times New Roman" w:hAnsi="Times New Roman" w:cs="Times New Roman"/>
          <w:color w:val="000000" w:themeColor="text1"/>
        </w:rPr>
        <w:t xml:space="preserve">in scenarios </w:t>
      </w:r>
      <w:r w:rsidR="00963116" w:rsidRPr="001238C7">
        <w:rPr>
          <w:rFonts w:ascii="Times New Roman" w:hAnsi="Times New Roman" w:cs="Times New Roman"/>
          <w:color w:val="000000" w:themeColor="text1"/>
        </w:rPr>
        <w:t xml:space="preserve">that may differ from member state to member state (Zhelyazkova and Thomann, 2022).  </w:t>
      </w:r>
      <w:r w:rsidR="00635A76" w:rsidRPr="001238C7">
        <w:rPr>
          <w:rFonts w:ascii="Times New Roman" w:hAnsi="Times New Roman" w:cs="Times New Roman"/>
          <w:color w:val="000000" w:themeColor="text1"/>
        </w:rPr>
        <w:t xml:space="preserve"> </w:t>
      </w:r>
      <w:r w:rsidR="000B0769" w:rsidRPr="001238C7">
        <w:rPr>
          <w:rFonts w:ascii="Times New Roman" w:hAnsi="Times New Roman" w:cs="Times New Roman"/>
          <w:color w:val="000000" w:themeColor="text1"/>
        </w:rPr>
        <w:t>Thus,</w:t>
      </w:r>
      <w:r w:rsidR="004B1E7B" w:rsidRPr="001238C7">
        <w:rPr>
          <w:rFonts w:ascii="Times New Roman" w:hAnsi="Times New Roman" w:cs="Times New Roman"/>
          <w:color w:val="000000" w:themeColor="text1"/>
        </w:rPr>
        <w:t xml:space="preserve"> providing the CJ with the ability to allow EU citizens to enforce their rights in accordance with their member states' values</w:t>
      </w:r>
      <w:r w:rsidR="004B1E7B" w:rsidRPr="001238C7">
        <w:rPr>
          <w:rFonts w:ascii="Times New Roman" w:hAnsi="Times New Roman" w:cs="Times New Roman"/>
          <w:color w:val="FF0000"/>
        </w:rPr>
        <w:t xml:space="preserve">. </w:t>
      </w:r>
      <w:r w:rsidR="00AF7995" w:rsidRPr="001238C7">
        <w:rPr>
          <w:rFonts w:ascii="Times New Roman" w:hAnsi="Times New Roman" w:cs="Times New Roman"/>
        </w:rPr>
        <w:t>F</w:t>
      </w:r>
      <w:r w:rsidRPr="001238C7">
        <w:rPr>
          <w:rFonts w:ascii="Times New Roman" w:hAnsi="Times New Roman" w:cs="Times New Roman"/>
        </w:rPr>
        <w:t>ailure to abide by a directive could see the member state fac</w:t>
      </w:r>
      <w:r w:rsidRPr="001238C7">
        <w:rPr>
          <w:rFonts w:ascii="Times New Roman" w:hAnsi="Times New Roman" w:cs="Times New Roman"/>
        </w:rPr>
        <w:t>ing sanctions for failing to do so</w:t>
      </w:r>
      <w:r w:rsidR="00953EE5" w:rsidRPr="001238C7">
        <w:rPr>
          <w:rFonts w:ascii="Times New Roman" w:hAnsi="Times New Roman" w:cs="Times New Roman"/>
        </w:rPr>
        <w:t xml:space="preserve"> evidence of this can be seen, </w:t>
      </w:r>
      <w:r w:rsidR="000E6CCB" w:rsidRPr="001238C7">
        <w:rPr>
          <w:rFonts w:ascii="Times New Roman" w:hAnsi="Times New Roman" w:cs="Times New Roman"/>
        </w:rPr>
        <w:t>i</w:t>
      </w:r>
      <w:r w:rsidR="00953EE5" w:rsidRPr="001238C7">
        <w:rPr>
          <w:rFonts w:ascii="Times New Roman" w:hAnsi="Times New Roman" w:cs="Times New Roman"/>
        </w:rPr>
        <w:t>n the case Commission v Italy (1973)</w:t>
      </w:r>
      <w:r w:rsidRPr="001238C7">
        <w:rPr>
          <w:rFonts w:ascii="Times New Roman" w:hAnsi="Times New Roman" w:cs="Times New Roman"/>
        </w:rPr>
        <w:t xml:space="preserve">. </w:t>
      </w:r>
    </w:p>
    <w:p w14:paraId="0876CA53" w14:textId="77777777" w:rsidR="00AB6A1E" w:rsidRPr="001238C7" w:rsidRDefault="00AB6A1E" w:rsidP="001238C7">
      <w:pPr>
        <w:spacing w:line="480" w:lineRule="auto"/>
        <w:rPr>
          <w:rFonts w:ascii="Times New Roman" w:hAnsi="Times New Roman" w:cs="Times New Roman"/>
        </w:rPr>
      </w:pPr>
    </w:p>
    <w:p w14:paraId="264354CC" w14:textId="77777777" w:rsidR="007A7EC4" w:rsidRDefault="00E21B0D" w:rsidP="001238C7">
      <w:pPr>
        <w:spacing w:line="480" w:lineRule="auto"/>
        <w:rPr>
          <w:rFonts w:ascii="Times New Roman" w:hAnsi="Times New Roman" w:cs="Times New Roman"/>
          <w:color w:val="000000" w:themeColor="text1"/>
        </w:rPr>
      </w:pPr>
      <w:r w:rsidRPr="001238C7">
        <w:rPr>
          <w:rFonts w:ascii="Times New Roman" w:hAnsi="Times New Roman" w:cs="Times New Roman"/>
          <w:color w:val="000000" w:themeColor="text1"/>
        </w:rPr>
        <w:t>A directive can typically be relied on to be indirectly effective (Von Colson v Lord Nordrhein-Westfalen). This allows the C</w:t>
      </w:r>
      <w:r w:rsidR="003F381E">
        <w:rPr>
          <w:rFonts w:ascii="Times New Roman" w:hAnsi="Times New Roman" w:cs="Times New Roman"/>
          <w:color w:val="000000" w:themeColor="text1"/>
        </w:rPr>
        <w:t xml:space="preserve">ourt of </w:t>
      </w:r>
      <w:r w:rsidRPr="001238C7">
        <w:rPr>
          <w:rFonts w:ascii="Times New Roman" w:hAnsi="Times New Roman" w:cs="Times New Roman"/>
          <w:color w:val="000000" w:themeColor="text1"/>
        </w:rPr>
        <w:t>J</w:t>
      </w:r>
      <w:r w:rsidR="003F381E">
        <w:rPr>
          <w:rFonts w:ascii="Times New Roman" w:hAnsi="Times New Roman" w:cs="Times New Roman"/>
          <w:color w:val="000000" w:themeColor="text1"/>
        </w:rPr>
        <w:t>ustice</w:t>
      </w:r>
      <w:r w:rsidRPr="001238C7">
        <w:rPr>
          <w:rFonts w:ascii="Times New Roman" w:hAnsi="Times New Roman" w:cs="Times New Roman"/>
          <w:color w:val="000000" w:themeColor="text1"/>
        </w:rPr>
        <w:t xml:space="preserve"> to ensure </w:t>
      </w:r>
      <w:r w:rsidRPr="001238C7">
        <w:rPr>
          <w:rFonts w:ascii="Times New Roman" w:hAnsi="Times New Roman" w:cs="Times New Roman"/>
          <w:color w:val="000000" w:themeColor="text1"/>
        </w:rPr>
        <w:t xml:space="preserve">that EU citizens are empowered to enforce the rights afforded to them </w:t>
      </w:r>
      <w:r w:rsidR="00193D7C" w:rsidRPr="001238C7">
        <w:rPr>
          <w:rFonts w:ascii="Times New Roman" w:hAnsi="Times New Roman" w:cs="Times New Roman"/>
          <w:color w:val="000000" w:themeColor="text1"/>
        </w:rPr>
        <w:t xml:space="preserve">to the best extent possible within the realms of the individual member states' law. </w:t>
      </w:r>
      <w:r w:rsidR="003F381E">
        <w:rPr>
          <w:rFonts w:ascii="Times New Roman" w:hAnsi="Times New Roman" w:cs="Times New Roman"/>
          <w:color w:val="000000" w:themeColor="text1"/>
        </w:rPr>
        <w:t xml:space="preserve">The principle surrounding indirect </w:t>
      </w:r>
      <w:r>
        <w:rPr>
          <w:rFonts w:ascii="Times New Roman" w:hAnsi="Times New Roman" w:cs="Times New Roman"/>
          <w:color w:val="000000" w:themeColor="text1"/>
        </w:rPr>
        <w:t xml:space="preserve">effect stipulates that national law must be implemented in line with EU provisions </w:t>
      </w:r>
      <w:r>
        <w:rPr>
          <w:rFonts w:ascii="Times New Roman" w:hAnsi="Times New Roman" w:cs="Times New Roman"/>
          <w:color w:val="000000" w:themeColor="text1"/>
        </w:rPr>
        <w:lastRenderedPageBreak/>
        <w:t xml:space="preserve">which gives expression to the supremacy of EU law in the tools of interpretation used in member states </w:t>
      </w:r>
      <w:r w:rsidR="00193D7C" w:rsidRPr="001238C7">
        <w:rPr>
          <w:rFonts w:ascii="Times New Roman" w:hAnsi="Times New Roman" w:cs="Times New Roman"/>
          <w:color w:val="000000" w:themeColor="text1"/>
        </w:rPr>
        <w:t xml:space="preserve">(Marleasing SA v La Comercial Internacional de Alimentacion). </w:t>
      </w:r>
    </w:p>
    <w:p w14:paraId="55DA048C" w14:textId="77777777" w:rsidR="007A7EC4" w:rsidRDefault="007A7EC4" w:rsidP="001238C7">
      <w:pPr>
        <w:spacing w:line="480" w:lineRule="auto"/>
        <w:rPr>
          <w:rFonts w:ascii="Times New Roman" w:hAnsi="Times New Roman" w:cs="Times New Roman"/>
          <w:color w:val="000000" w:themeColor="text1"/>
        </w:rPr>
      </w:pPr>
    </w:p>
    <w:p w14:paraId="33BE7397" w14:textId="141E5E36" w:rsidR="009728B7" w:rsidRDefault="00E21B0D" w:rsidP="001238C7">
      <w:pPr>
        <w:spacing w:line="480" w:lineRule="auto"/>
        <w:rPr>
          <w:rFonts w:ascii="Times New Roman" w:hAnsi="Times New Roman" w:cs="Times New Roman"/>
          <w:color w:val="000000" w:themeColor="text1"/>
        </w:rPr>
      </w:pPr>
      <w:r w:rsidRPr="001238C7">
        <w:rPr>
          <w:rFonts w:ascii="Times New Roman" w:hAnsi="Times New Roman" w:cs="Times New Roman"/>
          <w:color w:val="000000" w:themeColor="text1"/>
        </w:rPr>
        <w:t xml:space="preserve">Thus, </w:t>
      </w:r>
      <w:r w:rsidRPr="001238C7">
        <w:rPr>
          <w:rFonts w:ascii="Times New Roman" w:hAnsi="Times New Roman" w:cs="Times New Roman"/>
          <w:color w:val="000000" w:themeColor="text1"/>
        </w:rPr>
        <w:t>providing an argument that the C</w:t>
      </w:r>
      <w:r w:rsidR="003F381E">
        <w:rPr>
          <w:rFonts w:ascii="Times New Roman" w:hAnsi="Times New Roman" w:cs="Times New Roman"/>
          <w:color w:val="000000" w:themeColor="text1"/>
        </w:rPr>
        <w:t xml:space="preserve">ourt of </w:t>
      </w:r>
      <w:r w:rsidRPr="001238C7">
        <w:rPr>
          <w:rFonts w:ascii="Times New Roman" w:hAnsi="Times New Roman" w:cs="Times New Roman"/>
          <w:color w:val="000000" w:themeColor="text1"/>
        </w:rPr>
        <w:t>J</w:t>
      </w:r>
      <w:r w:rsidR="003F381E">
        <w:rPr>
          <w:rFonts w:ascii="Times New Roman" w:hAnsi="Times New Roman" w:cs="Times New Roman"/>
          <w:color w:val="000000" w:themeColor="text1"/>
        </w:rPr>
        <w:t>ustice</w:t>
      </w:r>
      <w:r w:rsidRPr="001238C7">
        <w:rPr>
          <w:rFonts w:ascii="Times New Roman" w:hAnsi="Times New Roman" w:cs="Times New Roman"/>
          <w:color w:val="000000" w:themeColor="text1"/>
        </w:rPr>
        <w:t xml:space="preserve"> does not provide fully comprehensive protection for EU citizens' rights regarding power intended for them by EU directives. Typically, a directive cannot be relied on to be directly effective. This is due to </w:t>
      </w:r>
      <w:r w:rsidRPr="001238C7">
        <w:rPr>
          <w:rFonts w:ascii="Times New Roman" w:hAnsi="Times New Roman" w:cs="Times New Roman"/>
          <w:color w:val="000000" w:themeColor="text1"/>
        </w:rPr>
        <w:t xml:space="preserve">the need for them to be implemented into member state law and not automatically be applicable (Cuyvers, 2017). This can be mitigated in the fact that </w:t>
      </w:r>
      <w:r w:rsidR="001238C7" w:rsidRPr="001238C7">
        <w:rPr>
          <w:rFonts w:ascii="Times New Roman" w:hAnsi="Times New Roman" w:cs="Times New Roman"/>
          <w:color w:val="000000" w:themeColor="text1"/>
        </w:rPr>
        <w:t xml:space="preserve">a directive can be relied on to be vertically directly effective providing the provision is clear and there is no ambiguity that it intends to evoke rights onto </w:t>
      </w:r>
      <w:r w:rsidR="0029313C" w:rsidRPr="001238C7">
        <w:rPr>
          <w:rFonts w:ascii="Times New Roman" w:hAnsi="Times New Roman" w:cs="Times New Roman"/>
          <w:color w:val="000000" w:themeColor="text1"/>
        </w:rPr>
        <w:t>EU citizens</w:t>
      </w:r>
      <w:r w:rsidR="00AC0F18" w:rsidRPr="001238C7">
        <w:rPr>
          <w:rFonts w:ascii="Times New Roman" w:hAnsi="Times New Roman" w:cs="Times New Roman"/>
          <w:color w:val="000000" w:themeColor="text1"/>
        </w:rPr>
        <w:t xml:space="preserve"> </w:t>
      </w:r>
      <w:r w:rsidR="0047303E" w:rsidRPr="001238C7">
        <w:rPr>
          <w:rFonts w:ascii="Times New Roman" w:hAnsi="Times New Roman" w:cs="Times New Roman"/>
          <w:color w:val="000000" w:themeColor="text1"/>
        </w:rPr>
        <w:t>(</w:t>
      </w:r>
      <w:r w:rsidR="0029313C" w:rsidRPr="001238C7">
        <w:rPr>
          <w:rFonts w:ascii="Times New Roman" w:hAnsi="Times New Roman" w:cs="Times New Roman"/>
          <w:color w:val="000000" w:themeColor="text1"/>
        </w:rPr>
        <w:t>Van Gen den Loos v Nederlandse</w:t>
      </w:r>
      <w:r w:rsidR="0029313C" w:rsidRPr="001238C7">
        <w:rPr>
          <w:rFonts w:ascii="Times New Roman" w:hAnsi="Times New Roman" w:cs="Times New Roman"/>
          <w:b/>
          <w:bCs/>
          <w:color w:val="000000" w:themeColor="text1"/>
        </w:rPr>
        <w:t xml:space="preserve"> </w:t>
      </w:r>
      <w:r w:rsidR="0029313C" w:rsidRPr="001238C7">
        <w:rPr>
          <w:rFonts w:ascii="Times New Roman" w:hAnsi="Times New Roman" w:cs="Times New Roman"/>
          <w:color w:val="000000" w:themeColor="text1"/>
        </w:rPr>
        <w:t xml:space="preserve">Administratie der Belastingen, 1963). </w:t>
      </w:r>
      <w:r w:rsidRPr="001238C7">
        <w:rPr>
          <w:rFonts w:ascii="Times New Roman" w:hAnsi="Times New Roman" w:cs="Times New Roman"/>
          <w:color w:val="000000" w:themeColor="text1"/>
        </w:rPr>
        <w:t>This is supported in Defrenne v Sabena (1976) where clarification is given that the directive will only create scenario</w:t>
      </w:r>
      <w:r w:rsidRPr="001238C7">
        <w:rPr>
          <w:rFonts w:ascii="Times New Roman" w:hAnsi="Times New Roman" w:cs="Times New Roman"/>
          <w:color w:val="000000" w:themeColor="text1"/>
        </w:rPr>
        <w:t>s of vertical direct effect where a provision is clear, the whole directive does not need to be but the provision being relied upon must be clear as giving rights to the member state citizen.</w:t>
      </w:r>
    </w:p>
    <w:p w14:paraId="6C10EF11" w14:textId="60B05AE1" w:rsidR="00461115" w:rsidRDefault="00461115" w:rsidP="001238C7">
      <w:pPr>
        <w:spacing w:line="480" w:lineRule="auto"/>
        <w:rPr>
          <w:rFonts w:ascii="Times New Roman" w:hAnsi="Times New Roman" w:cs="Times New Roman"/>
          <w:color w:val="000000" w:themeColor="text1"/>
        </w:rPr>
      </w:pPr>
    </w:p>
    <w:p w14:paraId="689B65BE" w14:textId="4590F909" w:rsidR="00461115" w:rsidRPr="001238C7" w:rsidRDefault="00E21B0D" w:rsidP="001238C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It was recognised in the case of Van Duyn</w:t>
      </w:r>
      <w:r>
        <w:rPr>
          <w:rFonts w:ascii="Times New Roman" w:hAnsi="Times New Roman" w:cs="Times New Roman"/>
          <w:color w:val="000000" w:themeColor="text1"/>
        </w:rPr>
        <w:t xml:space="preserve"> v Home Office (1974) that there was a need to expand the application of direct effects out to all forms of EU legislation, this case established that an individual could enforce a rule of EU law, without having to rely on </w:t>
      </w:r>
      <w:r w:rsidR="00DD5DCB">
        <w:rPr>
          <w:rFonts w:ascii="Times New Roman" w:hAnsi="Times New Roman" w:cs="Times New Roman"/>
          <w:color w:val="000000" w:themeColor="text1"/>
        </w:rPr>
        <w:t xml:space="preserve">the national rule. This raises the issue of enforceability of directives however subject to limitations as treaties and regulations are directly applicable and directly effective but directives are not directly effective and </w:t>
      </w:r>
      <w:r w:rsidR="005605A3">
        <w:rPr>
          <w:rFonts w:ascii="Times New Roman" w:hAnsi="Times New Roman" w:cs="Times New Roman"/>
          <w:color w:val="000000" w:themeColor="text1"/>
        </w:rPr>
        <w:t xml:space="preserve">only directly effective vertically which would be incompatible with Article 288 if the directives are unenforceable. </w:t>
      </w:r>
    </w:p>
    <w:p w14:paraId="57D67D42" w14:textId="77777777" w:rsidR="005833F7" w:rsidRPr="001238C7" w:rsidRDefault="005833F7" w:rsidP="001238C7">
      <w:pPr>
        <w:spacing w:line="480" w:lineRule="auto"/>
        <w:rPr>
          <w:rFonts w:ascii="Times New Roman" w:hAnsi="Times New Roman" w:cs="Times New Roman"/>
          <w:color w:val="000000" w:themeColor="text1"/>
          <w:spacing w:val="-15"/>
        </w:rPr>
      </w:pPr>
    </w:p>
    <w:p w14:paraId="46602223" w14:textId="77777777" w:rsidR="00FE325F" w:rsidRDefault="00E21B0D" w:rsidP="001238C7">
      <w:pPr>
        <w:spacing w:line="480" w:lineRule="auto"/>
        <w:rPr>
          <w:rFonts w:ascii="Times New Roman" w:hAnsi="Times New Roman" w:cs="Times New Roman"/>
          <w:color w:val="000000" w:themeColor="text1"/>
          <w:shd w:val="clear" w:color="auto" w:fill="FFFFFF"/>
        </w:rPr>
      </w:pPr>
      <w:r w:rsidRPr="001238C7">
        <w:rPr>
          <w:rFonts w:ascii="Times New Roman" w:hAnsi="Times New Roman" w:cs="Times New Roman"/>
          <w:color w:val="000000" w:themeColor="text1"/>
        </w:rPr>
        <w:t xml:space="preserve">This brings criticism that EU citizens are unprotected in the inability to rely on directives to be horizontally effective. </w:t>
      </w:r>
      <w:r w:rsidR="004C5AFF" w:rsidRPr="001238C7">
        <w:rPr>
          <w:rFonts w:ascii="Times New Roman" w:hAnsi="Times New Roman" w:cs="Times New Roman"/>
          <w:color w:val="000000" w:themeColor="text1"/>
        </w:rPr>
        <w:t>Again,</w:t>
      </w:r>
      <w:r w:rsidR="00463C19" w:rsidRPr="001238C7">
        <w:rPr>
          <w:rFonts w:ascii="Times New Roman" w:hAnsi="Times New Roman" w:cs="Times New Roman"/>
          <w:color w:val="000000" w:themeColor="text1"/>
        </w:rPr>
        <w:t xml:space="preserve"> this</w:t>
      </w:r>
      <w:r w:rsidRPr="001238C7">
        <w:rPr>
          <w:rFonts w:ascii="Times New Roman" w:hAnsi="Times New Roman" w:cs="Times New Roman"/>
          <w:color w:val="000000" w:themeColor="text1"/>
        </w:rPr>
        <w:t xml:space="preserve"> however is partially overcome by the expansion of the definition </w:t>
      </w:r>
      <w:r w:rsidRPr="001238C7">
        <w:rPr>
          <w:rFonts w:ascii="Times New Roman" w:hAnsi="Times New Roman" w:cs="Times New Roman"/>
          <w:color w:val="000000" w:themeColor="text1"/>
        </w:rPr>
        <w:t>of what constitutes an emanation of the state (</w:t>
      </w:r>
      <w:r w:rsidRPr="001238C7">
        <w:rPr>
          <w:rFonts w:ascii="Times New Roman" w:eastAsia="Times New Roman" w:hAnsi="Times New Roman" w:cs="Times New Roman"/>
          <w:color w:val="000000" w:themeColor="text1"/>
          <w:shd w:val="clear" w:color="auto" w:fill="FFFFFF"/>
          <w:lang w:eastAsia="en-GB"/>
        </w:rPr>
        <w:t>Fratelli Costanzo Sp</w:t>
      </w:r>
      <w:r w:rsidR="005833F7" w:rsidRPr="001238C7">
        <w:rPr>
          <w:rFonts w:ascii="Times New Roman" w:eastAsia="Times New Roman" w:hAnsi="Times New Roman" w:cs="Times New Roman"/>
          <w:color w:val="000000" w:themeColor="text1"/>
          <w:shd w:val="clear" w:color="auto" w:fill="FFFFFF"/>
          <w:lang w:eastAsia="en-GB"/>
        </w:rPr>
        <w:t>a</w:t>
      </w:r>
      <w:r w:rsidRPr="001238C7">
        <w:rPr>
          <w:rFonts w:ascii="Times New Roman" w:eastAsia="Times New Roman" w:hAnsi="Times New Roman" w:cs="Times New Roman"/>
          <w:color w:val="000000" w:themeColor="text1"/>
          <w:shd w:val="clear" w:color="auto" w:fill="FFFFFF"/>
          <w:lang w:eastAsia="en-GB"/>
        </w:rPr>
        <w:t xml:space="preserve"> v Comune di Milano, 1989). Something that was late</w:t>
      </w:r>
      <w:r w:rsidRPr="001238C7">
        <w:rPr>
          <w:rFonts w:ascii="Times New Roman" w:hAnsi="Times New Roman" w:cs="Times New Roman"/>
          <w:color w:val="000000" w:themeColor="text1"/>
          <w:shd w:val="clear" w:color="auto" w:fill="FFFFFF"/>
        </w:rPr>
        <w:t>r</w:t>
      </w:r>
      <w:r w:rsidRPr="001238C7">
        <w:rPr>
          <w:rFonts w:ascii="Times New Roman" w:eastAsia="Times New Roman" w:hAnsi="Times New Roman" w:cs="Times New Roman"/>
          <w:color w:val="000000" w:themeColor="text1"/>
          <w:shd w:val="clear" w:color="auto" w:fill="FFFFFF"/>
          <w:lang w:eastAsia="en-GB"/>
        </w:rPr>
        <w:t xml:space="preserve"> </w:t>
      </w:r>
      <w:r w:rsidRPr="001238C7">
        <w:rPr>
          <w:rFonts w:ascii="Times New Roman" w:hAnsi="Times New Roman" w:cs="Times New Roman"/>
          <w:color w:val="000000" w:themeColor="text1"/>
          <w:shd w:val="clear" w:color="auto" w:fill="FFFFFF"/>
        </w:rPr>
        <w:t>expanded</w:t>
      </w:r>
      <w:r w:rsidRPr="001238C7">
        <w:rPr>
          <w:rFonts w:ascii="Times New Roman" w:eastAsia="Times New Roman" w:hAnsi="Times New Roman" w:cs="Times New Roman"/>
          <w:color w:val="000000" w:themeColor="text1"/>
          <w:shd w:val="clear" w:color="auto" w:fill="FFFFFF"/>
          <w:lang w:eastAsia="en-GB"/>
        </w:rPr>
        <w:t xml:space="preserve"> on in </w:t>
      </w:r>
      <w:r w:rsidRPr="001238C7">
        <w:rPr>
          <w:rFonts w:ascii="Times New Roman" w:hAnsi="Times New Roman" w:cs="Times New Roman"/>
          <w:color w:val="000000" w:themeColor="text1"/>
          <w:shd w:val="clear" w:color="auto" w:fill="FFFFFF"/>
        </w:rPr>
        <w:t>Foster</w:t>
      </w:r>
      <w:r w:rsidRPr="001238C7">
        <w:rPr>
          <w:rFonts w:ascii="Times New Roman" w:hAnsi="Times New Roman" w:cs="Times New Roman"/>
          <w:color w:val="000000" w:themeColor="text1"/>
          <w:shd w:val="clear" w:color="auto" w:fill="FFFFFF"/>
        </w:rPr>
        <w:t xml:space="preserve"> v British Gas PLC (1990) which gave prompting questions to help establish if the organisation qualified to be considered an emanation of the state</w:t>
      </w:r>
      <w:r w:rsidR="003F5863">
        <w:rPr>
          <w:rFonts w:ascii="Times New Roman" w:hAnsi="Times New Roman" w:cs="Times New Roman"/>
          <w:color w:val="000000" w:themeColor="text1"/>
          <w:shd w:val="clear" w:color="auto" w:fill="FFFFFF"/>
        </w:rPr>
        <w:t xml:space="preserve"> and as a result capable of forming a vertical relationship if providing a public service which if under state control had special powers which exceeded that normally associated with an individual</w:t>
      </w:r>
      <w:r w:rsidRPr="001238C7">
        <w:rPr>
          <w:rFonts w:ascii="Times New Roman" w:hAnsi="Times New Roman" w:cs="Times New Roman"/>
          <w:color w:val="000000" w:themeColor="text1"/>
          <w:shd w:val="clear" w:color="auto" w:fill="FFFFFF"/>
        </w:rPr>
        <w:t xml:space="preserve">. </w:t>
      </w:r>
      <w:r w:rsidR="00F65B88">
        <w:rPr>
          <w:rFonts w:ascii="Times New Roman" w:hAnsi="Times New Roman" w:cs="Times New Roman"/>
          <w:color w:val="000000" w:themeColor="text1"/>
          <w:shd w:val="clear" w:color="auto" w:fill="FFFFFF"/>
        </w:rPr>
        <w:t xml:space="preserve">Following the interpretation of this case, a nationalised </w:t>
      </w:r>
      <w:r w:rsidR="00F65B88">
        <w:rPr>
          <w:rFonts w:ascii="Times New Roman" w:hAnsi="Times New Roman" w:cs="Times New Roman"/>
          <w:color w:val="000000" w:themeColor="text1"/>
          <w:shd w:val="clear" w:color="auto" w:fill="FFFFFF"/>
        </w:rPr>
        <w:lastRenderedPageBreak/>
        <w:t xml:space="preserve">undertaking such as British Gas would be a public body against which a directive could be enforced. The Foster test was later applied to many cases such as Doughty v Rolls Royce PLC </w:t>
      </w:r>
      <w:r>
        <w:rPr>
          <w:rFonts w:ascii="Times New Roman" w:hAnsi="Times New Roman" w:cs="Times New Roman"/>
          <w:color w:val="000000" w:themeColor="text1"/>
          <w:shd w:val="clear" w:color="auto" w:fill="FFFFFF"/>
        </w:rPr>
        <w:t>(1992).</w:t>
      </w:r>
    </w:p>
    <w:p w14:paraId="3ADC0C1C" w14:textId="77777777" w:rsidR="00FE325F" w:rsidRDefault="00FE325F" w:rsidP="001238C7">
      <w:pPr>
        <w:spacing w:line="480" w:lineRule="auto"/>
        <w:rPr>
          <w:rFonts w:ascii="Times New Roman" w:hAnsi="Times New Roman" w:cs="Times New Roman"/>
          <w:color w:val="000000" w:themeColor="text1"/>
          <w:shd w:val="clear" w:color="auto" w:fill="FFFFFF"/>
        </w:rPr>
      </w:pPr>
    </w:p>
    <w:p w14:paraId="0ACFE28F" w14:textId="53DB8380" w:rsidR="00840C21" w:rsidRPr="001238C7" w:rsidRDefault="00E21B0D" w:rsidP="001238C7">
      <w:pPr>
        <w:spacing w:line="480" w:lineRule="auto"/>
        <w:rPr>
          <w:rFonts w:ascii="Times New Roman" w:eastAsia="Times New Roman" w:hAnsi="Times New Roman" w:cs="Times New Roman"/>
          <w:color w:val="000000" w:themeColor="text1"/>
          <w:shd w:val="clear" w:color="auto" w:fill="202124"/>
          <w:lang w:eastAsia="en-GB"/>
        </w:rPr>
      </w:pPr>
      <w:r w:rsidRPr="001238C7">
        <w:rPr>
          <w:rFonts w:ascii="Times New Roman" w:hAnsi="Times New Roman" w:cs="Times New Roman"/>
          <w:color w:val="000000" w:themeColor="text1"/>
          <w:shd w:val="clear" w:color="auto" w:fill="FFFFFF"/>
        </w:rPr>
        <w:t>This supports the argument that the C</w:t>
      </w:r>
      <w:r w:rsidR="00235878">
        <w:rPr>
          <w:rFonts w:ascii="Times New Roman" w:hAnsi="Times New Roman" w:cs="Times New Roman"/>
          <w:color w:val="000000" w:themeColor="text1"/>
          <w:shd w:val="clear" w:color="auto" w:fill="FFFFFF"/>
        </w:rPr>
        <w:t>ourt of Justice</w:t>
      </w:r>
      <w:r w:rsidRPr="001238C7">
        <w:rPr>
          <w:rFonts w:ascii="Times New Roman" w:hAnsi="Times New Roman" w:cs="Times New Roman"/>
          <w:color w:val="000000" w:themeColor="text1"/>
          <w:shd w:val="clear" w:color="auto" w:fill="FFFFFF"/>
        </w:rPr>
        <w:t xml:space="preserve"> allows EU citizens to enforce the rights intended on them by helping to bridge the gap between what is covered by directi</w:t>
      </w:r>
      <w:r w:rsidRPr="001238C7">
        <w:rPr>
          <w:rFonts w:ascii="Times New Roman" w:hAnsi="Times New Roman" w:cs="Times New Roman"/>
          <w:color w:val="000000" w:themeColor="text1"/>
          <w:shd w:val="clear" w:color="auto" w:fill="FFFFFF"/>
        </w:rPr>
        <w:t>ves being vertically directly effective and the inability to rely on them to be horizontally directly effective.</w:t>
      </w:r>
      <w:r w:rsidR="00F9582F">
        <w:rPr>
          <w:rFonts w:ascii="Times New Roman" w:hAnsi="Times New Roman" w:cs="Times New Roman"/>
          <w:color w:val="000000" w:themeColor="text1"/>
          <w:shd w:val="clear" w:color="auto" w:fill="FFFFFF"/>
        </w:rPr>
        <w:t xml:space="preserve"> </w:t>
      </w:r>
    </w:p>
    <w:p w14:paraId="4785483F" w14:textId="6433367A" w:rsidR="0047303E" w:rsidRPr="001238C7" w:rsidRDefault="0047303E" w:rsidP="001238C7">
      <w:pPr>
        <w:spacing w:line="480" w:lineRule="auto"/>
        <w:rPr>
          <w:rFonts w:ascii="Times New Roman" w:eastAsia="Times New Roman" w:hAnsi="Times New Roman" w:cs="Times New Roman"/>
          <w:lang w:eastAsia="en-GB"/>
        </w:rPr>
      </w:pPr>
    </w:p>
    <w:p w14:paraId="398A702E" w14:textId="77777777" w:rsidR="00E17C99" w:rsidRPr="001238C7" w:rsidRDefault="00E17C99" w:rsidP="001238C7">
      <w:pPr>
        <w:spacing w:line="480" w:lineRule="auto"/>
        <w:rPr>
          <w:rFonts w:ascii="Times New Roman" w:hAnsi="Times New Roman" w:cs="Times New Roman"/>
        </w:rPr>
      </w:pPr>
    </w:p>
    <w:p w14:paraId="061114DD" w14:textId="490B588A" w:rsidR="000201CB" w:rsidRPr="001238C7" w:rsidRDefault="00E21B0D" w:rsidP="001238C7">
      <w:pPr>
        <w:spacing w:line="480" w:lineRule="auto"/>
        <w:rPr>
          <w:rFonts w:ascii="Times New Roman" w:hAnsi="Times New Roman" w:cs="Times New Roman"/>
          <w:color w:val="000000" w:themeColor="text1"/>
          <w:lang w:val="it-IT"/>
        </w:rPr>
      </w:pPr>
      <w:r w:rsidRPr="001238C7">
        <w:rPr>
          <w:rFonts w:ascii="Times New Roman" w:hAnsi="Times New Roman" w:cs="Times New Roman"/>
          <w:color w:val="000000" w:themeColor="text1"/>
        </w:rPr>
        <w:t xml:space="preserve">Supporting factors for the argument that the CJ empowers EU citizens to enforce rights presented to them come from the doctrine of </w:t>
      </w:r>
      <w:r w:rsidRPr="001238C7">
        <w:rPr>
          <w:rFonts w:ascii="Times New Roman" w:hAnsi="Times New Roman" w:cs="Times New Roman"/>
          <w:color w:val="000000" w:themeColor="text1"/>
        </w:rPr>
        <w:t>state liability (</w:t>
      </w:r>
      <w:r w:rsidR="00256B5B" w:rsidRPr="001238C7">
        <w:rPr>
          <w:rFonts w:ascii="Times New Roman" w:hAnsi="Times New Roman" w:cs="Times New Roman"/>
          <w:color w:val="000000" w:themeColor="text1"/>
          <w:lang w:val="it-IT"/>
        </w:rPr>
        <w:t xml:space="preserve">Francovich v Italy, 1991). </w:t>
      </w:r>
      <w:r w:rsidR="00095F01" w:rsidRPr="001238C7">
        <w:rPr>
          <w:rFonts w:ascii="Times New Roman" w:hAnsi="Times New Roman" w:cs="Times New Roman"/>
          <w:color w:val="000000" w:themeColor="text1"/>
          <w:lang w:val="it-IT"/>
        </w:rPr>
        <w:t xml:space="preserve">This allows an individual to potentially claim damages against a member state if they fail to implement the rights intended by the directive (Baker, 2016). </w:t>
      </w:r>
      <w:r w:rsidR="001238C7">
        <w:rPr>
          <w:rFonts w:ascii="Times New Roman" w:hAnsi="Times New Roman" w:cs="Times New Roman"/>
          <w:color w:val="000000" w:themeColor="text1"/>
          <w:lang w:val="it-IT"/>
        </w:rPr>
        <w:t>This</w:t>
      </w:r>
      <w:r w:rsidR="00AC0F18" w:rsidRPr="001238C7">
        <w:rPr>
          <w:rFonts w:ascii="Times New Roman" w:hAnsi="Times New Roman" w:cs="Times New Roman"/>
          <w:color w:val="000000" w:themeColor="text1"/>
          <w:lang w:val="it-IT"/>
        </w:rPr>
        <w:t xml:space="preserve"> can be </w:t>
      </w:r>
      <w:r w:rsidR="001238C7">
        <w:rPr>
          <w:rFonts w:ascii="Times New Roman" w:hAnsi="Times New Roman" w:cs="Times New Roman"/>
          <w:color w:val="000000" w:themeColor="text1"/>
          <w:lang w:val="it-IT"/>
        </w:rPr>
        <w:t>seen when a member</w:t>
      </w:r>
      <w:r w:rsidR="00AC0F18" w:rsidRPr="001238C7">
        <w:rPr>
          <w:rFonts w:ascii="Times New Roman" w:hAnsi="Times New Roman" w:cs="Times New Roman"/>
          <w:color w:val="000000" w:themeColor="text1"/>
          <w:lang w:val="it-IT"/>
        </w:rPr>
        <w:t xml:space="preserve"> state </w:t>
      </w:r>
      <w:r w:rsidR="00AC0F18" w:rsidRPr="001238C7">
        <w:rPr>
          <w:rFonts w:ascii="Times New Roman" w:hAnsi="Times New Roman" w:cs="Times New Roman"/>
          <w:color w:val="000000" w:themeColor="text1"/>
        </w:rPr>
        <w:t>fails</w:t>
      </w:r>
      <w:r w:rsidRPr="001238C7">
        <w:rPr>
          <w:rFonts w:ascii="Times New Roman" w:hAnsi="Times New Roman" w:cs="Times New Roman"/>
          <w:color w:val="000000" w:themeColor="text1"/>
        </w:rPr>
        <w:t xml:space="preserve"> to implement </w:t>
      </w:r>
      <w:r w:rsidRPr="001238C7">
        <w:rPr>
          <w:rFonts w:ascii="Times New Roman" w:hAnsi="Times New Roman" w:cs="Times New Roman"/>
          <w:color w:val="000000" w:themeColor="text1"/>
        </w:rPr>
        <w:t>a directive within the allocated time frame</w:t>
      </w:r>
      <w:r w:rsidR="008A7F34" w:rsidRPr="001238C7">
        <w:rPr>
          <w:rFonts w:ascii="Times New Roman" w:hAnsi="Times New Roman" w:cs="Times New Roman"/>
          <w:color w:val="000000" w:themeColor="text1"/>
        </w:rPr>
        <w:t xml:space="preserve"> (Inter-Environment Wallonie</w:t>
      </w:r>
      <w:r w:rsidR="004C5AFF" w:rsidRPr="001238C7">
        <w:rPr>
          <w:rFonts w:ascii="Times New Roman" w:hAnsi="Times New Roman" w:cs="Times New Roman"/>
          <w:color w:val="000000" w:themeColor="text1"/>
        </w:rPr>
        <w:t xml:space="preserve"> ASBL v</w:t>
      </w:r>
      <w:r w:rsidR="008A7F34" w:rsidRPr="001238C7">
        <w:rPr>
          <w:rFonts w:ascii="Times New Roman" w:hAnsi="Times New Roman" w:cs="Times New Roman"/>
          <w:color w:val="000000" w:themeColor="text1"/>
        </w:rPr>
        <w:t xml:space="preserve"> </w:t>
      </w:r>
      <w:r w:rsidR="004C5AFF" w:rsidRPr="001238C7">
        <w:rPr>
          <w:rFonts w:ascii="Times New Roman" w:hAnsi="Times New Roman" w:cs="Times New Roman"/>
          <w:color w:val="000000" w:themeColor="text1"/>
        </w:rPr>
        <w:t>Région Wallonne</w:t>
      </w:r>
      <w:r w:rsidR="00256B5B" w:rsidRPr="001238C7">
        <w:rPr>
          <w:rFonts w:ascii="Times New Roman" w:hAnsi="Times New Roman" w:cs="Times New Roman"/>
          <w:color w:val="000000" w:themeColor="text1"/>
        </w:rPr>
        <w:t xml:space="preserve">, </w:t>
      </w:r>
      <w:r w:rsidR="008A7F34" w:rsidRPr="001238C7">
        <w:rPr>
          <w:rFonts w:ascii="Times New Roman" w:hAnsi="Times New Roman" w:cs="Times New Roman"/>
          <w:color w:val="000000" w:themeColor="text1"/>
        </w:rPr>
        <w:t>1997)</w:t>
      </w:r>
      <w:r w:rsidR="00544595" w:rsidRPr="001238C7">
        <w:rPr>
          <w:rFonts w:ascii="Times New Roman" w:hAnsi="Times New Roman" w:cs="Times New Roman"/>
          <w:color w:val="000000" w:themeColor="text1"/>
        </w:rPr>
        <w:t xml:space="preserve">, </w:t>
      </w:r>
      <w:r w:rsidR="00147134" w:rsidRPr="001238C7">
        <w:rPr>
          <w:rFonts w:ascii="Times New Roman" w:hAnsi="Times New Roman" w:cs="Times New Roman"/>
        </w:rPr>
        <w:t>reinforced in the latter case Stchting Zuid-Hollandse Milieufederatie (2006).</w:t>
      </w:r>
    </w:p>
    <w:p w14:paraId="30719C83" w14:textId="118E1872" w:rsidR="006C6E8D" w:rsidRPr="001238C7" w:rsidRDefault="006C6E8D" w:rsidP="001238C7">
      <w:pPr>
        <w:spacing w:line="480" w:lineRule="auto"/>
        <w:rPr>
          <w:rFonts w:ascii="Times New Roman" w:hAnsi="Times New Roman" w:cs="Times New Roman"/>
        </w:rPr>
      </w:pPr>
    </w:p>
    <w:p w14:paraId="625B35FB" w14:textId="54A07F1F" w:rsidR="008A1AB8" w:rsidRPr="001238C7" w:rsidRDefault="00E21B0D" w:rsidP="001238C7">
      <w:pPr>
        <w:spacing w:line="480" w:lineRule="auto"/>
        <w:rPr>
          <w:rFonts w:ascii="Times New Roman" w:hAnsi="Times New Roman" w:cs="Times New Roman"/>
          <w:color w:val="000000" w:themeColor="text1"/>
        </w:rPr>
      </w:pPr>
      <w:r w:rsidRPr="001238C7">
        <w:rPr>
          <w:rFonts w:ascii="Times New Roman" w:hAnsi="Times New Roman" w:cs="Times New Roman"/>
        </w:rPr>
        <w:t xml:space="preserve">In the instance that the European Union has </w:t>
      </w:r>
      <w:r w:rsidR="0057633C" w:rsidRPr="001238C7">
        <w:rPr>
          <w:rFonts w:ascii="Times New Roman" w:hAnsi="Times New Roman" w:cs="Times New Roman"/>
        </w:rPr>
        <w:t>issued</w:t>
      </w:r>
      <w:r w:rsidRPr="001238C7">
        <w:rPr>
          <w:rFonts w:ascii="Times New Roman" w:hAnsi="Times New Roman" w:cs="Times New Roman"/>
        </w:rPr>
        <w:t xml:space="preserve"> a directive to member state</w:t>
      </w:r>
      <w:r w:rsidR="0057633C" w:rsidRPr="001238C7">
        <w:rPr>
          <w:rFonts w:ascii="Times New Roman" w:hAnsi="Times New Roman" w:cs="Times New Roman"/>
        </w:rPr>
        <w:t xml:space="preserve">s </w:t>
      </w:r>
      <w:r w:rsidRPr="001238C7">
        <w:rPr>
          <w:rFonts w:ascii="Times New Roman" w:hAnsi="Times New Roman" w:cs="Times New Roman"/>
        </w:rPr>
        <w:t>and a member state has failed to implement the directive</w:t>
      </w:r>
      <w:r w:rsidR="002F20F8" w:rsidRPr="001238C7">
        <w:rPr>
          <w:rFonts w:ascii="Times New Roman" w:hAnsi="Times New Roman" w:cs="Times New Roman"/>
        </w:rPr>
        <w:t>,</w:t>
      </w:r>
      <w:r w:rsidRPr="001238C7">
        <w:rPr>
          <w:rFonts w:ascii="Times New Roman" w:hAnsi="Times New Roman" w:cs="Times New Roman"/>
        </w:rPr>
        <w:t xml:space="preserve"> individuals </w:t>
      </w:r>
      <w:r w:rsidR="006C5A2D" w:rsidRPr="001238C7">
        <w:rPr>
          <w:rFonts w:ascii="Times New Roman" w:hAnsi="Times New Roman" w:cs="Times New Roman"/>
        </w:rPr>
        <w:t>can</w:t>
      </w:r>
      <w:r w:rsidRPr="001238C7">
        <w:rPr>
          <w:rFonts w:ascii="Times New Roman" w:hAnsi="Times New Roman" w:cs="Times New Roman"/>
        </w:rPr>
        <w:t xml:space="preserve"> rely upon the directives</w:t>
      </w:r>
      <w:r w:rsidR="009728B7" w:rsidRPr="001238C7">
        <w:rPr>
          <w:rFonts w:ascii="Times New Roman" w:hAnsi="Times New Roman" w:cs="Times New Roman"/>
        </w:rPr>
        <w:t>. T</w:t>
      </w:r>
      <w:r w:rsidRPr="001238C7">
        <w:rPr>
          <w:rFonts w:ascii="Times New Roman" w:hAnsi="Times New Roman" w:cs="Times New Roman"/>
        </w:rPr>
        <w:t>his raises issues as to the enforceability of directives</w:t>
      </w:r>
      <w:r w:rsidR="006C5A2D" w:rsidRPr="001238C7">
        <w:rPr>
          <w:rFonts w:ascii="Times New Roman" w:hAnsi="Times New Roman" w:cs="Times New Roman"/>
        </w:rPr>
        <w:t>. Whereas treaties and regulations are directly applied and effective, a directive is only directly vertically</w:t>
      </w:r>
      <w:r w:rsidR="002F20F8" w:rsidRPr="001238C7">
        <w:rPr>
          <w:rFonts w:ascii="Times New Roman" w:hAnsi="Times New Roman" w:cs="Times New Roman"/>
        </w:rPr>
        <w:t xml:space="preserve"> effective</w:t>
      </w:r>
      <w:r w:rsidR="006C5A2D" w:rsidRPr="001238C7">
        <w:rPr>
          <w:rFonts w:ascii="Times New Roman" w:hAnsi="Times New Roman" w:cs="Times New Roman"/>
        </w:rPr>
        <w:t xml:space="preserve">, this means that an instruction </w:t>
      </w:r>
      <w:r w:rsidR="00EF05E5" w:rsidRPr="001238C7">
        <w:rPr>
          <w:rFonts w:ascii="Times New Roman" w:hAnsi="Times New Roman" w:cs="Times New Roman"/>
        </w:rPr>
        <w:t xml:space="preserve">known as a directive is given </w:t>
      </w:r>
      <w:r w:rsidR="006C5A2D" w:rsidRPr="001238C7">
        <w:rPr>
          <w:rFonts w:ascii="Times New Roman" w:hAnsi="Times New Roman" w:cs="Times New Roman"/>
        </w:rPr>
        <w:t>to a member state to introduce a law into its legal system</w:t>
      </w:r>
      <w:r w:rsidR="00EF05E5" w:rsidRPr="001238C7">
        <w:rPr>
          <w:rFonts w:ascii="Times New Roman" w:hAnsi="Times New Roman" w:cs="Times New Roman"/>
        </w:rPr>
        <w:t xml:space="preserve"> meaning that EU law is vertically effective when it's enforceable only against the state</w:t>
      </w:r>
      <w:r w:rsidR="006C5A2D" w:rsidRPr="001238C7">
        <w:rPr>
          <w:rFonts w:ascii="Times New Roman" w:hAnsi="Times New Roman" w:cs="Times New Roman"/>
        </w:rPr>
        <w:t xml:space="preserve"> (</w:t>
      </w:r>
      <w:r w:rsidR="00EF05E5" w:rsidRPr="001238C7">
        <w:rPr>
          <w:rFonts w:ascii="Times New Roman" w:hAnsi="Times New Roman" w:cs="Times New Roman"/>
        </w:rPr>
        <w:t>Kirk, 2021).</w:t>
      </w:r>
      <w:r w:rsidR="002F20F8" w:rsidRPr="001238C7">
        <w:rPr>
          <w:rFonts w:ascii="Times New Roman" w:hAnsi="Times New Roman" w:cs="Times New Roman"/>
        </w:rPr>
        <w:t xml:space="preserve"> </w:t>
      </w:r>
      <w:r w:rsidR="002F20F8" w:rsidRPr="001238C7">
        <w:rPr>
          <w:rFonts w:ascii="Times New Roman" w:hAnsi="Times New Roman" w:cs="Times New Roman"/>
          <w:color w:val="000000" w:themeColor="text1"/>
        </w:rPr>
        <w:t xml:space="preserve">Although this </w:t>
      </w:r>
      <w:r w:rsidR="00635A76" w:rsidRPr="001238C7">
        <w:rPr>
          <w:rFonts w:ascii="Times New Roman" w:hAnsi="Times New Roman" w:cs="Times New Roman"/>
          <w:color w:val="000000" w:themeColor="text1"/>
        </w:rPr>
        <w:t>opens</w:t>
      </w:r>
      <w:r w:rsidR="002F20F8" w:rsidRPr="001238C7">
        <w:rPr>
          <w:rFonts w:ascii="Times New Roman" w:hAnsi="Times New Roman" w:cs="Times New Roman"/>
          <w:color w:val="000000" w:themeColor="text1"/>
        </w:rPr>
        <w:t xml:space="preserve"> directives to </w:t>
      </w:r>
      <w:r w:rsidR="00635A76" w:rsidRPr="001238C7">
        <w:rPr>
          <w:rFonts w:ascii="Times New Roman" w:hAnsi="Times New Roman" w:cs="Times New Roman"/>
          <w:color w:val="000000" w:themeColor="text1"/>
        </w:rPr>
        <w:t>criticism</w:t>
      </w:r>
      <w:r w:rsidR="002F20F8" w:rsidRPr="001238C7">
        <w:rPr>
          <w:rFonts w:ascii="Times New Roman" w:hAnsi="Times New Roman" w:cs="Times New Roman"/>
          <w:color w:val="000000" w:themeColor="text1"/>
        </w:rPr>
        <w:t xml:space="preserve"> as they do not fall under being horizontally directly effective the doctrine of primacy of EU law could grey this area. Regardless of if a directive has been implemented correctly or at all a question can be raised the courts would rule </w:t>
      </w:r>
      <w:r w:rsidR="00635A76" w:rsidRPr="001238C7">
        <w:rPr>
          <w:rFonts w:ascii="Times New Roman" w:hAnsi="Times New Roman" w:cs="Times New Roman"/>
          <w:color w:val="000000" w:themeColor="text1"/>
        </w:rPr>
        <w:t>in line</w:t>
      </w:r>
      <w:r w:rsidR="002F20F8" w:rsidRPr="001238C7">
        <w:rPr>
          <w:rFonts w:ascii="Times New Roman" w:hAnsi="Times New Roman" w:cs="Times New Roman"/>
          <w:color w:val="000000" w:themeColor="text1"/>
        </w:rPr>
        <w:t xml:space="preserve"> with EU law this potentially </w:t>
      </w:r>
      <w:r w:rsidR="00635A76" w:rsidRPr="001238C7">
        <w:rPr>
          <w:rFonts w:ascii="Times New Roman" w:hAnsi="Times New Roman" w:cs="Times New Roman"/>
          <w:color w:val="000000" w:themeColor="text1"/>
        </w:rPr>
        <w:t>opening</w:t>
      </w:r>
      <w:r w:rsidR="002F20F8" w:rsidRPr="001238C7">
        <w:rPr>
          <w:rFonts w:ascii="Times New Roman" w:hAnsi="Times New Roman" w:cs="Times New Roman"/>
          <w:color w:val="000000" w:themeColor="text1"/>
        </w:rPr>
        <w:t xml:space="preserve"> a 'work around' for the weakness that not being horizontally effective brings in terms of the CJ ability to allow citizens to enforce rights intended on them </w:t>
      </w:r>
      <w:r w:rsidR="00635A76" w:rsidRPr="001238C7">
        <w:rPr>
          <w:rFonts w:ascii="Times New Roman" w:hAnsi="Times New Roman" w:cs="Times New Roman"/>
          <w:color w:val="000000" w:themeColor="text1"/>
        </w:rPr>
        <w:t>(Costa v En</w:t>
      </w:r>
      <w:r w:rsidR="007A7EC4">
        <w:rPr>
          <w:rFonts w:ascii="Times New Roman" w:hAnsi="Times New Roman" w:cs="Times New Roman"/>
          <w:color w:val="000000" w:themeColor="text1"/>
        </w:rPr>
        <w:t>e</w:t>
      </w:r>
      <w:r w:rsidR="00635A76" w:rsidRPr="001238C7">
        <w:rPr>
          <w:rFonts w:ascii="Times New Roman" w:hAnsi="Times New Roman" w:cs="Times New Roman"/>
          <w:color w:val="000000" w:themeColor="text1"/>
        </w:rPr>
        <w:t>l, 1964).</w:t>
      </w:r>
      <w:r w:rsidR="00463C19" w:rsidRPr="001238C7">
        <w:rPr>
          <w:rFonts w:ascii="Times New Roman" w:hAnsi="Times New Roman" w:cs="Times New Roman"/>
          <w:color w:val="000000" w:themeColor="text1"/>
        </w:rPr>
        <w:t xml:space="preserve"> </w:t>
      </w:r>
      <w:r w:rsidR="00813293" w:rsidRPr="001238C7">
        <w:rPr>
          <w:rFonts w:ascii="Times New Roman" w:hAnsi="Times New Roman" w:cs="Times New Roman"/>
          <w:color w:val="000000" w:themeColor="text1"/>
        </w:rPr>
        <w:t xml:space="preserve">It should also be noted that although directives are not considered to have horizontal direct effect that the CJ has on occasion made decisions which have resulted in horizontal direct effect </w:t>
      </w:r>
      <w:r w:rsidR="00813293" w:rsidRPr="001238C7">
        <w:rPr>
          <w:rFonts w:ascii="Times New Roman" w:hAnsi="Times New Roman" w:cs="Times New Roman"/>
          <w:color w:val="000000" w:themeColor="text1"/>
        </w:rPr>
        <w:lastRenderedPageBreak/>
        <w:t>(Mangold</w:t>
      </w:r>
      <w:r w:rsidR="005833F7" w:rsidRPr="001238C7">
        <w:rPr>
          <w:rFonts w:ascii="Times New Roman" w:hAnsi="Times New Roman" w:cs="Times New Roman"/>
          <w:color w:val="000000" w:themeColor="text1"/>
        </w:rPr>
        <w:t xml:space="preserve"> v Helm</w:t>
      </w:r>
      <w:r w:rsidR="00813293" w:rsidRPr="001238C7">
        <w:rPr>
          <w:rFonts w:ascii="Times New Roman" w:hAnsi="Times New Roman" w:cs="Times New Roman"/>
          <w:color w:val="000000" w:themeColor="text1"/>
        </w:rPr>
        <w:t>, 2005). This again can be argued to support that the CJ provides a wide-ranging and adaptable approach to the protection of the rights intended for EU citizens to be able to enforce.</w:t>
      </w:r>
    </w:p>
    <w:p w14:paraId="0390A7D9" w14:textId="5F83DD50" w:rsidR="005153FE" w:rsidRPr="001238C7" w:rsidRDefault="005153FE" w:rsidP="001238C7">
      <w:pPr>
        <w:spacing w:line="480" w:lineRule="auto"/>
        <w:rPr>
          <w:rFonts w:ascii="Times New Roman" w:hAnsi="Times New Roman" w:cs="Times New Roman"/>
          <w:color w:val="000000" w:themeColor="text1"/>
        </w:rPr>
      </w:pPr>
    </w:p>
    <w:p w14:paraId="4728089D" w14:textId="5754AC62" w:rsidR="00FE325F" w:rsidRDefault="00E21B0D" w:rsidP="001238C7">
      <w:pPr>
        <w:spacing w:line="480" w:lineRule="auto"/>
        <w:rPr>
          <w:rFonts w:ascii="Times New Roman" w:hAnsi="Times New Roman" w:cs="Times New Roman"/>
          <w:color w:val="000000" w:themeColor="text1"/>
        </w:rPr>
      </w:pPr>
      <w:r w:rsidRPr="001238C7">
        <w:rPr>
          <w:rFonts w:ascii="Times New Roman" w:hAnsi="Times New Roman" w:cs="Times New Roman"/>
          <w:color w:val="000000" w:themeColor="text1"/>
        </w:rPr>
        <w:t xml:space="preserve">State Liability is a term that has been accepted </w:t>
      </w:r>
      <w:r w:rsidRPr="001238C7">
        <w:rPr>
          <w:rFonts w:ascii="Times New Roman" w:hAnsi="Times New Roman" w:cs="Times New Roman"/>
          <w:color w:val="000000" w:themeColor="text1"/>
        </w:rPr>
        <w:t xml:space="preserve">by the Court of Justice which derived from the case of Francovich v Italy, this allows an action to be brought against a member state by an individual </w:t>
      </w:r>
      <w:r w:rsidR="00CD7191" w:rsidRPr="001238C7">
        <w:rPr>
          <w:rFonts w:ascii="Times New Roman" w:hAnsi="Times New Roman" w:cs="Times New Roman"/>
          <w:color w:val="000000" w:themeColor="text1"/>
        </w:rPr>
        <w:t xml:space="preserve">when the member state has failed to comply with the obligation set out by EU Law which as a result has caused detriment to the individual. This has provided an alternative option to individuals in enabling actions to be brought against member states </w:t>
      </w:r>
      <w:r w:rsidR="00F06B86" w:rsidRPr="001238C7">
        <w:rPr>
          <w:rFonts w:ascii="Times New Roman" w:hAnsi="Times New Roman" w:cs="Times New Roman"/>
          <w:color w:val="000000" w:themeColor="text1"/>
        </w:rPr>
        <w:t xml:space="preserve">in situations where the lack of horizontal direct effects of directives or complete lack of direct effect arises, allowing the member state to be held liable for the detriment to the individual. </w:t>
      </w:r>
      <w:r w:rsidR="006E444B">
        <w:rPr>
          <w:rFonts w:ascii="Times New Roman" w:hAnsi="Times New Roman" w:cs="Times New Roman"/>
          <w:color w:val="000000" w:themeColor="text1"/>
        </w:rPr>
        <w:t xml:space="preserve">Articles 258 – 260 of the TFEU </w:t>
      </w:r>
      <w:r w:rsidR="00967F7C">
        <w:rPr>
          <w:rFonts w:ascii="Times New Roman" w:hAnsi="Times New Roman" w:cs="Times New Roman"/>
          <w:color w:val="000000" w:themeColor="text1"/>
        </w:rPr>
        <w:t xml:space="preserve">have the purpose of ensuring that member states are complying with EU law, having three elements encompassed within the articles to ensure compliance. This however doesn’t allow an individual to pursue compensation in the same way </w:t>
      </w:r>
      <w:r w:rsidR="003F6E3F">
        <w:rPr>
          <w:rFonts w:ascii="Times New Roman" w:hAnsi="Times New Roman" w:cs="Times New Roman"/>
          <w:color w:val="000000" w:themeColor="text1"/>
        </w:rPr>
        <w:t xml:space="preserve">through the doctrine of direct effect. What it does </w:t>
      </w:r>
      <w:r w:rsidR="00427BA2">
        <w:rPr>
          <w:rFonts w:ascii="Times New Roman" w:hAnsi="Times New Roman" w:cs="Times New Roman"/>
          <w:color w:val="000000" w:themeColor="text1"/>
        </w:rPr>
        <w:t>do</w:t>
      </w:r>
      <w:r w:rsidR="003F6E3F">
        <w:rPr>
          <w:rFonts w:ascii="Times New Roman" w:hAnsi="Times New Roman" w:cs="Times New Roman"/>
          <w:color w:val="000000" w:themeColor="text1"/>
        </w:rPr>
        <w:t xml:space="preserve"> is</w:t>
      </w:r>
      <w:r w:rsidR="00427BA2">
        <w:rPr>
          <w:rFonts w:ascii="Times New Roman" w:hAnsi="Times New Roman" w:cs="Times New Roman"/>
          <w:color w:val="000000" w:themeColor="text1"/>
        </w:rPr>
        <w:t xml:space="preserve"> to</w:t>
      </w:r>
      <w:r w:rsidR="003F6E3F">
        <w:rPr>
          <w:rFonts w:ascii="Times New Roman" w:hAnsi="Times New Roman" w:cs="Times New Roman"/>
          <w:color w:val="000000" w:themeColor="text1"/>
        </w:rPr>
        <w:t xml:space="preserve"> ensure that it rectifies the problem, rather than compensation to the individual. The two ways in which action can be taken one by the commission and the other by another member state. </w:t>
      </w:r>
    </w:p>
    <w:p w14:paraId="66661A91" w14:textId="76162D40" w:rsidR="00427BA2" w:rsidRDefault="00427BA2" w:rsidP="001238C7">
      <w:pPr>
        <w:spacing w:line="480" w:lineRule="auto"/>
        <w:rPr>
          <w:rFonts w:ascii="Times New Roman" w:hAnsi="Times New Roman" w:cs="Times New Roman"/>
          <w:color w:val="000000" w:themeColor="text1"/>
        </w:rPr>
      </w:pPr>
    </w:p>
    <w:p w14:paraId="4BD2E4C3" w14:textId="141A6466" w:rsidR="00427BA2" w:rsidRDefault="00E21B0D" w:rsidP="001238C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The procedure within Article 258</w:t>
      </w:r>
      <w:r w:rsidR="005B253F">
        <w:rPr>
          <w:rFonts w:ascii="Times New Roman" w:hAnsi="Times New Roman" w:cs="Times New Roman"/>
          <w:color w:val="000000" w:themeColor="text1"/>
        </w:rPr>
        <w:t xml:space="preserve"> of the TFEU</w:t>
      </w:r>
      <w:r>
        <w:rPr>
          <w:rFonts w:ascii="Times New Roman" w:hAnsi="Times New Roman" w:cs="Times New Roman"/>
          <w:color w:val="000000" w:themeColor="text1"/>
        </w:rPr>
        <w:t xml:space="preserve"> </w:t>
      </w:r>
      <w:r w:rsidR="005B253F">
        <w:rPr>
          <w:rFonts w:ascii="Times New Roman" w:hAnsi="Times New Roman" w:cs="Times New Roman"/>
          <w:color w:val="000000" w:themeColor="text1"/>
        </w:rPr>
        <w:t xml:space="preserve">allows discretion on the part of the commission which is an important part of the flexibility allowed within the article this allows the commission to make its own decision whether to take action and if so, allows the commission to address the more serious infringements first as shown in the case Star Fruit Company v Commission (1989). Article 259 of the TFEU shows some similarity to Article 258 </w:t>
      </w:r>
      <w:r w:rsidR="00C15F89">
        <w:rPr>
          <w:rFonts w:ascii="Times New Roman" w:hAnsi="Times New Roman" w:cs="Times New Roman"/>
          <w:color w:val="000000" w:themeColor="text1"/>
        </w:rPr>
        <w:t xml:space="preserve">stating that an action must be brought by a member state to the commission before it can go on to the Court of Justice, however, the commission's role here is to hear from both member states involved and then report its opinion on the matter. Despite the commissions' involvement here it is still not able to delay or dictate the timing of the action taken. </w:t>
      </w:r>
      <w:r w:rsidR="00EB3D9F">
        <w:rPr>
          <w:rFonts w:ascii="Times New Roman" w:hAnsi="Times New Roman" w:cs="Times New Roman"/>
          <w:color w:val="000000" w:themeColor="text1"/>
        </w:rPr>
        <w:t>There is a three-month time limit on the commission if this time limit is exceeded the member state will then be allowed to report directly to the Court of Justice</w:t>
      </w:r>
      <w:r w:rsidR="003937E3">
        <w:rPr>
          <w:rFonts w:ascii="Times New Roman" w:hAnsi="Times New Roman" w:cs="Times New Roman"/>
          <w:color w:val="000000" w:themeColor="text1"/>
        </w:rPr>
        <w:t xml:space="preserve"> of the European </w:t>
      </w:r>
      <w:r>
        <w:rPr>
          <w:rFonts w:ascii="Times New Roman" w:hAnsi="Times New Roman" w:cs="Times New Roman"/>
          <w:color w:val="000000" w:themeColor="text1"/>
        </w:rPr>
        <w:t xml:space="preserve">Union, which could be argued to have helped to ensure that EU law not only helps ensure that EU citizens are able to enforce the rights allowed to them by directives, but measures have also been put in place to ensure that if there has been a breach it is managed and rectified. </w:t>
      </w:r>
    </w:p>
    <w:p w14:paraId="4151F2AD" w14:textId="77777777" w:rsidR="00FE325F" w:rsidRPr="001238C7" w:rsidRDefault="00FE325F" w:rsidP="001238C7">
      <w:pPr>
        <w:spacing w:line="480" w:lineRule="auto"/>
        <w:rPr>
          <w:rFonts w:ascii="Times New Roman" w:hAnsi="Times New Roman" w:cs="Times New Roman"/>
          <w:color w:val="000000" w:themeColor="text1"/>
        </w:rPr>
      </w:pPr>
    </w:p>
    <w:p w14:paraId="5D8D0BF9" w14:textId="688C0900" w:rsidR="00FE453E" w:rsidRPr="001238C7" w:rsidRDefault="00E21B0D" w:rsidP="001238C7">
      <w:pPr>
        <w:spacing w:line="480" w:lineRule="auto"/>
        <w:rPr>
          <w:rFonts w:ascii="Times New Roman" w:hAnsi="Times New Roman" w:cs="Times New Roman"/>
          <w:color w:val="000000" w:themeColor="text1"/>
        </w:rPr>
      </w:pPr>
      <w:r w:rsidRPr="001238C7">
        <w:rPr>
          <w:rFonts w:ascii="Times New Roman" w:hAnsi="Times New Roman" w:cs="Times New Roman"/>
          <w:color w:val="000000" w:themeColor="text1"/>
        </w:rPr>
        <w:lastRenderedPageBreak/>
        <w:t>Due to the lack of national laws to interpret conformity surrounding directives and</w:t>
      </w:r>
      <w:r w:rsidR="00E36D59" w:rsidRPr="001238C7">
        <w:rPr>
          <w:rFonts w:ascii="Times New Roman" w:hAnsi="Times New Roman" w:cs="Times New Roman"/>
          <w:color w:val="000000" w:themeColor="text1"/>
        </w:rPr>
        <w:t xml:space="preserve"> </w:t>
      </w:r>
      <w:r w:rsidRPr="001238C7">
        <w:rPr>
          <w:rFonts w:ascii="Times New Roman" w:hAnsi="Times New Roman" w:cs="Times New Roman"/>
          <w:color w:val="000000" w:themeColor="text1"/>
        </w:rPr>
        <w:t>being</w:t>
      </w:r>
      <w:r w:rsidR="00E36D59" w:rsidRPr="001238C7">
        <w:rPr>
          <w:rFonts w:ascii="Times New Roman" w:hAnsi="Times New Roman" w:cs="Times New Roman"/>
          <w:color w:val="000000" w:themeColor="text1"/>
        </w:rPr>
        <w:t xml:space="preserve"> largely dependent on the fundamental doctrines of EU law of direct effects following the case of Van Gen den Loos v ENEL the CJEU determined that if member states failed to adopt full </w:t>
      </w:r>
      <w:r w:rsidR="0098614C" w:rsidRPr="001238C7">
        <w:rPr>
          <w:rFonts w:ascii="Times New Roman" w:hAnsi="Times New Roman" w:cs="Times New Roman"/>
          <w:color w:val="000000" w:themeColor="text1"/>
        </w:rPr>
        <w:t xml:space="preserve">enforcement under Art 288 TFEU then this would give rise to liability. It was rejected by the CJEU that liability of the state should only be a concern for national law claiming that the protection of individuals would be weakened if unable to claim against a member state for failing to comply. Arguably the decision following the case of Francovich v Italy </w:t>
      </w:r>
      <w:r w:rsidRPr="001238C7">
        <w:rPr>
          <w:rFonts w:ascii="Times New Roman" w:hAnsi="Times New Roman" w:cs="Times New Roman"/>
          <w:color w:val="000000" w:themeColor="text1"/>
        </w:rPr>
        <w:t xml:space="preserve">fills a gap in EU Law by giving individuals a resolution that originates from the member state breaching its obligations stipulated in </w:t>
      </w:r>
      <w:r w:rsidRPr="001238C7">
        <w:rPr>
          <w:rFonts w:ascii="Times New Roman" w:hAnsi="Times New Roman" w:cs="Times New Roman"/>
          <w:color w:val="000000" w:themeColor="text1"/>
        </w:rPr>
        <w:t>Art 288 TFEU and Art 4(3) TEU (Foster, 2019).</w:t>
      </w:r>
    </w:p>
    <w:p w14:paraId="5F4231DF" w14:textId="680739A0" w:rsidR="001E4FA8" w:rsidRPr="001238C7" w:rsidRDefault="00E21B0D" w:rsidP="001238C7">
      <w:pPr>
        <w:spacing w:line="480" w:lineRule="auto"/>
        <w:rPr>
          <w:rFonts w:ascii="Times New Roman" w:hAnsi="Times New Roman" w:cs="Times New Roman"/>
          <w:color w:val="000000" w:themeColor="text1"/>
        </w:rPr>
      </w:pPr>
      <w:r w:rsidRPr="001238C7">
        <w:rPr>
          <w:rFonts w:ascii="Times New Roman" w:hAnsi="Times New Roman" w:cs="Times New Roman"/>
          <w:color w:val="000000" w:themeColor="text1"/>
        </w:rPr>
        <w:t>Since this case there have been opportunities to develop evidence of this can be seen in the case Brasserie</w:t>
      </w:r>
      <w:r w:rsidR="00490E74" w:rsidRPr="001238C7">
        <w:rPr>
          <w:rFonts w:ascii="Times New Roman" w:hAnsi="Times New Roman" w:cs="Times New Roman"/>
          <w:color w:val="000000" w:themeColor="text1"/>
        </w:rPr>
        <w:t xml:space="preserve"> du Péch</w:t>
      </w:r>
      <w:r w:rsidR="0014054F" w:rsidRPr="001238C7">
        <w:rPr>
          <w:rFonts w:ascii="Times New Roman" w:hAnsi="Times New Roman" w:cs="Times New Roman"/>
          <w:color w:val="000000" w:themeColor="text1"/>
        </w:rPr>
        <w:t>eur v Federal Republic of Germany and Factorame (No 3) as a result of this case</w:t>
      </w:r>
      <w:r w:rsidR="00BE6BA2" w:rsidRPr="001238C7">
        <w:rPr>
          <w:rFonts w:ascii="Times New Roman" w:hAnsi="Times New Roman" w:cs="Times New Roman"/>
          <w:color w:val="000000" w:themeColor="text1"/>
        </w:rPr>
        <w:t xml:space="preserve"> </w:t>
      </w:r>
      <w:r w:rsidR="0014054F" w:rsidRPr="001238C7">
        <w:rPr>
          <w:rFonts w:ascii="Times New Roman" w:hAnsi="Times New Roman" w:cs="Times New Roman"/>
          <w:color w:val="000000" w:themeColor="text1"/>
        </w:rPr>
        <w:t>it determined that the principle of state liability applies to all domestic acts and omissions inclusive of leg</w:t>
      </w:r>
      <w:r w:rsidR="00BE6BA2" w:rsidRPr="001238C7">
        <w:rPr>
          <w:rFonts w:ascii="Times New Roman" w:hAnsi="Times New Roman" w:cs="Times New Roman"/>
          <w:color w:val="000000" w:themeColor="text1"/>
        </w:rPr>
        <w:t xml:space="preserve">islative, executive and judicial that have breached EU Law. </w:t>
      </w:r>
    </w:p>
    <w:p w14:paraId="468D9FE1" w14:textId="6D6ED7D7" w:rsidR="00813293" w:rsidRPr="001238C7" w:rsidRDefault="00E21B0D" w:rsidP="001238C7">
      <w:pPr>
        <w:spacing w:line="480" w:lineRule="auto"/>
        <w:rPr>
          <w:rFonts w:ascii="Times New Roman" w:hAnsi="Times New Roman" w:cs="Times New Roman"/>
          <w:color w:val="FF0000"/>
        </w:rPr>
      </w:pPr>
      <w:r w:rsidRPr="001238C7">
        <w:rPr>
          <w:rFonts w:ascii="Times New Roman" w:hAnsi="Times New Roman" w:cs="Times New Roman"/>
          <w:color w:val="FF0000"/>
        </w:rPr>
        <w:t xml:space="preserve"> </w:t>
      </w:r>
    </w:p>
    <w:p w14:paraId="793F8266" w14:textId="5A726CFC" w:rsidR="00813293" w:rsidRPr="001238C7" w:rsidRDefault="00E21B0D" w:rsidP="001238C7">
      <w:pPr>
        <w:spacing w:line="480" w:lineRule="auto"/>
        <w:rPr>
          <w:rFonts w:ascii="Times New Roman" w:hAnsi="Times New Roman" w:cs="Times New Roman"/>
          <w:color w:val="000000" w:themeColor="text1"/>
        </w:rPr>
      </w:pPr>
      <w:r w:rsidRPr="001238C7">
        <w:rPr>
          <w:rFonts w:ascii="Times New Roman" w:hAnsi="Times New Roman" w:cs="Times New Roman"/>
          <w:color w:val="000000" w:themeColor="text1"/>
        </w:rPr>
        <w:t>Directives are clearly a more complex method of i</w:t>
      </w:r>
      <w:r w:rsidRPr="001238C7">
        <w:rPr>
          <w:rFonts w:ascii="Times New Roman" w:hAnsi="Times New Roman" w:cs="Times New Roman"/>
          <w:color w:val="000000" w:themeColor="text1"/>
        </w:rPr>
        <w:t xml:space="preserve">mplementing EU legislation than other options available. However, through case law, there have been vast movements to help mitigate the issues presented in the ability of EU citizens to enforce the rights intended on them by directives. This evolving case </w:t>
      </w:r>
      <w:r w:rsidRPr="001238C7">
        <w:rPr>
          <w:rFonts w:ascii="Times New Roman" w:hAnsi="Times New Roman" w:cs="Times New Roman"/>
          <w:color w:val="000000" w:themeColor="text1"/>
        </w:rPr>
        <w:t>law highlights the willingness of the CJ to promote these rights. In addition, the emphasis on state liability allows for the CJ to hold member states accountable for any breach or failure to its citizens. Although there is still improvement to be made, th</w:t>
      </w:r>
      <w:r w:rsidRPr="001238C7">
        <w:rPr>
          <w:rFonts w:ascii="Times New Roman" w:hAnsi="Times New Roman" w:cs="Times New Roman"/>
          <w:color w:val="000000" w:themeColor="text1"/>
        </w:rPr>
        <w:t xml:space="preserve">e CJ has gone to great lengths to promote and evolve the protection that EU citizens have in enforcing rights intended on them by directives. </w:t>
      </w:r>
    </w:p>
    <w:p w14:paraId="69E88648" w14:textId="18745E80" w:rsidR="0056500F" w:rsidRPr="001238C7" w:rsidRDefault="0056500F" w:rsidP="001238C7">
      <w:pPr>
        <w:spacing w:line="480" w:lineRule="auto"/>
        <w:rPr>
          <w:rFonts w:ascii="Times New Roman" w:hAnsi="Times New Roman" w:cs="Times New Roman"/>
        </w:rPr>
      </w:pPr>
    </w:p>
    <w:p w14:paraId="435A23B3" w14:textId="77777777" w:rsidR="0056500F" w:rsidRPr="001238C7" w:rsidRDefault="0056500F" w:rsidP="001238C7">
      <w:pPr>
        <w:spacing w:line="480" w:lineRule="auto"/>
        <w:rPr>
          <w:rFonts w:ascii="Times New Roman" w:hAnsi="Times New Roman" w:cs="Times New Roman"/>
        </w:rPr>
      </w:pPr>
    </w:p>
    <w:p w14:paraId="6BE86D7A" w14:textId="4EBCE1AC" w:rsidR="00F4043F" w:rsidRPr="001238C7" w:rsidRDefault="00F4043F" w:rsidP="001238C7">
      <w:pPr>
        <w:spacing w:line="480" w:lineRule="auto"/>
        <w:rPr>
          <w:rFonts w:ascii="Times New Roman" w:hAnsi="Times New Roman" w:cs="Times New Roman"/>
        </w:rPr>
      </w:pPr>
    </w:p>
    <w:p w14:paraId="3F2A632B" w14:textId="77777777" w:rsidR="00F4043F" w:rsidRPr="001238C7" w:rsidRDefault="00F4043F" w:rsidP="001238C7">
      <w:pPr>
        <w:spacing w:line="480" w:lineRule="auto"/>
        <w:rPr>
          <w:rFonts w:ascii="Times New Roman" w:hAnsi="Times New Roman" w:cs="Times New Roman"/>
        </w:rPr>
      </w:pPr>
    </w:p>
    <w:p w14:paraId="70ADB574" w14:textId="53170B5D" w:rsidR="00953EE5" w:rsidRPr="001238C7" w:rsidRDefault="00953EE5" w:rsidP="001238C7">
      <w:pPr>
        <w:spacing w:line="480" w:lineRule="auto"/>
        <w:rPr>
          <w:rFonts w:ascii="Times New Roman" w:hAnsi="Times New Roman" w:cs="Times New Roman"/>
        </w:rPr>
      </w:pPr>
    </w:p>
    <w:p w14:paraId="361BE21A" w14:textId="66BDC7D3" w:rsidR="00953EE5" w:rsidRPr="001238C7" w:rsidRDefault="00953EE5" w:rsidP="001238C7">
      <w:pPr>
        <w:spacing w:line="480" w:lineRule="auto"/>
        <w:rPr>
          <w:rFonts w:ascii="Times New Roman" w:hAnsi="Times New Roman" w:cs="Times New Roman"/>
        </w:rPr>
      </w:pPr>
    </w:p>
    <w:p w14:paraId="790AEC31" w14:textId="77777777" w:rsidR="00860676" w:rsidRDefault="00860676" w:rsidP="001238C7">
      <w:pPr>
        <w:spacing w:line="480" w:lineRule="auto"/>
        <w:rPr>
          <w:rFonts w:ascii="Times New Roman" w:hAnsi="Times New Roman" w:cs="Times New Roman"/>
          <w:b/>
          <w:bCs/>
          <w:u w:val="single"/>
        </w:rPr>
      </w:pPr>
    </w:p>
    <w:p w14:paraId="22257526" w14:textId="77777777" w:rsidR="00860676" w:rsidRDefault="00860676" w:rsidP="001238C7">
      <w:pPr>
        <w:spacing w:line="480" w:lineRule="auto"/>
        <w:rPr>
          <w:rFonts w:ascii="Times New Roman" w:hAnsi="Times New Roman" w:cs="Times New Roman"/>
          <w:b/>
          <w:bCs/>
          <w:u w:val="single"/>
        </w:rPr>
      </w:pPr>
    </w:p>
    <w:p w14:paraId="6E09C444" w14:textId="77777777" w:rsidR="00860676" w:rsidRDefault="00860676" w:rsidP="001238C7">
      <w:pPr>
        <w:spacing w:line="480" w:lineRule="auto"/>
        <w:rPr>
          <w:rFonts w:ascii="Times New Roman" w:hAnsi="Times New Roman" w:cs="Times New Roman"/>
          <w:b/>
          <w:bCs/>
          <w:u w:val="single"/>
        </w:rPr>
      </w:pPr>
    </w:p>
    <w:p w14:paraId="377A73BA" w14:textId="77777777" w:rsidR="00860676" w:rsidRDefault="00860676" w:rsidP="001238C7">
      <w:pPr>
        <w:spacing w:line="480" w:lineRule="auto"/>
        <w:rPr>
          <w:rFonts w:ascii="Times New Roman" w:hAnsi="Times New Roman" w:cs="Times New Roman"/>
          <w:b/>
          <w:bCs/>
          <w:u w:val="single"/>
        </w:rPr>
      </w:pPr>
    </w:p>
    <w:p w14:paraId="459A42A3" w14:textId="77777777" w:rsidR="00860676" w:rsidRDefault="00860676" w:rsidP="001238C7">
      <w:pPr>
        <w:spacing w:line="480" w:lineRule="auto"/>
        <w:rPr>
          <w:rFonts w:ascii="Times New Roman" w:hAnsi="Times New Roman" w:cs="Times New Roman"/>
          <w:b/>
          <w:bCs/>
          <w:u w:val="single"/>
        </w:rPr>
      </w:pPr>
    </w:p>
    <w:p w14:paraId="489F34E0" w14:textId="77777777" w:rsidR="00860676" w:rsidRDefault="00860676" w:rsidP="001238C7">
      <w:pPr>
        <w:spacing w:line="480" w:lineRule="auto"/>
        <w:rPr>
          <w:rFonts w:ascii="Times New Roman" w:hAnsi="Times New Roman" w:cs="Times New Roman"/>
          <w:b/>
          <w:bCs/>
          <w:u w:val="single"/>
        </w:rPr>
      </w:pPr>
    </w:p>
    <w:p w14:paraId="3AF82E7A" w14:textId="77777777" w:rsidR="00860676" w:rsidRDefault="00860676" w:rsidP="001238C7">
      <w:pPr>
        <w:spacing w:line="480" w:lineRule="auto"/>
        <w:rPr>
          <w:rFonts w:ascii="Times New Roman" w:hAnsi="Times New Roman" w:cs="Times New Roman"/>
          <w:b/>
          <w:bCs/>
          <w:u w:val="single"/>
        </w:rPr>
      </w:pPr>
    </w:p>
    <w:p w14:paraId="6E939F4E" w14:textId="77777777" w:rsidR="00860676" w:rsidRDefault="00860676" w:rsidP="001238C7">
      <w:pPr>
        <w:spacing w:line="480" w:lineRule="auto"/>
        <w:rPr>
          <w:rFonts w:ascii="Times New Roman" w:hAnsi="Times New Roman" w:cs="Times New Roman"/>
          <w:b/>
          <w:bCs/>
          <w:u w:val="single"/>
        </w:rPr>
      </w:pPr>
    </w:p>
    <w:p w14:paraId="08907468" w14:textId="77777777" w:rsidR="00860676" w:rsidRDefault="00860676" w:rsidP="001238C7">
      <w:pPr>
        <w:spacing w:line="480" w:lineRule="auto"/>
        <w:rPr>
          <w:rFonts w:ascii="Times New Roman" w:hAnsi="Times New Roman" w:cs="Times New Roman"/>
          <w:b/>
          <w:bCs/>
          <w:u w:val="single"/>
        </w:rPr>
      </w:pPr>
    </w:p>
    <w:p w14:paraId="14F16B7D" w14:textId="28CE6C96" w:rsidR="00953EE5" w:rsidRPr="001238C7" w:rsidRDefault="00E21B0D" w:rsidP="001238C7">
      <w:pPr>
        <w:spacing w:line="480" w:lineRule="auto"/>
        <w:rPr>
          <w:rFonts w:ascii="Times New Roman" w:hAnsi="Times New Roman" w:cs="Times New Roman"/>
          <w:b/>
          <w:bCs/>
          <w:u w:val="single"/>
        </w:rPr>
      </w:pPr>
      <w:r w:rsidRPr="001238C7">
        <w:rPr>
          <w:rFonts w:ascii="Times New Roman" w:hAnsi="Times New Roman" w:cs="Times New Roman"/>
          <w:b/>
          <w:bCs/>
          <w:u w:val="single"/>
        </w:rPr>
        <w:t>Reference List.</w:t>
      </w:r>
    </w:p>
    <w:p w14:paraId="7CB5DE8F" w14:textId="1C489908" w:rsidR="005D4207" w:rsidRPr="001238C7" w:rsidRDefault="005D4207" w:rsidP="001238C7">
      <w:pPr>
        <w:spacing w:line="480" w:lineRule="auto"/>
        <w:rPr>
          <w:rFonts w:ascii="Times New Roman" w:hAnsi="Times New Roman" w:cs="Times New Roman"/>
          <w:b/>
          <w:bCs/>
          <w:u w:val="single"/>
        </w:rPr>
      </w:pPr>
    </w:p>
    <w:p w14:paraId="28237F21" w14:textId="29DE7EC7" w:rsidR="00544595" w:rsidRDefault="00E21B0D" w:rsidP="001238C7">
      <w:pPr>
        <w:spacing w:line="480" w:lineRule="auto"/>
        <w:rPr>
          <w:rFonts w:ascii="Times New Roman" w:hAnsi="Times New Roman" w:cs="Times New Roman"/>
          <w:i/>
          <w:iCs/>
        </w:rPr>
      </w:pPr>
      <w:r w:rsidRPr="001238C7">
        <w:rPr>
          <w:rFonts w:ascii="Times New Roman" w:hAnsi="Times New Roman" w:cs="Times New Roman"/>
        </w:rPr>
        <w:t>Baker, E. (2016)</w:t>
      </w:r>
      <w:r w:rsidR="001A404A" w:rsidRPr="001238C7">
        <w:rPr>
          <w:rFonts w:ascii="Times New Roman" w:hAnsi="Times New Roman" w:cs="Times New Roman"/>
        </w:rPr>
        <w:t>, De Montfort University, ‘ Procedural Safeguards in Criminal Proceedings in the European Union in Practice</w:t>
      </w:r>
      <w:r w:rsidR="007B5D0E" w:rsidRPr="001238C7">
        <w:rPr>
          <w:rFonts w:ascii="Times New Roman" w:hAnsi="Times New Roman" w:cs="Times New Roman"/>
        </w:rPr>
        <w:t xml:space="preserve">, Guide to the Procedural Rights Directives’ </w:t>
      </w:r>
      <w:r w:rsidR="007B5D0E" w:rsidRPr="001238C7">
        <w:rPr>
          <w:rFonts w:ascii="Times New Roman" w:hAnsi="Times New Roman" w:cs="Times New Roman"/>
          <w:i/>
          <w:iCs/>
        </w:rPr>
        <w:t xml:space="preserve">Criminal Justice Project. </w:t>
      </w:r>
      <w:r w:rsidR="007B5D0E" w:rsidRPr="001238C7">
        <w:rPr>
          <w:rFonts w:ascii="Times New Roman" w:hAnsi="Times New Roman" w:cs="Times New Roman"/>
        </w:rPr>
        <w:t xml:space="preserve">Available at: </w:t>
      </w:r>
      <w:hyperlink r:id="rId5" w:history="1">
        <w:r w:rsidR="007B5D0E" w:rsidRPr="001238C7">
          <w:rPr>
            <w:rStyle w:val="Hyperlink"/>
            <w:rFonts w:ascii="Times New Roman" w:hAnsi="Times New Roman" w:cs="Times New Roman"/>
          </w:rPr>
          <w:t>https://www.ejtn.eu/Documents/About%20EJTN/Criminal%20Justice%202018/CR201804-Vilnius/Guide%20to%20directives.pdf</w:t>
        </w:r>
      </w:hyperlink>
      <w:r w:rsidR="007B5D0E" w:rsidRPr="001238C7">
        <w:rPr>
          <w:rFonts w:ascii="Times New Roman" w:hAnsi="Times New Roman" w:cs="Times New Roman"/>
        </w:rPr>
        <w:t xml:space="preserve"> (Accessed: 13 July 2022).</w:t>
      </w:r>
      <w:r w:rsidRPr="001238C7">
        <w:rPr>
          <w:rFonts w:ascii="Times New Roman" w:hAnsi="Times New Roman" w:cs="Times New Roman"/>
          <w:i/>
          <w:iCs/>
        </w:rPr>
        <w:t xml:space="preserve"> </w:t>
      </w:r>
    </w:p>
    <w:p w14:paraId="57B256EF" w14:textId="6FBDE2F7" w:rsidR="001238C7" w:rsidRDefault="001238C7" w:rsidP="001238C7">
      <w:pPr>
        <w:spacing w:line="480" w:lineRule="auto"/>
        <w:rPr>
          <w:rFonts w:ascii="Times New Roman" w:hAnsi="Times New Roman" w:cs="Times New Roman"/>
          <w:i/>
          <w:iCs/>
        </w:rPr>
      </w:pPr>
    </w:p>
    <w:p w14:paraId="62B91D42" w14:textId="7B267DD9" w:rsidR="001238C7" w:rsidRPr="00796E60" w:rsidRDefault="00E21B0D" w:rsidP="001238C7">
      <w:pPr>
        <w:spacing w:line="480" w:lineRule="auto"/>
        <w:rPr>
          <w:rFonts w:ascii="Times New Roman" w:hAnsi="Times New Roman" w:cs="Times New Roman"/>
        </w:rPr>
      </w:pPr>
      <w:r>
        <w:rPr>
          <w:rFonts w:ascii="Times New Roman" w:hAnsi="Times New Roman" w:cs="Times New Roman"/>
        </w:rPr>
        <w:t xml:space="preserve">Cuyvers, A. (2017) </w:t>
      </w:r>
      <w:r w:rsidR="00796E60">
        <w:rPr>
          <w:rFonts w:ascii="Times New Roman" w:hAnsi="Times New Roman" w:cs="Times New Roman"/>
          <w:i/>
          <w:iCs/>
        </w:rPr>
        <w:t xml:space="preserve">The Scope, Nature and Effect of EU Law. </w:t>
      </w:r>
      <w:r w:rsidR="00796E60">
        <w:rPr>
          <w:rFonts w:ascii="Times New Roman" w:hAnsi="Times New Roman" w:cs="Times New Roman"/>
        </w:rPr>
        <w:t>Netherlands: Brill Publishers</w:t>
      </w:r>
      <w:r w:rsidR="00796E60">
        <w:rPr>
          <w:rFonts w:ascii="Times New Roman" w:hAnsi="Times New Roman" w:cs="Times New Roman"/>
          <w:i/>
          <w:iCs/>
        </w:rPr>
        <w:t xml:space="preserve"> </w:t>
      </w:r>
    </w:p>
    <w:p w14:paraId="0989EB83" w14:textId="77777777" w:rsidR="00544595" w:rsidRPr="001238C7" w:rsidRDefault="00544595" w:rsidP="001238C7">
      <w:pPr>
        <w:spacing w:line="480" w:lineRule="auto"/>
        <w:rPr>
          <w:rFonts w:ascii="Times New Roman" w:hAnsi="Times New Roman" w:cs="Times New Roman"/>
        </w:rPr>
      </w:pPr>
    </w:p>
    <w:p w14:paraId="0B1CB7D1" w14:textId="77777777" w:rsidR="00544595" w:rsidRPr="001238C7" w:rsidRDefault="00E21B0D" w:rsidP="001238C7">
      <w:pPr>
        <w:pStyle w:val="ListParagraph"/>
        <w:numPr>
          <w:ilvl w:val="0"/>
          <w:numId w:val="4"/>
        </w:numPr>
        <w:spacing w:line="480" w:lineRule="auto"/>
        <w:rPr>
          <w:rFonts w:ascii="Times New Roman" w:hAnsi="Times New Roman" w:cs="Times New Roman"/>
        </w:rPr>
      </w:pPr>
      <w:r w:rsidRPr="001238C7">
        <w:rPr>
          <w:rFonts w:ascii="Times New Roman" w:hAnsi="Times New Roman" w:cs="Times New Roman"/>
        </w:rPr>
        <w:t xml:space="preserve">Europa (2022) </w:t>
      </w:r>
      <w:r w:rsidRPr="001238C7">
        <w:rPr>
          <w:rFonts w:ascii="Times New Roman" w:hAnsi="Times New Roman" w:cs="Times New Roman"/>
          <w:i/>
          <w:iCs/>
        </w:rPr>
        <w:t xml:space="preserve">European Union Directives. </w:t>
      </w:r>
      <w:r w:rsidRPr="001238C7">
        <w:rPr>
          <w:rFonts w:ascii="Times New Roman" w:hAnsi="Times New Roman" w:cs="Times New Roman"/>
        </w:rPr>
        <w:t xml:space="preserve">Available at: </w:t>
      </w:r>
      <w:hyperlink r:id="rId6" w:history="1">
        <w:r w:rsidRPr="001238C7">
          <w:rPr>
            <w:rStyle w:val="Hyperlink"/>
            <w:rFonts w:ascii="Times New Roman" w:hAnsi="Times New Roman" w:cs="Times New Roman"/>
          </w:rPr>
          <w:t>https://eur-lex.europa.eu/EN/legal-content/summary/european-union-directives.html</w:t>
        </w:r>
      </w:hyperlink>
      <w:r w:rsidRPr="001238C7">
        <w:rPr>
          <w:rFonts w:ascii="Times New Roman" w:hAnsi="Times New Roman" w:cs="Times New Roman"/>
        </w:rPr>
        <w:t xml:space="preserve"> (Accessed: 10 July 2022)</w:t>
      </w:r>
    </w:p>
    <w:p w14:paraId="31C09836" w14:textId="0ACE6AB4" w:rsidR="00544595" w:rsidRPr="001238C7" w:rsidRDefault="00E21B0D" w:rsidP="001238C7">
      <w:pPr>
        <w:pStyle w:val="ListParagraph"/>
        <w:numPr>
          <w:ilvl w:val="0"/>
          <w:numId w:val="4"/>
        </w:numPr>
        <w:spacing w:line="480" w:lineRule="auto"/>
        <w:rPr>
          <w:rFonts w:ascii="Times New Roman" w:hAnsi="Times New Roman" w:cs="Times New Roman"/>
        </w:rPr>
      </w:pPr>
      <w:r w:rsidRPr="001238C7">
        <w:rPr>
          <w:rFonts w:ascii="Times New Roman" w:hAnsi="Times New Roman" w:cs="Times New Roman"/>
        </w:rPr>
        <w:t xml:space="preserve">Europa (2022) </w:t>
      </w:r>
      <w:r w:rsidRPr="001238C7">
        <w:rPr>
          <w:rFonts w:ascii="Times New Roman" w:hAnsi="Times New Roman" w:cs="Times New Roman"/>
          <w:i/>
          <w:iCs/>
        </w:rPr>
        <w:t xml:space="preserve">Types of EU Law. </w:t>
      </w:r>
      <w:r w:rsidRPr="001238C7">
        <w:rPr>
          <w:rFonts w:ascii="Times New Roman" w:hAnsi="Times New Roman" w:cs="Times New Roman"/>
        </w:rPr>
        <w:t xml:space="preserve">Available at: </w:t>
      </w:r>
      <w:hyperlink r:id="rId7" w:history="1">
        <w:r w:rsidRPr="001238C7">
          <w:rPr>
            <w:rStyle w:val="Hyperlink"/>
            <w:rFonts w:ascii="Times New Roman" w:hAnsi="Times New Roman" w:cs="Times New Roman"/>
          </w:rPr>
          <w:t>https://ec.europa.eu/info/law/law-making-process/types-eu-law_en</w:t>
        </w:r>
      </w:hyperlink>
      <w:r w:rsidRPr="001238C7">
        <w:rPr>
          <w:rFonts w:ascii="Times New Roman" w:hAnsi="Times New Roman" w:cs="Times New Roman"/>
        </w:rPr>
        <w:t xml:space="preserve"> (Accessed: 10 July 2022).</w:t>
      </w:r>
    </w:p>
    <w:p w14:paraId="2BE03B62" w14:textId="77777777" w:rsidR="001E4FA8" w:rsidRPr="001238C7" w:rsidRDefault="001E4FA8" w:rsidP="001238C7">
      <w:pPr>
        <w:spacing w:line="480" w:lineRule="auto"/>
        <w:rPr>
          <w:rFonts w:ascii="Times New Roman" w:hAnsi="Times New Roman" w:cs="Times New Roman"/>
        </w:rPr>
      </w:pPr>
    </w:p>
    <w:p w14:paraId="5E58833D" w14:textId="46E8D637" w:rsidR="00F4043F" w:rsidRPr="001238C7" w:rsidRDefault="00E21B0D" w:rsidP="001238C7">
      <w:pPr>
        <w:spacing w:line="480" w:lineRule="auto"/>
        <w:rPr>
          <w:rFonts w:ascii="Times New Roman" w:hAnsi="Times New Roman" w:cs="Times New Roman"/>
        </w:rPr>
      </w:pPr>
      <w:r w:rsidRPr="001238C7">
        <w:rPr>
          <w:rFonts w:ascii="Times New Roman" w:hAnsi="Times New Roman" w:cs="Times New Roman"/>
        </w:rPr>
        <w:t xml:space="preserve">Foster, N. (2019) </w:t>
      </w:r>
      <w:r w:rsidRPr="001238C7">
        <w:rPr>
          <w:rFonts w:ascii="Times New Roman" w:hAnsi="Times New Roman" w:cs="Times New Roman"/>
          <w:i/>
          <w:iCs/>
        </w:rPr>
        <w:t>Foster on EU Law</w:t>
      </w:r>
      <w:r w:rsidR="001E4FA8" w:rsidRPr="001238C7">
        <w:rPr>
          <w:rFonts w:ascii="Times New Roman" w:hAnsi="Times New Roman" w:cs="Times New Roman"/>
          <w:i/>
          <w:iCs/>
        </w:rPr>
        <w:t xml:space="preserve">. </w:t>
      </w:r>
      <w:r w:rsidR="001E4FA8" w:rsidRPr="001238C7">
        <w:rPr>
          <w:rFonts w:ascii="Times New Roman" w:hAnsi="Times New Roman" w:cs="Times New Roman"/>
        </w:rPr>
        <w:t>7</w:t>
      </w:r>
      <w:r w:rsidR="001E4FA8" w:rsidRPr="001238C7">
        <w:rPr>
          <w:rFonts w:ascii="Times New Roman" w:hAnsi="Times New Roman" w:cs="Times New Roman"/>
          <w:vertAlign w:val="superscript"/>
        </w:rPr>
        <w:t>th</w:t>
      </w:r>
      <w:r w:rsidR="001E4FA8" w:rsidRPr="001238C7">
        <w:rPr>
          <w:rFonts w:ascii="Times New Roman" w:hAnsi="Times New Roman" w:cs="Times New Roman"/>
        </w:rPr>
        <w:t xml:space="preserve"> edn. Oxford: Oxford University Press</w:t>
      </w:r>
    </w:p>
    <w:p w14:paraId="633E0144" w14:textId="03C7A973" w:rsidR="00F4043F" w:rsidRPr="001238C7" w:rsidRDefault="00F4043F" w:rsidP="001238C7">
      <w:pPr>
        <w:spacing w:line="480" w:lineRule="auto"/>
        <w:rPr>
          <w:rFonts w:ascii="Times New Roman" w:hAnsi="Times New Roman" w:cs="Times New Roman"/>
        </w:rPr>
      </w:pPr>
    </w:p>
    <w:p w14:paraId="1DBC61AB" w14:textId="79145A83" w:rsidR="00EF05E5" w:rsidRPr="001238C7" w:rsidRDefault="00E21B0D" w:rsidP="001238C7">
      <w:pPr>
        <w:spacing w:line="480" w:lineRule="auto"/>
        <w:rPr>
          <w:rFonts w:ascii="Times New Roman" w:hAnsi="Times New Roman" w:cs="Times New Roman"/>
        </w:rPr>
      </w:pPr>
      <w:r w:rsidRPr="001238C7">
        <w:rPr>
          <w:rFonts w:ascii="Times New Roman" w:hAnsi="Times New Roman" w:cs="Times New Roman"/>
        </w:rPr>
        <w:t xml:space="preserve">Kirk, E. (2021) </w:t>
      </w:r>
      <w:r w:rsidR="003F600F" w:rsidRPr="001238C7">
        <w:rPr>
          <w:rFonts w:ascii="Times New Roman" w:hAnsi="Times New Roman" w:cs="Times New Roman"/>
          <w:i/>
          <w:iCs/>
        </w:rPr>
        <w:t>EU Law</w:t>
      </w:r>
      <w:r w:rsidR="0056500F" w:rsidRPr="001238C7">
        <w:rPr>
          <w:rFonts w:ascii="Times New Roman" w:hAnsi="Times New Roman" w:cs="Times New Roman"/>
          <w:i/>
          <w:iCs/>
        </w:rPr>
        <w:t xml:space="preserve">. </w:t>
      </w:r>
      <w:r w:rsidR="0056500F" w:rsidRPr="001238C7">
        <w:rPr>
          <w:rFonts w:ascii="Times New Roman" w:hAnsi="Times New Roman" w:cs="Times New Roman"/>
        </w:rPr>
        <w:t>7</w:t>
      </w:r>
      <w:r w:rsidR="0056500F" w:rsidRPr="001238C7">
        <w:rPr>
          <w:rFonts w:ascii="Times New Roman" w:hAnsi="Times New Roman" w:cs="Times New Roman"/>
          <w:vertAlign w:val="superscript"/>
        </w:rPr>
        <w:t>th</w:t>
      </w:r>
      <w:r w:rsidR="0056500F" w:rsidRPr="001238C7">
        <w:rPr>
          <w:rFonts w:ascii="Times New Roman" w:hAnsi="Times New Roman" w:cs="Times New Roman"/>
        </w:rPr>
        <w:t xml:space="preserve"> edn. Harlow: Pearson Education Limited </w:t>
      </w:r>
    </w:p>
    <w:p w14:paraId="1CE15033" w14:textId="77777777" w:rsidR="001E4FA8" w:rsidRPr="001238C7" w:rsidRDefault="001E4FA8" w:rsidP="001238C7">
      <w:pPr>
        <w:spacing w:line="480" w:lineRule="auto"/>
        <w:rPr>
          <w:rFonts w:ascii="Times New Roman" w:hAnsi="Times New Roman" w:cs="Times New Roman"/>
        </w:rPr>
      </w:pPr>
    </w:p>
    <w:p w14:paraId="61A3100E" w14:textId="0F704573" w:rsidR="005D4207" w:rsidRPr="001238C7" w:rsidRDefault="00E21B0D" w:rsidP="001238C7">
      <w:pPr>
        <w:spacing w:line="480" w:lineRule="auto"/>
        <w:rPr>
          <w:rFonts w:ascii="Times New Roman" w:hAnsi="Times New Roman" w:cs="Times New Roman"/>
        </w:rPr>
      </w:pPr>
      <w:r w:rsidRPr="001238C7">
        <w:rPr>
          <w:rFonts w:ascii="Times New Roman" w:hAnsi="Times New Roman" w:cs="Times New Roman"/>
        </w:rPr>
        <w:t xml:space="preserve">The Law Society (2021) </w:t>
      </w:r>
      <w:r w:rsidRPr="001238C7">
        <w:rPr>
          <w:rFonts w:ascii="Times New Roman" w:hAnsi="Times New Roman" w:cs="Times New Roman"/>
          <w:i/>
          <w:iCs/>
        </w:rPr>
        <w:t xml:space="preserve">What is the European Court of Justice and Why Does it Matter?. </w:t>
      </w:r>
      <w:r w:rsidRPr="001238C7">
        <w:rPr>
          <w:rFonts w:ascii="Times New Roman" w:hAnsi="Times New Roman" w:cs="Times New Roman"/>
        </w:rPr>
        <w:t xml:space="preserve">Available at: </w:t>
      </w:r>
      <w:hyperlink r:id="rId8" w:history="1">
        <w:r w:rsidRPr="001238C7">
          <w:rPr>
            <w:rStyle w:val="Hyperlink"/>
            <w:rFonts w:ascii="Times New Roman" w:hAnsi="Times New Roman" w:cs="Times New Roman"/>
          </w:rPr>
          <w:t>https://www.lawsociety.org.uk/en/topics/brexit/what-is-</w:t>
        </w:r>
        <w:r w:rsidRPr="001238C7">
          <w:rPr>
            <w:rStyle w:val="Hyperlink"/>
            <w:rFonts w:ascii="Times New Roman" w:hAnsi="Times New Roman" w:cs="Times New Roman"/>
          </w:rPr>
          <w:t>the-european-court-of-justice-and-why-does-it-matter</w:t>
        </w:r>
      </w:hyperlink>
      <w:r w:rsidRPr="001238C7">
        <w:rPr>
          <w:rFonts w:ascii="Times New Roman" w:hAnsi="Times New Roman" w:cs="Times New Roman"/>
        </w:rPr>
        <w:t xml:space="preserve"> (Accessed: 10 July 2022). </w:t>
      </w:r>
    </w:p>
    <w:p w14:paraId="6124FC48" w14:textId="62EF3623" w:rsidR="0082443A" w:rsidRPr="001238C7" w:rsidRDefault="0082443A" w:rsidP="001238C7">
      <w:pPr>
        <w:spacing w:line="480" w:lineRule="auto"/>
        <w:rPr>
          <w:rFonts w:ascii="Times New Roman" w:hAnsi="Times New Roman" w:cs="Times New Roman"/>
        </w:rPr>
      </w:pPr>
    </w:p>
    <w:p w14:paraId="0DFCD0B5" w14:textId="5B653B13" w:rsidR="0082443A" w:rsidRPr="001238C7" w:rsidRDefault="00E21B0D" w:rsidP="001238C7">
      <w:pPr>
        <w:spacing w:line="480" w:lineRule="auto"/>
        <w:rPr>
          <w:rFonts w:ascii="Times New Roman" w:hAnsi="Times New Roman" w:cs="Times New Roman"/>
          <w:i/>
          <w:iCs/>
        </w:rPr>
      </w:pPr>
      <w:r w:rsidRPr="001238C7">
        <w:rPr>
          <w:rFonts w:ascii="Times New Roman" w:hAnsi="Times New Roman" w:cs="Times New Roman"/>
        </w:rPr>
        <w:t xml:space="preserve">Zhelyazkova, A. </w:t>
      </w:r>
      <w:r w:rsidR="000B0769" w:rsidRPr="001238C7">
        <w:rPr>
          <w:rFonts w:ascii="Times New Roman" w:hAnsi="Times New Roman" w:cs="Times New Roman"/>
        </w:rPr>
        <w:t xml:space="preserve">and Thomann, E. (2022) ‘I did it my way: Customisation and practical Compliance with EU Policies’, </w:t>
      </w:r>
      <w:r w:rsidR="000B0769" w:rsidRPr="001238C7">
        <w:rPr>
          <w:rFonts w:ascii="Times New Roman" w:hAnsi="Times New Roman" w:cs="Times New Roman"/>
          <w:i/>
          <w:iCs/>
        </w:rPr>
        <w:t xml:space="preserve">Journal of European Public Policy, </w:t>
      </w:r>
      <w:r w:rsidR="000B0769" w:rsidRPr="001238C7">
        <w:rPr>
          <w:rFonts w:ascii="Times New Roman" w:hAnsi="Times New Roman" w:cs="Times New Roman"/>
        </w:rPr>
        <w:t>29(3), pp. 427-447.</w:t>
      </w:r>
    </w:p>
    <w:p w14:paraId="05DC7E70" w14:textId="76EB503F" w:rsidR="0082443A" w:rsidRPr="001238C7" w:rsidRDefault="0082443A" w:rsidP="001238C7">
      <w:pPr>
        <w:spacing w:line="480" w:lineRule="auto"/>
        <w:rPr>
          <w:rFonts w:ascii="Times New Roman" w:hAnsi="Times New Roman" w:cs="Times New Roman"/>
        </w:rPr>
      </w:pPr>
    </w:p>
    <w:p w14:paraId="3C727E9E" w14:textId="77777777" w:rsidR="0082443A" w:rsidRPr="001238C7" w:rsidRDefault="0082443A" w:rsidP="001238C7">
      <w:pPr>
        <w:spacing w:line="480" w:lineRule="auto"/>
        <w:rPr>
          <w:rFonts w:ascii="Times New Roman" w:hAnsi="Times New Roman" w:cs="Times New Roman"/>
        </w:rPr>
      </w:pPr>
    </w:p>
    <w:p w14:paraId="25FAA6CA" w14:textId="1BDD58FE" w:rsidR="00953EE5" w:rsidRPr="001238C7" w:rsidRDefault="00953EE5" w:rsidP="001238C7">
      <w:pPr>
        <w:spacing w:line="480" w:lineRule="auto"/>
        <w:rPr>
          <w:rFonts w:ascii="Times New Roman" w:hAnsi="Times New Roman" w:cs="Times New Roman"/>
        </w:rPr>
      </w:pPr>
    </w:p>
    <w:p w14:paraId="15ABD84D" w14:textId="7C95B525" w:rsidR="00953EE5" w:rsidRPr="001238C7" w:rsidRDefault="00953EE5" w:rsidP="001238C7">
      <w:pPr>
        <w:spacing w:line="480" w:lineRule="auto"/>
        <w:rPr>
          <w:rFonts w:ascii="Times New Roman" w:hAnsi="Times New Roman" w:cs="Times New Roman"/>
        </w:rPr>
      </w:pPr>
    </w:p>
    <w:p w14:paraId="16534EF8" w14:textId="150943C2" w:rsidR="00953EE5" w:rsidRPr="001238C7" w:rsidRDefault="00953EE5" w:rsidP="001238C7">
      <w:pPr>
        <w:spacing w:line="480" w:lineRule="auto"/>
        <w:rPr>
          <w:rFonts w:ascii="Times New Roman" w:hAnsi="Times New Roman" w:cs="Times New Roman"/>
        </w:rPr>
      </w:pPr>
    </w:p>
    <w:p w14:paraId="4C6683D9" w14:textId="1166CD65" w:rsidR="00953EE5" w:rsidRPr="001238C7" w:rsidRDefault="00E21B0D" w:rsidP="001238C7">
      <w:pPr>
        <w:spacing w:line="480" w:lineRule="auto"/>
        <w:rPr>
          <w:rFonts w:ascii="Times New Roman" w:hAnsi="Times New Roman" w:cs="Times New Roman"/>
          <w:b/>
          <w:bCs/>
          <w:u w:val="single"/>
        </w:rPr>
      </w:pPr>
      <w:r w:rsidRPr="001238C7">
        <w:rPr>
          <w:rFonts w:ascii="Times New Roman" w:hAnsi="Times New Roman" w:cs="Times New Roman"/>
          <w:b/>
          <w:bCs/>
          <w:u w:val="single"/>
        </w:rPr>
        <w:t>Legislation and Case list</w:t>
      </w:r>
    </w:p>
    <w:p w14:paraId="2FE24940" w14:textId="1720E083" w:rsidR="00C83091" w:rsidRPr="001238C7" w:rsidRDefault="00C83091" w:rsidP="001238C7">
      <w:pPr>
        <w:spacing w:line="480" w:lineRule="auto"/>
        <w:rPr>
          <w:rFonts w:ascii="Times New Roman" w:hAnsi="Times New Roman" w:cs="Times New Roman"/>
          <w:b/>
          <w:bCs/>
          <w:u w:val="single"/>
        </w:rPr>
      </w:pPr>
    </w:p>
    <w:p w14:paraId="72200478" w14:textId="6C1EA6E6" w:rsidR="00860676" w:rsidRDefault="00E21B0D" w:rsidP="00860676">
      <w:pPr>
        <w:spacing w:line="360" w:lineRule="auto"/>
        <w:rPr>
          <w:rFonts w:ascii="Times New Roman" w:hAnsi="Times New Roman" w:cs="Times New Roman"/>
        </w:rPr>
      </w:pPr>
      <w:r>
        <w:rPr>
          <w:rFonts w:ascii="Times New Roman" w:hAnsi="Times New Roman" w:cs="Times New Roman"/>
        </w:rPr>
        <w:t xml:space="preserve">Article 4(3) TFEU </w:t>
      </w:r>
    </w:p>
    <w:p w14:paraId="6EF5B545" w14:textId="77777777" w:rsidR="00860676" w:rsidRDefault="00860676" w:rsidP="00860676">
      <w:pPr>
        <w:spacing w:line="360" w:lineRule="auto"/>
        <w:rPr>
          <w:rFonts w:ascii="Times New Roman" w:hAnsi="Times New Roman" w:cs="Times New Roman"/>
        </w:rPr>
      </w:pPr>
    </w:p>
    <w:p w14:paraId="71CE89B8" w14:textId="0DFE5C1A" w:rsidR="006C6E8D" w:rsidRPr="001238C7" w:rsidRDefault="00E21B0D" w:rsidP="00860676">
      <w:pPr>
        <w:spacing w:line="360" w:lineRule="auto"/>
        <w:rPr>
          <w:rFonts w:ascii="Times New Roman" w:hAnsi="Times New Roman" w:cs="Times New Roman"/>
        </w:rPr>
      </w:pPr>
      <w:r w:rsidRPr="001238C7">
        <w:rPr>
          <w:rFonts w:ascii="Times New Roman" w:hAnsi="Times New Roman" w:cs="Times New Roman"/>
        </w:rPr>
        <w:t>Article 30 TFEU</w:t>
      </w:r>
    </w:p>
    <w:p w14:paraId="087CFDAF" w14:textId="77777777" w:rsidR="006C6E8D" w:rsidRPr="001238C7" w:rsidRDefault="006C6E8D" w:rsidP="00860676">
      <w:pPr>
        <w:spacing w:line="360" w:lineRule="auto"/>
        <w:rPr>
          <w:rFonts w:ascii="Times New Roman" w:hAnsi="Times New Roman" w:cs="Times New Roman"/>
        </w:rPr>
      </w:pPr>
    </w:p>
    <w:p w14:paraId="6351C745" w14:textId="1B86411F" w:rsidR="00C83091" w:rsidRPr="001238C7" w:rsidRDefault="00E21B0D" w:rsidP="00860676">
      <w:pPr>
        <w:spacing w:line="360" w:lineRule="auto"/>
        <w:rPr>
          <w:rFonts w:ascii="Times New Roman" w:hAnsi="Times New Roman" w:cs="Times New Roman"/>
        </w:rPr>
      </w:pPr>
      <w:r w:rsidRPr="001238C7">
        <w:rPr>
          <w:rFonts w:ascii="Times New Roman" w:hAnsi="Times New Roman" w:cs="Times New Roman"/>
        </w:rPr>
        <w:t xml:space="preserve">Article 288 (1) TFEU </w:t>
      </w:r>
    </w:p>
    <w:p w14:paraId="2B8EE5DD" w14:textId="24150E60" w:rsidR="00147134" w:rsidRPr="001238C7" w:rsidRDefault="00147134" w:rsidP="00860676">
      <w:pPr>
        <w:spacing w:line="360" w:lineRule="auto"/>
        <w:rPr>
          <w:rFonts w:ascii="Times New Roman" w:hAnsi="Times New Roman" w:cs="Times New Roman"/>
        </w:rPr>
      </w:pPr>
    </w:p>
    <w:p w14:paraId="56D55077" w14:textId="490B6AE1" w:rsidR="00147134" w:rsidRDefault="00E21B0D" w:rsidP="00860676">
      <w:pPr>
        <w:spacing w:line="360" w:lineRule="auto"/>
        <w:rPr>
          <w:rFonts w:ascii="Times New Roman" w:hAnsi="Times New Roman" w:cs="Times New Roman"/>
        </w:rPr>
      </w:pPr>
      <w:r w:rsidRPr="001238C7">
        <w:rPr>
          <w:rFonts w:ascii="Times New Roman" w:hAnsi="Times New Roman" w:cs="Times New Roman"/>
        </w:rPr>
        <w:t>Article 258 TFEU</w:t>
      </w:r>
    </w:p>
    <w:p w14:paraId="561011B4" w14:textId="77777777" w:rsidR="00967F7C" w:rsidRDefault="00967F7C" w:rsidP="00860676">
      <w:pPr>
        <w:spacing w:line="360" w:lineRule="auto"/>
        <w:rPr>
          <w:rFonts w:ascii="Times New Roman" w:hAnsi="Times New Roman" w:cs="Times New Roman"/>
        </w:rPr>
      </w:pPr>
    </w:p>
    <w:p w14:paraId="68AD4E17" w14:textId="418409AC" w:rsidR="00967F7C" w:rsidRDefault="00E21B0D" w:rsidP="00860676">
      <w:pPr>
        <w:spacing w:line="360" w:lineRule="auto"/>
        <w:rPr>
          <w:rFonts w:ascii="Times New Roman" w:hAnsi="Times New Roman" w:cs="Times New Roman"/>
        </w:rPr>
      </w:pPr>
      <w:r>
        <w:rPr>
          <w:rFonts w:ascii="Times New Roman" w:hAnsi="Times New Roman" w:cs="Times New Roman"/>
        </w:rPr>
        <w:t xml:space="preserve">Article 259 TFEU </w:t>
      </w:r>
    </w:p>
    <w:p w14:paraId="0173D8D1" w14:textId="77777777" w:rsidR="00967F7C" w:rsidRDefault="00967F7C" w:rsidP="00860676">
      <w:pPr>
        <w:spacing w:line="360" w:lineRule="auto"/>
        <w:rPr>
          <w:rFonts w:ascii="Times New Roman" w:hAnsi="Times New Roman" w:cs="Times New Roman"/>
        </w:rPr>
      </w:pPr>
    </w:p>
    <w:p w14:paraId="2784DDF9" w14:textId="09637EFD" w:rsidR="00967F7C" w:rsidRPr="001238C7" w:rsidRDefault="00E21B0D" w:rsidP="00860676">
      <w:pPr>
        <w:spacing w:line="360" w:lineRule="auto"/>
        <w:rPr>
          <w:rFonts w:ascii="Times New Roman" w:hAnsi="Times New Roman" w:cs="Times New Roman"/>
        </w:rPr>
      </w:pPr>
      <w:r>
        <w:rPr>
          <w:rFonts w:ascii="Times New Roman" w:hAnsi="Times New Roman" w:cs="Times New Roman"/>
        </w:rPr>
        <w:t>Article 260 TFEU</w:t>
      </w:r>
    </w:p>
    <w:p w14:paraId="77D96B10" w14:textId="6AED3188" w:rsidR="006C6E8D" w:rsidRPr="001238C7" w:rsidRDefault="006C6E8D" w:rsidP="00860676">
      <w:pPr>
        <w:spacing w:line="360" w:lineRule="auto"/>
        <w:rPr>
          <w:rFonts w:ascii="Times New Roman" w:hAnsi="Times New Roman" w:cs="Times New Roman"/>
        </w:rPr>
      </w:pPr>
    </w:p>
    <w:p w14:paraId="13EB2656" w14:textId="64F9E5C8" w:rsidR="00C83091" w:rsidRPr="001238C7" w:rsidRDefault="00E21B0D" w:rsidP="00860676">
      <w:pPr>
        <w:spacing w:line="360" w:lineRule="auto"/>
        <w:rPr>
          <w:rFonts w:ascii="Times New Roman" w:hAnsi="Times New Roman" w:cs="Times New Roman"/>
        </w:rPr>
      </w:pPr>
      <w:r w:rsidRPr="001238C7">
        <w:rPr>
          <w:rFonts w:ascii="Times New Roman" w:hAnsi="Times New Roman" w:cs="Times New Roman"/>
        </w:rPr>
        <w:t>Commission v Belgium (1986)</w:t>
      </w:r>
    </w:p>
    <w:p w14:paraId="502E0AF2" w14:textId="77777777" w:rsidR="00C83091" w:rsidRPr="001238C7" w:rsidRDefault="00C83091" w:rsidP="00860676">
      <w:pPr>
        <w:spacing w:line="360" w:lineRule="auto"/>
        <w:rPr>
          <w:rFonts w:ascii="Times New Roman" w:hAnsi="Times New Roman" w:cs="Times New Roman"/>
        </w:rPr>
      </w:pPr>
    </w:p>
    <w:p w14:paraId="54C0B557" w14:textId="38B83B53" w:rsidR="00953EE5" w:rsidRPr="001238C7" w:rsidRDefault="00E21B0D" w:rsidP="00860676">
      <w:pPr>
        <w:spacing w:line="360" w:lineRule="auto"/>
        <w:rPr>
          <w:rFonts w:ascii="Times New Roman" w:hAnsi="Times New Roman" w:cs="Times New Roman"/>
        </w:rPr>
      </w:pPr>
      <w:r w:rsidRPr="001238C7">
        <w:rPr>
          <w:rFonts w:ascii="Times New Roman" w:hAnsi="Times New Roman" w:cs="Times New Roman"/>
        </w:rPr>
        <w:t xml:space="preserve">Commission v Italy (1973) </w:t>
      </w:r>
    </w:p>
    <w:p w14:paraId="0EC8A9BF" w14:textId="4324C43A" w:rsidR="006122FE" w:rsidRPr="001238C7" w:rsidRDefault="006122FE" w:rsidP="00860676">
      <w:pPr>
        <w:spacing w:line="360" w:lineRule="auto"/>
        <w:rPr>
          <w:rFonts w:ascii="Times New Roman" w:hAnsi="Times New Roman" w:cs="Times New Roman"/>
        </w:rPr>
      </w:pPr>
    </w:p>
    <w:p w14:paraId="7488B59E" w14:textId="3A2C2FB2" w:rsidR="006122FE" w:rsidRPr="001238C7" w:rsidRDefault="00E21B0D" w:rsidP="00860676">
      <w:pPr>
        <w:spacing w:line="360" w:lineRule="auto"/>
        <w:rPr>
          <w:rFonts w:ascii="Times New Roman" w:hAnsi="Times New Roman" w:cs="Times New Roman"/>
          <w:color w:val="000000" w:themeColor="text1"/>
        </w:rPr>
      </w:pPr>
      <w:r w:rsidRPr="001238C7">
        <w:rPr>
          <w:rFonts w:ascii="Times New Roman" w:hAnsi="Times New Roman" w:cs="Times New Roman"/>
          <w:color w:val="000000" w:themeColor="text1"/>
        </w:rPr>
        <w:t>Costa v En</w:t>
      </w:r>
      <w:r w:rsidR="007A7EC4">
        <w:rPr>
          <w:rFonts w:ascii="Times New Roman" w:hAnsi="Times New Roman" w:cs="Times New Roman"/>
          <w:color w:val="000000" w:themeColor="text1"/>
        </w:rPr>
        <w:t>e</w:t>
      </w:r>
      <w:r w:rsidRPr="001238C7">
        <w:rPr>
          <w:rFonts w:ascii="Times New Roman" w:hAnsi="Times New Roman" w:cs="Times New Roman"/>
          <w:color w:val="000000" w:themeColor="text1"/>
        </w:rPr>
        <w:t>l, (1964) Case 6/64</w:t>
      </w:r>
    </w:p>
    <w:p w14:paraId="0A5DE38D" w14:textId="4EEF3C7D" w:rsidR="006C6E8D" w:rsidRPr="001238C7" w:rsidRDefault="006C6E8D" w:rsidP="00860676">
      <w:pPr>
        <w:spacing w:line="360" w:lineRule="auto"/>
        <w:rPr>
          <w:rFonts w:ascii="Times New Roman" w:hAnsi="Times New Roman" w:cs="Times New Roman"/>
        </w:rPr>
      </w:pPr>
    </w:p>
    <w:p w14:paraId="4AF05DF4" w14:textId="176FF792" w:rsidR="006C6E8D" w:rsidRDefault="00E21B0D" w:rsidP="00860676">
      <w:pPr>
        <w:spacing w:line="360" w:lineRule="auto"/>
        <w:rPr>
          <w:rFonts w:ascii="Times New Roman" w:hAnsi="Times New Roman" w:cs="Times New Roman"/>
        </w:rPr>
      </w:pPr>
      <w:r w:rsidRPr="001238C7">
        <w:rPr>
          <w:rFonts w:ascii="Times New Roman" w:hAnsi="Times New Roman" w:cs="Times New Roman"/>
        </w:rPr>
        <w:t>Defrenne</w:t>
      </w:r>
      <w:r w:rsidRPr="001238C7">
        <w:rPr>
          <w:rFonts w:ascii="Times New Roman" w:hAnsi="Times New Roman" w:cs="Times New Roman"/>
        </w:rPr>
        <w:t xml:space="preserve"> v Sabena (1976)</w:t>
      </w:r>
    </w:p>
    <w:p w14:paraId="3D7962EC" w14:textId="74D4CB20" w:rsidR="00FE325F" w:rsidRDefault="00FE325F" w:rsidP="00860676">
      <w:pPr>
        <w:spacing w:line="360" w:lineRule="auto"/>
        <w:rPr>
          <w:rFonts w:ascii="Times New Roman" w:hAnsi="Times New Roman" w:cs="Times New Roman"/>
        </w:rPr>
      </w:pPr>
    </w:p>
    <w:p w14:paraId="22819133" w14:textId="280EC4AC" w:rsidR="00FE325F" w:rsidRPr="001238C7" w:rsidRDefault="00E21B0D" w:rsidP="00860676">
      <w:pPr>
        <w:spacing w:line="360" w:lineRule="auto"/>
        <w:rPr>
          <w:rFonts w:ascii="Times New Roman" w:hAnsi="Times New Roman" w:cs="Times New Roman"/>
        </w:rPr>
      </w:pPr>
      <w:r>
        <w:rPr>
          <w:rFonts w:ascii="Times New Roman" w:hAnsi="Times New Roman" w:cs="Times New Roman"/>
          <w:color w:val="000000" w:themeColor="text1"/>
          <w:shd w:val="clear" w:color="auto" w:fill="FFFFFF"/>
        </w:rPr>
        <w:t>Doughty v Rolls Royce PLC (1992) 1 CMLR 1045</w:t>
      </w:r>
    </w:p>
    <w:p w14:paraId="1AF8D558" w14:textId="571D4E42" w:rsidR="0014054F" w:rsidRPr="001238C7" w:rsidRDefault="0014054F" w:rsidP="00860676">
      <w:pPr>
        <w:spacing w:line="360" w:lineRule="auto"/>
        <w:rPr>
          <w:rFonts w:ascii="Times New Roman" w:hAnsi="Times New Roman" w:cs="Times New Roman"/>
        </w:rPr>
      </w:pPr>
    </w:p>
    <w:p w14:paraId="1A502A26" w14:textId="593BAC63" w:rsidR="0014054F" w:rsidRPr="001238C7" w:rsidRDefault="00E21B0D" w:rsidP="00860676">
      <w:pPr>
        <w:spacing w:line="360" w:lineRule="auto"/>
        <w:rPr>
          <w:rFonts w:ascii="Times New Roman" w:hAnsi="Times New Roman" w:cs="Times New Roman"/>
        </w:rPr>
      </w:pPr>
      <w:r w:rsidRPr="001238C7">
        <w:rPr>
          <w:rFonts w:ascii="Times New Roman" w:hAnsi="Times New Roman" w:cs="Times New Roman"/>
          <w:color w:val="000000" w:themeColor="text1"/>
        </w:rPr>
        <w:t>Factorame (No 3)</w:t>
      </w:r>
    </w:p>
    <w:p w14:paraId="2ED37D19" w14:textId="0272E8C0" w:rsidR="005833F7" w:rsidRPr="001238C7" w:rsidRDefault="005833F7" w:rsidP="00860676">
      <w:pPr>
        <w:spacing w:line="360" w:lineRule="auto"/>
        <w:rPr>
          <w:rFonts w:ascii="Times New Roman" w:hAnsi="Times New Roman" w:cs="Times New Roman"/>
        </w:rPr>
      </w:pPr>
    </w:p>
    <w:p w14:paraId="0D57B7DD" w14:textId="3E8AEE11" w:rsidR="005833F7" w:rsidRPr="001238C7" w:rsidRDefault="00E21B0D" w:rsidP="00860676">
      <w:pPr>
        <w:spacing w:line="360" w:lineRule="auto"/>
        <w:rPr>
          <w:rFonts w:ascii="Times New Roman" w:hAnsi="Times New Roman" w:cs="Times New Roman"/>
          <w:color w:val="000000" w:themeColor="text1"/>
          <w:shd w:val="clear" w:color="auto" w:fill="FFFFFF"/>
        </w:rPr>
      </w:pPr>
      <w:r w:rsidRPr="001238C7">
        <w:rPr>
          <w:rFonts w:ascii="Times New Roman" w:hAnsi="Times New Roman" w:cs="Times New Roman"/>
          <w:color w:val="000000" w:themeColor="text1"/>
          <w:shd w:val="clear" w:color="auto" w:fill="FFFFFF"/>
        </w:rPr>
        <w:lastRenderedPageBreak/>
        <w:t>Foster v British Gas PLC (1990)</w:t>
      </w:r>
    </w:p>
    <w:p w14:paraId="72DBE2E8" w14:textId="789CD8DC" w:rsidR="007B5D0E" w:rsidRPr="001238C7" w:rsidRDefault="007B5D0E" w:rsidP="00860676">
      <w:pPr>
        <w:spacing w:line="360" w:lineRule="auto"/>
        <w:rPr>
          <w:rFonts w:ascii="Times New Roman" w:hAnsi="Times New Roman" w:cs="Times New Roman"/>
          <w:color w:val="000000" w:themeColor="text1"/>
          <w:shd w:val="clear" w:color="auto" w:fill="FFFFFF"/>
        </w:rPr>
      </w:pPr>
    </w:p>
    <w:p w14:paraId="3438766B" w14:textId="4BB71B57" w:rsidR="007B5D0E" w:rsidRPr="001238C7" w:rsidRDefault="00E21B0D" w:rsidP="00860676">
      <w:pPr>
        <w:spacing w:line="360" w:lineRule="auto"/>
        <w:rPr>
          <w:rFonts w:ascii="Times New Roman" w:hAnsi="Times New Roman" w:cs="Times New Roman"/>
        </w:rPr>
      </w:pPr>
      <w:r w:rsidRPr="001238C7">
        <w:rPr>
          <w:rFonts w:ascii="Times New Roman" w:hAnsi="Times New Roman" w:cs="Times New Roman"/>
          <w:color w:val="000000" w:themeColor="text1"/>
          <w:shd w:val="clear" w:color="auto" w:fill="FFFFFF"/>
        </w:rPr>
        <w:t>Francovich v Italy Case 6/90</w:t>
      </w:r>
    </w:p>
    <w:p w14:paraId="7C56AA27" w14:textId="23CA8564" w:rsidR="005833F7" w:rsidRPr="001238C7" w:rsidRDefault="005833F7" w:rsidP="00860676">
      <w:pPr>
        <w:spacing w:line="360" w:lineRule="auto"/>
        <w:rPr>
          <w:rFonts w:ascii="Times New Roman" w:hAnsi="Times New Roman" w:cs="Times New Roman"/>
        </w:rPr>
      </w:pPr>
    </w:p>
    <w:p w14:paraId="40ED8AED" w14:textId="4EB1B914" w:rsidR="005833F7" w:rsidRPr="001238C7" w:rsidRDefault="00E21B0D" w:rsidP="00860676">
      <w:pPr>
        <w:spacing w:line="360" w:lineRule="auto"/>
        <w:rPr>
          <w:rFonts w:ascii="Times New Roman" w:eastAsia="Times New Roman" w:hAnsi="Times New Roman" w:cs="Times New Roman"/>
          <w:color w:val="000000" w:themeColor="text1"/>
          <w:shd w:val="clear" w:color="auto" w:fill="FFFFFF"/>
          <w:lang w:eastAsia="en-GB"/>
        </w:rPr>
      </w:pPr>
      <w:r w:rsidRPr="001238C7">
        <w:rPr>
          <w:rFonts w:ascii="Times New Roman" w:eastAsia="Times New Roman" w:hAnsi="Times New Roman" w:cs="Times New Roman"/>
          <w:color w:val="000000" w:themeColor="text1"/>
          <w:shd w:val="clear" w:color="auto" w:fill="FFFFFF"/>
          <w:lang w:eastAsia="en-GB"/>
        </w:rPr>
        <w:t>Fratelli Costanzo SpA v Comune di Milano (1989)</w:t>
      </w:r>
    </w:p>
    <w:p w14:paraId="1316191F" w14:textId="51CE8078" w:rsidR="00E0561C" w:rsidRPr="001238C7" w:rsidRDefault="00E0561C" w:rsidP="00860676">
      <w:pPr>
        <w:spacing w:line="360" w:lineRule="auto"/>
        <w:rPr>
          <w:rFonts w:ascii="Times New Roman" w:eastAsia="Times New Roman" w:hAnsi="Times New Roman" w:cs="Times New Roman"/>
          <w:color w:val="000000" w:themeColor="text1"/>
          <w:shd w:val="clear" w:color="auto" w:fill="FFFFFF"/>
          <w:lang w:eastAsia="en-GB"/>
        </w:rPr>
      </w:pPr>
    </w:p>
    <w:p w14:paraId="7A235CFF" w14:textId="3F38231E" w:rsidR="00E0561C" w:rsidRPr="001238C7" w:rsidRDefault="00E21B0D" w:rsidP="00860676">
      <w:pPr>
        <w:spacing w:line="360" w:lineRule="auto"/>
        <w:rPr>
          <w:rFonts w:ascii="Times New Roman" w:eastAsia="Times New Roman" w:hAnsi="Times New Roman" w:cs="Times New Roman"/>
          <w:color w:val="000000" w:themeColor="text1"/>
          <w:shd w:val="clear" w:color="auto" w:fill="FFFFFF"/>
          <w:lang w:eastAsia="en-GB"/>
        </w:rPr>
      </w:pPr>
      <w:r w:rsidRPr="001238C7">
        <w:rPr>
          <w:rFonts w:ascii="Times New Roman" w:hAnsi="Times New Roman" w:cs="Times New Roman"/>
          <w:color w:val="000000" w:themeColor="text1"/>
          <w:lang w:val="it-IT"/>
        </w:rPr>
        <w:t>Francovich v Italy, (1991)</w:t>
      </w:r>
    </w:p>
    <w:p w14:paraId="2945E55E" w14:textId="797D0C87" w:rsidR="000201CB" w:rsidRPr="001238C7" w:rsidRDefault="000201CB" w:rsidP="00860676">
      <w:pPr>
        <w:spacing w:line="360" w:lineRule="auto"/>
        <w:rPr>
          <w:rFonts w:ascii="Times New Roman" w:hAnsi="Times New Roman" w:cs="Times New Roman"/>
        </w:rPr>
      </w:pPr>
    </w:p>
    <w:p w14:paraId="62F30A9A" w14:textId="3D662ACF" w:rsidR="005833F7" w:rsidRPr="001238C7" w:rsidRDefault="00E21B0D" w:rsidP="00860676">
      <w:pPr>
        <w:spacing w:line="360" w:lineRule="auto"/>
        <w:rPr>
          <w:rFonts w:ascii="Times New Roman" w:hAnsi="Times New Roman" w:cs="Times New Roman"/>
          <w:color w:val="000000" w:themeColor="text1"/>
        </w:rPr>
      </w:pPr>
      <w:r w:rsidRPr="001238C7">
        <w:rPr>
          <w:rFonts w:ascii="Times New Roman" w:hAnsi="Times New Roman" w:cs="Times New Roman"/>
          <w:color w:val="000000" w:themeColor="text1"/>
        </w:rPr>
        <w:t>Inter-Environment Wallonie ASBL v Région Wallonne, (1997) Case 129/96</w:t>
      </w:r>
    </w:p>
    <w:p w14:paraId="2BE938D3" w14:textId="77777777" w:rsidR="004C5AFF" w:rsidRPr="001238C7" w:rsidRDefault="004C5AFF" w:rsidP="00860676">
      <w:pPr>
        <w:spacing w:line="360" w:lineRule="auto"/>
        <w:rPr>
          <w:rFonts w:ascii="Times New Roman" w:hAnsi="Times New Roman" w:cs="Times New Roman"/>
        </w:rPr>
      </w:pPr>
    </w:p>
    <w:p w14:paraId="66F32621" w14:textId="42D03906" w:rsidR="005833F7" w:rsidRPr="001238C7" w:rsidRDefault="00E21B0D" w:rsidP="00860676">
      <w:pPr>
        <w:spacing w:line="360" w:lineRule="auto"/>
        <w:rPr>
          <w:rFonts w:ascii="Times New Roman" w:hAnsi="Times New Roman" w:cs="Times New Roman"/>
        </w:rPr>
      </w:pPr>
      <w:r w:rsidRPr="001238C7">
        <w:rPr>
          <w:rFonts w:ascii="Times New Roman" w:hAnsi="Times New Roman" w:cs="Times New Roman"/>
        </w:rPr>
        <w:t>Mangold v Helm (2005) Case C-144/04</w:t>
      </w:r>
    </w:p>
    <w:p w14:paraId="492885CD" w14:textId="32A1F585" w:rsidR="00E0561C" w:rsidRPr="001238C7" w:rsidRDefault="00E0561C" w:rsidP="00860676">
      <w:pPr>
        <w:spacing w:line="360" w:lineRule="auto"/>
        <w:rPr>
          <w:rFonts w:ascii="Times New Roman" w:hAnsi="Times New Roman" w:cs="Times New Roman"/>
        </w:rPr>
      </w:pPr>
    </w:p>
    <w:p w14:paraId="0A54C650" w14:textId="106FAB77" w:rsidR="00E0561C" w:rsidRPr="001238C7" w:rsidRDefault="00E21B0D" w:rsidP="00860676">
      <w:pPr>
        <w:spacing w:line="360" w:lineRule="auto"/>
        <w:rPr>
          <w:rFonts w:ascii="Times New Roman" w:hAnsi="Times New Roman" w:cs="Times New Roman"/>
          <w:color w:val="000000" w:themeColor="text1"/>
          <w:spacing w:val="-15"/>
        </w:rPr>
      </w:pPr>
      <w:r w:rsidRPr="001238C7">
        <w:rPr>
          <w:rFonts w:ascii="Times New Roman" w:hAnsi="Times New Roman" w:cs="Times New Roman"/>
          <w:color w:val="000000" w:themeColor="text1"/>
          <w:spacing w:val="-15"/>
        </w:rPr>
        <w:t xml:space="preserve">Marleasing SA v La Comercial Internacional de Alimenatacion </w:t>
      </w:r>
      <w:r w:rsidR="005153FE" w:rsidRPr="001238C7">
        <w:rPr>
          <w:rFonts w:ascii="Times New Roman" w:hAnsi="Times New Roman" w:cs="Times New Roman"/>
          <w:color w:val="000000" w:themeColor="text1"/>
          <w:spacing w:val="-15"/>
        </w:rPr>
        <w:t>Case 106/89</w:t>
      </w:r>
    </w:p>
    <w:p w14:paraId="2711AEFA" w14:textId="6C726FE1" w:rsidR="0014054F" w:rsidRPr="001238C7" w:rsidRDefault="0014054F" w:rsidP="00860676">
      <w:pPr>
        <w:spacing w:line="360" w:lineRule="auto"/>
        <w:rPr>
          <w:rFonts w:ascii="Times New Roman" w:hAnsi="Times New Roman" w:cs="Times New Roman"/>
          <w:color w:val="000000" w:themeColor="text1"/>
          <w:spacing w:val="-15"/>
        </w:rPr>
      </w:pPr>
    </w:p>
    <w:p w14:paraId="7D3AFA61" w14:textId="37B171A1" w:rsidR="0014054F" w:rsidRDefault="00E21B0D" w:rsidP="00860676">
      <w:pPr>
        <w:spacing w:line="360" w:lineRule="auto"/>
        <w:rPr>
          <w:rFonts w:ascii="Times New Roman" w:hAnsi="Times New Roman" w:cs="Times New Roman"/>
          <w:color w:val="000000" w:themeColor="text1"/>
        </w:rPr>
      </w:pPr>
      <w:r w:rsidRPr="001238C7">
        <w:rPr>
          <w:rFonts w:ascii="Times New Roman" w:hAnsi="Times New Roman" w:cs="Times New Roman"/>
          <w:color w:val="000000" w:themeColor="text1"/>
        </w:rPr>
        <w:t>Brasserie du Pécheur</w:t>
      </w:r>
      <w:r w:rsidRPr="001238C7">
        <w:rPr>
          <w:rFonts w:ascii="Times New Roman" w:hAnsi="Times New Roman" w:cs="Times New Roman"/>
          <w:color w:val="000000" w:themeColor="text1"/>
        </w:rPr>
        <w:t xml:space="preserve"> v Federal Republic of Germany Case 48/93</w:t>
      </w:r>
    </w:p>
    <w:p w14:paraId="2D6101EF" w14:textId="7D93FC7F" w:rsidR="005B253F" w:rsidRDefault="005B253F" w:rsidP="00860676">
      <w:pPr>
        <w:spacing w:line="360" w:lineRule="auto"/>
        <w:rPr>
          <w:rFonts w:ascii="Times New Roman" w:hAnsi="Times New Roman" w:cs="Times New Roman"/>
          <w:color w:val="000000" w:themeColor="text1"/>
        </w:rPr>
      </w:pPr>
    </w:p>
    <w:p w14:paraId="314A89B3" w14:textId="27C7BABE" w:rsidR="005B253F" w:rsidRPr="005B253F" w:rsidRDefault="00E21B0D" w:rsidP="005B253F">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Star Fruit Company v Commission (1989) ECR 291 Case 247/87</w:t>
      </w:r>
    </w:p>
    <w:p w14:paraId="37CB107B" w14:textId="04441FB8" w:rsidR="00147134" w:rsidRPr="001238C7" w:rsidRDefault="00147134" w:rsidP="00860676">
      <w:pPr>
        <w:spacing w:line="360" w:lineRule="auto"/>
        <w:rPr>
          <w:rFonts w:ascii="Times New Roman" w:hAnsi="Times New Roman" w:cs="Times New Roman"/>
        </w:rPr>
      </w:pPr>
    </w:p>
    <w:p w14:paraId="448191F0" w14:textId="68DC3E4F" w:rsidR="00147134" w:rsidRDefault="00E21B0D" w:rsidP="00860676">
      <w:pPr>
        <w:spacing w:line="360" w:lineRule="auto"/>
        <w:rPr>
          <w:rFonts w:ascii="Times New Roman" w:hAnsi="Times New Roman" w:cs="Times New Roman"/>
        </w:rPr>
      </w:pPr>
      <w:r w:rsidRPr="001238C7">
        <w:rPr>
          <w:rFonts w:ascii="Times New Roman" w:hAnsi="Times New Roman" w:cs="Times New Roman"/>
        </w:rPr>
        <w:t>Stchting Zuid-Hollandse Milieufederatie (2006).</w:t>
      </w:r>
    </w:p>
    <w:p w14:paraId="644F3EC7" w14:textId="4F284F94" w:rsidR="005605A3" w:rsidRDefault="005605A3" w:rsidP="00860676">
      <w:pPr>
        <w:spacing w:line="360" w:lineRule="auto"/>
        <w:rPr>
          <w:rFonts w:ascii="Times New Roman" w:hAnsi="Times New Roman" w:cs="Times New Roman"/>
        </w:rPr>
      </w:pPr>
    </w:p>
    <w:p w14:paraId="5881C132" w14:textId="1EADD4BF" w:rsidR="005605A3" w:rsidRPr="001238C7" w:rsidRDefault="00E21B0D" w:rsidP="00860676">
      <w:pPr>
        <w:spacing w:line="360" w:lineRule="auto"/>
        <w:rPr>
          <w:rFonts w:ascii="Times New Roman" w:hAnsi="Times New Roman" w:cs="Times New Roman"/>
        </w:rPr>
      </w:pPr>
      <w:r>
        <w:rPr>
          <w:rFonts w:ascii="Times New Roman" w:hAnsi="Times New Roman" w:cs="Times New Roman"/>
          <w:color w:val="000000" w:themeColor="text1"/>
        </w:rPr>
        <w:t>Van Duyn v Home Office (1974) ECR 1337 Case 41/74</w:t>
      </w:r>
    </w:p>
    <w:p w14:paraId="77B95109" w14:textId="017731C1" w:rsidR="00C83091" w:rsidRPr="001238C7" w:rsidRDefault="00C83091" w:rsidP="00860676">
      <w:pPr>
        <w:spacing w:line="360" w:lineRule="auto"/>
        <w:rPr>
          <w:rFonts w:ascii="Times New Roman" w:hAnsi="Times New Roman" w:cs="Times New Roman"/>
        </w:rPr>
      </w:pPr>
    </w:p>
    <w:p w14:paraId="5F26E1F6" w14:textId="4B8FDB48" w:rsidR="005605A3" w:rsidRPr="001238C7" w:rsidRDefault="00E21B0D" w:rsidP="00860676">
      <w:pPr>
        <w:spacing w:line="360" w:lineRule="auto"/>
        <w:rPr>
          <w:rFonts w:ascii="Times New Roman" w:hAnsi="Times New Roman" w:cs="Times New Roman"/>
        </w:rPr>
      </w:pPr>
      <w:r w:rsidRPr="001238C7">
        <w:rPr>
          <w:rFonts w:ascii="Times New Roman" w:hAnsi="Times New Roman" w:cs="Times New Roman"/>
        </w:rPr>
        <w:t xml:space="preserve">Van Gen den Loos v Nederlandse </w:t>
      </w:r>
      <w:r w:rsidRPr="001238C7">
        <w:rPr>
          <w:rFonts w:ascii="Times New Roman" w:hAnsi="Times New Roman" w:cs="Times New Roman"/>
        </w:rPr>
        <w:t xml:space="preserve">Administratie der Belastingen (case 26/62)  (1963) </w:t>
      </w:r>
    </w:p>
    <w:p w14:paraId="54BC7821" w14:textId="77777777" w:rsidR="00B06064" w:rsidRPr="001238C7" w:rsidRDefault="00B06064" w:rsidP="00860676">
      <w:pPr>
        <w:spacing w:line="360" w:lineRule="auto"/>
        <w:rPr>
          <w:rFonts w:ascii="Times New Roman" w:hAnsi="Times New Roman" w:cs="Times New Roman"/>
        </w:rPr>
      </w:pPr>
    </w:p>
    <w:p w14:paraId="51181EDC" w14:textId="40551BAB" w:rsidR="00C83091" w:rsidRPr="001238C7" w:rsidRDefault="00E21B0D" w:rsidP="00860676">
      <w:pPr>
        <w:spacing w:line="360" w:lineRule="auto"/>
        <w:rPr>
          <w:rFonts w:ascii="Times New Roman" w:hAnsi="Times New Roman" w:cs="Times New Roman"/>
        </w:rPr>
      </w:pPr>
      <w:r w:rsidRPr="001238C7">
        <w:rPr>
          <w:rFonts w:ascii="Times New Roman" w:hAnsi="Times New Roman" w:cs="Times New Roman"/>
        </w:rPr>
        <w:t>Von Colson v Land Nordrhein-Westfalen Case 14/83</w:t>
      </w:r>
    </w:p>
    <w:sectPr w:rsidR="00C83091" w:rsidRPr="001238C7"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F73EA"/>
    <w:multiLevelType w:val="hybridMultilevel"/>
    <w:tmpl w:val="B61E1EA8"/>
    <w:lvl w:ilvl="0" w:tplc="0CE278E8">
      <w:start w:val="1"/>
      <w:numFmt w:val="decimal"/>
      <w:lvlText w:val="%1."/>
      <w:lvlJc w:val="left"/>
      <w:pPr>
        <w:ind w:left="720" w:hanging="360"/>
      </w:pPr>
      <w:rPr>
        <w:rFonts w:hint="default"/>
      </w:rPr>
    </w:lvl>
    <w:lvl w:ilvl="1" w:tplc="E542BAA8" w:tentative="1">
      <w:start w:val="1"/>
      <w:numFmt w:val="lowerLetter"/>
      <w:lvlText w:val="%2."/>
      <w:lvlJc w:val="left"/>
      <w:pPr>
        <w:ind w:left="1440" w:hanging="360"/>
      </w:pPr>
    </w:lvl>
    <w:lvl w:ilvl="2" w:tplc="68F87BFC" w:tentative="1">
      <w:start w:val="1"/>
      <w:numFmt w:val="lowerRoman"/>
      <w:lvlText w:val="%3."/>
      <w:lvlJc w:val="right"/>
      <w:pPr>
        <w:ind w:left="2160" w:hanging="180"/>
      </w:pPr>
    </w:lvl>
    <w:lvl w:ilvl="3" w:tplc="DA28B90C" w:tentative="1">
      <w:start w:val="1"/>
      <w:numFmt w:val="decimal"/>
      <w:lvlText w:val="%4."/>
      <w:lvlJc w:val="left"/>
      <w:pPr>
        <w:ind w:left="2880" w:hanging="360"/>
      </w:pPr>
    </w:lvl>
    <w:lvl w:ilvl="4" w:tplc="8DE28840" w:tentative="1">
      <w:start w:val="1"/>
      <w:numFmt w:val="lowerLetter"/>
      <w:lvlText w:val="%5."/>
      <w:lvlJc w:val="left"/>
      <w:pPr>
        <w:ind w:left="3600" w:hanging="360"/>
      </w:pPr>
    </w:lvl>
    <w:lvl w:ilvl="5" w:tplc="749633EE" w:tentative="1">
      <w:start w:val="1"/>
      <w:numFmt w:val="lowerRoman"/>
      <w:lvlText w:val="%6."/>
      <w:lvlJc w:val="right"/>
      <w:pPr>
        <w:ind w:left="4320" w:hanging="180"/>
      </w:pPr>
    </w:lvl>
    <w:lvl w:ilvl="6" w:tplc="8ED88D04" w:tentative="1">
      <w:start w:val="1"/>
      <w:numFmt w:val="decimal"/>
      <w:lvlText w:val="%7."/>
      <w:lvlJc w:val="left"/>
      <w:pPr>
        <w:ind w:left="5040" w:hanging="360"/>
      </w:pPr>
    </w:lvl>
    <w:lvl w:ilvl="7" w:tplc="5C76A412" w:tentative="1">
      <w:start w:val="1"/>
      <w:numFmt w:val="lowerLetter"/>
      <w:lvlText w:val="%8."/>
      <w:lvlJc w:val="left"/>
      <w:pPr>
        <w:ind w:left="5760" w:hanging="360"/>
      </w:pPr>
    </w:lvl>
    <w:lvl w:ilvl="8" w:tplc="E0A6DC1E" w:tentative="1">
      <w:start w:val="1"/>
      <w:numFmt w:val="lowerRoman"/>
      <w:lvlText w:val="%9."/>
      <w:lvlJc w:val="right"/>
      <w:pPr>
        <w:ind w:left="6480" w:hanging="180"/>
      </w:pPr>
    </w:lvl>
  </w:abstractNum>
  <w:abstractNum w:abstractNumId="1" w15:restartNumberingAfterBreak="0">
    <w:nsid w:val="2DD45FCB"/>
    <w:multiLevelType w:val="hybridMultilevel"/>
    <w:tmpl w:val="03B23F7A"/>
    <w:lvl w:ilvl="0" w:tplc="7EC00E74">
      <w:start w:val="1"/>
      <w:numFmt w:val="lowerLetter"/>
      <w:lvlText w:val="%1)"/>
      <w:lvlJc w:val="left"/>
      <w:pPr>
        <w:ind w:left="720" w:hanging="360"/>
      </w:pPr>
      <w:rPr>
        <w:rFonts w:hint="default"/>
      </w:rPr>
    </w:lvl>
    <w:lvl w:ilvl="1" w:tplc="B38A405A" w:tentative="1">
      <w:start w:val="1"/>
      <w:numFmt w:val="lowerLetter"/>
      <w:lvlText w:val="%2."/>
      <w:lvlJc w:val="left"/>
      <w:pPr>
        <w:ind w:left="1440" w:hanging="360"/>
      </w:pPr>
    </w:lvl>
    <w:lvl w:ilvl="2" w:tplc="470C06E4" w:tentative="1">
      <w:start w:val="1"/>
      <w:numFmt w:val="lowerRoman"/>
      <w:lvlText w:val="%3."/>
      <w:lvlJc w:val="right"/>
      <w:pPr>
        <w:ind w:left="2160" w:hanging="180"/>
      </w:pPr>
    </w:lvl>
    <w:lvl w:ilvl="3" w:tplc="BA12E242" w:tentative="1">
      <w:start w:val="1"/>
      <w:numFmt w:val="decimal"/>
      <w:lvlText w:val="%4."/>
      <w:lvlJc w:val="left"/>
      <w:pPr>
        <w:ind w:left="2880" w:hanging="360"/>
      </w:pPr>
    </w:lvl>
    <w:lvl w:ilvl="4" w:tplc="A42252EE" w:tentative="1">
      <w:start w:val="1"/>
      <w:numFmt w:val="lowerLetter"/>
      <w:lvlText w:val="%5."/>
      <w:lvlJc w:val="left"/>
      <w:pPr>
        <w:ind w:left="3600" w:hanging="360"/>
      </w:pPr>
    </w:lvl>
    <w:lvl w:ilvl="5" w:tplc="F7CABA82" w:tentative="1">
      <w:start w:val="1"/>
      <w:numFmt w:val="lowerRoman"/>
      <w:lvlText w:val="%6."/>
      <w:lvlJc w:val="right"/>
      <w:pPr>
        <w:ind w:left="4320" w:hanging="180"/>
      </w:pPr>
    </w:lvl>
    <w:lvl w:ilvl="6" w:tplc="81041676" w:tentative="1">
      <w:start w:val="1"/>
      <w:numFmt w:val="decimal"/>
      <w:lvlText w:val="%7."/>
      <w:lvlJc w:val="left"/>
      <w:pPr>
        <w:ind w:left="5040" w:hanging="360"/>
      </w:pPr>
    </w:lvl>
    <w:lvl w:ilvl="7" w:tplc="3152A3CA" w:tentative="1">
      <w:start w:val="1"/>
      <w:numFmt w:val="lowerLetter"/>
      <w:lvlText w:val="%8."/>
      <w:lvlJc w:val="left"/>
      <w:pPr>
        <w:ind w:left="5760" w:hanging="360"/>
      </w:pPr>
    </w:lvl>
    <w:lvl w:ilvl="8" w:tplc="E46A7BF6" w:tentative="1">
      <w:start w:val="1"/>
      <w:numFmt w:val="lowerRoman"/>
      <w:lvlText w:val="%9."/>
      <w:lvlJc w:val="right"/>
      <w:pPr>
        <w:ind w:left="6480" w:hanging="180"/>
      </w:pPr>
    </w:lvl>
  </w:abstractNum>
  <w:abstractNum w:abstractNumId="2" w15:restartNumberingAfterBreak="0">
    <w:nsid w:val="3A131D39"/>
    <w:multiLevelType w:val="hybridMultilevel"/>
    <w:tmpl w:val="FA841DA0"/>
    <w:lvl w:ilvl="0" w:tplc="F39C2E98">
      <w:start w:val="1"/>
      <w:numFmt w:val="lowerLetter"/>
      <w:lvlText w:val="%1)"/>
      <w:lvlJc w:val="left"/>
      <w:pPr>
        <w:ind w:left="720" w:hanging="360"/>
      </w:pPr>
      <w:rPr>
        <w:rFonts w:hint="default"/>
      </w:rPr>
    </w:lvl>
    <w:lvl w:ilvl="1" w:tplc="CDCA5230" w:tentative="1">
      <w:start w:val="1"/>
      <w:numFmt w:val="lowerLetter"/>
      <w:lvlText w:val="%2."/>
      <w:lvlJc w:val="left"/>
      <w:pPr>
        <w:ind w:left="1440" w:hanging="360"/>
      </w:pPr>
    </w:lvl>
    <w:lvl w:ilvl="2" w:tplc="4B1253CC" w:tentative="1">
      <w:start w:val="1"/>
      <w:numFmt w:val="lowerRoman"/>
      <w:lvlText w:val="%3."/>
      <w:lvlJc w:val="right"/>
      <w:pPr>
        <w:ind w:left="2160" w:hanging="180"/>
      </w:pPr>
    </w:lvl>
    <w:lvl w:ilvl="3" w:tplc="543AAF70" w:tentative="1">
      <w:start w:val="1"/>
      <w:numFmt w:val="decimal"/>
      <w:lvlText w:val="%4."/>
      <w:lvlJc w:val="left"/>
      <w:pPr>
        <w:ind w:left="2880" w:hanging="360"/>
      </w:pPr>
    </w:lvl>
    <w:lvl w:ilvl="4" w:tplc="DB40E95C" w:tentative="1">
      <w:start w:val="1"/>
      <w:numFmt w:val="lowerLetter"/>
      <w:lvlText w:val="%5."/>
      <w:lvlJc w:val="left"/>
      <w:pPr>
        <w:ind w:left="3600" w:hanging="360"/>
      </w:pPr>
    </w:lvl>
    <w:lvl w:ilvl="5" w:tplc="23A01842" w:tentative="1">
      <w:start w:val="1"/>
      <w:numFmt w:val="lowerRoman"/>
      <w:lvlText w:val="%6."/>
      <w:lvlJc w:val="right"/>
      <w:pPr>
        <w:ind w:left="4320" w:hanging="180"/>
      </w:pPr>
    </w:lvl>
    <w:lvl w:ilvl="6" w:tplc="0EDC88FA" w:tentative="1">
      <w:start w:val="1"/>
      <w:numFmt w:val="decimal"/>
      <w:lvlText w:val="%7."/>
      <w:lvlJc w:val="left"/>
      <w:pPr>
        <w:ind w:left="5040" w:hanging="360"/>
      </w:pPr>
    </w:lvl>
    <w:lvl w:ilvl="7" w:tplc="83A02630" w:tentative="1">
      <w:start w:val="1"/>
      <w:numFmt w:val="lowerLetter"/>
      <w:lvlText w:val="%8."/>
      <w:lvlJc w:val="left"/>
      <w:pPr>
        <w:ind w:left="5760" w:hanging="360"/>
      </w:pPr>
    </w:lvl>
    <w:lvl w:ilvl="8" w:tplc="5BBEF9FC" w:tentative="1">
      <w:start w:val="1"/>
      <w:numFmt w:val="lowerRoman"/>
      <w:lvlText w:val="%9."/>
      <w:lvlJc w:val="right"/>
      <w:pPr>
        <w:ind w:left="6480" w:hanging="180"/>
      </w:pPr>
    </w:lvl>
  </w:abstractNum>
  <w:abstractNum w:abstractNumId="3" w15:restartNumberingAfterBreak="0">
    <w:nsid w:val="75F7535A"/>
    <w:multiLevelType w:val="hybridMultilevel"/>
    <w:tmpl w:val="27E60FE4"/>
    <w:lvl w:ilvl="0" w:tplc="56CE71A4">
      <w:start w:val="1"/>
      <w:numFmt w:val="lowerLetter"/>
      <w:lvlText w:val="%1)"/>
      <w:lvlJc w:val="left"/>
      <w:pPr>
        <w:ind w:left="720" w:hanging="360"/>
      </w:pPr>
      <w:rPr>
        <w:rFonts w:hint="default"/>
      </w:rPr>
    </w:lvl>
    <w:lvl w:ilvl="1" w:tplc="19228676" w:tentative="1">
      <w:start w:val="1"/>
      <w:numFmt w:val="lowerLetter"/>
      <w:lvlText w:val="%2."/>
      <w:lvlJc w:val="left"/>
      <w:pPr>
        <w:ind w:left="1440" w:hanging="360"/>
      </w:pPr>
    </w:lvl>
    <w:lvl w:ilvl="2" w:tplc="C39CE740" w:tentative="1">
      <w:start w:val="1"/>
      <w:numFmt w:val="lowerRoman"/>
      <w:lvlText w:val="%3."/>
      <w:lvlJc w:val="right"/>
      <w:pPr>
        <w:ind w:left="2160" w:hanging="180"/>
      </w:pPr>
    </w:lvl>
    <w:lvl w:ilvl="3" w:tplc="3B66476E" w:tentative="1">
      <w:start w:val="1"/>
      <w:numFmt w:val="decimal"/>
      <w:lvlText w:val="%4."/>
      <w:lvlJc w:val="left"/>
      <w:pPr>
        <w:ind w:left="2880" w:hanging="360"/>
      </w:pPr>
    </w:lvl>
    <w:lvl w:ilvl="4" w:tplc="9A927C40" w:tentative="1">
      <w:start w:val="1"/>
      <w:numFmt w:val="lowerLetter"/>
      <w:lvlText w:val="%5."/>
      <w:lvlJc w:val="left"/>
      <w:pPr>
        <w:ind w:left="3600" w:hanging="360"/>
      </w:pPr>
    </w:lvl>
    <w:lvl w:ilvl="5" w:tplc="2AFC4BDE" w:tentative="1">
      <w:start w:val="1"/>
      <w:numFmt w:val="lowerRoman"/>
      <w:lvlText w:val="%6."/>
      <w:lvlJc w:val="right"/>
      <w:pPr>
        <w:ind w:left="4320" w:hanging="180"/>
      </w:pPr>
    </w:lvl>
    <w:lvl w:ilvl="6" w:tplc="15A6D47E" w:tentative="1">
      <w:start w:val="1"/>
      <w:numFmt w:val="decimal"/>
      <w:lvlText w:val="%7."/>
      <w:lvlJc w:val="left"/>
      <w:pPr>
        <w:ind w:left="5040" w:hanging="360"/>
      </w:pPr>
    </w:lvl>
    <w:lvl w:ilvl="7" w:tplc="9E54A956" w:tentative="1">
      <w:start w:val="1"/>
      <w:numFmt w:val="lowerLetter"/>
      <w:lvlText w:val="%8."/>
      <w:lvlJc w:val="left"/>
      <w:pPr>
        <w:ind w:left="5760" w:hanging="360"/>
      </w:pPr>
    </w:lvl>
    <w:lvl w:ilvl="8" w:tplc="FCB8A51E" w:tentative="1">
      <w:start w:val="1"/>
      <w:numFmt w:val="lowerRoman"/>
      <w:lvlText w:val="%9."/>
      <w:lvlJc w:val="right"/>
      <w:pPr>
        <w:ind w:left="6480" w:hanging="180"/>
      </w:pPr>
    </w:lvl>
  </w:abstractNum>
  <w:num w:numId="1" w16cid:durableId="1296135169">
    <w:abstractNumId w:val="0"/>
  </w:num>
  <w:num w:numId="2" w16cid:durableId="992953016">
    <w:abstractNumId w:val="2"/>
  </w:num>
  <w:num w:numId="3" w16cid:durableId="1701970129">
    <w:abstractNumId w:val="3"/>
  </w:num>
  <w:num w:numId="4" w16cid:durableId="864517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410"/>
    <w:rsid w:val="000036E5"/>
    <w:rsid w:val="000201CB"/>
    <w:rsid w:val="0005489E"/>
    <w:rsid w:val="00095F01"/>
    <w:rsid w:val="000B0769"/>
    <w:rsid w:val="000E6CCB"/>
    <w:rsid w:val="001238C7"/>
    <w:rsid w:val="0014054F"/>
    <w:rsid w:val="00147134"/>
    <w:rsid w:val="00182BA0"/>
    <w:rsid w:val="00193D1A"/>
    <w:rsid w:val="00193D7C"/>
    <w:rsid w:val="001A404A"/>
    <w:rsid w:val="001C697B"/>
    <w:rsid w:val="001E1410"/>
    <w:rsid w:val="001E4FA8"/>
    <w:rsid w:val="00220E66"/>
    <w:rsid w:val="0023134C"/>
    <w:rsid w:val="00235878"/>
    <w:rsid w:val="00256B5B"/>
    <w:rsid w:val="0029313C"/>
    <w:rsid w:val="002F1E31"/>
    <w:rsid w:val="002F20F8"/>
    <w:rsid w:val="00376900"/>
    <w:rsid w:val="003937E3"/>
    <w:rsid w:val="003B0BD4"/>
    <w:rsid w:val="003F381E"/>
    <w:rsid w:val="003F5863"/>
    <w:rsid w:val="003F600F"/>
    <w:rsid w:val="003F6E3F"/>
    <w:rsid w:val="00402F1C"/>
    <w:rsid w:val="004170E8"/>
    <w:rsid w:val="00427BA2"/>
    <w:rsid w:val="00461115"/>
    <w:rsid w:val="00463C19"/>
    <w:rsid w:val="0047303E"/>
    <w:rsid w:val="00473DBF"/>
    <w:rsid w:val="00490E74"/>
    <w:rsid w:val="004B1E7B"/>
    <w:rsid w:val="004C5AFF"/>
    <w:rsid w:val="004F75D9"/>
    <w:rsid w:val="004F7D1C"/>
    <w:rsid w:val="00503C49"/>
    <w:rsid w:val="005153FE"/>
    <w:rsid w:val="00544595"/>
    <w:rsid w:val="005605A3"/>
    <w:rsid w:val="0056500F"/>
    <w:rsid w:val="0057633C"/>
    <w:rsid w:val="005833F7"/>
    <w:rsid w:val="005B253F"/>
    <w:rsid w:val="005D4207"/>
    <w:rsid w:val="005E1995"/>
    <w:rsid w:val="006122FE"/>
    <w:rsid w:val="00635A76"/>
    <w:rsid w:val="006C5A2D"/>
    <w:rsid w:val="006C6E8D"/>
    <w:rsid w:val="006E444B"/>
    <w:rsid w:val="00796E60"/>
    <w:rsid w:val="007A7EC4"/>
    <w:rsid w:val="007B5D0E"/>
    <w:rsid w:val="00813293"/>
    <w:rsid w:val="0082443A"/>
    <w:rsid w:val="00840C21"/>
    <w:rsid w:val="008456C3"/>
    <w:rsid w:val="008502FE"/>
    <w:rsid w:val="00860676"/>
    <w:rsid w:val="008A1AB8"/>
    <w:rsid w:val="008A7F34"/>
    <w:rsid w:val="008C313D"/>
    <w:rsid w:val="009332AD"/>
    <w:rsid w:val="00953EE5"/>
    <w:rsid w:val="00963116"/>
    <w:rsid w:val="00967F7C"/>
    <w:rsid w:val="009728B7"/>
    <w:rsid w:val="0098614C"/>
    <w:rsid w:val="0098799C"/>
    <w:rsid w:val="00992133"/>
    <w:rsid w:val="00A450EB"/>
    <w:rsid w:val="00A510CC"/>
    <w:rsid w:val="00A80AD2"/>
    <w:rsid w:val="00AB6A1E"/>
    <w:rsid w:val="00AC0F18"/>
    <w:rsid w:val="00AE0192"/>
    <w:rsid w:val="00AF3C71"/>
    <w:rsid w:val="00AF7995"/>
    <w:rsid w:val="00B06064"/>
    <w:rsid w:val="00B136A2"/>
    <w:rsid w:val="00B72041"/>
    <w:rsid w:val="00BD7923"/>
    <w:rsid w:val="00BE4D48"/>
    <w:rsid w:val="00BE6BA2"/>
    <w:rsid w:val="00C01B1C"/>
    <w:rsid w:val="00C15F89"/>
    <w:rsid w:val="00C83091"/>
    <w:rsid w:val="00CB4594"/>
    <w:rsid w:val="00CD7191"/>
    <w:rsid w:val="00D165F7"/>
    <w:rsid w:val="00D50F06"/>
    <w:rsid w:val="00D56CF7"/>
    <w:rsid w:val="00DC2B52"/>
    <w:rsid w:val="00DD5DCB"/>
    <w:rsid w:val="00E0561C"/>
    <w:rsid w:val="00E17C99"/>
    <w:rsid w:val="00E21B0D"/>
    <w:rsid w:val="00E279AA"/>
    <w:rsid w:val="00E36D59"/>
    <w:rsid w:val="00EB3D9F"/>
    <w:rsid w:val="00EF05E5"/>
    <w:rsid w:val="00F06B86"/>
    <w:rsid w:val="00F4043F"/>
    <w:rsid w:val="00F65B88"/>
    <w:rsid w:val="00F9582F"/>
    <w:rsid w:val="00FD238B"/>
    <w:rsid w:val="00FE325F"/>
    <w:rsid w:val="00FE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CB3D51"/>
  <w15:chartTrackingRefBased/>
  <w15:docId w15:val="{1918150B-86BE-7B4F-8E60-E33FD87D7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20E6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840C21"/>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207"/>
    <w:rPr>
      <w:color w:val="0563C1" w:themeColor="hyperlink"/>
      <w:u w:val="single"/>
    </w:rPr>
  </w:style>
  <w:style w:type="character" w:customStyle="1" w:styleId="UnresolvedMention1">
    <w:name w:val="Unresolved Mention1"/>
    <w:basedOn w:val="DefaultParagraphFont"/>
    <w:uiPriority w:val="99"/>
    <w:semiHidden/>
    <w:unhideWhenUsed/>
    <w:rsid w:val="005D4207"/>
    <w:rPr>
      <w:color w:val="605E5C"/>
      <w:shd w:val="clear" w:color="auto" w:fill="E1DFDD"/>
    </w:rPr>
  </w:style>
  <w:style w:type="paragraph" w:styleId="ListParagraph">
    <w:name w:val="List Paragraph"/>
    <w:basedOn w:val="Normal"/>
    <w:uiPriority w:val="34"/>
    <w:qFormat/>
    <w:rsid w:val="005E1995"/>
    <w:pPr>
      <w:ind w:left="720"/>
      <w:contextualSpacing/>
    </w:pPr>
  </w:style>
  <w:style w:type="character" w:customStyle="1" w:styleId="Heading4Char">
    <w:name w:val="Heading 4 Char"/>
    <w:basedOn w:val="DefaultParagraphFont"/>
    <w:link w:val="Heading4"/>
    <w:uiPriority w:val="9"/>
    <w:rsid w:val="00840C21"/>
    <w:rPr>
      <w:rFonts w:ascii="Times New Roman" w:eastAsia="Times New Roman" w:hAnsi="Times New Roman" w:cs="Times New Roman"/>
      <w:b/>
      <w:bCs/>
      <w:lang w:eastAsia="en-GB"/>
    </w:rPr>
  </w:style>
  <w:style w:type="character" w:customStyle="1" w:styleId="Heading2Char">
    <w:name w:val="Heading 2 Char"/>
    <w:basedOn w:val="DefaultParagraphFont"/>
    <w:link w:val="Heading2"/>
    <w:uiPriority w:val="9"/>
    <w:semiHidden/>
    <w:rsid w:val="00220E66"/>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8502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society.org.uk/en/topics/brexit/what-is-the-european-court-of-justice-and-why-does-it-matter" TargetMode="External"/><Relationship Id="rId3" Type="http://schemas.openxmlformats.org/officeDocument/2006/relationships/settings" Target="settings.xml"/><Relationship Id="rId7" Type="http://schemas.openxmlformats.org/officeDocument/2006/relationships/hyperlink" Target="https://ec.europa.eu/info/law/law-making-process/types-eu-law_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lex.europa.eu/EN/legal-content/summary/european-union-directives.html" TargetMode="External"/><Relationship Id="rId5" Type="http://schemas.openxmlformats.org/officeDocument/2006/relationships/hyperlink" Target="https://www.ejtn.eu/Documents/About%20EJTN/Criminal%20Justice%202018/CR201804-Vilnius/Guide%20to%20directives.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2122</Words>
  <Characters>12101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Kan (2017444)</dc:creator>
  <cp:lastModifiedBy>Teresa Kan (2017444)</cp:lastModifiedBy>
  <cp:revision>2</cp:revision>
  <dcterms:created xsi:type="dcterms:W3CDTF">2022-07-21T18:49:00Z</dcterms:created>
  <dcterms:modified xsi:type="dcterms:W3CDTF">2022-07-21T18:49:00Z</dcterms:modified>
</cp:coreProperties>
</file>